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415DF7" w14:paraId="090AF5C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F70B15" w14:textId="77777777" w:rsidR="00132EA9" w:rsidRPr="00DB58B5" w:rsidRDefault="00132EA9" w:rsidP="00415DF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70F5C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91A244" w14:textId="44490416" w:rsidR="00415DF7" w:rsidRPr="00415DF7" w:rsidRDefault="00415DF7" w:rsidP="00415DF7">
            <w:pPr>
              <w:jc w:val="right"/>
              <w:rPr>
                <w:lang w:val="en-US"/>
              </w:rPr>
            </w:pPr>
            <w:r w:rsidRPr="00415DF7">
              <w:rPr>
                <w:sz w:val="40"/>
                <w:lang w:val="en-US"/>
              </w:rPr>
              <w:t>ST</w:t>
            </w:r>
            <w:r w:rsidRPr="00415DF7">
              <w:rPr>
                <w:lang w:val="en-US"/>
              </w:rPr>
              <w:t>/SG/AC</w:t>
            </w:r>
            <w:r w:rsidR="00D90154" w:rsidRPr="00D90154">
              <w:rPr>
                <w:lang w:val="en-US"/>
              </w:rPr>
              <w:t>.</w:t>
            </w:r>
            <w:r w:rsidRPr="00415DF7">
              <w:rPr>
                <w:lang w:val="en-US"/>
              </w:rPr>
              <w:t>10/C</w:t>
            </w:r>
            <w:r w:rsidR="00D90154" w:rsidRPr="00D90154">
              <w:rPr>
                <w:lang w:val="en-US"/>
              </w:rPr>
              <w:t>.</w:t>
            </w:r>
            <w:r w:rsidRPr="00415DF7">
              <w:rPr>
                <w:lang w:val="en-US"/>
              </w:rPr>
              <w:t>3/2023/12−</w:t>
            </w:r>
            <w:r w:rsidRPr="00415DF7">
              <w:rPr>
                <w:sz w:val="40"/>
                <w:lang w:val="en-US"/>
              </w:rPr>
              <w:t>ST</w:t>
            </w:r>
            <w:r w:rsidRPr="00415DF7">
              <w:rPr>
                <w:lang w:val="en-US"/>
              </w:rPr>
              <w:t>/SG/AC</w:t>
            </w:r>
            <w:r w:rsidR="00D90154" w:rsidRPr="00D90154">
              <w:rPr>
                <w:lang w:val="en-US"/>
              </w:rPr>
              <w:t>.</w:t>
            </w:r>
            <w:r w:rsidRPr="00415DF7">
              <w:rPr>
                <w:lang w:val="en-US"/>
              </w:rPr>
              <w:t>10/C</w:t>
            </w:r>
            <w:r w:rsidR="00D90154" w:rsidRPr="00D90154">
              <w:rPr>
                <w:lang w:val="en-US"/>
              </w:rPr>
              <w:t>.</w:t>
            </w:r>
            <w:r w:rsidRPr="00415DF7">
              <w:rPr>
                <w:lang w:val="en-US"/>
              </w:rPr>
              <w:t>4/2023/2</w:t>
            </w:r>
          </w:p>
        </w:tc>
      </w:tr>
      <w:tr w:rsidR="00132EA9" w:rsidRPr="00DB58B5" w14:paraId="378E500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839C6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C6FED57" wp14:editId="6CF12E1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14BFD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227725" w14:textId="55B0DEFB" w:rsidR="00132EA9" w:rsidRDefault="00415DF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D90154" w:rsidRPr="00D90154">
              <w:t>.</w:t>
            </w:r>
            <w:r>
              <w:t xml:space="preserve"> générale</w:t>
            </w:r>
          </w:p>
          <w:p w14:paraId="6157A125" w14:textId="77777777" w:rsidR="00415DF7" w:rsidRDefault="00415DF7" w:rsidP="00415DF7">
            <w:pPr>
              <w:spacing w:line="240" w:lineRule="exact"/>
            </w:pPr>
            <w:r>
              <w:t>13 avril 2023</w:t>
            </w:r>
          </w:p>
          <w:p w14:paraId="1277DD31" w14:textId="77777777" w:rsidR="00415DF7" w:rsidRDefault="00415DF7" w:rsidP="00415DF7">
            <w:pPr>
              <w:spacing w:line="240" w:lineRule="exact"/>
            </w:pPr>
            <w:r>
              <w:t>Français</w:t>
            </w:r>
          </w:p>
          <w:p w14:paraId="5F1158F3" w14:textId="4A920D1F" w:rsidR="00415DF7" w:rsidRPr="00DB58B5" w:rsidRDefault="00415DF7" w:rsidP="00415DF7">
            <w:pPr>
              <w:spacing w:line="240" w:lineRule="exact"/>
            </w:pPr>
            <w:r>
              <w:t>Original : anglais</w:t>
            </w:r>
          </w:p>
        </w:tc>
      </w:tr>
    </w:tbl>
    <w:p w14:paraId="2D3D5985" w14:textId="4DCA8BD8" w:rsidR="009B16E8" w:rsidRPr="00A66E06" w:rsidRDefault="009B16E8" w:rsidP="009B16E8">
      <w:pPr>
        <w:spacing w:before="120"/>
        <w:rPr>
          <w:b/>
          <w:sz w:val="24"/>
          <w:szCs w:val="24"/>
          <w:lang w:val="fr-FR"/>
        </w:rPr>
      </w:pPr>
      <w:r w:rsidRPr="00A66E06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 w:rsidR="00A66E06">
        <w:rPr>
          <w:b/>
          <w:bCs/>
          <w:sz w:val="24"/>
          <w:szCs w:val="24"/>
          <w:lang w:val="fr-FR"/>
        </w:rPr>
        <w:br/>
      </w:r>
      <w:r w:rsidRPr="00A66E06">
        <w:rPr>
          <w:b/>
          <w:bCs/>
          <w:sz w:val="24"/>
          <w:szCs w:val="24"/>
          <w:lang w:val="fr-FR"/>
        </w:rPr>
        <w:t xml:space="preserve">dangereuses et du Système général harmonisé </w:t>
      </w:r>
      <w:r w:rsidR="00A66E06">
        <w:rPr>
          <w:b/>
          <w:bCs/>
          <w:sz w:val="24"/>
          <w:szCs w:val="24"/>
          <w:lang w:val="fr-FR"/>
        </w:rPr>
        <w:br/>
      </w:r>
      <w:r w:rsidRPr="00A66E06">
        <w:rPr>
          <w:b/>
          <w:bCs/>
          <w:sz w:val="24"/>
          <w:szCs w:val="24"/>
          <w:lang w:val="fr-FR"/>
        </w:rPr>
        <w:t>de classification et d’étiquetage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9B16E8" w:rsidRPr="00DC75EF" w14:paraId="6DE85666" w14:textId="77777777" w:rsidTr="00FB737E">
        <w:tc>
          <w:tcPr>
            <w:tcW w:w="4593" w:type="dxa"/>
            <w:shd w:val="clear" w:color="auto" w:fill="auto"/>
          </w:tcPr>
          <w:p w14:paraId="25A0142A" w14:textId="6E63C59E" w:rsidR="009B16E8" w:rsidRPr="00BE09C8" w:rsidRDefault="009B16E8" w:rsidP="00FB737E">
            <w:pPr>
              <w:spacing w:before="120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 xml:space="preserve">Sous-Comité d’experts du transport </w:t>
            </w:r>
            <w:r w:rsidR="00A66E06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des marchandises dangereuses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14:paraId="093268BA" w14:textId="04A12AAC" w:rsidR="009B16E8" w:rsidRPr="00BE09C8" w:rsidRDefault="009B16E8" w:rsidP="00FB737E">
            <w:pPr>
              <w:spacing w:before="120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 xml:space="preserve">Sous-Comité d’experts du Système général harmonisé </w:t>
            </w:r>
            <w:r w:rsidR="00A66E06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de classification et d’étiquetage des produits chimiques</w:t>
            </w:r>
            <w:r>
              <w:rPr>
                <w:lang w:val="fr-FR"/>
              </w:rPr>
              <w:t xml:space="preserve"> </w:t>
            </w:r>
          </w:p>
        </w:tc>
      </w:tr>
      <w:tr w:rsidR="009B16E8" w:rsidRPr="00302456" w14:paraId="5140F643" w14:textId="77777777" w:rsidTr="00FB737E">
        <w:tc>
          <w:tcPr>
            <w:tcW w:w="4593" w:type="dxa"/>
            <w:shd w:val="clear" w:color="auto" w:fill="auto"/>
          </w:tcPr>
          <w:p w14:paraId="0547750E" w14:textId="77777777" w:rsidR="009B16E8" w:rsidRPr="00302456" w:rsidRDefault="009B16E8" w:rsidP="00FB737E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Soixante-deuxième session</w:t>
            </w:r>
          </w:p>
        </w:tc>
        <w:tc>
          <w:tcPr>
            <w:tcW w:w="5046" w:type="dxa"/>
            <w:shd w:val="clear" w:color="auto" w:fill="auto"/>
          </w:tcPr>
          <w:p w14:paraId="21624014" w14:textId="77777777" w:rsidR="009B16E8" w:rsidRPr="005F2FC0" w:rsidRDefault="009B16E8" w:rsidP="00FB737E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Quarante-quatrième session</w:t>
            </w:r>
          </w:p>
        </w:tc>
      </w:tr>
      <w:tr w:rsidR="009B16E8" w:rsidRPr="00302456" w14:paraId="3FB322D7" w14:textId="77777777" w:rsidTr="00FB737E">
        <w:tc>
          <w:tcPr>
            <w:tcW w:w="4593" w:type="dxa"/>
            <w:shd w:val="clear" w:color="auto" w:fill="auto"/>
          </w:tcPr>
          <w:p w14:paraId="44344E9E" w14:textId="77777777" w:rsidR="009B16E8" w:rsidRPr="00302456" w:rsidRDefault="009B16E8" w:rsidP="00FB737E">
            <w:pPr>
              <w:rPr>
                <w:b/>
              </w:rPr>
            </w:pPr>
            <w:r>
              <w:rPr>
                <w:lang w:val="fr-FR"/>
              </w:rPr>
              <w:t>Genève, 3-7 juillet 2023</w:t>
            </w:r>
          </w:p>
        </w:tc>
        <w:tc>
          <w:tcPr>
            <w:tcW w:w="5046" w:type="dxa"/>
            <w:shd w:val="clear" w:color="auto" w:fill="auto"/>
          </w:tcPr>
          <w:p w14:paraId="25B8DAEB" w14:textId="77777777" w:rsidR="009B16E8" w:rsidRPr="005F2FC0" w:rsidRDefault="009B16E8" w:rsidP="00FB737E">
            <w:pPr>
              <w:rPr>
                <w:b/>
              </w:rPr>
            </w:pPr>
            <w:r>
              <w:rPr>
                <w:lang w:val="fr-FR"/>
              </w:rPr>
              <w:t>Genève, 10-12 juillet 2023</w:t>
            </w:r>
          </w:p>
        </w:tc>
      </w:tr>
      <w:tr w:rsidR="009B16E8" w:rsidRPr="00DC75EF" w14:paraId="240D7861" w14:textId="77777777" w:rsidTr="00FB737E">
        <w:tc>
          <w:tcPr>
            <w:tcW w:w="4593" w:type="dxa"/>
            <w:shd w:val="clear" w:color="auto" w:fill="auto"/>
          </w:tcPr>
          <w:p w14:paraId="564C7828" w14:textId="12EEC364" w:rsidR="009B16E8" w:rsidRPr="00BE09C8" w:rsidRDefault="009B16E8" w:rsidP="00FB737E">
            <w:pPr>
              <w:rPr>
                <w:lang w:val="fr-FR"/>
              </w:rPr>
            </w:pPr>
            <w:r>
              <w:rPr>
                <w:lang w:val="fr-FR"/>
              </w:rPr>
              <w:t xml:space="preserve">Point 2 h) de l’ordre du jour provisoire </w:t>
            </w:r>
            <w:r>
              <w:rPr>
                <w:lang w:val="fr-FR"/>
              </w:rPr>
              <w:br/>
            </w:r>
            <w:r>
              <w:rPr>
                <w:b/>
                <w:bCs/>
                <w:lang w:val="fr-FR"/>
              </w:rPr>
              <w:t xml:space="preserve">Explosifs et questions connexes : </w:t>
            </w:r>
            <w:r w:rsidR="005A76CC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autres questions</w:t>
            </w:r>
          </w:p>
        </w:tc>
        <w:tc>
          <w:tcPr>
            <w:tcW w:w="5046" w:type="dxa"/>
            <w:shd w:val="clear" w:color="auto" w:fill="auto"/>
          </w:tcPr>
          <w:p w14:paraId="4EAA7F81" w14:textId="77777777" w:rsidR="009B16E8" w:rsidRPr="00BE09C8" w:rsidRDefault="009B16E8" w:rsidP="00FB737E">
            <w:pPr>
              <w:rPr>
                <w:lang w:val="fr-FR"/>
              </w:rPr>
            </w:pPr>
            <w:r>
              <w:rPr>
                <w:lang w:val="fr-FR"/>
              </w:rPr>
              <w:t>Point 2 a) de l’ordre du jour provisoire</w:t>
            </w:r>
          </w:p>
          <w:p w14:paraId="7DEA640E" w14:textId="25653EBE" w:rsidR="009B16E8" w:rsidRPr="00BE09C8" w:rsidRDefault="009B16E8" w:rsidP="00FB737E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Travaux du Sous-Comité d’experts du transport des marchandises dangereuses sur des questions intéressant </w:t>
            </w:r>
            <w:r w:rsidR="00A66E06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 xml:space="preserve">le Sous-Comité d’experts du Système général harmonisé </w:t>
            </w:r>
            <w:r w:rsidR="00A66E06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de classification et d’étiquetage des produits chimiques</w:t>
            </w:r>
          </w:p>
        </w:tc>
      </w:tr>
    </w:tbl>
    <w:p w14:paraId="0CCC20EE" w14:textId="7149C884" w:rsidR="009B16E8" w:rsidRPr="00BE09C8" w:rsidRDefault="009B16E8" w:rsidP="00A66E0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Modification de la définition d’« effet par explosion </w:t>
      </w:r>
      <w:r w:rsidR="00A66E06">
        <w:rPr>
          <w:lang w:val="fr-FR"/>
        </w:rPr>
        <w:br/>
      </w:r>
      <w:r>
        <w:rPr>
          <w:lang w:val="fr-FR"/>
        </w:rPr>
        <w:t>ou effet pyrotechnique »</w:t>
      </w:r>
    </w:p>
    <w:p w14:paraId="0E18000A" w14:textId="77777777" w:rsidR="009B16E8" w:rsidRPr="00BE09C8" w:rsidRDefault="009B16E8" w:rsidP="00A66E0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la Suède</w:t>
      </w:r>
      <w:r w:rsidRPr="00A66E06">
        <w:rPr>
          <w:rStyle w:val="Appelnotedebasdep"/>
          <w:b w:val="0"/>
          <w:bCs/>
          <w:sz w:val="20"/>
          <w:vertAlign w:val="baseline"/>
          <w:lang w:val="fr-FR" w:eastAsia="ja-JP"/>
        </w:rPr>
        <w:footnoteReference w:customMarkFollows="1" w:id="2"/>
        <w:t>*</w:t>
      </w:r>
    </w:p>
    <w:p w14:paraId="49C62E3D" w14:textId="77777777" w:rsidR="009B16E8" w:rsidRPr="00BE09C8" w:rsidRDefault="009B16E8" w:rsidP="00A66E0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2E8B340" w14:textId="22E26476" w:rsidR="009B16E8" w:rsidRPr="00BE09C8" w:rsidRDefault="009B16E8" w:rsidP="00A66E06">
      <w:pPr>
        <w:pStyle w:val="SingleTxtG"/>
        <w:rPr>
          <w:lang w:val="fr-FR"/>
        </w:rPr>
      </w:pP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 xml:space="preserve">À la cinquante-cinquième session du Sous-Comité d’experts du transport des marchandises dangereuses (Sous-Comité TMD), le Groupe de travail des explosifs a décidé de créer un groupe de travail </w:t>
      </w:r>
      <w:r w:rsidRPr="00C36270">
        <w:rPr>
          <w:lang w:val="fr-FR"/>
        </w:rPr>
        <w:t xml:space="preserve">intersessions </w:t>
      </w:r>
      <w:r>
        <w:rPr>
          <w:lang w:val="fr-FR"/>
        </w:rPr>
        <w:t>par correspondance chargé de se pencher sur la question de la définition de la classe 1 et d’en rendre compte au Groupe (voir le paragraphe 10 du document informel</w:t>
      </w:r>
      <w:r w:rsidR="008D0336">
        <w:rPr>
          <w:lang w:val="fr-FR"/>
        </w:rPr>
        <w:t xml:space="preserve"> </w:t>
      </w:r>
      <w:r>
        <w:rPr>
          <w:lang w:val="fr-FR"/>
        </w:rPr>
        <w:t>INF</w:t>
      </w:r>
      <w:r w:rsidR="00D90154" w:rsidRPr="00D90154">
        <w:rPr>
          <w:lang w:val="fr-FR"/>
        </w:rPr>
        <w:t>.</w:t>
      </w:r>
      <w:r>
        <w:rPr>
          <w:lang w:val="fr-FR"/>
        </w:rPr>
        <w:t>55 de la cinquante-cinquième session du Sous</w:t>
      </w:r>
      <w:r w:rsidR="00052B07">
        <w:rPr>
          <w:lang w:val="fr-FR"/>
        </w:rPr>
        <w:noBreakHyphen/>
      </w:r>
      <w:r>
        <w:rPr>
          <w:lang w:val="fr-FR"/>
        </w:rPr>
        <w:t>Comité TMD)</w:t>
      </w:r>
      <w:r w:rsidR="00D90154" w:rsidRPr="00D90154">
        <w:rPr>
          <w:lang w:val="fr-FR"/>
        </w:rPr>
        <w:t>.</w:t>
      </w:r>
    </w:p>
    <w:p w14:paraId="443176F7" w14:textId="40BD9AA0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 xml:space="preserve">Le groupe de travail </w:t>
      </w:r>
      <w:r w:rsidRPr="00C36270">
        <w:rPr>
          <w:lang w:val="fr-FR"/>
        </w:rPr>
        <w:t xml:space="preserve">intersessions </w:t>
      </w:r>
      <w:r>
        <w:rPr>
          <w:lang w:val="fr-FR"/>
        </w:rPr>
        <w:t>par correspondance a fait rapport au Groupe de travail des explosifs</w:t>
      </w:r>
      <w:r w:rsidR="00D90154" w:rsidRPr="00D90154">
        <w:rPr>
          <w:lang w:val="fr-FR"/>
        </w:rPr>
        <w:t>.</w:t>
      </w:r>
      <w:r>
        <w:rPr>
          <w:lang w:val="fr-FR"/>
        </w:rPr>
        <w:t xml:space="preserve"> Ses propositions ont été examinées par le Groupe de travail des explosifs et par le Sous-Comité TMD à la soixantième session de celui-ci (voir le document informel INF</w:t>
      </w:r>
      <w:r w:rsidR="00D90154" w:rsidRPr="00D90154">
        <w:rPr>
          <w:lang w:val="fr-FR"/>
        </w:rPr>
        <w:t>.</w:t>
      </w:r>
      <w:r>
        <w:rPr>
          <w:lang w:val="fr-FR"/>
        </w:rPr>
        <w:t>12 (soixantième session), le rapport du Groupe de travail des explosifs au Sous-Comité TMD, le document informel INF</w:t>
      </w:r>
      <w:r w:rsidR="00D90154" w:rsidRPr="00D90154">
        <w:rPr>
          <w:lang w:val="fr-FR"/>
        </w:rPr>
        <w:t>.</w:t>
      </w:r>
      <w:r>
        <w:rPr>
          <w:lang w:val="fr-FR"/>
        </w:rPr>
        <w:t>44 (soixantième session) et le paragraphe 27 du rapport de la session (ST/SG/AC</w:t>
      </w:r>
      <w:r w:rsidR="00D90154" w:rsidRPr="00D90154">
        <w:rPr>
          <w:lang w:val="fr-FR"/>
        </w:rPr>
        <w:t>.</w:t>
      </w:r>
      <w:r>
        <w:rPr>
          <w:lang w:val="fr-FR"/>
        </w:rPr>
        <w:t>10/C</w:t>
      </w:r>
      <w:r w:rsidR="00D90154" w:rsidRPr="00D90154">
        <w:rPr>
          <w:lang w:val="fr-FR"/>
        </w:rPr>
        <w:t>.</w:t>
      </w:r>
      <w:r>
        <w:rPr>
          <w:lang w:val="fr-FR"/>
        </w:rPr>
        <w:t>3/120))</w:t>
      </w:r>
      <w:r w:rsidR="00D90154" w:rsidRPr="00D90154">
        <w:rPr>
          <w:lang w:val="fr-FR"/>
        </w:rPr>
        <w:t>.</w:t>
      </w:r>
    </w:p>
    <w:p w14:paraId="38ADBDF8" w14:textId="3F353C48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3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Ces travaux ont abouti à l’élaboration d’un document de travail, soumis au Sous-Comité TMD à sa soixante et unième session et au Sous-Comité d’experts du Système général harmonisé de classification et d’étiquetage des produits chimiques (Sous-Comité SGH) à sa quarante-troisième session, dans lequel figuraient un certain nombre de propositions (voir ST/SG/AC</w:t>
      </w:r>
      <w:r w:rsidR="00D90154" w:rsidRPr="00D90154">
        <w:rPr>
          <w:lang w:val="fr-FR"/>
        </w:rPr>
        <w:t>.</w:t>
      </w:r>
      <w:r>
        <w:rPr>
          <w:lang w:val="fr-FR"/>
        </w:rPr>
        <w:t>10/C</w:t>
      </w:r>
      <w:r w:rsidR="00D90154" w:rsidRPr="00D90154">
        <w:rPr>
          <w:lang w:val="fr-FR"/>
        </w:rPr>
        <w:t>.</w:t>
      </w:r>
      <w:r>
        <w:rPr>
          <w:lang w:val="fr-FR"/>
        </w:rPr>
        <w:t>3/2022/47</w:t>
      </w:r>
      <w:r w:rsidR="00052B07">
        <w:rPr>
          <w:lang w:val="fr-FR"/>
        </w:rPr>
        <w:t>-</w:t>
      </w:r>
      <w:r>
        <w:rPr>
          <w:lang w:val="fr-FR"/>
        </w:rPr>
        <w:t>ST/SG/AC</w:t>
      </w:r>
      <w:r w:rsidR="00D90154" w:rsidRPr="00D90154">
        <w:rPr>
          <w:lang w:val="fr-FR"/>
        </w:rPr>
        <w:t>.</w:t>
      </w:r>
      <w:r>
        <w:rPr>
          <w:lang w:val="fr-FR"/>
        </w:rPr>
        <w:t>10/C</w:t>
      </w:r>
      <w:r w:rsidR="00D90154" w:rsidRPr="00D90154">
        <w:rPr>
          <w:lang w:val="fr-FR"/>
        </w:rPr>
        <w:t>.</w:t>
      </w:r>
      <w:r>
        <w:rPr>
          <w:lang w:val="fr-FR"/>
        </w:rPr>
        <w:t>4/2022/8)</w:t>
      </w:r>
      <w:r w:rsidR="00D90154" w:rsidRPr="00D90154">
        <w:rPr>
          <w:lang w:val="fr-FR"/>
        </w:rPr>
        <w:t>.</w:t>
      </w:r>
      <w:r>
        <w:rPr>
          <w:lang w:val="fr-FR"/>
        </w:rPr>
        <w:t xml:space="preserve"> Une des propositions visait à introduire une définition d’« effet par explosion ou effet pyrotechnique » </w:t>
      </w:r>
      <w:r>
        <w:rPr>
          <w:lang w:val="fr-FR"/>
        </w:rPr>
        <w:lastRenderedPageBreak/>
        <w:t>à la fois dans le Règlement type pour le transport des marchandises dangereuses et dans le Système général harmonisé de classification et d’étiquetage des produits chimiques (SGH) :</w:t>
      </w:r>
    </w:p>
    <w:p w14:paraId="7C5D9D92" w14:textId="430EFF61" w:rsidR="009B16E8" w:rsidRPr="00BE09C8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Dans le Règlement type, au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3 e) du chapitre 2</w:t>
      </w:r>
      <w:r w:rsidR="00D90154" w:rsidRPr="00D90154">
        <w:rPr>
          <w:lang w:val="fr-FR"/>
        </w:rPr>
        <w:t>.</w:t>
      </w:r>
      <w:r>
        <w:rPr>
          <w:lang w:val="fr-FR"/>
        </w:rPr>
        <w:t>1,</w:t>
      </w:r>
    </w:p>
    <w:p w14:paraId="2E72D902" w14:textId="71FB5136" w:rsidR="009B16E8" w:rsidRPr="00BE09C8" w:rsidRDefault="009B16E8" w:rsidP="009B16E8">
      <w:pPr>
        <w:pStyle w:val="SingleTxtG"/>
        <w:ind w:left="1701"/>
        <w:rPr>
          <w:lang w:val="fr-FR"/>
        </w:rPr>
      </w:pPr>
      <w:r w:rsidRPr="00D90154">
        <w:rPr>
          <w:lang w:val="fr-FR"/>
        </w:rPr>
        <w:t>«</w:t>
      </w:r>
      <w:r>
        <w:rPr>
          <w:i/>
          <w:iCs/>
          <w:lang w:val="fr-FR"/>
        </w:rPr>
        <w:t> e)</w:t>
      </w:r>
      <w:r>
        <w:rPr>
          <w:lang w:val="fr-FR"/>
        </w:rPr>
        <w:tab/>
      </w:r>
      <w:r>
        <w:rPr>
          <w:i/>
          <w:iCs/>
          <w:lang w:val="fr-FR"/>
        </w:rPr>
        <w:t xml:space="preserve">Effet par explosion ou effet pyrotechnique </w:t>
      </w:r>
      <w:r>
        <w:rPr>
          <w:lang w:val="fr-FR"/>
        </w:rPr>
        <w:t>au sens du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 c) : un effet produit par des réactions chimiques exothermiques auto-entretenues, y compris un effet de choc, de souffle, de fragmentation ou de projection ou un effet calorifique, lumineux, sonore, gazeux ou fumigène</w:t>
      </w:r>
      <w:r w:rsidR="00D90154" w:rsidRPr="00D90154">
        <w:rPr>
          <w:lang w:val="fr-FR"/>
        </w:rPr>
        <w:t>.</w:t>
      </w:r>
      <w:r>
        <w:rPr>
          <w:lang w:val="fr-FR"/>
        </w:rPr>
        <w:t> » ;</w:t>
      </w:r>
    </w:p>
    <w:p w14:paraId="06FBFC05" w14:textId="2BE77965" w:rsidR="009B16E8" w:rsidRPr="00BE09C8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Dans le SGH, au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 du chapitre 2</w:t>
      </w:r>
      <w:r w:rsidR="00D90154" w:rsidRPr="00D90154">
        <w:rPr>
          <w:lang w:val="fr-FR"/>
        </w:rPr>
        <w:t>.</w:t>
      </w:r>
      <w:r>
        <w:rPr>
          <w:lang w:val="fr-FR"/>
        </w:rPr>
        <w:t>1,</w:t>
      </w:r>
    </w:p>
    <w:p w14:paraId="0BFFFA93" w14:textId="0BAEDE90" w:rsidR="009B16E8" w:rsidRPr="00BE09C8" w:rsidRDefault="009B16E8" w:rsidP="009B16E8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« Par </w:t>
      </w:r>
      <w:r>
        <w:rPr>
          <w:i/>
          <w:iCs/>
          <w:lang w:val="fr-FR"/>
        </w:rPr>
        <w:t>effet par explosion ou effet pyrotechnique</w:t>
      </w:r>
      <w:r>
        <w:rPr>
          <w:lang w:val="fr-FR"/>
        </w:rPr>
        <w:t xml:space="preserve"> au sens du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>1 c), on entend un effet produit par des réactions chimiques exothermiques auto-entretenues, y compris un effet de choc, de souffle, de fragmentation ou de projection ou un effet calorifique, lumineux, sonore, gazeux ou fumigène</w:t>
      </w:r>
      <w:r w:rsidR="00D90154" w:rsidRPr="00D90154">
        <w:rPr>
          <w:lang w:val="fr-FR"/>
        </w:rPr>
        <w:t>.</w:t>
      </w:r>
      <w:r>
        <w:rPr>
          <w:lang w:val="fr-FR"/>
        </w:rPr>
        <w:t> »</w:t>
      </w:r>
      <w:r w:rsidR="00D90154" w:rsidRPr="00D90154">
        <w:rPr>
          <w:lang w:val="fr-FR"/>
        </w:rPr>
        <w:t>.</w:t>
      </w:r>
    </w:p>
    <w:p w14:paraId="763C9A10" w14:textId="68D0EE65" w:rsidR="009B16E8" w:rsidRPr="00BE09C8" w:rsidRDefault="009B16E8" w:rsidP="009B16E8">
      <w:pPr>
        <w:pStyle w:val="SingleTxtG"/>
        <w:jc w:val="left"/>
        <w:rPr>
          <w:lang w:val="fr-FR"/>
        </w:rPr>
      </w:pPr>
      <w:r>
        <w:rPr>
          <w:lang w:val="fr-FR"/>
        </w:rPr>
        <w:t>4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Ces propositions ont été adoptées par le Sous-Comité TMD à sa soixante et unième session et par le Sous-Comité SGH à sa quarante-troisième session (voir le paragraphe 18 du document ST/SG/AC</w:t>
      </w:r>
      <w:r w:rsidR="00D90154" w:rsidRPr="00D90154">
        <w:rPr>
          <w:lang w:val="fr-FR"/>
        </w:rPr>
        <w:t>.</w:t>
      </w:r>
      <w:r>
        <w:rPr>
          <w:lang w:val="fr-FR"/>
        </w:rPr>
        <w:t>10/C</w:t>
      </w:r>
      <w:r w:rsidR="00D90154" w:rsidRPr="00D90154">
        <w:rPr>
          <w:lang w:val="fr-FR"/>
        </w:rPr>
        <w:t>.</w:t>
      </w:r>
      <w:r>
        <w:rPr>
          <w:lang w:val="fr-FR"/>
        </w:rPr>
        <w:t>3/122</w:t>
      </w:r>
      <w:r w:rsidRPr="00DC75EF">
        <w:rPr>
          <w:rStyle w:val="Appelnotedebasdep"/>
        </w:rPr>
        <w:footnoteReference w:id="3"/>
      </w:r>
      <w:r>
        <w:rPr>
          <w:lang w:val="fr-FR"/>
        </w:rPr>
        <w:t xml:space="preserve"> et le paragraphe 9 du document ST/SG/AC</w:t>
      </w:r>
      <w:r w:rsidR="00D90154" w:rsidRPr="00D90154">
        <w:rPr>
          <w:lang w:val="fr-FR"/>
        </w:rPr>
        <w:t>.</w:t>
      </w:r>
      <w:r>
        <w:rPr>
          <w:lang w:val="fr-FR"/>
        </w:rPr>
        <w:t>10/C</w:t>
      </w:r>
      <w:r w:rsidR="00D90154" w:rsidRPr="00D90154">
        <w:rPr>
          <w:lang w:val="fr-FR"/>
        </w:rPr>
        <w:t>.</w:t>
      </w:r>
      <w:r>
        <w:rPr>
          <w:lang w:val="fr-FR"/>
        </w:rPr>
        <w:t>4/86</w:t>
      </w:r>
      <w:r w:rsidRPr="00DC75EF">
        <w:rPr>
          <w:rStyle w:val="Appelnotedebasdep"/>
        </w:rPr>
        <w:footnoteReference w:id="4"/>
      </w:r>
      <w:r w:rsidR="005A76CC">
        <w:rPr>
          <w:lang w:val="fr-FR"/>
        </w:rPr>
        <w:t>)</w:t>
      </w:r>
      <w:r w:rsidR="00D90154" w:rsidRPr="00D90154">
        <w:rPr>
          <w:lang w:val="fr-FR"/>
        </w:rPr>
        <w:t>.</w:t>
      </w:r>
    </w:p>
    <w:p w14:paraId="0DEF4EA7" w14:textId="32AA1A58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5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Toutefois, telle qu’adoptée, la définition d’« effet par explosion ou effet pyrotechnique » ne peut s’appliquer qu’aux cas particuliers visés aux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 c) du Règlement type et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>1 c) du SGH</w:t>
      </w:r>
      <w:r w:rsidR="00D90154" w:rsidRPr="00D90154">
        <w:rPr>
          <w:lang w:val="fr-FR"/>
        </w:rPr>
        <w:t>.</w:t>
      </w:r>
      <w:r>
        <w:rPr>
          <w:lang w:val="fr-FR"/>
        </w:rPr>
        <w:t xml:space="preserve"> Autrement dit, elle ne s’applique pas à l’expression « effet par explosion ou effet pyrotechnique » (« effet explosible ou pyrotechnique ») figurant ailleurs dans le Règlement type et le SGH</w:t>
      </w:r>
      <w:r w:rsidR="00D90154" w:rsidRPr="00D90154">
        <w:rPr>
          <w:lang w:val="fr-FR"/>
        </w:rPr>
        <w:t>.</w:t>
      </w:r>
      <w:r>
        <w:rPr>
          <w:lang w:val="fr-FR"/>
        </w:rPr>
        <w:t xml:space="preserve"> L’inconvénient de cette définition limitée est donc que la même expression pourrait être interprétée différemment dans d’autres dispositions du Règlement type et du SGH</w:t>
      </w:r>
      <w:r w:rsidR="00D90154" w:rsidRPr="00D90154">
        <w:rPr>
          <w:lang w:val="fr-FR"/>
        </w:rPr>
        <w:t>.</w:t>
      </w:r>
    </w:p>
    <w:p w14:paraId="30A91371" w14:textId="0F6A9768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6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 xml:space="preserve">Il ressort d’un passage en revue du Règlement type et du SGH que l’expression « effet par explosion ou effet pyrotechnique » (« effet explosible ou pyrotechnique ») y est également employée à plusieurs autres endroits, à savoir : </w:t>
      </w:r>
    </w:p>
    <w:p w14:paraId="615BA76C" w14:textId="4668C6AB" w:rsidR="009B16E8" w:rsidRPr="00BE09C8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Au 2</w:t>
      </w:r>
      <w:r w:rsidR="00D90154" w:rsidRPr="00D90154">
        <w:rPr>
          <w:lang w:val="fr-FR"/>
        </w:rPr>
        <w:t>.</w:t>
      </w:r>
      <w:r>
        <w:rPr>
          <w:lang w:val="fr-FR"/>
        </w:rPr>
        <w:t>0</w:t>
      </w:r>
      <w:r w:rsidR="00D90154" w:rsidRPr="00D90154">
        <w:rPr>
          <w:lang w:val="fr-FR"/>
        </w:rPr>
        <w:t>.</w:t>
      </w:r>
      <w:r>
        <w:rPr>
          <w:lang w:val="fr-FR"/>
        </w:rPr>
        <w:t>4</w:t>
      </w:r>
      <w:r w:rsidR="00D90154" w:rsidRPr="00D90154">
        <w:rPr>
          <w:lang w:val="fr-FR"/>
        </w:rPr>
        <w:t>.</w:t>
      </w:r>
      <w:r>
        <w:rPr>
          <w:lang w:val="fr-FR"/>
        </w:rPr>
        <w:t>3</w:t>
      </w:r>
      <w:r w:rsidR="00D90154" w:rsidRPr="00D90154">
        <w:rPr>
          <w:lang w:val="fr-FR"/>
        </w:rPr>
        <w:t>.</w:t>
      </w:r>
      <w:r>
        <w:rPr>
          <w:lang w:val="fr-FR"/>
        </w:rPr>
        <w:t>1 a) du Règlement type ;</w:t>
      </w:r>
    </w:p>
    <w:p w14:paraId="1432BE1E" w14:textId="31666F34" w:rsidR="009B16E8" w:rsidRPr="00184F03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Au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3</w:t>
      </w:r>
      <w:r w:rsidR="00D90154" w:rsidRPr="00D90154">
        <w:rPr>
          <w:lang w:val="fr-FR"/>
        </w:rPr>
        <w:t>.</w:t>
      </w:r>
      <w:r>
        <w:rPr>
          <w:lang w:val="fr-FR"/>
        </w:rPr>
        <w:t>3</w:t>
      </w:r>
      <w:r w:rsidR="00D90154" w:rsidRPr="00D90154">
        <w:rPr>
          <w:lang w:val="fr-FR"/>
        </w:rPr>
        <w:t>.</w:t>
      </w:r>
      <w:r>
        <w:rPr>
          <w:lang w:val="fr-FR"/>
        </w:rPr>
        <w:t>1 du Règlement type ;</w:t>
      </w:r>
    </w:p>
    <w:p w14:paraId="79B43D3E" w14:textId="08955214" w:rsidR="009B16E8" w:rsidRPr="00BE09C8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Au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>2 c) et au nota i) du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>2 c) du SGH ;</w:t>
      </w:r>
    </w:p>
    <w:p w14:paraId="129E6425" w14:textId="2B6752AF" w:rsidR="009B16E8" w:rsidRPr="00BE09C8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Au tableau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 du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>1 du SGH ;</w:t>
      </w:r>
    </w:p>
    <w:p w14:paraId="61749337" w14:textId="40BA7BDE" w:rsidR="009B16E8" w:rsidRPr="00BE09C8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Dans le diagramme de décision 2</w:t>
      </w:r>
      <w:r w:rsidR="00D90154" w:rsidRPr="00D90154">
        <w:rPr>
          <w:lang w:val="fr-FR"/>
        </w:rPr>
        <w:t>.</w:t>
      </w:r>
      <w:r>
        <w:rPr>
          <w:lang w:val="fr-FR"/>
        </w:rPr>
        <w:t>1 a) du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4</w:t>
      </w:r>
      <w:r w:rsidR="00D90154" w:rsidRPr="00D90154">
        <w:rPr>
          <w:lang w:val="fr-FR"/>
        </w:rPr>
        <w:t>.</w:t>
      </w:r>
      <w:r>
        <w:rPr>
          <w:lang w:val="fr-FR"/>
        </w:rPr>
        <w:t>1 du SGH ;</w:t>
      </w:r>
    </w:p>
    <w:p w14:paraId="50409286" w14:textId="4FE5061F" w:rsidR="009B16E8" w:rsidRPr="00184F03" w:rsidRDefault="009B16E8" w:rsidP="009B16E8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Au 2</w:t>
      </w:r>
      <w:r w:rsidR="00D90154" w:rsidRPr="00D90154">
        <w:rPr>
          <w:lang w:val="fr-FR"/>
        </w:rPr>
        <w:t>.</w:t>
      </w:r>
      <w:r>
        <w:rPr>
          <w:lang w:val="fr-FR"/>
        </w:rPr>
        <w:t>17</w:t>
      </w:r>
      <w:r w:rsidR="00D90154" w:rsidRPr="00D90154">
        <w:rPr>
          <w:lang w:val="fr-FR"/>
        </w:rPr>
        <w:t>.</w:t>
      </w: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>1 a) du SGH</w:t>
      </w:r>
      <w:r w:rsidR="00D90154" w:rsidRPr="00D90154">
        <w:rPr>
          <w:lang w:val="fr-FR"/>
        </w:rPr>
        <w:t>.</w:t>
      </w:r>
    </w:p>
    <w:p w14:paraId="58420DF2" w14:textId="3B6E8D97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7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En outre, une analyse du sens conféré à l’expression pour toutes ces occurrences a révélé que la définition y correspondait systématiquement aussi bien dans le Règlement type que dans le SGH</w:t>
      </w:r>
      <w:r w:rsidR="00D90154" w:rsidRPr="00D90154">
        <w:rPr>
          <w:lang w:val="fr-FR"/>
        </w:rPr>
        <w:t>.</w:t>
      </w:r>
    </w:p>
    <w:p w14:paraId="791DF2FF" w14:textId="216849A1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8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L’emploi de l’expression dans le Manuel d’épreuves et de critères (</w:t>
      </w:r>
      <w:r w:rsidRPr="00EA07A3">
        <w:rPr>
          <w:lang w:val="fr-FR"/>
        </w:rPr>
        <w:t xml:space="preserve">« effet </w:t>
      </w:r>
      <w:r>
        <w:rPr>
          <w:lang w:val="fr-FR"/>
        </w:rPr>
        <w:t>explosif</w:t>
      </w:r>
      <w:r w:rsidRPr="00EA07A3">
        <w:rPr>
          <w:lang w:val="fr-FR"/>
        </w:rPr>
        <w:t xml:space="preserve"> ou</w:t>
      </w:r>
      <w:r>
        <w:rPr>
          <w:lang w:val="fr-FR"/>
        </w:rPr>
        <w:t xml:space="preserve"> py</w:t>
      </w:r>
      <w:r w:rsidRPr="00EA07A3">
        <w:rPr>
          <w:lang w:val="fr-FR"/>
        </w:rPr>
        <w:t>rotechnique »</w:t>
      </w:r>
      <w:r>
        <w:rPr>
          <w:lang w:val="fr-FR"/>
        </w:rPr>
        <w:t>)</w:t>
      </w:r>
      <w:r w:rsidRPr="00EA07A3">
        <w:rPr>
          <w:lang w:val="fr-FR"/>
        </w:rPr>
        <w:t xml:space="preserve"> </w:t>
      </w:r>
      <w:r>
        <w:rPr>
          <w:lang w:val="fr-FR"/>
        </w:rPr>
        <w:t>a également été examiné</w:t>
      </w:r>
      <w:r w:rsidR="00D90154" w:rsidRPr="00D90154">
        <w:rPr>
          <w:lang w:val="fr-FR"/>
        </w:rPr>
        <w:t>.</w:t>
      </w:r>
      <w:r>
        <w:rPr>
          <w:lang w:val="fr-FR"/>
        </w:rPr>
        <w:t xml:space="preserve"> Selon l’expert de la Suède, la définition donnée à l’expression « effet par explosion ou effet pyrotechnique » s’appliquerait également à la trentaine d’occurrences recensées</w:t>
      </w:r>
      <w:r w:rsidR="00D90154" w:rsidRPr="00D90154">
        <w:rPr>
          <w:lang w:val="fr-FR"/>
        </w:rPr>
        <w:t>.</w:t>
      </w:r>
    </w:p>
    <w:p w14:paraId="0D002B08" w14:textId="6BB229FD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9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Il n’est donc pas nécessaire de limiter le champ d’application de la définition d’« effet par explosion ou effet pyrotechnique » à un contexte précis, étant donné qu’elle s’applique à toutes les occurrences de cette expression dans le Règlement type et le SGH, ainsi que dans le Manuel d’épreuves et de critères</w:t>
      </w:r>
      <w:r w:rsidR="00D90154" w:rsidRPr="00D90154">
        <w:rPr>
          <w:lang w:val="fr-FR"/>
        </w:rPr>
        <w:t>.</w:t>
      </w:r>
    </w:p>
    <w:p w14:paraId="5A7F9843" w14:textId="77777777" w:rsidR="009B16E8" w:rsidRPr="00BE09C8" w:rsidRDefault="009B16E8" w:rsidP="005A76CC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Propositions</w:t>
      </w:r>
    </w:p>
    <w:p w14:paraId="6C0131AE" w14:textId="789A2BE7" w:rsidR="009B16E8" w:rsidRPr="00BE09C8" w:rsidRDefault="009B16E8" w:rsidP="005A76CC">
      <w:pPr>
        <w:pStyle w:val="SingleTxtG"/>
        <w:rPr>
          <w:lang w:val="fr-FR"/>
        </w:rPr>
      </w:pPr>
      <w:r>
        <w:rPr>
          <w:lang w:val="fr-FR"/>
        </w:rPr>
        <w:t>10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L’expert de la Suède propose que le Groupe de travail des explosifs se penche sur cette question en vue de déterminer si la définition de l’expression « effet par explosion ou effet pyrotechnique » ne devrait être appliquée que dans un contexte particulier ou si elle peut être utilisée dans l’ensemble du Règlement type et du SGH ainsi que du Manuel d’épreuves et de critères</w:t>
      </w:r>
      <w:r w:rsidR="00D90154" w:rsidRPr="00D90154">
        <w:rPr>
          <w:lang w:val="fr-FR"/>
        </w:rPr>
        <w:t>.</w:t>
      </w:r>
    </w:p>
    <w:p w14:paraId="04DBDD45" w14:textId="72AEF216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11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Dans le cas où le Groupe de travail des explosifs conclurait qu’il n’est pas nécessaire de limiter l’application de la définition à un certain contexte, le Sous-Comité serait invité à envisager d’apporter les modifications suivantes (les suppressions figurent en caractères gras et biffés)</w:t>
      </w:r>
      <w:r w:rsidR="00D90154" w:rsidRPr="00D90154">
        <w:rPr>
          <w:lang w:val="fr-FR"/>
        </w:rPr>
        <w:t>.</w:t>
      </w:r>
    </w:p>
    <w:p w14:paraId="01C459B1" w14:textId="77777777" w:rsidR="009B16E8" w:rsidRPr="00BE09C8" w:rsidRDefault="009B16E8" w:rsidP="009B16E8">
      <w:pPr>
        <w:pStyle w:val="SingleTxtG"/>
        <w:rPr>
          <w:b/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Proposition 1A</w:t>
      </w:r>
    </w:p>
    <w:p w14:paraId="64B18290" w14:textId="369001C3" w:rsidR="009B16E8" w:rsidRPr="00BE09C8" w:rsidRDefault="009B16E8" w:rsidP="009B16E8">
      <w:pPr>
        <w:pStyle w:val="SingleTxtG"/>
        <w:ind w:left="1701"/>
        <w:rPr>
          <w:lang w:val="fr-FR"/>
        </w:rPr>
      </w:pPr>
      <w:r>
        <w:rPr>
          <w:lang w:val="fr-FR"/>
        </w:rPr>
        <w:t>Au 2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1</w:t>
      </w:r>
      <w:r w:rsidR="00D90154" w:rsidRPr="00D90154">
        <w:rPr>
          <w:lang w:val="fr-FR"/>
        </w:rPr>
        <w:t>.</w:t>
      </w:r>
      <w:r>
        <w:rPr>
          <w:lang w:val="fr-FR"/>
        </w:rPr>
        <w:t>3 e) du chapitre 2</w:t>
      </w:r>
      <w:r w:rsidR="00D90154" w:rsidRPr="00D90154">
        <w:rPr>
          <w:lang w:val="fr-FR"/>
        </w:rPr>
        <w:t>.</w:t>
      </w:r>
      <w:r>
        <w:rPr>
          <w:lang w:val="fr-FR"/>
        </w:rPr>
        <w:t>1 du Règlement type, m</w:t>
      </w:r>
      <w:r w:rsidRPr="000F1EFF">
        <w:rPr>
          <w:lang w:val="fr-FR"/>
        </w:rPr>
        <w:t>odifier la définition d</w:t>
      </w:r>
      <w:r>
        <w:rPr>
          <w:lang w:val="fr-FR"/>
        </w:rPr>
        <w:t>’</w:t>
      </w:r>
      <w:r w:rsidRPr="000F1EFF">
        <w:rPr>
          <w:lang w:val="fr-FR"/>
        </w:rPr>
        <w:t xml:space="preserve">« effet par explosion ou effet pyrotechnique » </w:t>
      </w:r>
      <w:r>
        <w:rPr>
          <w:lang w:val="fr-FR"/>
        </w:rPr>
        <w:t>comme suit :</w:t>
      </w:r>
    </w:p>
    <w:p w14:paraId="08EAAF0D" w14:textId="612A08CF" w:rsidR="009B16E8" w:rsidRPr="00BE09C8" w:rsidRDefault="005A76CC" w:rsidP="009B16E8">
      <w:pPr>
        <w:pStyle w:val="SingleTxtG"/>
        <w:ind w:left="1701"/>
        <w:rPr>
          <w:lang w:val="fr-FR"/>
        </w:rPr>
      </w:pPr>
      <w:r w:rsidRPr="005A76CC">
        <w:rPr>
          <w:lang w:val="fr-FR"/>
        </w:rPr>
        <w:t>« </w:t>
      </w:r>
      <w:r w:rsidR="009B16E8">
        <w:rPr>
          <w:i/>
          <w:iCs/>
          <w:lang w:val="fr-FR"/>
        </w:rPr>
        <w:t>e)</w:t>
      </w:r>
      <w:r w:rsidR="009B16E8">
        <w:rPr>
          <w:lang w:val="fr-FR"/>
        </w:rPr>
        <w:tab/>
      </w:r>
      <w:r w:rsidR="009B16E8">
        <w:rPr>
          <w:i/>
          <w:iCs/>
          <w:lang w:val="fr-FR"/>
        </w:rPr>
        <w:t xml:space="preserve">Effet par explosion ou effet pyrotechnique </w:t>
      </w:r>
      <w:r w:rsidR="009B16E8">
        <w:rPr>
          <w:b/>
          <w:bCs/>
          <w:strike/>
          <w:lang w:val="fr-FR"/>
        </w:rPr>
        <w:t>au sens du 2</w:t>
      </w:r>
      <w:r w:rsidR="00D90154" w:rsidRPr="00D90154">
        <w:rPr>
          <w:b/>
          <w:bCs/>
          <w:strike/>
          <w:lang w:val="fr-FR"/>
        </w:rPr>
        <w:t>.</w:t>
      </w:r>
      <w:r w:rsidR="009B16E8">
        <w:rPr>
          <w:b/>
          <w:bCs/>
          <w:strike/>
          <w:lang w:val="fr-FR"/>
        </w:rPr>
        <w:t>1</w:t>
      </w:r>
      <w:r w:rsidR="00D90154" w:rsidRPr="00D90154">
        <w:rPr>
          <w:b/>
          <w:bCs/>
          <w:strike/>
          <w:lang w:val="fr-FR"/>
        </w:rPr>
        <w:t>.</w:t>
      </w:r>
      <w:r w:rsidR="009B16E8">
        <w:rPr>
          <w:b/>
          <w:bCs/>
          <w:strike/>
          <w:lang w:val="fr-FR"/>
        </w:rPr>
        <w:t>1</w:t>
      </w:r>
      <w:r w:rsidR="00D90154" w:rsidRPr="00D90154">
        <w:rPr>
          <w:b/>
          <w:bCs/>
          <w:strike/>
          <w:lang w:val="fr-FR"/>
        </w:rPr>
        <w:t>.</w:t>
      </w:r>
      <w:r w:rsidR="009B16E8">
        <w:rPr>
          <w:b/>
          <w:bCs/>
          <w:strike/>
          <w:lang w:val="fr-FR"/>
        </w:rPr>
        <w:t>1 c)</w:t>
      </w:r>
      <w:r w:rsidR="009B16E8">
        <w:rPr>
          <w:lang w:val="fr-FR"/>
        </w:rPr>
        <w:t xml:space="preserve"> : un effet produit par des réactions chimiques exothermiques auto-entretenues, y compris un effet de choc, de souffle, de fragmentation ou de projection ou un effet calorifique, lumineux, sonore, gazeux ou fumigène</w:t>
      </w:r>
      <w:r w:rsidR="00D90154" w:rsidRPr="00D90154">
        <w:rPr>
          <w:lang w:val="fr-FR"/>
        </w:rPr>
        <w:t>.</w:t>
      </w:r>
      <w:r w:rsidR="009B16E8">
        <w:rPr>
          <w:lang w:val="fr-FR"/>
        </w:rPr>
        <w:t> »</w:t>
      </w:r>
      <w:r w:rsidR="00D90154" w:rsidRPr="00D90154">
        <w:rPr>
          <w:lang w:val="fr-FR"/>
        </w:rPr>
        <w:t>.</w:t>
      </w:r>
    </w:p>
    <w:p w14:paraId="2E4A3CF2" w14:textId="77777777" w:rsidR="009B16E8" w:rsidRPr="00BE09C8" w:rsidRDefault="009B16E8" w:rsidP="009B16E8">
      <w:pPr>
        <w:pStyle w:val="SingleTxtG"/>
        <w:ind w:left="1701"/>
        <w:rPr>
          <w:lang w:val="fr-FR"/>
        </w:rPr>
      </w:pPr>
      <w:r>
        <w:rPr>
          <w:b/>
          <w:bCs/>
          <w:lang w:val="fr-FR"/>
        </w:rPr>
        <w:t>Proposition 1B</w:t>
      </w:r>
    </w:p>
    <w:p w14:paraId="7110E4BB" w14:textId="4B789C29" w:rsidR="009B16E8" w:rsidRPr="00BE09C8" w:rsidRDefault="009B16E8" w:rsidP="009B16E8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En conséquence, </w:t>
      </w:r>
      <w:r w:rsidRPr="000F1EFF">
        <w:rPr>
          <w:lang w:val="fr-FR"/>
        </w:rPr>
        <w:t>au 2</w:t>
      </w:r>
      <w:r w:rsidR="00D90154" w:rsidRPr="00D90154">
        <w:rPr>
          <w:lang w:val="fr-FR"/>
        </w:rPr>
        <w:t>.</w:t>
      </w:r>
      <w:r w:rsidRPr="000F1EFF">
        <w:rPr>
          <w:lang w:val="fr-FR"/>
        </w:rPr>
        <w:t>1</w:t>
      </w:r>
      <w:r w:rsidR="00D90154" w:rsidRPr="00D90154">
        <w:rPr>
          <w:lang w:val="fr-FR"/>
        </w:rPr>
        <w:t>.</w:t>
      </w:r>
      <w:r w:rsidRPr="000F1EFF">
        <w:rPr>
          <w:lang w:val="fr-FR"/>
        </w:rPr>
        <w:t>1</w:t>
      </w:r>
      <w:r w:rsidR="00D90154" w:rsidRPr="00D90154">
        <w:rPr>
          <w:lang w:val="fr-FR"/>
        </w:rPr>
        <w:t>.</w:t>
      </w:r>
      <w:r w:rsidRPr="000F1EFF">
        <w:rPr>
          <w:lang w:val="fr-FR"/>
        </w:rPr>
        <w:t>1 du chapitre 2</w:t>
      </w:r>
      <w:r w:rsidR="00D90154" w:rsidRPr="00D90154">
        <w:rPr>
          <w:lang w:val="fr-FR"/>
        </w:rPr>
        <w:t>.</w:t>
      </w:r>
      <w:r w:rsidRPr="000F1EFF">
        <w:rPr>
          <w:lang w:val="fr-FR"/>
        </w:rPr>
        <w:t>1 du SGH</w:t>
      </w:r>
      <w:r>
        <w:rPr>
          <w:lang w:val="fr-FR"/>
        </w:rPr>
        <w:t>,</w:t>
      </w:r>
      <w:r w:rsidRPr="000F1EFF">
        <w:rPr>
          <w:lang w:val="fr-FR"/>
        </w:rPr>
        <w:t xml:space="preserve"> </w:t>
      </w:r>
      <w:r>
        <w:rPr>
          <w:lang w:val="fr-FR"/>
        </w:rPr>
        <w:t>modifier la définition d’« effet par explosion ou effet pyrotechnique » comme suit :</w:t>
      </w:r>
    </w:p>
    <w:p w14:paraId="3023CB74" w14:textId="635D1FAB" w:rsidR="009B16E8" w:rsidRPr="00BE09C8" w:rsidRDefault="009B16E8" w:rsidP="009B16E8">
      <w:pPr>
        <w:pStyle w:val="SingleTxtG"/>
        <w:ind w:left="1701"/>
        <w:rPr>
          <w:lang w:val="fr-FR"/>
        </w:rPr>
      </w:pPr>
      <w:r>
        <w:rPr>
          <w:lang w:val="fr-FR"/>
        </w:rPr>
        <w:t>« Par e</w:t>
      </w:r>
      <w:r>
        <w:rPr>
          <w:i/>
          <w:iCs/>
          <w:lang w:val="fr-FR"/>
        </w:rPr>
        <w:t>ffet par explosion ou effet pyrotechnique</w:t>
      </w:r>
      <w:r>
        <w:rPr>
          <w:lang w:val="fr-FR"/>
        </w:rPr>
        <w:t xml:space="preserve"> </w:t>
      </w:r>
      <w:r>
        <w:rPr>
          <w:b/>
          <w:bCs/>
          <w:strike/>
          <w:lang w:val="fr-FR"/>
        </w:rPr>
        <w:t>au sens du 2</w:t>
      </w:r>
      <w:r w:rsidR="00D90154" w:rsidRPr="00D90154">
        <w:rPr>
          <w:b/>
          <w:bCs/>
          <w:strike/>
          <w:lang w:val="fr-FR"/>
        </w:rPr>
        <w:t>.</w:t>
      </w:r>
      <w:r>
        <w:rPr>
          <w:b/>
          <w:bCs/>
          <w:strike/>
          <w:lang w:val="fr-FR"/>
        </w:rPr>
        <w:t>1</w:t>
      </w:r>
      <w:r w:rsidR="00D90154" w:rsidRPr="00D90154">
        <w:rPr>
          <w:b/>
          <w:bCs/>
          <w:strike/>
          <w:lang w:val="fr-FR"/>
        </w:rPr>
        <w:t>.</w:t>
      </w:r>
      <w:r>
        <w:rPr>
          <w:b/>
          <w:bCs/>
          <w:strike/>
          <w:lang w:val="fr-FR"/>
        </w:rPr>
        <w:t>1</w:t>
      </w:r>
      <w:r w:rsidR="00D90154" w:rsidRPr="00D90154">
        <w:rPr>
          <w:b/>
          <w:bCs/>
          <w:strike/>
          <w:lang w:val="fr-FR"/>
        </w:rPr>
        <w:t>.</w:t>
      </w:r>
      <w:r>
        <w:rPr>
          <w:b/>
          <w:bCs/>
          <w:strike/>
          <w:lang w:val="fr-FR"/>
        </w:rPr>
        <w:t>2</w:t>
      </w:r>
      <w:r w:rsidR="00D90154" w:rsidRPr="00D90154">
        <w:rPr>
          <w:b/>
          <w:bCs/>
          <w:strike/>
          <w:lang w:val="fr-FR"/>
        </w:rPr>
        <w:t>.</w:t>
      </w:r>
      <w:r>
        <w:rPr>
          <w:b/>
          <w:bCs/>
          <w:strike/>
          <w:lang w:val="fr-FR"/>
        </w:rPr>
        <w:t>1 c)</w:t>
      </w:r>
      <w:r w:rsidRPr="00DC75EF">
        <w:rPr>
          <w:lang w:val="fr-FR"/>
        </w:rPr>
        <w:t>,</w:t>
      </w:r>
      <w:r>
        <w:rPr>
          <w:lang w:val="fr-FR"/>
        </w:rPr>
        <w:t xml:space="preserve"> on entend un effet produit par des réactions chimiques exothermiques auto-entretenues, y compris un effet de choc, de souffle, de fragmentation ou de projection ou un effet calorifique, lumineux, sonore, gazeux ou fumigène</w:t>
      </w:r>
      <w:r w:rsidR="00D90154" w:rsidRPr="00D90154">
        <w:rPr>
          <w:lang w:val="fr-FR"/>
        </w:rPr>
        <w:t>.</w:t>
      </w:r>
      <w:r>
        <w:rPr>
          <w:lang w:val="fr-FR"/>
        </w:rPr>
        <w:t> »</w:t>
      </w:r>
      <w:r w:rsidR="005A76CC">
        <w:rPr>
          <w:lang w:val="fr-FR"/>
        </w:rPr>
        <w:t>.</w:t>
      </w:r>
    </w:p>
    <w:p w14:paraId="6840DBCF" w14:textId="1E0C9E1B" w:rsidR="009B16E8" w:rsidRPr="00BE09C8" w:rsidRDefault="009B16E8" w:rsidP="009B16E8">
      <w:pPr>
        <w:pStyle w:val="SingleTxtG"/>
        <w:rPr>
          <w:lang w:val="fr-FR"/>
        </w:rPr>
      </w:pPr>
      <w:r>
        <w:rPr>
          <w:lang w:val="fr-FR"/>
        </w:rPr>
        <w:t>12</w:t>
      </w:r>
      <w:r w:rsidR="00D90154" w:rsidRPr="00D90154">
        <w:rPr>
          <w:lang w:val="fr-FR"/>
        </w:rPr>
        <w:t>.</w:t>
      </w:r>
      <w:r>
        <w:rPr>
          <w:lang w:val="fr-FR"/>
        </w:rPr>
        <w:tab/>
        <w:t>Pour faciliter l’emploi de cette expression dans d’autres dispositions du Règlement type et du SGH, il pourrait également être envisagé d’ajouter des notas renvoyant à la définition qui figure au chapitre 2</w:t>
      </w:r>
      <w:r w:rsidR="00D90154" w:rsidRPr="00D90154">
        <w:rPr>
          <w:lang w:val="fr-FR"/>
        </w:rPr>
        <w:t>.</w:t>
      </w:r>
      <w:r>
        <w:rPr>
          <w:lang w:val="fr-FR"/>
        </w:rPr>
        <w:t>1 de ces deux documents, libellés comme suit :</w:t>
      </w:r>
    </w:p>
    <w:p w14:paraId="1B3D76A8" w14:textId="77777777" w:rsidR="009B16E8" w:rsidRPr="00BE09C8" w:rsidRDefault="009B16E8" w:rsidP="009B16E8">
      <w:pPr>
        <w:pStyle w:val="SingleTxtG"/>
        <w:ind w:left="1701"/>
        <w:rPr>
          <w:lang w:val="fr-FR"/>
        </w:rPr>
      </w:pPr>
      <w:r>
        <w:rPr>
          <w:b/>
          <w:bCs/>
          <w:lang w:val="fr-FR"/>
        </w:rPr>
        <w:t>Proposition 2A</w:t>
      </w:r>
      <w:r>
        <w:rPr>
          <w:lang w:val="fr-FR"/>
        </w:rPr>
        <w:t xml:space="preserve"> </w:t>
      </w:r>
    </w:p>
    <w:p w14:paraId="1FFDD86F" w14:textId="0BD426B3" w:rsidR="009B16E8" w:rsidRPr="00BE09C8" w:rsidRDefault="009B16E8" w:rsidP="009B16E8">
      <w:pPr>
        <w:pStyle w:val="SingleTxtG"/>
        <w:ind w:left="1701"/>
        <w:rPr>
          <w:lang w:val="fr-FR"/>
        </w:rPr>
      </w:pPr>
      <w:r>
        <w:rPr>
          <w:lang w:val="fr-FR"/>
        </w:rPr>
        <w:t>Ajouter un nota au 2</w:t>
      </w:r>
      <w:r w:rsidR="00D90154" w:rsidRPr="00D90154">
        <w:rPr>
          <w:lang w:val="fr-FR"/>
        </w:rPr>
        <w:t>.</w:t>
      </w:r>
      <w:r>
        <w:rPr>
          <w:lang w:val="fr-FR"/>
        </w:rPr>
        <w:t>0</w:t>
      </w:r>
      <w:r w:rsidR="00D90154" w:rsidRPr="00D90154">
        <w:rPr>
          <w:lang w:val="fr-FR"/>
        </w:rPr>
        <w:t>.</w:t>
      </w:r>
      <w:r>
        <w:rPr>
          <w:lang w:val="fr-FR"/>
        </w:rPr>
        <w:t>4</w:t>
      </w:r>
      <w:r w:rsidR="00D90154" w:rsidRPr="00D90154">
        <w:rPr>
          <w:lang w:val="fr-FR"/>
        </w:rPr>
        <w:t>.</w:t>
      </w:r>
      <w:r>
        <w:rPr>
          <w:lang w:val="fr-FR"/>
        </w:rPr>
        <w:t>3</w:t>
      </w:r>
      <w:r w:rsidR="00D90154" w:rsidRPr="00D90154">
        <w:rPr>
          <w:lang w:val="fr-FR"/>
        </w:rPr>
        <w:t>.</w:t>
      </w:r>
      <w:r>
        <w:rPr>
          <w:lang w:val="fr-FR"/>
        </w:rPr>
        <w:t>1 du chapitre 2</w:t>
      </w:r>
      <w:r w:rsidR="00D90154" w:rsidRPr="00D90154">
        <w:rPr>
          <w:lang w:val="fr-FR"/>
        </w:rPr>
        <w:t>.</w:t>
      </w:r>
      <w:r>
        <w:rPr>
          <w:lang w:val="fr-FR"/>
        </w:rPr>
        <w:t>0 du Règlement type, libellé comme suit :</w:t>
      </w:r>
    </w:p>
    <w:p w14:paraId="6864E626" w14:textId="57FEEB89" w:rsidR="009B16E8" w:rsidRPr="00BE09C8" w:rsidRDefault="009B16E8" w:rsidP="009B16E8">
      <w:pPr>
        <w:pStyle w:val="SingleTxtG"/>
        <w:ind w:left="1701"/>
        <w:rPr>
          <w:i/>
          <w:lang w:val="fr-FR"/>
        </w:rPr>
      </w:pPr>
      <w:r w:rsidRPr="005A76CC">
        <w:rPr>
          <w:lang w:val="fr-FR"/>
        </w:rPr>
        <w:t>« </w:t>
      </w:r>
      <w:r>
        <w:rPr>
          <w:b/>
          <w:bCs/>
          <w:i/>
          <w:iCs/>
          <w:lang w:val="fr-FR"/>
        </w:rPr>
        <w:t>NOTA</w:t>
      </w:r>
      <w:r>
        <w:rPr>
          <w:i/>
          <w:iCs/>
          <w:lang w:val="fr-FR"/>
        </w:rPr>
        <w:t xml:space="preserve"> : Voir le 2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3 e) du chapitre 2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1 pour la définition d’effet par explosion ou effet pyrotechnique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 </w:t>
      </w:r>
      <w:r w:rsidRPr="005A76CC">
        <w:rPr>
          <w:lang w:val="fr-FR"/>
        </w:rPr>
        <w:t>»</w:t>
      </w:r>
      <w:r w:rsidR="00D90154" w:rsidRPr="00D90154">
        <w:rPr>
          <w:lang w:val="fr-FR"/>
        </w:rPr>
        <w:t>.</w:t>
      </w:r>
    </w:p>
    <w:p w14:paraId="01DE391E" w14:textId="77777777" w:rsidR="009B16E8" w:rsidRPr="00BE09C8" w:rsidRDefault="009B16E8" w:rsidP="009B16E8">
      <w:pPr>
        <w:pStyle w:val="SingleTxtG"/>
        <w:ind w:left="1701"/>
        <w:rPr>
          <w:b/>
          <w:lang w:val="fr-FR"/>
        </w:rPr>
      </w:pPr>
      <w:r>
        <w:rPr>
          <w:b/>
          <w:bCs/>
          <w:lang w:val="fr-FR"/>
        </w:rPr>
        <w:t>Proposition 2B</w:t>
      </w:r>
      <w:r>
        <w:rPr>
          <w:lang w:val="fr-FR"/>
        </w:rPr>
        <w:t xml:space="preserve"> </w:t>
      </w:r>
    </w:p>
    <w:p w14:paraId="4FD466D1" w14:textId="1BF87CFA" w:rsidR="009B16E8" w:rsidRDefault="009B16E8" w:rsidP="009B16E8">
      <w:pPr>
        <w:pStyle w:val="SingleTxtG"/>
        <w:ind w:left="1701"/>
        <w:rPr>
          <w:lang w:val="fr-FR"/>
        </w:rPr>
      </w:pPr>
      <w:r>
        <w:rPr>
          <w:lang w:val="fr-FR"/>
        </w:rPr>
        <w:t>Ajouter un nota au 2</w:t>
      </w:r>
      <w:r w:rsidR="00D90154" w:rsidRPr="00D90154">
        <w:rPr>
          <w:lang w:val="fr-FR"/>
        </w:rPr>
        <w:t>.</w:t>
      </w:r>
      <w:r>
        <w:rPr>
          <w:lang w:val="fr-FR"/>
        </w:rPr>
        <w:t>17</w:t>
      </w:r>
      <w:r w:rsidR="00D90154" w:rsidRPr="00D90154">
        <w:rPr>
          <w:lang w:val="fr-FR"/>
        </w:rPr>
        <w:t>.</w:t>
      </w:r>
      <w:r>
        <w:rPr>
          <w:lang w:val="fr-FR"/>
        </w:rPr>
        <w:t>2</w:t>
      </w:r>
      <w:r w:rsidR="00D90154" w:rsidRPr="00D90154">
        <w:rPr>
          <w:lang w:val="fr-FR"/>
        </w:rPr>
        <w:t>.</w:t>
      </w:r>
      <w:r>
        <w:rPr>
          <w:lang w:val="fr-FR"/>
        </w:rPr>
        <w:t>1 du chapitre 2</w:t>
      </w:r>
      <w:r w:rsidR="00D90154" w:rsidRPr="00D90154">
        <w:rPr>
          <w:lang w:val="fr-FR"/>
        </w:rPr>
        <w:t>.</w:t>
      </w:r>
      <w:r>
        <w:rPr>
          <w:lang w:val="fr-FR"/>
        </w:rPr>
        <w:t>17 du SGH, libellée comme suit :</w:t>
      </w:r>
    </w:p>
    <w:p w14:paraId="69A1BA2B" w14:textId="555745AF" w:rsidR="00415DF7" w:rsidRDefault="009B16E8" w:rsidP="009B16E8">
      <w:pPr>
        <w:pStyle w:val="SingleTxtG"/>
        <w:ind w:left="1701"/>
      </w:pPr>
      <w:r w:rsidRPr="005A76CC">
        <w:rPr>
          <w:lang w:val="fr-FR"/>
        </w:rPr>
        <w:t>« </w:t>
      </w:r>
      <w:r>
        <w:rPr>
          <w:b/>
          <w:bCs/>
          <w:i/>
          <w:iCs/>
          <w:lang w:val="fr-FR"/>
        </w:rPr>
        <w:t xml:space="preserve"> 3 </w:t>
      </w:r>
      <w:r>
        <w:rPr>
          <w:i/>
          <w:iCs/>
          <w:lang w:val="fr-FR"/>
        </w:rPr>
        <w:t>: Voir le 2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1 du chapitre 2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1 pour la définition d’effet par explosion ou effet pyrotechnique</w:t>
      </w:r>
      <w:r w:rsidR="00D90154" w:rsidRPr="00D90154">
        <w:rPr>
          <w:i/>
          <w:iCs/>
          <w:lang w:val="fr-FR"/>
        </w:rPr>
        <w:t>.</w:t>
      </w:r>
      <w:r>
        <w:rPr>
          <w:i/>
          <w:iCs/>
          <w:lang w:val="fr-FR"/>
        </w:rPr>
        <w:t> </w:t>
      </w:r>
      <w:r w:rsidRPr="005A76CC">
        <w:rPr>
          <w:lang w:val="fr-FR"/>
        </w:rPr>
        <w:t>»</w:t>
      </w:r>
      <w:r w:rsidR="00D90154" w:rsidRPr="00D90154">
        <w:rPr>
          <w:i/>
          <w:iCs/>
          <w:lang w:val="fr-FR"/>
        </w:rPr>
        <w:t>.</w:t>
      </w:r>
    </w:p>
    <w:p w14:paraId="1774A065" w14:textId="22793C64" w:rsidR="00446FE5" w:rsidRPr="009B16E8" w:rsidRDefault="009B16E8" w:rsidP="009B16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9B16E8" w:rsidSect="00415D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D390" w14:textId="77777777" w:rsidR="003243FB" w:rsidRDefault="003243FB" w:rsidP="00F95C08">
      <w:pPr>
        <w:spacing w:line="240" w:lineRule="auto"/>
      </w:pPr>
    </w:p>
  </w:endnote>
  <w:endnote w:type="continuationSeparator" w:id="0">
    <w:p w14:paraId="2396531E" w14:textId="77777777" w:rsidR="003243FB" w:rsidRPr="00AC3823" w:rsidRDefault="003243FB" w:rsidP="00AC3823">
      <w:pPr>
        <w:pStyle w:val="Pieddepage"/>
      </w:pPr>
    </w:p>
  </w:endnote>
  <w:endnote w:type="continuationNotice" w:id="1">
    <w:p w14:paraId="5C0B1062" w14:textId="77777777" w:rsidR="003243FB" w:rsidRDefault="003243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594" w14:textId="5C21A22A" w:rsidR="00415DF7" w:rsidRPr="00415DF7" w:rsidRDefault="00415DF7" w:rsidP="00415DF7">
    <w:pPr>
      <w:pStyle w:val="Pieddepage"/>
      <w:tabs>
        <w:tab w:val="right" w:pos="9638"/>
      </w:tabs>
    </w:pPr>
    <w:r w:rsidRPr="00415DF7">
      <w:rPr>
        <w:b/>
        <w:sz w:val="18"/>
      </w:rPr>
      <w:fldChar w:fldCharType="begin"/>
    </w:r>
    <w:r w:rsidRPr="00415DF7">
      <w:rPr>
        <w:b/>
        <w:sz w:val="18"/>
      </w:rPr>
      <w:instrText xml:space="preserve"> PAGE  \* MERGEFORMAT </w:instrText>
    </w:r>
    <w:r w:rsidRPr="00415DF7">
      <w:rPr>
        <w:b/>
        <w:sz w:val="18"/>
      </w:rPr>
      <w:fldChar w:fldCharType="separate"/>
    </w:r>
    <w:r w:rsidRPr="00415DF7">
      <w:rPr>
        <w:b/>
        <w:noProof/>
        <w:sz w:val="18"/>
      </w:rPr>
      <w:t>2</w:t>
    </w:r>
    <w:r w:rsidRPr="00415DF7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D90154" w:rsidRPr="00D90154">
      <w:t>.</w:t>
    </w:r>
    <w:r>
      <w:t>23-06857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592E" w14:textId="525FA9ED" w:rsidR="00415DF7" w:rsidRPr="00415DF7" w:rsidRDefault="00415DF7" w:rsidP="00415DF7">
    <w:pPr>
      <w:pStyle w:val="Pieddepage"/>
      <w:tabs>
        <w:tab w:val="right" w:pos="9638"/>
      </w:tabs>
      <w:rPr>
        <w:b/>
        <w:sz w:val="18"/>
      </w:rPr>
    </w:pPr>
    <w:r>
      <w:t>GE</w:t>
    </w:r>
    <w:r w:rsidR="00D90154" w:rsidRPr="00D90154">
      <w:t>.</w:t>
    </w:r>
    <w:r>
      <w:t>23-06857</w:t>
    </w:r>
    <w:r>
      <w:tab/>
    </w:r>
    <w:r w:rsidRPr="00415DF7">
      <w:rPr>
        <w:b/>
        <w:sz w:val="18"/>
      </w:rPr>
      <w:fldChar w:fldCharType="begin"/>
    </w:r>
    <w:r w:rsidRPr="00415DF7">
      <w:rPr>
        <w:b/>
        <w:sz w:val="18"/>
      </w:rPr>
      <w:instrText xml:space="preserve"> PAGE  \* MERGEFORMAT </w:instrText>
    </w:r>
    <w:r w:rsidRPr="00415DF7">
      <w:rPr>
        <w:b/>
        <w:sz w:val="18"/>
      </w:rPr>
      <w:fldChar w:fldCharType="separate"/>
    </w:r>
    <w:r w:rsidRPr="00415DF7">
      <w:rPr>
        <w:b/>
        <w:noProof/>
        <w:sz w:val="18"/>
      </w:rPr>
      <w:t>3</w:t>
    </w:r>
    <w:r w:rsidRPr="00415D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7418" w14:textId="0C6E8E81" w:rsidR="0068456F" w:rsidRPr="00415DF7" w:rsidRDefault="00415DF7" w:rsidP="00415DF7">
    <w:pPr>
      <w:pStyle w:val="Pieddepage"/>
      <w:spacing w:before="120"/>
      <w:rPr>
        <w:sz w:val="20"/>
      </w:rPr>
    </w:pPr>
    <w:r>
      <w:rPr>
        <w:sz w:val="20"/>
      </w:rPr>
      <w:t>GE</w:t>
    </w:r>
    <w:r w:rsidR="00D90154" w:rsidRPr="00D90154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61766C3" wp14:editId="306FB92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23-06857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D86438" wp14:editId="006DE37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100523    100523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3D7D" w14:textId="77777777" w:rsidR="003243FB" w:rsidRPr="00AC3823" w:rsidRDefault="003243F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44A3FE" w14:textId="77777777" w:rsidR="003243FB" w:rsidRPr="00AC3823" w:rsidRDefault="003243F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03F237" w14:textId="77777777" w:rsidR="003243FB" w:rsidRPr="00AC3823" w:rsidRDefault="003243FB">
      <w:pPr>
        <w:spacing w:line="240" w:lineRule="auto"/>
        <w:rPr>
          <w:sz w:val="2"/>
          <w:szCs w:val="2"/>
        </w:rPr>
      </w:pPr>
    </w:p>
  </w:footnote>
  <w:footnote w:id="2">
    <w:p w14:paraId="2BBF4FFD" w14:textId="1CD9E24B" w:rsidR="009B16E8" w:rsidRDefault="009B16E8" w:rsidP="009B16E8">
      <w:pPr>
        <w:pStyle w:val="Notedebasdepage"/>
        <w:rPr>
          <w:lang w:val="fr-FR"/>
        </w:rPr>
      </w:pPr>
      <w:r w:rsidRPr="00A66E06">
        <w:rPr>
          <w:sz w:val="20"/>
          <w:lang w:val="fr-FR"/>
        </w:rPr>
        <w:tab/>
        <w:t>*</w:t>
      </w:r>
      <w:r w:rsidRPr="00A66E06">
        <w:rPr>
          <w:sz w:val="20"/>
          <w:lang w:val="fr-FR"/>
        </w:rPr>
        <w:tab/>
      </w:r>
      <w:r>
        <w:rPr>
          <w:lang w:val="fr-FR"/>
        </w:rPr>
        <w:t>A/77/6 (Sect</w:t>
      </w:r>
      <w:r w:rsidR="00D90154" w:rsidRPr="00D90154">
        <w:rPr>
          <w:lang w:val="fr-FR"/>
        </w:rPr>
        <w:t>.</w:t>
      </w:r>
      <w:r>
        <w:rPr>
          <w:lang w:val="fr-FR"/>
        </w:rPr>
        <w:t xml:space="preserve"> 20), tableau 20</w:t>
      </w:r>
      <w:r w:rsidR="00D90154" w:rsidRPr="00D90154">
        <w:rPr>
          <w:lang w:val="fr-FR"/>
        </w:rPr>
        <w:t>.</w:t>
      </w:r>
      <w:r>
        <w:rPr>
          <w:lang w:val="fr-FR"/>
        </w:rPr>
        <w:t>6</w:t>
      </w:r>
      <w:r w:rsidR="00D90154" w:rsidRPr="00D90154">
        <w:rPr>
          <w:lang w:val="fr-FR"/>
        </w:rPr>
        <w:t>.</w:t>
      </w:r>
    </w:p>
    <w:p w14:paraId="00D480A8" w14:textId="77777777" w:rsidR="00A66E06" w:rsidRPr="00BE09C8" w:rsidRDefault="00A66E06" w:rsidP="009B16E8">
      <w:pPr>
        <w:pStyle w:val="Notedebasdepage"/>
        <w:rPr>
          <w:lang w:val="fr-FR"/>
        </w:rPr>
      </w:pPr>
    </w:p>
  </w:footnote>
  <w:footnote w:id="3">
    <w:p w14:paraId="656C70AE" w14:textId="589F370A" w:rsidR="009B16E8" w:rsidRPr="00BE09C8" w:rsidRDefault="009B16E8" w:rsidP="009B16E8">
      <w:pPr>
        <w:pStyle w:val="Notedebasdepage"/>
        <w:rPr>
          <w:lang w:val="fr-FR"/>
        </w:rPr>
      </w:pPr>
      <w:r>
        <w:rPr>
          <w:lang w:val="fr-FR"/>
        </w:rPr>
        <w:tab/>
      </w:r>
      <w:r w:rsidRPr="00DC75EF">
        <w:rPr>
          <w:rStyle w:val="Appelnotedebasdep"/>
        </w:rPr>
        <w:footnoteRef/>
      </w:r>
      <w:r>
        <w:rPr>
          <w:lang w:val="fr-FR"/>
        </w:rPr>
        <w:tab/>
      </w:r>
      <w:hyperlink r:id="rId1" w:history="1">
        <w:r w:rsidRPr="005A76CC">
          <w:rPr>
            <w:rStyle w:val="Lienhypertexte"/>
            <w:lang w:val="fr-FR"/>
          </w:rPr>
          <w:t>https://unece</w:t>
        </w:r>
        <w:r w:rsidR="00D90154" w:rsidRPr="00D90154">
          <w:rPr>
            <w:rStyle w:val="Lienhypertexte"/>
            <w:lang w:val="fr-FR"/>
          </w:rPr>
          <w:t>.</w:t>
        </w:r>
        <w:r w:rsidRPr="005A76CC">
          <w:rPr>
            <w:rStyle w:val="Lienhypertexte"/>
            <w:lang w:val="fr-FR"/>
          </w:rPr>
          <w:t>org/transport/documents/2022/12/reports/report-sub-committee-experts-transport-dangerous-goods-its</w:t>
        </w:r>
      </w:hyperlink>
      <w:r w:rsidR="00D90154" w:rsidRPr="00D90154">
        <w:rPr>
          <w:lang w:val="fr-FR"/>
        </w:rPr>
        <w:t>.</w:t>
      </w:r>
    </w:p>
  </w:footnote>
  <w:footnote w:id="4">
    <w:p w14:paraId="0C2B9FE7" w14:textId="01D0F22A" w:rsidR="009B16E8" w:rsidRPr="00BE09C8" w:rsidRDefault="009B16E8" w:rsidP="009B16E8">
      <w:pPr>
        <w:pStyle w:val="Notedebasdepage"/>
        <w:rPr>
          <w:lang w:val="fr-FR"/>
        </w:rPr>
      </w:pPr>
      <w:r>
        <w:rPr>
          <w:lang w:val="fr-FR"/>
        </w:rPr>
        <w:tab/>
      </w:r>
      <w:r w:rsidRPr="00DC75EF">
        <w:rPr>
          <w:rStyle w:val="Appelnotedebasdep"/>
        </w:rPr>
        <w:footnoteRef/>
      </w:r>
      <w:r>
        <w:rPr>
          <w:lang w:val="fr-FR"/>
        </w:rPr>
        <w:tab/>
      </w:r>
      <w:hyperlink r:id="rId2" w:history="1">
        <w:r w:rsidRPr="005A76CC">
          <w:rPr>
            <w:rStyle w:val="Lienhypertexte"/>
            <w:lang w:val="fr-FR"/>
          </w:rPr>
          <w:t>https://unece</w:t>
        </w:r>
        <w:r w:rsidR="00D90154" w:rsidRPr="00D90154">
          <w:rPr>
            <w:rStyle w:val="Lienhypertexte"/>
            <w:lang w:val="fr-FR"/>
          </w:rPr>
          <w:t>.</w:t>
        </w:r>
        <w:r w:rsidRPr="005A76CC">
          <w:rPr>
            <w:rStyle w:val="Lienhypertexte"/>
            <w:lang w:val="fr-FR"/>
          </w:rPr>
          <w:t>org/transport/documents/2022/12/reports/report-sub-committee-experts-globally-harmonized-system</w:t>
        </w:r>
      </w:hyperlink>
      <w:r w:rsidR="00D90154" w:rsidRPr="00D9015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A39E" w14:textId="7B0D744B" w:rsidR="00415DF7" w:rsidRPr="00415DF7" w:rsidRDefault="00415DF7">
    <w:pPr>
      <w:pStyle w:val="En-tte"/>
      <w:rPr>
        <w:lang w:val="en-US"/>
      </w:rPr>
    </w:pPr>
    <w:r>
      <w:fldChar w:fldCharType="begin"/>
    </w:r>
    <w:r w:rsidRPr="00415DF7">
      <w:rPr>
        <w:lang w:val="en-US"/>
      </w:rPr>
      <w:instrText xml:space="preserve"> TITLE  \* MERGEFORMAT </w:instrText>
    </w:r>
    <w:r>
      <w:fldChar w:fldCharType="separate"/>
    </w:r>
    <w:r w:rsidR="00BA0615">
      <w:rPr>
        <w:lang w:val="en-US"/>
      </w:rPr>
      <w:t>ST/SG/AC.10/C.3/2023/12</w:t>
    </w:r>
    <w:r>
      <w:fldChar w:fldCharType="end"/>
    </w:r>
    <w:r w:rsidRPr="00415DF7">
      <w:rPr>
        <w:lang w:val="en-US"/>
      </w:rPr>
      <w:br/>
    </w:r>
    <w:r>
      <w:fldChar w:fldCharType="begin"/>
    </w:r>
    <w:r w:rsidRPr="00415DF7">
      <w:rPr>
        <w:lang w:val="en-US"/>
      </w:rPr>
      <w:instrText xml:space="preserve"> KEYWORDS  \* MERGEFORMAT </w:instrText>
    </w:r>
    <w:r>
      <w:fldChar w:fldCharType="separate"/>
    </w:r>
    <w:r w:rsidR="00BA0615">
      <w:rPr>
        <w:lang w:val="en-US"/>
      </w:rPr>
      <w:t>ST/SG/AC.10/C.4/2023/2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05D1" w14:textId="3567F682" w:rsidR="00415DF7" w:rsidRPr="00415DF7" w:rsidRDefault="00415DF7" w:rsidP="00415DF7">
    <w:pPr>
      <w:pStyle w:val="En-tte"/>
      <w:jc w:val="right"/>
      <w:rPr>
        <w:lang w:val="en-US"/>
      </w:rPr>
    </w:pPr>
    <w:r>
      <w:fldChar w:fldCharType="begin"/>
    </w:r>
    <w:r w:rsidRPr="00415DF7">
      <w:rPr>
        <w:lang w:val="en-US"/>
      </w:rPr>
      <w:instrText xml:space="preserve"> TITLE  \* MERGEFORMAT </w:instrText>
    </w:r>
    <w:r>
      <w:fldChar w:fldCharType="separate"/>
    </w:r>
    <w:r w:rsidR="00BA0615">
      <w:rPr>
        <w:lang w:val="en-US"/>
      </w:rPr>
      <w:t>ST/SG/AC.10/C.3/2023/12</w:t>
    </w:r>
    <w:r>
      <w:fldChar w:fldCharType="end"/>
    </w:r>
    <w:r w:rsidRPr="00415DF7">
      <w:rPr>
        <w:lang w:val="en-US"/>
      </w:rPr>
      <w:br/>
    </w:r>
    <w:r>
      <w:fldChar w:fldCharType="begin"/>
    </w:r>
    <w:r w:rsidRPr="00415DF7">
      <w:rPr>
        <w:lang w:val="en-US"/>
      </w:rPr>
      <w:instrText xml:space="preserve"> KEYWORDS  \* MERGEFORMAT </w:instrText>
    </w:r>
    <w:r>
      <w:fldChar w:fldCharType="separate"/>
    </w:r>
    <w:r w:rsidR="00BA0615">
      <w:rPr>
        <w:lang w:val="en-US"/>
      </w:rPr>
      <w:t>ST/SG/AC.10/C.4/2023/2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1A1025F"/>
    <w:multiLevelType w:val="hybridMultilevel"/>
    <w:tmpl w:val="3648F1BE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76327895">
    <w:abstractNumId w:val="14"/>
  </w:num>
  <w:num w:numId="2" w16cid:durableId="233586877">
    <w:abstractNumId w:val="12"/>
  </w:num>
  <w:num w:numId="3" w16cid:durableId="32579147">
    <w:abstractNumId w:val="11"/>
  </w:num>
  <w:num w:numId="4" w16cid:durableId="1460496371">
    <w:abstractNumId w:val="8"/>
  </w:num>
  <w:num w:numId="5" w16cid:durableId="444689197">
    <w:abstractNumId w:val="3"/>
  </w:num>
  <w:num w:numId="6" w16cid:durableId="84690372">
    <w:abstractNumId w:val="2"/>
  </w:num>
  <w:num w:numId="7" w16cid:durableId="779303651">
    <w:abstractNumId w:val="1"/>
  </w:num>
  <w:num w:numId="8" w16cid:durableId="455829817">
    <w:abstractNumId w:val="0"/>
  </w:num>
  <w:num w:numId="9" w16cid:durableId="1956863062">
    <w:abstractNumId w:val="9"/>
  </w:num>
  <w:num w:numId="10" w16cid:durableId="2048606290">
    <w:abstractNumId w:val="7"/>
  </w:num>
  <w:num w:numId="11" w16cid:durableId="1664043025">
    <w:abstractNumId w:val="6"/>
  </w:num>
  <w:num w:numId="12" w16cid:durableId="427387003">
    <w:abstractNumId w:val="5"/>
  </w:num>
  <w:num w:numId="13" w16cid:durableId="1815293976">
    <w:abstractNumId w:val="4"/>
  </w:num>
  <w:num w:numId="14" w16cid:durableId="816067423">
    <w:abstractNumId w:val="14"/>
  </w:num>
  <w:num w:numId="15" w16cid:durableId="9458446">
    <w:abstractNumId w:val="12"/>
  </w:num>
  <w:num w:numId="16" w16cid:durableId="285091068">
    <w:abstractNumId w:val="11"/>
  </w:num>
  <w:num w:numId="17" w16cid:durableId="1475759613">
    <w:abstractNumId w:val="10"/>
  </w:num>
  <w:num w:numId="18" w16cid:durableId="6703320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FB"/>
    <w:rsid w:val="00017F94"/>
    <w:rsid w:val="00023842"/>
    <w:rsid w:val="000305D3"/>
    <w:rsid w:val="000334F9"/>
    <w:rsid w:val="00052B07"/>
    <w:rsid w:val="0007796D"/>
    <w:rsid w:val="000B7790"/>
    <w:rsid w:val="00111F2F"/>
    <w:rsid w:val="00132EA9"/>
    <w:rsid w:val="0014365E"/>
    <w:rsid w:val="00172E49"/>
    <w:rsid w:val="00176178"/>
    <w:rsid w:val="001F525A"/>
    <w:rsid w:val="00207534"/>
    <w:rsid w:val="00223272"/>
    <w:rsid w:val="0024779E"/>
    <w:rsid w:val="00283190"/>
    <w:rsid w:val="002832AC"/>
    <w:rsid w:val="002D7C93"/>
    <w:rsid w:val="003243FB"/>
    <w:rsid w:val="00415DF7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A76CC"/>
    <w:rsid w:val="0068456F"/>
    <w:rsid w:val="0071601D"/>
    <w:rsid w:val="007A62E6"/>
    <w:rsid w:val="0080684C"/>
    <w:rsid w:val="008123E0"/>
    <w:rsid w:val="00871C75"/>
    <w:rsid w:val="008776DC"/>
    <w:rsid w:val="008B40CD"/>
    <w:rsid w:val="008D0336"/>
    <w:rsid w:val="009705C8"/>
    <w:rsid w:val="009B16E8"/>
    <w:rsid w:val="009C1CF4"/>
    <w:rsid w:val="00A30353"/>
    <w:rsid w:val="00A66E06"/>
    <w:rsid w:val="00A81281"/>
    <w:rsid w:val="00AC3823"/>
    <w:rsid w:val="00AE323C"/>
    <w:rsid w:val="00B00181"/>
    <w:rsid w:val="00B00B0D"/>
    <w:rsid w:val="00B765F7"/>
    <w:rsid w:val="00BA0615"/>
    <w:rsid w:val="00BA0CA9"/>
    <w:rsid w:val="00C02897"/>
    <w:rsid w:val="00D3439C"/>
    <w:rsid w:val="00D90154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DDA0C"/>
  <w15:docId w15:val="{41295817-4CEB-425C-B595-CA11B1CE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B16E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9B16E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B16E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A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ce.org/transport/documents/2022/12/reports/report-sub-committee-experts-globally-harmonized-system" TargetMode="External"/><Relationship Id="rId1" Type="http://schemas.openxmlformats.org/officeDocument/2006/relationships/hyperlink" Target="https://unece.org/transport/documents/2022/12/reports/report-sub-committee-experts-transport-dangerous-goods-i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3</Pages>
  <Words>893</Words>
  <Characters>6842</Characters>
  <Application>Microsoft Office Word</Application>
  <DocSecurity>0</DocSecurity>
  <Lines>2280</Lines>
  <Paragraphs>644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ST/SG/AC.10/C.3/2023/12</vt:lpstr>
    </vt:vector>
  </TitlesOfParts>
  <Company>DCM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ST/SG/AC.10/C.3/2023/12</dc:title>
  <dc:creator>Maud DARICHE</dc:creator>
  <cp:keywords>ST/SG/AC.10/C.4/2023/2</cp:keywords>
  <cp:lastModifiedBy>Maud Dariche</cp:lastModifiedBy>
  <cp:revision>3</cp:revision>
  <cp:lastPrinted>2023-05-10T07:21:00Z</cp:lastPrinted>
  <dcterms:created xsi:type="dcterms:W3CDTF">2023-05-10T07:21:00Z</dcterms:created>
  <dcterms:modified xsi:type="dcterms:W3CDTF">2023-05-10T07:22:00Z</dcterms:modified>
</cp:coreProperties>
</file>