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0488E1EF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F3B8E83" w14:textId="77777777" w:rsidR="00132EA9" w:rsidRPr="00DB58B5" w:rsidRDefault="00132EA9" w:rsidP="00081DE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AD71721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89EF0CD" w14:textId="2E25D762" w:rsidR="00132EA9" w:rsidRPr="00DB58B5" w:rsidRDefault="00081DEF" w:rsidP="00081DEF">
            <w:pPr>
              <w:jc w:val="right"/>
            </w:pPr>
            <w:r w:rsidRPr="00081DEF">
              <w:rPr>
                <w:sz w:val="40"/>
              </w:rPr>
              <w:t>ST</w:t>
            </w:r>
            <w:r>
              <w:t>/SG/AC.10/C.3/2023/11</w:t>
            </w:r>
          </w:p>
        </w:tc>
      </w:tr>
      <w:tr w:rsidR="00132EA9" w:rsidRPr="00DB58B5" w14:paraId="3C9877EE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250523D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B3A0626" wp14:editId="1C0A9BA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6F9B6B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08763F2" w14:textId="77777777" w:rsidR="00132EA9" w:rsidRDefault="00081DEF" w:rsidP="00F01738">
            <w:pPr>
              <w:spacing w:before="240"/>
            </w:pPr>
            <w:r>
              <w:t>Distr. générale</w:t>
            </w:r>
          </w:p>
          <w:p w14:paraId="25656F01" w14:textId="118888E8" w:rsidR="00081DEF" w:rsidRDefault="00081DEF" w:rsidP="00081DEF">
            <w:pPr>
              <w:spacing w:line="240" w:lineRule="exact"/>
            </w:pPr>
            <w:r>
              <w:t>13 avril 2023</w:t>
            </w:r>
          </w:p>
          <w:p w14:paraId="6B4EA79F" w14:textId="77777777" w:rsidR="00081DEF" w:rsidRDefault="00081DEF" w:rsidP="00081DEF">
            <w:pPr>
              <w:spacing w:line="240" w:lineRule="exact"/>
            </w:pPr>
            <w:r>
              <w:t>Français</w:t>
            </w:r>
          </w:p>
          <w:p w14:paraId="0AAA26A0" w14:textId="0F8D4893" w:rsidR="00081DEF" w:rsidRPr="00DB58B5" w:rsidRDefault="00081DEF" w:rsidP="00081DEF">
            <w:pPr>
              <w:spacing w:line="240" w:lineRule="exact"/>
            </w:pPr>
            <w:r>
              <w:t>Original : anglais</w:t>
            </w:r>
          </w:p>
        </w:tc>
      </w:tr>
    </w:tbl>
    <w:p w14:paraId="73936F84" w14:textId="2E7E69DA" w:rsidR="00081DEF" w:rsidRPr="00CA0680" w:rsidRDefault="00081DEF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7A2A09D8" w14:textId="0CBA5AF2" w:rsidR="00081DEF" w:rsidRPr="00CA0680" w:rsidRDefault="00081DEF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 xml:space="preserve">Comité d’experts </w:t>
      </w:r>
      <w:r>
        <w:rPr>
          <w:b/>
        </w:rPr>
        <w:t>du transport des marchandises dangereuses</w:t>
      </w:r>
    </w:p>
    <w:p w14:paraId="39C89D14" w14:textId="66505524" w:rsidR="00081DEF" w:rsidRDefault="00081DEF" w:rsidP="000305D3">
      <w:pPr>
        <w:spacing w:before="120"/>
        <w:rPr>
          <w:b/>
        </w:rPr>
      </w:pPr>
      <w:r>
        <w:rPr>
          <w:b/>
        </w:rPr>
        <w:t>Soixante-deuxième</w:t>
      </w:r>
      <w:r w:rsidRPr="00CA0680">
        <w:rPr>
          <w:b/>
        </w:rPr>
        <w:t xml:space="preserve"> session</w:t>
      </w:r>
    </w:p>
    <w:p w14:paraId="603EDA9C" w14:textId="5809FF94" w:rsidR="00081DEF" w:rsidRDefault="00081DEF" w:rsidP="000305D3">
      <w:r>
        <w:t>Genève, 3-7 juillet 2023</w:t>
      </w:r>
    </w:p>
    <w:p w14:paraId="66558469" w14:textId="154AD064" w:rsidR="00081DEF" w:rsidRDefault="00081DEF" w:rsidP="000305D3">
      <w:r>
        <w:t>Point 3 de l’ordre du jour provisoire</w:t>
      </w:r>
    </w:p>
    <w:p w14:paraId="6B8581B9" w14:textId="77777777" w:rsidR="00081DEF" w:rsidRPr="00B30878" w:rsidRDefault="00081DEF" w:rsidP="00081DEF">
      <w:pPr>
        <w:rPr>
          <w:b/>
          <w:bCs/>
          <w:lang w:val="fr-FR"/>
        </w:rPr>
      </w:pPr>
      <w:r w:rsidRPr="00B30878">
        <w:rPr>
          <w:b/>
          <w:bCs/>
          <w:lang w:val="fr-FR"/>
        </w:rPr>
        <w:t>Inscription, classement et emballage</w:t>
      </w:r>
    </w:p>
    <w:p w14:paraId="7BCE7D74" w14:textId="71E3D61A" w:rsidR="00081DEF" w:rsidRPr="00B30878" w:rsidRDefault="00081DEF" w:rsidP="00081DEF">
      <w:pPr>
        <w:pStyle w:val="HChG"/>
        <w:ind w:right="992"/>
        <w:rPr>
          <w:lang w:val="fr-FR"/>
        </w:rPr>
      </w:pPr>
      <w:r w:rsidRPr="00B30878">
        <w:rPr>
          <w:lang w:val="fr-FR"/>
        </w:rPr>
        <w:tab/>
      </w:r>
      <w:r w:rsidRPr="00B30878">
        <w:rPr>
          <w:lang w:val="fr-FR"/>
        </w:rPr>
        <w:tab/>
      </w:r>
      <w:r w:rsidRPr="00B30878">
        <w:rPr>
          <w:bCs/>
          <w:lang w:val="fr-FR"/>
        </w:rPr>
        <w:t>Ordre de prépondérance des classes</w:t>
      </w:r>
      <w:r>
        <w:rPr>
          <w:bCs/>
          <w:lang w:val="fr-FR"/>
        </w:rPr>
        <w:t> :</w:t>
      </w:r>
      <w:r w:rsidRPr="00B30878">
        <w:rPr>
          <w:bCs/>
          <w:lang w:val="fr-FR"/>
        </w:rPr>
        <w:t xml:space="preserve"> corrections à apporter aux 2.0.3.1 et 2.8.2.4 aux fins de leur harmonisation avec le</w:t>
      </w:r>
      <w:r>
        <w:rPr>
          <w:bCs/>
          <w:lang w:val="fr-FR"/>
        </w:rPr>
        <w:t> </w:t>
      </w:r>
      <w:r w:rsidRPr="00B30878">
        <w:rPr>
          <w:bCs/>
          <w:lang w:val="fr-FR"/>
        </w:rPr>
        <w:t>2.6.2.2.4.1</w:t>
      </w:r>
    </w:p>
    <w:p w14:paraId="3BAFD708" w14:textId="1B9EA9B1" w:rsidR="00081DEF" w:rsidRPr="00B30878" w:rsidRDefault="00081DEF" w:rsidP="00081DEF">
      <w:pPr>
        <w:pStyle w:val="H1G"/>
        <w:tabs>
          <w:tab w:val="clear" w:pos="851"/>
        </w:tabs>
        <w:rPr>
          <w:lang w:val="fr-FR"/>
        </w:rPr>
      </w:pPr>
      <w:r w:rsidRPr="00B30878">
        <w:rPr>
          <w:lang w:val="fr-FR"/>
        </w:rPr>
        <w:tab/>
      </w:r>
      <w:r w:rsidRPr="00B30878">
        <w:rPr>
          <w:lang w:val="fr-FR"/>
        </w:rPr>
        <w:tab/>
      </w:r>
      <w:r w:rsidRPr="00B30878">
        <w:rPr>
          <w:bCs/>
          <w:lang w:val="fr-FR"/>
        </w:rPr>
        <w:t>Communication des experts du Canada et de la République de Corée</w:t>
      </w:r>
      <w:r w:rsidRPr="00081DEF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63D92C8A" w14:textId="77777777" w:rsidR="00081DEF" w:rsidRPr="00B30878" w:rsidRDefault="00081DEF" w:rsidP="00081DEF">
      <w:pPr>
        <w:pStyle w:val="HChG"/>
        <w:rPr>
          <w:lang w:val="fr-FR"/>
        </w:rPr>
      </w:pPr>
      <w:r w:rsidRPr="00B30878">
        <w:rPr>
          <w:lang w:val="fr-FR"/>
        </w:rPr>
        <w:tab/>
      </w:r>
      <w:r w:rsidRPr="00B30878">
        <w:rPr>
          <w:lang w:val="fr-FR"/>
        </w:rPr>
        <w:tab/>
      </w:r>
      <w:r w:rsidRPr="00B30878">
        <w:rPr>
          <w:bCs/>
          <w:lang w:val="fr-FR"/>
        </w:rPr>
        <w:t>Introduction</w:t>
      </w:r>
    </w:p>
    <w:p w14:paraId="1D8E93C9" w14:textId="65DBE034" w:rsidR="00081DEF" w:rsidRPr="00B30878" w:rsidRDefault="00081DEF" w:rsidP="00081DEF">
      <w:pPr>
        <w:pStyle w:val="SingleTxtG"/>
        <w:kinsoku/>
        <w:overflowPunct/>
        <w:autoSpaceDE/>
        <w:autoSpaceDN/>
        <w:adjustRightInd/>
        <w:snapToGrid/>
        <w:rPr>
          <w:szCs w:val="21"/>
          <w:lang w:val="fr-FR"/>
        </w:rPr>
      </w:pPr>
      <w:r w:rsidRPr="00B30878">
        <w:rPr>
          <w:lang w:val="fr-FR"/>
        </w:rPr>
        <w:t>1.</w:t>
      </w:r>
      <w:r w:rsidRPr="00B30878">
        <w:rPr>
          <w:lang w:val="fr-FR"/>
        </w:rPr>
        <w:tab/>
        <w:t>L</w:t>
      </w:r>
      <w:r>
        <w:rPr>
          <w:lang w:val="fr-FR"/>
        </w:rPr>
        <w:t>’</w:t>
      </w:r>
      <w:r w:rsidRPr="00B30878">
        <w:rPr>
          <w:lang w:val="fr-FR"/>
        </w:rPr>
        <w:t>ordre de prépondérance des classes dans le Règlement type est clairement défini au</w:t>
      </w:r>
      <w:r>
        <w:rPr>
          <w:lang w:val="fr-FR"/>
        </w:rPr>
        <w:t> </w:t>
      </w:r>
      <w:r w:rsidRPr="00B30878">
        <w:rPr>
          <w:lang w:val="fr-FR"/>
        </w:rPr>
        <w:t>2.0.3. Cependant, lorsqu</w:t>
      </w:r>
      <w:r>
        <w:rPr>
          <w:lang w:val="fr-FR"/>
        </w:rPr>
        <w:t>’</w:t>
      </w:r>
      <w:r w:rsidRPr="00B30878">
        <w:rPr>
          <w:lang w:val="fr-FR"/>
        </w:rPr>
        <w:t>une matière répond aux critères de la classe</w:t>
      </w:r>
      <w:r>
        <w:rPr>
          <w:lang w:val="fr-FR"/>
        </w:rPr>
        <w:t> </w:t>
      </w:r>
      <w:r w:rsidRPr="00B30878">
        <w:rPr>
          <w:lang w:val="fr-FR"/>
        </w:rPr>
        <w:t>8 avec une toxicité à l</w:t>
      </w:r>
      <w:r>
        <w:rPr>
          <w:lang w:val="fr-FR"/>
        </w:rPr>
        <w:t>’</w:t>
      </w:r>
      <w:r w:rsidRPr="00B30878">
        <w:rPr>
          <w:lang w:val="fr-FR"/>
        </w:rPr>
        <w:t>inhalation de poussières et de brouillards correspondant au groupe d</w:t>
      </w:r>
      <w:r>
        <w:rPr>
          <w:lang w:val="fr-FR"/>
        </w:rPr>
        <w:t>’</w:t>
      </w:r>
      <w:r w:rsidRPr="00B30878">
        <w:rPr>
          <w:lang w:val="fr-FR"/>
        </w:rPr>
        <w:t>emballage</w:t>
      </w:r>
      <w:r>
        <w:rPr>
          <w:lang w:val="fr-FR"/>
        </w:rPr>
        <w:t> </w:t>
      </w:r>
      <w:r w:rsidRPr="00B30878">
        <w:rPr>
          <w:lang w:val="fr-FR"/>
        </w:rPr>
        <w:t>I, il est difficile de déterminer si la division</w:t>
      </w:r>
      <w:r>
        <w:rPr>
          <w:lang w:val="fr-FR"/>
        </w:rPr>
        <w:t> </w:t>
      </w:r>
      <w:r w:rsidRPr="00B30878">
        <w:rPr>
          <w:lang w:val="fr-FR"/>
        </w:rPr>
        <w:t>6.1 ou la classe</w:t>
      </w:r>
      <w:r>
        <w:rPr>
          <w:lang w:val="fr-FR"/>
        </w:rPr>
        <w:t> </w:t>
      </w:r>
      <w:r w:rsidRPr="00B30878">
        <w:rPr>
          <w:lang w:val="fr-FR"/>
        </w:rPr>
        <w:t xml:space="preserve">8 </w:t>
      </w:r>
      <w:r>
        <w:rPr>
          <w:lang w:val="fr-FR"/>
        </w:rPr>
        <w:t xml:space="preserve">a prépondérance </w:t>
      </w:r>
      <w:r w:rsidRPr="00B30878">
        <w:rPr>
          <w:lang w:val="fr-FR"/>
        </w:rPr>
        <w:t>en raison de certaines incohérences. Ainsi l</w:t>
      </w:r>
      <w:r>
        <w:rPr>
          <w:lang w:val="fr-FR"/>
        </w:rPr>
        <w:t>’</w:t>
      </w:r>
      <w:r w:rsidRPr="00B30878">
        <w:rPr>
          <w:lang w:val="fr-FR"/>
        </w:rPr>
        <w:t xml:space="preserve">affectation à </w:t>
      </w:r>
      <w:r>
        <w:rPr>
          <w:lang w:val="fr-FR"/>
        </w:rPr>
        <w:t>une</w:t>
      </w:r>
      <w:r w:rsidRPr="00B30878">
        <w:rPr>
          <w:lang w:val="fr-FR"/>
        </w:rPr>
        <w:t xml:space="preserve"> classe principale</w:t>
      </w:r>
      <w:r>
        <w:rPr>
          <w:lang w:val="fr-FR"/>
        </w:rPr>
        <w:t xml:space="preserve"> peut varier selon la disposition considérée</w:t>
      </w:r>
      <w:r w:rsidRPr="00B30878">
        <w:rPr>
          <w:lang w:val="fr-FR"/>
        </w:rPr>
        <w:t>. Par conséquent, les expéditeurs ne disposent pas d</w:t>
      </w:r>
      <w:r>
        <w:rPr>
          <w:lang w:val="fr-FR"/>
        </w:rPr>
        <w:t>’</w:t>
      </w:r>
      <w:r w:rsidRPr="00B30878">
        <w:rPr>
          <w:lang w:val="fr-FR"/>
        </w:rPr>
        <w:t>une méthode cohérente pour déterminer l</w:t>
      </w:r>
      <w:r>
        <w:rPr>
          <w:lang w:val="fr-FR"/>
        </w:rPr>
        <w:t>’</w:t>
      </w:r>
      <w:r w:rsidRPr="00B30878">
        <w:rPr>
          <w:lang w:val="fr-FR"/>
        </w:rPr>
        <w:t>ordre de prépondérance des classes dans cette situation.</w:t>
      </w:r>
    </w:p>
    <w:p w14:paraId="01C83DD8" w14:textId="77777777" w:rsidR="00081DEF" w:rsidRPr="00B30878" w:rsidRDefault="00081DEF" w:rsidP="00081DEF">
      <w:pPr>
        <w:pStyle w:val="SingleTxtG"/>
        <w:kinsoku/>
        <w:overflowPunct/>
        <w:autoSpaceDE/>
        <w:autoSpaceDN/>
        <w:adjustRightInd/>
        <w:snapToGrid/>
        <w:rPr>
          <w:szCs w:val="21"/>
          <w:lang w:val="fr-FR"/>
        </w:rPr>
      </w:pPr>
      <w:r w:rsidRPr="00B30878">
        <w:rPr>
          <w:lang w:val="fr-FR"/>
        </w:rPr>
        <w:t>2.</w:t>
      </w:r>
      <w:r w:rsidRPr="00B30878">
        <w:rPr>
          <w:lang w:val="fr-FR"/>
        </w:rPr>
        <w:tab/>
        <w:t>Les corrections proposées peuvent certes sembler être d</w:t>
      </w:r>
      <w:r>
        <w:rPr>
          <w:lang w:val="fr-FR"/>
        </w:rPr>
        <w:t>’</w:t>
      </w:r>
      <w:r w:rsidRPr="00B30878">
        <w:rPr>
          <w:lang w:val="fr-FR"/>
        </w:rPr>
        <w:t>ordre rédactionnel, mais les expéditeurs canadiens se sont heurtés à de véritables difficultés en raison d</w:t>
      </w:r>
      <w:r>
        <w:rPr>
          <w:lang w:val="fr-FR"/>
        </w:rPr>
        <w:t>’</w:t>
      </w:r>
      <w:r w:rsidRPr="00B30878">
        <w:rPr>
          <w:lang w:val="fr-FR"/>
        </w:rPr>
        <w:t xml:space="preserve">affectations contradictoires à des classes principales </w:t>
      </w:r>
      <w:r>
        <w:rPr>
          <w:lang w:val="fr-FR"/>
        </w:rPr>
        <w:t>dans les cas de figure examinés</w:t>
      </w:r>
      <w:r w:rsidRPr="00B30878">
        <w:rPr>
          <w:lang w:val="fr-FR"/>
        </w:rPr>
        <w:t>.</w:t>
      </w:r>
    </w:p>
    <w:p w14:paraId="79F9474E" w14:textId="73A6A1B3" w:rsidR="00081DEF" w:rsidRPr="00B30878" w:rsidRDefault="00081DEF" w:rsidP="00081DEF">
      <w:pPr>
        <w:pStyle w:val="SingleTxtG"/>
        <w:kinsoku/>
        <w:overflowPunct/>
        <w:autoSpaceDE/>
        <w:autoSpaceDN/>
        <w:adjustRightInd/>
        <w:snapToGrid/>
        <w:rPr>
          <w:lang w:val="fr-FR"/>
        </w:rPr>
      </w:pPr>
      <w:r w:rsidRPr="00B30878">
        <w:rPr>
          <w:lang w:val="fr-FR"/>
        </w:rPr>
        <w:t>3.</w:t>
      </w:r>
      <w:r w:rsidRPr="00B30878">
        <w:rPr>
          <w:lang w:val="fr-FR"/>
        </w:rPr>
        <w:tab/>
        <w:t>La présente proposition se fonde sur les questions soulevées dans le document informel</w:t>
      </w:r>
      <w:r>
        <w:rPr>
          <w:lang w:val="fr-FR"/>
        </w:rPr>
        <w:t> </w:t>
      </w:r>
      <w:r w:rsidRPr="00B30878">
        <w:rPr>
          <w:lang w:val="fr-FR"/>
        </w:rPr>
        <w:t>INF.14 de la soixante et unième session, présenté par la République de Corée.</w:t>
      </w:r>
    </w:p>
    <w:p w14:paraId="6B31723F" w14:textId="77777777" w:rsidR="00081DEF" w:rsidRPr="00B30878" w:rsidRDefault="00081DEF" w:rsidP="00081DEF">
      <w:pPr>
        <w:pStyle w:val="HChG"/>
        <w:rPr>
          <w:lang w:val="fr-FR"/>
        </w:rPr>
      </w:pPr>
      <w:r w:rsidRPr="00B30878">
        <w:rPr>
          <w:lang w:val="fr-FR"/>
        </w:rPr>
        <w:tab/>
      </w:r>
      <w:r w:rsidRPr="00B30878">
        <w:rPr>
          <w:lang w:val="fr-FR"/>
        </w:rPr>
        <w:tab/>
      </w:r>
      <w:r w:rsidRPr="00B30878">
        <w:rPr>
          <w:bCs/>
          <w:lang w:val="fr-FR"/>
        </w:rPr>
        <w:t>Explication</w:t>
      </w:r>
    </w:p>
    <w:p w14:paraId="62F8D5D8" w14:textId="12B7C1B5" w:rsidR="00081DEF" w:rsidRPr="00B30878" w:rsidRDefault="00081DEF" w:rsidP="00081DEF">
      <w:pPr>
        <w:pStyle w:val="SingleTxtG"/>
        <w:kinsoku/>
        <w:overflowPunct/>
        <w:autoSpaceDE/>
        <w:autoSpaceDN/>
        <w:adjustRightInd/>
        <w:snapToGrid/>
        <w:rPr>
          <w:lang w:val="fr-FR"/>
        </w:rPr>
      </w:pPr>
      <w:r w:rsidRPr="00B30878">
        <w:rPr>
          <w:lang w:val="fr-FR"/>
        </w:rPr>
        <w:t>4.</w:t>
      </w:r>
      <w:r w:rsidRPr="00B30878">
        <w:rPr>
          <w:lang w:val="fr-FR"/>
        </w:rPr>
        <w:tab/>
        <w:t>Pour une matière qui répond aux critères de la classe</w:t>
      </w:r>
      <w:r>
        <w:rPr>
          <w:lang w:val="fr-FR"/>
        </w:rPr>
        <w:t> </w:t>
      </w:r>
      <w:r w:rsidRPr="00B30878">
        <w:rPr>
          <w:lang w:val="fr-FR"/>
        </w:rPr>
        <w:t>8 et dont la toxicité à l</w:t>
      </w:r>
      <w:r>
        <w:rPr>
          <w:lang w:val="fr-FR"/>
        </w:rPr>
        <w:t>’</w:t>
      </w:r>
      <w:r w:rsidRPr="00B30878">
        <w:rPr>
          <w:lang w:val="fr-FR"/>
        </w:rPr>
        <w:t>inhalation de poussières et de brouillards correspond au groupe d</w:t>
      </w:r>
      <w:r>
        <w:rPr>
          <w:lang w:val="fr-FR"/>
        </w:rPr>
        <w:t>’</w:t>
      </w:r>
      <w:r w:rsidRPr="00B30878">
        <w:rPr>
          <w:lang w:val="fr-FR"/>
        </w:rPr>
        <w:t>emballage</w:t>
      </w:r>
      <w:r>
        <w:rPr>
          <w:lang w:val="fr-FR"/>
        </w:rPr>
        <w:t> </w:t>
      </w:r>
      <w:r w:rsidRPr="00B30878">
        <w:rPr>
          <w:lang w:val="fr-FR"/>
        </w:rPr>
        <w:t>I (« matière A »), le texte du Règlement type tel qu</w:t>
      </w:r>
      <w:r>
        <w:rPr>
          <w:lang w:val="fr-FR"/>
        </w:rPr>
        <w:t>’</w:t>
      </w:r>
      <w:r w:rsidRPr="00B30878">
        <w:rPr>
          <w:lang w:val="fr-FR"/>
        </w:rPr>
        <w:t>il est formulé actuellement donne lieu à une incohérence dans l</w:t>
      </w:r>
      <w:r>
        <w:rPr>
          <w:lang w:val="fr-FR"/>
        </w:rPr>
        <w:t>’</w:t>
      </w:r>
      <w:r w:rsidRPr="00B30878">
        <w:rPr>
          <w:lang w:val="fr-FR"/>
        </w:rPr>
        <w:t>affectation à une classe principale.</w:t>
      </w:r>
    </w:p>
    <w:p w14:paraId="7F309C27" w14:textId="77777777" w:rsidR="00081DEF" w:rsidRDefault="00081DEF" w:rsidP="00081DEF">
      <w:pPr>
        <w:pStyle w:val="SingleTxtG"/>
        <w:kinsoku/>
        <w:overflowPunct/>
        <w:autoSpaceDE/>
        <w:autoSpaceDN/>
        <w:adjustRightInd/>
        <w:snapToGrid/>
        <w:rPr>
          <w:lang w:val="fr-FR"/>
        </w:rPr>
      </w:pPr>
      <w:r w:rsidRPr="00B30878">
        <w:rPr>
          <w:lang w:val="fr-FR"/>
        </w:rPr>
        <w:t>5.</w:t>
      </w:r>
      <w:r w:rsidRPr="00B30878">
        <w:rPr>
          <w:lang w:val="fr-FR"/>
        </w:rPr>
        <w:tab/>
        <w:t xml:space="preserve">Le schéma ci-après illustre </w:t>
      </w:r>
      <w:r>
        <w:rPr>
          <w:lang w:val="fr-FR"/>
        </w:rPr>
        <w:t>la façon dont il convient d’affecter</w:t>
      </w:r>
      <w:r w:rsidRPr="00B30878">
        <w:rPr>
          <w:lang w:val="fr-FR"/>
        </w:rPr>
        <w:t xml:space="preserve"> la « matière A » à la classe principale, telle que définie dans le nota du 2.6.2.2.4.1.</w:t>
      </w:r>
    </w:p>
    <w:p w14:paraId="06E37876" w14:textId="77777777" w:rsidR="00081DEF" w:rsidRPr="00B30878" w:rsidRDefault="00081DEF" w:rsidP="00081DEF">
      <w:pPr>
        <w:pStyle w:val="Paragraphedeliste"/>
        <w:spacing w:after="360" w:line="240" w:lineRule="auto"/>
        <w:ind w:left="1588" w:right="1140"/>
        <w:jc w:val="center"/>
        <w:rPr>
          <w:lang w:val="fr-FR"/>
        </w:rPr>
      </w:pPr>
      <w:r w:rsidRPr="00B30878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CF50A7" wp14:editId="0E55FB4D">
                <wp:simplePos x="0" y="0"/>
                <wp:positionH relativeFrom="column">
                  <wp:posOffset>3693160</wp:posOffset>
                </wp:positionH>
                <wp:positionV relativeFrom="paragraph">
                  <wp:posOffset>1887855</wp:posOffset>
                </wp:positionV>
                <wp:extent cx="1181100" cy="5143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626C5" w14:textId="77777777" w:rsidR="00081DEF" w:rsidRPr="009E58A6" w:rsidRDefault="00081DEF" w:rsidP="00081D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La classe 8</w:t>
                            </w:r>
                          </w:p>
                          <w:p w14:paraId="03AA3A4C" w14:textId="77777777" w:rsidR="00081DEF" w:rsidRDefault="00081DEF" w:rsidP="00081DEF">
                            <w:pPr>
                              <w:jc w:val="center"/>
                            </w:pPr>
                            <w:r>
                              <w:rPr>
                                <w:lang w:val="fr-FR"/>
                              </w:rPr>
                              <w:t>a la prépondérance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F50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8pt;margin-top:148.65pt;width:93pt;height:4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" fillcolor="#a5a5a5 [2092]">
                <v:textbox>
                  <w:txbxContent>
                    <w:p w14:paraId="652626C5" w14:textId="77777777" w:rsidR="00081DEF" w:rsidRPr="009E58A6" w:rsidRDefault="00081DEF" w:rsidP="00081DE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La classe 8</w:t>
                      </w:r>
                    </w:p>
                    <w:p w14:paraId="03AA3A4C" w14:textId="77777777" w:rsidR="00081DEF" w:rsidRDefault="00081DEF" w:rsidP="00081DEF">
                      <w:pPr>
                        <w:jc w:val="center"/>
                      </w:pPr>
                      <w:r>
                        <w:rPr>
                          <w:lang w:val="fr-FR"/>
                        </w:rPr>
                        <w:t>a la prépondérance</w:t>
                      </w:r>
                    </w:p>
                  </w:txbxContent>
                </v:textbox>
              </v:shape>
            </w:pict>
          </mc:Fallback>
        </mc:AlternateContent>
      </w:r>
      <w:r w:rsidRPr="00B30878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966A47" wp14:editId="0C77ED34">
                <wp:simplePos x="0" y="0"/>
                <wp:positionH relativeFrom="column">
                  <wp:posOffset>1565910</wp:posOffset>
                </wp:positionH>
                <wp:positionV relativeFrom="paragraph">
                  <wp:posOffset>1887855</wp:posOffset>
                </wp:positionV>
                <wp:extent cx="1181100" cy="5143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F20B9" w14:textId="77777777" w:rsidR="00081DEF" w:rsidRPr="009E58A6" w:rsidRDefault="00081DEF" w:rsidP="00081D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La division 6.1</w:t>
                            </w:r>
                          </w:p>
                          <w:p w14:paraId="5FF74181" w14:textId="77777777" w:rsidR="00081DEF" w:rsidRDefault="00081DEF" w:rsidP="00081DEF">
                            <w:pPr>
                              <w:jc w:val="center"/>
                            </w:pPr>
                            <w:r>
                              <w:rPr>
                                <w:lang w:val="fr-FR"/>
                              </w:rPr>
                              <w:t>a la prépondérance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66A47" id="_x0000_s1027" type="#_x0000_t202" style="position:absolute;left:0;text-align:left;margin-left:123.3pt;margin-top:148.65pt;width:93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" fillcolor="#a5a5a5 [2092]">
                <v:textbox>
                  <w:txbxContent>
                    <w:p w14:paraId="59DF20B9" w14:textId="77777777" w:rsidR="00081DEF" w:rsidRPr="009E58A6" w:rsidRDefault="00081DEF" w:rsidP="00081DE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La division 6.1</w:t>
                      </w:r>
                    </w:p>
                    <w:p w14:paraId="5FF74181" w14:textId="77777777" w:rsidR="00081DEF" w:rsidRDefault="00081DEF" w:rsidP="00081DEF">
                      <w:pPr>
                        <w:jc w:val="center"/>
                      </w:pPr>
                      <w:r>
                        <w:rPr>
                          <w:lang w:val="fr-FR"/>
                        </w:rPr>
                        <w:t>a la prépondérance</w:t>
                      </w:r>
                    </w:p>
                  </w:txbxContent>
                </v:textbox>
              </v:shape>
            </w:pict>
          </mc:Fallback>
        </mc:AlternateContent>
      </w:r>
    </w:p>
    <w:p w14:paraId="5F90F6BF" w14:textId="1A93090F" w:rsidR="00081DEF" w:rsidRPr="00B30878" w:rsidRDefault="00ED512E" w:rsidP="00081DEF">
      <w:pPr>
        <w:pStyle w:val="Paragraphedeliste"/>
        <w:spacing w:after="360" w:line="240" w:lineRule="auto"/>
        <w:ind w:left="1588" w:right="1140"/>
        <w:jc w:val="center"/>
        <w:rPr>
          <w:lang w:val="fr-FR"/>
        </w:rPr>
      </w:pPr>
      <w:r w:rsidRPr="00B30878">
        <w:rPr>
          <w:noProof/>
          <w:lang w:val="fr-FR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4CB50A" wp14:editId="374F6F33">
                <wp:simplePos x="0" y="0"/>
                <wp:positionH relativeFrom="column">
                  <wp:posOffset>3508096</wp:posOffset>
                </wp:positionH>
                <wp:positionV relativeFrom="paragraph">
                  <wp:posOffset>607135</wp:posOffset>
                </wp:positionV>
                <wp:extent cx="1799539" cy="866775"/>
                <wp:effectExtent l="0" t="0" r="1079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39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6D97F" w14:textId="3A4AA33F" w:rsidR="00081DEF" w:rsidRPr="00755CC8" w:rsidRDefault="00081DEF" w:rsidP="00081DEF">
                            <w:pPr>
                              <w:jc w:val="center"/>
                              <w:rPr>
                                <w:lang w:val="fr-SN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Toxicité à l</w:t>
                            </w:r>
                            <w:r>
                              <w:rPr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lang w:val="fr-FR"/>
                              </w:rPr>
                              <w:t>ingestion</w:t>
                            </w:r>
                          </w:p>
                          <w:p w14:paraId="55F29050" w14:textId="77777777" w:rsidR="00081DEF" w:rsidRPr="00755CC8" w:rsidRDefault="00081DEF" w:rsidP="00081DEF">
                            <w:pPr>
                              <w:jc w:val="center"/>
                              <w:rPr>
                                <w:b/>
                                <w:bCs/>
                                <w:lang w:val="fr-S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et</w:t>
                            </w:r>
                          </w:p>
                          <w:p w14:paraId="5597293A" w14:textId="70E86A18" w:rsidR="00081DEF" w:rsidRPr="00755CC8" w:rsidRDefault="00081DEF" w:rsidP="00081DEF">
                            <w:pPr>
                              <w:jc w:val="center"/>
                              <w:rPr>
                                <w:lang w:val="fr-SN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Toxicité à l</w:t>
                            </w:r>
                            <w:r>
                              <w:rPr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lang w:val="fr-FR"/>
                              </w:rPr>
                              <w:t>absorption cutanée</w:t>
                            </w:r>
                          </w:p>
                          <w:p w14:paraId="23157096" w14:textId="77777777" w:rsidR="00081DEF" w:rsidRPr="00755CC8" w:rsidRDefault="00081DEF" w:rsidP="00081DEF">
                            <w:pPr>
                              <w:jc w:val="center"/>
                              <w:rPr>
                                <w:lang w:val="fr-SN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Groupe d’emballage III ou groupe de niveau inférieur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B50A" id="_x0000_s1028" type="#_x0000_t202" style="position:absolute;left:0;text-align:left;margin-left:276.25pt;margin-top:47.8pt;width:141.7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" fillcolor="#d8d8d8 [2732]">
                <v:textbox>
                  <w:txbxContent>
                    <w:p w14:paraId="02A6D97F" w14:textId="3A4AA33F" w:rsidR="00081DEF" w:rsidRPr="00755CC8" w:rsidRDefault="00081DEF" w:rsidP="00081DEF">
                      <w:pPr>
                        <w:jc w:val="center"/>
                        <w:rPr>
                          <w:lang w:val="fr-SN"/>
                        </w:rPr>
                      </w:pPr>
                      <w:r>
                        <w:rPr>
                          <w:lang w:val="fr-FR"/>
                        </w:rPr>
                        <w:t>Toxicité à l</w:t>
                      </w:r>
                      <w:r>
                        <w:rPr>
                          <w:lang w:val="fr-FR"/>
                        </w:rPr>
                        <w:t>’</w:t>
                      </w:r>
                      <w:r>
                        <w:rPr>
                          <w:lang w:val="fr-FR"/>
                        </w:rPr>
                        <w:t>ingestion</w:t>
                      </w:r>
                    </w:p>
                    <w:p w14:paraId="55F29050" w14:textId="77777777" w:rsidR="00081DEF" w:rsidRPr="00755CC8" w:rsidRDefault="00081DEF" w:rsidP="00081DEF">
                      <w:pPr>
                        <w:jc w:val="center"/>
                        <w:rPr>
                          <w:b/>
                          <w:bCs/>
                          <w:lang w:val="fr-SN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et</w:t>
                      </w:r>
                    </w:p>
                    <w:p w14:paraId="5597293A" w14:textId="70E86A18" w:rsidR="00081DEF" w:rsidRPr="00755CC8" w:rsidRDefault="00081DEF" w:rsidP="00081DEF">
                      <w:pPr>
                        <w:jc w:val="center"/>
                        <w:rPr>
                          <w:lang w:val="fr-SN"/>
                        </w:rPr>
                      </w:pPr>
                      <w:r>
                        <w:rPr>
                          <w:lang w:val="fr-FR"/>
                        </w:rPr>
                        <w:t>Toxicité à l</w:t>
                      </w:r>
                      <w:r>
                        <w:rPr>
                          <w:lang w:val="fr-FR"/>
                        </w:rPr>
                        <w:t>’</w:t>
                      </w:r>
                      <w:r>
                        <w:rPr>
                          <w:lang w:val="fr-FR"/>
                        </w:rPr>
                        <w:t>absorption cutanée</w:t>
                      </w:r>
                    </w:p>
                    <w:p w14:paraId="23157096" w14:textId="77777777" w:rsidR="00081DEF" w:rsidRPr="00755CC8" w:rsidRDefault="00081DEF" w:rsidP="00081DEF">
                      <w:pPr>
                        <w:jc w:val="center"/>
                        <w:rPr>
                          <w:lang w:val="fr-SN"/>
                        </w:rPr>
                      </w:pPr>
                      <w:r>
                        <w:rPr>
                          <w:lang w:val="fr-FR"/>
                        </w:rPr>
                        <w:t>Groupe d’emballage III ou groupe de niveau inférieur</w:t>
                      </w:r>
                    </w:p>
                  </w:txbxContent>
                </v:textbox>
              </v:shape>
            </w:pict>
          </mc:Fallback>
        </mc:AlternateContent>
      </w:r>
      <w:r w:rsidR="00081DEF" w:rsidRPr="00B30878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D39B56" wp14:editId="23FB1BF8">
                <wp:simplePos x="0" y="0"/>
                <wp:positionH relativeFrom="column">
                  <wp:posOffset>1489710</wp:posOffset>
                </wp:positionH>
                <wp:positionV relativeFrom="paragraph">
                  <wp:posOffset>1871980</wp:posOffset>
                </wp:positionV>
                <wp:extent cx="1266825" cy="5143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55232" w14:textId="77777777" w:rsidR="00081DEF" w:rsidRPr="00525828" w:rsidRDefault="00081DEF" w:rsidP="00081DEF">
                            <w:pPr>
                              <w:jc w:val="center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525828">
                              <w:rPr>
                                <w:b/>
                                <w:bCs/>
                                <w:lang w:val="fr-FR"/>
                              </w:rPr>
                              <w:t>La division 6.1</w:t>
                            </w:r>
                          </w:p>
                          <w:p w14:paraId="754F11F7" w14:textId="77777777" w:rsidR="00081DEF" w:rsidRPr="00525828" w:rsidRDefault="00081DEF" w:rsidP="00081DEF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525828">
                              <w:rPr>
                                <w:lang w:val="fr-FR"/>
                              </w:rPr>
                              <w:t>a prépondérance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39B56" id="_x0000_s1029" type="#_x0000_t202" style="position:absolute;left:0;text-align:left;margin-left:117.3pt;margin-top:147.4pt;width:99.75pt;height:4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" fillcolor="#a5a5a5 [2092]">
                <v:textbox>
                  <w:txbxContent>
                    <w:p w14:paraId="24A55232" w14:textId="77777777" w:rsidR="00081DEF" w:rsidRPr="00525828" w:rsidRDefault="00081DEF" w:rsidP="00081DEF">
                      <w:pPr>
                        <w:jc w:val="center"/>
                        <w:rPr>
                          <w:b/>
                          <w:bCs/>
                          <w:lang w:val="fr-FR"/>
                        </w:rPr>
                      </w:pPr>
                      <w:r w:rsidRPr="00525828">
                        <w:rPr>
                          <w:b/>
                          <w:bCs/>
                          <w:lang w:val="fr-FR"/>
                        </w:rPr>
                        <w:t>La division 6.1</w:t>
                      </w:r>
                    </w:p>
                    <w:p w14:paraId="754F11F7" w14:textId="77777777" w:rsidR="00081DEF" w:rsidRPr="00525828" w:rsidRDefault="00081DEF" w:rsidP="00081DEF">
                      <w:pPr>
                        <w:jc w:val="center"/>
                        <w:rPr>
                          <w:lang w:val="fr-FR"/>
                        </w:rPr>
                      </w:pPr>
                      <w:r w:rsidRPr="00525828">
                        <w:rPr>
                          <w:lang w:val="fr-FR"/>
                        </w:rPr>
                        <w:t>a prépondérance</w:t>
                      </w:r>
                    </w:p>
                  </w:txbxContent>
                </v:textbox>
              </v:shape>
            </w:pict>
          </mc:Fallback>
        </mc:AlternateContent>
      </w:r>
      <w:r w:rsidR="00081DEF" w:rsidRPr="00B30878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6CB7F5" wp14:editId="1F20F9D9">
                <wp:simplePos x="0" y="0"/>
                <wp:positionH relativeFrom="column">
                  <wp:posOffset>3676650</wp:posOffset>
                </wp:positionH>
                <wp:positionV relativeFrom="paragraph">
                  <wp:posOffset>1893570</wp:posOffset>
                </wp:positionV>
                <wp:extent cx="1181100" cy="5143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3780F" w14:textId="77777777" w:rsidR="00081DEF" w:rsidRPr="00525828" w:rsidRDefault="00081DEF" w:rsidP="00081DEF">
                            <w:pPr>
                              <w:jc w:val="center"/>
                              <w:rPr>
                                <w:b/>
                                <w:bCs/>
                                <w:lang w:val="fr-SN"/>
                              </w:rPr>
                            </w:pPr>
                            <w:r w:rsidRPr="00525828">
                              <w:rPr>
                                <w:b/>
                                <w:bCs/>
                                <w:lang w:val="fr-SN"/>
                              </w:rPr>
                              <w:t>La class</w:t>
                            </w:r>
                            <w:r>
                              <w:rPr>
                                <w:b/>
                                <w:bCs/>
                                <w:lang w:val="fr-SN"/>
                              </w:rPr>
                              <w:t>e</w:t>
                            </w:r>
                            <w:r w:rsidRPr="00525828">
                              <w:rPr>
                                <w:b/>
                                <w:bCs/>
                                <w:lang w:val="fr-SN"/>
                              </w:rPr>
                              <w:t xml:space="preserve"> 8</w:t>
                            </w:r>
                          </w:p>
                          <w:p w14:paraId="4451A24D" w14:textId="77777777" w:rsidR="00081DEF" w:rsidRPr="00525828" w:rsidRDefault="00081DEF" w:rsidP="00081DEF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525828">
                              <w:rPr>
                                <w:lang w:val="fr-FR"/>
                              </w:rPr>
                              <w:t>a prépondérance</w:t>
                            </w:r>
                          </w:p>
                          <w:p w14:paraId="0ACC4F6C" w14:textId="77777777" w:rsidR="00081DEF" w:rsidRPr="00525828" w:rsidRDefault="00081DEF" w:rsidP="00081DEF">
                            <w:pPr>
                              <w:jc w:val="center"/>
                              <w:rPr>
                                <w:lang w:val="fr-S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CB7F5" id="_x0000_s1030" type="#_x0000_t202" style="position:absolute;left:0;text-align:left;margin-left:289.5pt;margin-top:149.1pt;width:93pt;height:4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" fillcolor="#a5a5a5 [2092]">
                <v:textbox>
                  <w:txbxContent>
                    <w:p w14:paraId="11F3780F" w14:textId="77777777" w:rsidR="00081DEF" w:rsidRPr="00525828" w:rsidRDefault="00081DEF" w:rsidP="00081DEF">
                      <w:pPr>
                        <w:jc w:val="center"/>
                        <w:rPr>
                          <w:b/>
                          <w:bCs/>
                          <w:lang w:val="fr-SN"/>
                        </w:rPr>
                      </w:pPr>
                      <w:r w:rsidRPr="00525828">
                        <w:rPr>
                          <w:b/>
                          <w:bCs/>
                          <w:lang w:val="fr-SN"/>
                        </w:rPr>
                        <w:t>La class</w:t>
                      </w:r>
                      <w:r>
                        <w:rPr>
                          <w:b/>
                          <w:bCs/>
                          <w:lang w:val="fr-SN"/>
                        </w:rPr>
                        <w:t>e</w:t>
                      </w:r>
                      <w:r w:rsidRPr="00525828">
                        <w:rPr>
                          <w:b/>
                          <w:bCs/>
                          <w:lang w:val="fr-SN"/>
                        </w:rPr>
                        <w:t xml:space="preserve"> 8</w:t>
                      </w:r>
                    </w:p>
                    <w:p w14:paraId="4451A24D" w14:textId="77777777" w:rsidR="00081DEF" w:rsidRPr="00525828" w:rsidRDefault="00081DEF" w:rsidP="00081DEF">
                      <w:pPr>
                        <w:jc w:val="center"/>
                        <w:rPr>
                          <w:lang w:val="fr-FR"/>
                        </w:rPr>
                      </w:pPr>
                      <w:r w:rsidRPr="00525828">
                        <w:rPr>
                          <w:lang w:val="fr-FR"/>
                        </w:rPr>
                        <w:t>a prépondérance</w:t>
                      </w:r>
                    </w:p>
                    <w:p w14:paraId="0ACC4F6C" w14:textId="77777777" w:rsidR="00081DEF" w:rsidRPr="00525828" w:rsidRDefault="00081DEF" w:rsidP="00081DEF">
                      <w:pPr>
                        <w:jc w:val="center"/>
                        <w:rPr>
                          <w:lang w:val="fr-S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1DEF" w:rsidRPr="00B30878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C8A3C2" wp14:editId="683F4A5A">
                <wp:simplePos x="0" y="0"/>
                <wp:positionH relativeFrom="column">
                  <wp:posOffset>1289685</wp:posOffset>
                </wp:positionH>
                <wp:positionV relativeFrom="paragraph">
                  <wp:posOffset>605155</wp:posOffset>
                </wp:positionV>
                <wp:extent cx="1635125" cy="866775"/>
                <wp:effectExtent l="0" t="0" r="2222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928D5" w14:textId="49A98660" w:rsidR="00081DEF" w:rsidRPr="00755CC8" w:rsidRDefault="00081DEF" w:rsidP="00081DEF">
                            <w:pPr>
                              <w:jc w:val="center"/>
                              <w:rPr>
                                <w:lang w:val="fr-SN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Toxicité à l</w:t>
                            </w:r>
                            <w:r>
                              <w:rPr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lang w:val="fr-FR"/>
                              </w:rPr>
                              <w:t>ingestion</w:t>
                            </w:r>
                          </w:p>
                          <w:p w14:paraId="0BC044FB" w14:textId="77777777" w:rsidR="00081DEF" w:rsidRPr="00755CC8" w:rsidRDefault="00081DEF" w:rsidP="00081DEF">
                            <w:pPr>
                              <w:jc w:val="center"/>
                              <w:rPr>
                                <w:b/>
                                <w:bCs/>
                                <w:lang w:val="fr-S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ou</w:t>
                            </w:r>
                          </w:p>
                          <w:p w14:paraId="6A22FD3D" w14:textId="30C97EB5" w:rsidR="00081DEF" w:rsidRPr="00755CC8" w:rsidRDefault="00081DEF" w:rsidP="00081DEF">
                            <w:pPr>
                              <w:jc w:val="center"/>
                              <w:rPr>
                                <w:lang w:val="fr-SN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Toxicité à l</w:t>
                            </w:r>
                            <w:r>
                              <w:rPr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lang w:val="fr-FR"/>
                              </w:rPr>
                              <w:t>absorption cutanée</w:t>
                            </w:r>
                          </w:p>
                          <w:p w14:paraId="5B5A05DE" w14:textId="777A772D" w:rsidR="00081DEF" w:rsidRDefault="00081DEF" w:rsidP="00081DEF">
                            <w:pPr>
                              <w:jc w:val="center"/>
                            </w:pPr>
                            <w:r>
                              <w:rPr>
                                <w:lang w:val="fr-FR"/>
                              </w:rPr>
                              <w:t>Groupe d’emballage</w:t>
                            </w:r>
                            <w:r>
                              <w:rPr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lang w:val="fr-FR"/>
                              </w:rPr>
                              <w:t>I ou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8A3C2" id="_x0000_s1031" type="#_x0000_t202" style="position:absolute;left:0;text-align:left;margin-left:101.55pt;margin-top:47.65pt;width:128.7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" fillcolor="#d8d8d8 [2732]">
                <v:textbox>
                  <w:txbxContent>
                    <w:p w14:paraId="219928D5" w14:textId="49A98660" w:rsidR="00081DEF" w:rsidRPr="00755CC8" w:rsidRDefault="00081DEF" w:rsidP="00081DEF">
                      <w:pPr>
                        <w:jc w:val="center"/>
                        <w:rPr>
                          <w:lang w:val="fr-SN"/>
                        </w:rPr>
                      </w:pPr>
                      <w:r>
                        <w:rPr>
                          <w:lang w:val="fr-FR"/>
                        </w:rPr>
                        <w:t>Toxicité à l</w:t>
                      </w:r>
                      <w:r>
                        <w:rPr>
                          <w:lang w:val="fr-FR"/>
                        </w:rPr>
                        <w:t>’</w:t>
                      </w:r>
                      <w:r>
                        <w:rPr>
                          <w:lang w:val="fr-FR"/>
                        </w:rPr>
                        <w:t>ingestion</w:t>
                      </w:r>
                    </w:p>
                    <w:p w14:paraId="0BC044FB" w14:textId="77777777" w:rsidR="00081DEF" w:rsidRPr="00755CC8" w:rsidRDefault="00081DEF" w:rsidP="00081DEF">
                      <w:pPr>
                        <w:jc w:val="center"/>
                        <w:rPr>
                          <w:b/>
                          <w:bCs/>
                          <w:lang w:val="fr-SN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ou</w:t>
                      </w:r>
                    </w:p>
                    <w:p w14:paraId="6A22FD3D" w14:textId="30C97EB5" w:rsidR="00081DEF" w:rsidRPr="00755CC8" w:rsidRDefault="00081DEF" w:rsidP="00081DEF">
                      <w:pPr>
                        <w:jc w:val="center"/>
                        <w:rPr>
                          <w:lang w:val="fr-SN"/>
                        </w:rPr>
                      </w:pPr>
                      <w:r>
                        <w:rPr>
                          <w:lang w:val="fr-FR"/>
                        </w:rPr>
                        <w:t>Toxicité à l</w:t>
                      </w:r>
                      <w:r>
                        <w:rPr>
                          <w:lang w:val="fr-FR"/>
                        </w:rPr>
                        <w:t>’</w:t>
                      </w:r>
                      <w:r>
                        <w:rPr>
                          <w:lang w:val="fr-FR"/>
                        </w:rPr>
                        <w:t>absorption cutanée</w:t>
                      </w:r>
                    </w:p>
                    <w:p w14:paraId="5B5A05DE" w14:textId="777A772D" w:rsidR="00081DEF" w:rsidRDefault="00081DEF" w:rsidP="00081DEF">
                      <w:pPr>
                        <w:jc w:val="center"/>
                      </w:pPr>
                      <w:r>
                        <w:rPr>
                          <w:lang w:val="fr-FR"/>
                        </w:rPr>
                        <w:t>Groupe d’emballage</w:t>
                      </w:r>
                      <w:r>
                        <w:rPr>
                          <w:lang w:val="fr-FR"/>
                        </w:rPr>
                        <w:t> </w:t>
                      </w:r>
                      <w:r>
                        <w:rPr>
                          <w:lang w:val="fr-FR"/>
                        </w:rPr>
                        <w:t>I ou II</w:t>
                      </w:r>
                    </w:p>
                  </w:txbxContent>
                </v:textbox>
              </v:shape>
            </w:pict>
          </mc:Fallback>
        </mc:AlternateContent>
      </w:r>
      <w:r w:rsidR="00081DEF" w:rsidRPr="00B30878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1448B8" wp14:editId="28369582">
                <wp:simplePos x="0" y="0"/>
                <wp:positionH relativeFrom="column">
                  <wp:posOffset>2804160</wp:posOffset>
                </wp:positionH>
                <wp:positionV relativeFrom="paragraph">
                  <wp:posOffset>-5080</wp:posOffset>
                </wp:positionV>
                <wp:extent cx="927100" cy="311150"/>
                <wp:effectExtent l="0" t="0" r="2540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31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856D4" w14:textId="77777777" w:rsidR="00081DEF" w:rsidRPr="00B55276" w:rsidRDefault="00081DEF" w:rsidP="00081DE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Matière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448B8" id="_x0000_s1032" type="#_x0000_t202" style="position:absolute;left:0;text-align:left;margin-left:220.8pt;margin-top:-.4pt;width:73pt;height:2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" fillcolor="#d8d8d8 [2732]">
                <v:textbox>
                  <w:txbxContent>
                    <w:p w14:paraId="414856D4" w14:textId="77777777" w:rsidR="00081DEF" w:rsidRPr="00B55276" w:rsidRDefault="00081DEF" w:rsidP="00081DEF">
                      <w:pPr>
                        <w:jc w:val="center"/>
                      </w:pPr>
                      <w:r>
                        <w:rPr>
                          <w:b/>
                          <w:bCs/>
                          <w:lang w:val="fr-FR"/>
                        </w:rPr>
                        <w:t>Matière A</w:t>
                      </w:r>
                    </w:p>
                  </w:txbxContent>
                </v:textbox>
              </v:shape>
            </w:pict>
          </mc:Fallback>
        </mc:AlternateContent>
      </w:r>
      <w:r w:rsidR="00081DEF" w:rsidRPr="00B30878">
        <w:rPr>
          <w:noProof/>
          <w:lang w:val="fr-FR" w:eastAsia="ko-KR"/>
        </w:rPr>
        <w:drawing>
          <wp:inline distT="0" distB="0" distL="0" distR="0" wp14:anchorId="51126DD3" wp14:editId="4B0C0A13">
            <wp:extent cx="3495675" cy="24003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6D9D9" w14:textId="3B29E832" w:rsidR="00081DEF" w:rsidRPr="00B30878" w:rsidRDefault="00081DEF" w:rsidP="00081DEF">
      <w:pPr>
        <w:pStyle w:val="SingleTxtG"/>
        <w:kinsoku/>
        <w:overflowPunct/>
        <w:autoSpaceDE/>
        <w:autoSpaceDN/>
        <w:adjustRightInd/>
        <w:snapToGrid/>
        <w:spacing w:before="240"/>
        <w:rPr>
          <w:lang w:val="fr-FR"/>
        </w:rPr>
      </w:pPr>
      <w:r w:rsidRPr="00B30878">
        <w:rPr>
          <w:lang w:val="fr-FR"/>
        </w:rPr>
        <w:t>6.</w:t>
      </w:r>
      <w:r w:rsidRPr="00B30878">
        <w:rPr>
          <w:lang w:val="fr-FR"/>
        </w:rPr>
        <w:tab/>
        <w:t>Conformément au nota du 2.6.2.2.4.1, si une matière répond aux critères du groupe d</w:t>
      </w:r>
      <w:r>
        <w:rPr>
          <w:lang w:val="fr-FR"/>
        </w:rPr>
        <w:t>’</w:t>
      </w:r>
      <w:r w:rsidRPr="00B30878">
        <w:rPr>
          <w:lang w:val="fr-FR"/>
        </w:rPr>
        <w:t>emballage</w:t>
      </w:r>
      <w:r>
        <w:rPr>
          <w:lang w:val="fr-FR"/>
        </w:rPr>
        <w:t> </w:t>
      </w:r>
      <w:r w:rsidRPr="00B30878">
        <w:rPr>
          <w:lang w:val="fr-FR"/>
        </w:rPr>
        <w:t>I ou II pour la toxicité à l</w:t>
      </w:r>
      <w:r>
        <w:rPr>
          <w:lang w:val="fr-FR"/>
        </w:rPr>
        <w:t>’</w:t>
      </w:r>
      <w:r w:rsidRPr="00B30878">
        <w:rPr>
          <w:lang w:val="fr-FR"/>
        </w:rPr>
        <w:t xml:space="preserve">absorption cutanée </w:t>
      </w:r>
      <w:r w:rsidRPr="00646D2F">
        <w:rPr>
          <w:u w:val="single"/>
          <w:lang w:val="fr-FR"/>
        </w:rPr>
        <w:t>ou</w:t>
      </w:r>
      <w:r w:rsidRPr="00B30878">
        <w:rPr>
          <w:lang w:val="fr-FR"/>
        </w:rPr>
        <w:t xml:space="preserve"> la toxicité à l</w:t>
      </w:r>
      <w:r>
        <w:rPr>
          <w:lang w:val="fr-FR"/>
        </w:rPr>
        <w:t>’</w:t>
      </w:r>
      <w:r w:rsidRPr="00B30878">
        <w:rPr>
          <w:lang w:val="fr-FR"/>
        </w:rPr>
        <w:t xml:space="preserve">ingestion, </w:t>
      </w:r>
      <w:r>
        <w:rPr>
          <w:lang w:val="fr-FR"/>
        </w:rPr>
        <w:t xml:space="preserve">la </w:t>
      </w:r>
      <w:r w:rsidRPr="00B30878">
        <w:rPr>
          <w:lang w:val="fr-FR"/>
        </w:rPr>
        <w:t>division</w:t>
      </w:r>
      <w:r>
        <w:rPr>
          <w:lang w:val="fr-FR"/>
        </w:rPr>
        <w:t> </w:t>
      </w:r>
      <w:r w:rsidRPr="00B30878">
        <w:rPr>
          <w:lang w:val="fr-FR"/>
        </w:rPr>
        <w:t>6.1</w:t>
      </w:r>
      <w:r>
        <w:rPr>
          <w:lang w:val="fr-FR"/>
        </w:rPr>
        <w:t xml:space="preserve"> a prépondérance</w:t>
      </w:r>
      <w:r w:rsidRPr="00B30878">
        <w:rPr>
          <w:lang w:val="fr-FR"/>
        </w:rPr>
        <w:t>. Par conséquent, pour que la classe</w:t>
      </w:r>
      <w:r>
        <w:rPr>
          <w:lang w:val="fr-FR"/>
        </w:rPr>
        <w:t> </w:t>
      </w:r>
      <w:r w:rsidRPr="00B30878">
        <w:rPr>
          <w:lang w:val="fr-FR"/>
        </w:rPr>
        <w:t xml:space="preserve">8 ait prépondérance, </w:t>
      </w:r>
      <w:r w:rsidRPr="00646D2F">
        <w:rPr>
          <w:u w:val="single"/>
          <w:lang w:val="fr-FR"/>
        </w:rPr>
        <w:t>la toxicité à l</w:t>
      </w:r>
      <w:r>
        <w:rPr>
          <w:u w:val="single"/>
          <w:lang w:val="fr-FR"/>
        </w:rPr>
        <w:t>’</w:t>
      </w:r>
      <w:r w:rsidRPr="00646D2F">
        <w:rPr>
          <w:u w:val="single"/>
          <w:lang w:val="fr-FR"/>
        </w:rPr>
        <w:t>absorption cutanée et la toxicité à l</w:t>
      </w:r>
      <w:r>
        <w:rPr>
          <w:u w:val="single"/>
          <w:lang w:val="fr-FR"/>
        </w:rPr>
        <w:t>’</w:t>
      </w:r>
      <w:r w:rsidRPr="00646D2F">
        <w:rPr>
          <w:u w:val="single"/>
          <w:lang w:val="fr-FR"/>
        </w:rPr>
        <w:t>ingestion doivent correspondre au groupe d</w:t>
      </w:r>
      <w:r>
        <w:rPr>
          <w:u w:val="single"/>
          <w:lang w:val="fr-FR"/>
        </w:rPr>
        <w:t>’</w:t>
      </w:r>
      <w:r w:rsidRPr="00646D2F">
        <w:rPr>
          <w:u w:val="single"/>
          <w:lang w:val="fr-FR"/>
        </w:rPr>
        <w:t>emballage</w:t>
      </w:r>
      <w:r>
        <w:rPr>
          <w:u w:val="single"/>
          <w:lang w:val="fr-FR"/>
        </w:rPr>
        <w:t> </w:t>
      </w:r>
      <w:r w:rsidRPr="00646D2F">
        <w:rPr>
          <w:u w:val="single"/>
          <w:lang w:val="fr-FR"/>
        </w:rPr>
        <w:t>III ou à un groupe de niveau inférieur</w:t>
      </w:r>
      <w:r w:rsidRPr="00B30878">
        <w:rPr>
          <w:lang w:val="fr-FR"/>
        </w:rPr>
        <w:t>. Si l</w:t>
      </w:r>
      <w:r>
        <w:rPr>
          <w:lang w:val="fr-FR"/>
        </w:rPr>
        <w:t>’</w:t>
      </w:r>
      <w:r w:rsidRPr="00B30878">
        <w:rPr>
          <w:lang w:val="fr-FR"/>
        </w:rPr>
        <w:t>une d</w:t>
      </w:r>
      <w:r>
        <w:rPr>
          <w:lang w:val="fr-FR"/>
        </w:rPr>
        <w:t>’</w:t>
      </w:r>
      <w:r w:rsidRPr="00B30878">
        <w:rPr>
          <w:lang w:val="fr-FR"/>
        </w:rPr>
        <w:t>entre elles (toxicité à l</w:t>
      </w:r>
      <w:r>
        <w:rPr>
          <w:lang w:val="fr-FR"/>
        </w:rPr>
        <w:t>’</w:t>
      </w:r>
      <w:r w:rsidRPr="00B30878">
        <w:rPr>
          <w:lang w:val="fr-FR"/>
        </w:rPr>
        <w:t>absorption cutanée ou toxicité à l</w:t>
      </w:r>
      <w:r>
        <w:rPr>
          <w:lang w:val="fr-FR"/>
        </w:rPr>
        <w:t>’</w:t>
      </w:r>
      <w:r w:rsidRPr="00B30878">
        <w:rPr>
          <w:lang w:val="fr-FR"/>
        </w:rPr>
        <w:t>ingestion) ne correspond pas au groupe d</w:t>
      </w:r>
      <w:r>
        <w:rPr>
          <w:lang w:val="fr-FR"/>
        </w:rPr>
        <w:t>’</w:t>
      </w:r>
      <w:r w:rsidRPr="00B30878">
        <w:rPr>
          <w:lang w:val="fr-FR"/>
        </w:rPr>
        <w:t>emballage</w:t>
      </w:r>
      <w:r>
        <w:rPr>
          <w:lang w:val="fr-FR"/>
        </w:rPr>
        <w:t> </w:t>
      </w:r>
      <w:r w:rsidRPr="00B30878">
        <w:rPr>
          <w:lang w:val="fr-FR"/>
        </w:rPr>
        <w:t xml:space="preserve">III ou à un groupe de niveau inférieur, </w:t>
      </w:r>
      <w:r>
        <w:rPr>
          <w:lang w:val="fr-FR"/>
        </w:rPr>
        <w:t>c’est alors</w:t>
      </w:r>
      <w:r w:rsidRPr="00B30878">
        <w:rPr>
          <w:lang w:val="fr-FR"/>
        </w:rPr>
        <w:t xml:space="preserve"> la division</w:t>
      </w:r>
      <w:r>
        <w:rPr>
          <w:lang w:val="fr-FR"/>
        </w:rPr>
        <w:t> </w:t>
      </w:r>
      <w:r w:rsidRPr="00B30878">
        <w:rPr>
          <w:lang w:val="fr-FR"/>
        </w:rPr>
        <w:t>6.1</w:t>
      </w:r>
      <w:r>
        <w:rPr>
          <w:lang w:val="fr-FR"/>
        </w:rPr>
        <w:t xml:space="preserve"> qui a prépondérance</w:t>
      </w:r>
      <w:r w:rsidRPr="00B30878">
        <w:rPr>
          <w:lang w:val="fr-FR"/>
        </w:rPr>
        <w:t>, comme indiqué ci-dessus.</w:t>
      </w:r>
    </w:p>
    <w:p w14:paraId="39F03937" w14:textId="77777777" w:rsidR="00081DEF" w:rsidRPr="00B30878" w:rsidRDefault="00081DEF" w:rsidP="00081DEF">
      <w:pPr>
        <w:pStyle w:val="HChG"/>
        <w:rPr>
          <w:rFonts w:eastAsia="Times New Roman"/>
          <w:lang w:val="fr-FR"/>
        </w:rPr>
      </w:pPr>
      <w:r w:rsidRPr="00B30878">
        <w:rPr>
          <w:lang w:val="fr-FR"/>
        </w:rPr>
        <w:tab/>
      </w:r>
      <w:r w:rsidRPr="00B30878">
        <w:rPr>
          <w:lang w:val="fr-FR"/>
        </w:rPr>
        <w:tab/>
      </w:r>
      <w:r w:rsidRPr="00B30878">
        <w:rPr>
          <w:lang w:val="fr-FR"/>
        </w:rPr>
        <w:tab/>
      </w:r>
      <w:r w:rsidRPr="00B30878">
        <w:rPr>
          <w:bCs/>
          <w:lang w:val="fr-FR"/>
        </w:rPr>
        <w:t>Proposition</w:t>
      </w:r>
    </w:p>
    <w:p w14:paraId="4FCFD596" w14:textId="77777777" w:rsidR="00081DEF" w:rsidRPr="00B30878" w:rsidRDefault="00081DEF" w:rsidP="00081DEF">
      <w:pPr>
        <w:pStyle w:val="SingleTxtG"/>
        <w:kinsoku/>
        <w:overflowPunct/>
        <w:autoSpaceDE/>
        <w:autoSpaceDN/>
        <w:adjustRightInd/>
        <w:snapToGrid/>
        <w:rPr>
          <w:lang w:val="fr-FR"/>
        </w:rPr>
      </w:pPr>
      <w:r w:rsidRPr="00B30878">
        <w:rPr>
          <w:lang w:val="fr-FR"/>
        </w:rPr>
        <w:t>7.</w:t>
      </w:r>
      <w:r w:rsidRPr="00B30878">
        <w:rPr>
          <w:lang w:val="fr-FR"/>
        </w:rPr>
        <w:tab/>
        <w:t>Aux fins de l</w:t>
      </w:r>
      <w:r>
        <w:rPr>
          <w:lang w:val="fr-FR"/>
        </w:rPr>
        <w:t>’</w:t>
      </w:r>
      <w:r w:rsidRPr="00B30878">
        <w:rPr>
          <w:lang w:val="fr-FR"/>
        </w:rPr>
        <w:t>harmonisation dans la détermination de la prépondérance des classes, il est proposé d</w:t>
      </w:r>
      <w:r>
        <w:rPr>
          <w:lang w:val="fr-FR"/>
        </w:rPr>
        <w:t>’</w:t>
      </w:r>
      <w:r w:rsidRPr="00B30878">
        <w:rPr>
          <w:lang w:val="fr-FR"/>
        </w:rPr>
        <w:t xml:space="preserve">apporter les modifications suivantes (les modifications proposées figurent en caractères </w:t>
      </w:r>
      <w:r w:rsidRPr="00B30878">
        <w:rPr>
          <w:strike/>
          <w:lang w:val="fr-FR"/>
        </w:rPr>
        <w:t>biffés</w:t>
      </w:r>
      <w:r w:rsidRPr="00B30878">
        <w:rPr>
          <w:lang w:val="fr-FR"/>
        </w:rPr>
        <w:t xml:space="preserve"> pour les suppressions et </w:t>
      </w:r>
      <w:r w:rsidRPr="00B30878">
        <w:rPr>
          <w:u w:val="single"/>
          <w:lang w:val="fr-FR"/>
        </w:rPr>
        <w:t>soulignés</w:t>
      </w:r>
      <w:r w:rsidRPr="00B30878">
        <w:rPr>
          <w:lang w:val="fr-FR"/>
        </w:rPr>
        <w:t xml:space="preserve"> pour les ajouts) :</w:t>
      </w:r>
    </w:p>
    <w:p w14:paraId="7341B6D4" w14:textId="77777777" w:rsidR="00081DEF" w:rsidRPr="00B30878" w:rsidRDefault="00081DEF" w:rsidP="00081DEF">
      <w:pPr>
        <w:pStyle w:val="SingleTxtG"/>
        <w:kinsoku/>
        <w:overflowPunct/>
        <w:autoSpaceDE/>
        <w:autoSpaceDN/>
        <w:adjustRightInd/>
        <w:snapToGrid/>
        <w:rPr>
          <w:lang w:val="fr-FR"/>
        </w:rPr>
      </w:pPr>
      <w:r w:rsidRPr="00B30878">
        <w:rPr>
          <w:lang w:val="fr-FR"/>
        </w:rPr>
        <w:t>8.</w:t>
      </w:r>
      <w:r w:rsidRPr="00B30878">
        <w:rPr>
          <w:lang w:val="fr-FR"/>
        </w:rPr>
        <w:tab/>
        <w:t>Note de bas de page 3 du 2.0.3.1, lire :</w:t>
      </w:r>
    </w:p>
    <w:p w14:paraId="3B0FCCF7" w14:textId="400A9279" w:rsidR="00081DEF" w:rsidRPr="00B30878" w:rsidRDefault="00081DEF" w:rsidP="00081DEF">
      <w:pPr>
        <w:spacing w:after="120"/>
        <w:ind w:left="1701" w:right="1140"/>
        <w:jc w:val="both"/>
        <w:rPr>
          <w:i/>
          <w:color w:val="000000" w:themeColor="text1"/>
          <w:lang w:val="fr-FR"/>
        </w:rPr>
      </w:pPr>
      <w:r w:rsidRPr="00B30878">
        <w:rPr>
          <w:i/>
          <w:iCs/>
          <w:lang w:val="fr-FR"/>
        </w:rPr>
        <w:t>« </w:t>
      </w:r>
      <w:r w:rsidRPr="00B30878">
        <w:rPr>
          <w:i/>
          <w:iCs/>
          <w:vertAlign w:val="superscript"/>
          <w:lang w:val="fr-FR"/>
        </w:rPr>
        <w:t>3</w:t>
      </w:r>
      <w:r w:rsidRPr="00B30878">
        <w:rPr>
          <w:lang w:val="fr-FR"/>
        </w:rPr>
        <w:tab/>
      </w:r>
      <w:r w:rsidRPr="00B30878">
        <w:rPr>
          <w:i/>
          <w:iCs/>
          <w:lang w:val="fr-FR"/>
        </w:rPr>
        <w:t>Sauf pour les matières ou les préparations répondant aux critères de la classe</w:t>
      </w:r>
      <w:r>
        <w:rPr>
          <w:i/>
          <w:iCs/>
          <w:lang w:val="fr-FR"/>
        </w:rPr>
        <w:t> </w:t>
      </w:r>
      <w:r w:rsidRPr="00B30878">
        <w:rPr>
          <w:i/>
          <w:iCs/>
          <w:lang w:val="fr-FR"/>
        </w:rPr>
        <w:t>8 dont la toxicité à l</w:t>
      </w:r>
      <w:r>
        <w:rPr>
          <w:i/>
          <w:iCs/>
          <w:lang w:val="fr-FR"/>
        </w:rPr>
        <w:t>’</w:t>
      </w:r>
      <w:r w:rsidRPr="00B30878">
        <w:rPr>
          <w:i/>
          <w:iCs/>
          <w:lang w:val="fr-FR"/>
        </w:rPr>
        <w:t>inhalation de poussières et de brouillards (CL</w:t>
      </w:r>
      <w:r w:rsidRPr="00646D2F">
        <w:rPr>
          <w:i/>
          <w:iCs/>
          <w:vertAlign w:val="subscript"/>
          <w:lang w:val="fr-FR"/>
        </w:rPr>
        <w:t>50</w:t>
      </w:r>
      <w:r w:rsidRPr="00B30878">
        <w:rPr>
          <w:i/>
          <w:iCs/>
          <w:lang w:val="fr-FR"/>
        </w:rPr>
        <w:t>) correspond au groupe d</w:t>
      </w:r>
      <w:r>
        <w:rPr>
          <w:i/>
          <w:iCs/>
          <w:lang w:val="fr-FR"/>
        </w:rPr>
        <w:t>’</w:t>
      </w:r>
      <w:r w:rsidRPr="00B30878">
        <w:rPr>
          <w:i/>
          <w:iCs/>
          <w:lang w:val="fr-FR"/>
        </w:rPr>
        <w:t xml:space="preserve">emballage I, mais </w:t>
      </w:r>
      <w:r>
        <w:rPr>
          <w:i/>
          <w:iCs/>
          <w:lang w:val="fr-FR"/>
        </w:rPr>
        <w:t>dont la</w:t>
      </w:r>
      <w:r w:rsidRPr="00B30878">
        <w:rPr>
          <w:i/>
          <w:iCs/>
          <w:lang w:val="fr-FR"/>
        </w:rPr>
        <w:t xml:space="preserve"> toxicité à l</w:t>
      </w:r>
      <w:r>
        <w:rPr>
          <w:i/>
          <w:iCs/>
          <w:lang w:val="fr-FR"/>
        </w:rPr>
        <w:t>’</w:t>
      </w:r>
      <w:r w:rsidRPr="00B30878">
        <w:rPr>
          <w:i/>
          <w:iCs/>
          <w:lang w:val="fr-FR"/>
        </w:rPr>
        <w:t xml:space="preserve">ingestion </w:t>
      </w:r>
      <w:r w:rsidRPr="00B30878">
        <w:rPr>
          <w:i/>
          <w:iCs/>
          <w:u w:val="single"/>
          <w:lang w:val="fr-FR"/>
        </w:rPr>
        <w:t>et</w:t>
      </w:r>
      <w:r w:rsidRPr="00B30878">
        <w:rPr>
          <w:i/>
          <w:iCs/>
          <w:lang w:val="fr-FR"/>
        </w:rPr>
        <w:t xml:space="preserve"> </w:t>
      </w:r>
      <w:r w:rsidRPr="00B30878">
        <w:rPr>
          <w:i/>
          <w:iCs/>
          <w:strike/>
          <w:lang w:val="fr-FR"/>
        </w:rPr>
        <w:t>ou</w:t>
      </w:r>
      <w:r w:rsidRPr="00B30878">
        <w:rPr>
          <w:i/>
          <w:iCs/>
          <w:lang w:val="fr-FR"/>
        </w:rPr>
        <w:t xml:space="preserve"> à l</w:t>
      </w:r>
      <w:r>
        <w:rPr>
          <w:i/>
          <w:iCs/>
          <w:lang w:val="fr-FR"/>
        </w:rPr>
        <w:t>’</w:t>
      </w:r>
      <w:r w:rsidRPr="00B30878">
        <w:rPr>
          <w:i/>
          <w:iCs/>
          <w:lang w:val="fr-FR"/>
        </w:rPr>
        <w:t xml:space="preserve">absorption cutanée </w:t>
      </w:r>
      <w:r w:rsidRPr="00B30878">
        <w:rPr>
          <w:i/>
          <w:iCs/>
          <w:strike/>
          <w:lang w:val="fr-FR"/>
        </w:rPr>
        <w:t>seulement</w:t>
      </w:r>
      <w:r w:rsidRPr="00B30878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>correspond au</w:t>
      </w:r>
      <w:r w:rsidRPr="00B30878">
        <w:rPr>
          <w:i/>
          <w:iCs/>
          <w:lang w:val="fr-FR"/>
        </w:rPr>
        <w:t xml:space="preserve"> groupe d</w:t>
      </w:r>
      <w:r>
        <w:rPr>
          <w:i/>
          <w:iCs/>
          <w:lang w:val="fr-FR"/>
        </w:rPr>
        <w:t>’</w:t>
      </w:r>
      <w:r w:rsidRPr="00B30878">
        <w:rPr>
          <w:i/>
          <w:iCs/>
          <w:lang w:val="fr-FR"/>
        </w:rPr>
        <w:t>emballage III ou moins. Ces</w:t>
      </w:r>
      <w:r>
        <w:rPr>
          <w:i/>
          <w:iCs/>
          <w:lang w:val="fr-FR"/>
        </w:rPr>
        <w:t> </w:t>
      </w:r>
      <w:r w:rsidRPr="00B30878">
        <w:rPr>
          <w:i/>
          <w:iCs/>
          <w:lang w:val="fr-FR"/>
        </w:rPr>
        <w:t>matières ou préparations doivent être affectées à la classe</w:t>
      </w:r>
      <w:r>
        <w:rPr>
          <w:i/>
          <w:iCs/>
          <w:lang w:val="fr-FR"/>
        </w:rPr>
        <w:t> </w:t>
      </w:r>
      <w:r w:rsidRPr="00B30878">
        <w:rPr>
          <w:i/>
          <w:iCs/>
          <w:lang w:val="fr-FR"/>
        </w:rPr>
        <w:t xml:space="preserve">8 </w:t>
      </w:r>
      <w:r w:rsidRPr="00646D2F">
        <w:rPr>
          <w:i/>
          <w:iCs/>
          <w:u w:val="single"/>
          <w:lang w:val="fr-FR"/>
        </w:rPr>
        <w:t xml:space="preserve">(voir Nota </w:t>
      </w:r>
      <w:r>
        <w:rPr>
          <w:i/>
          <w:iCs/>
          <w:u w:val="single"/>
          <w:lang w:val="fr-FR"/>
        </w:rPr>
        <w:t>d</w:t>
      </w:r>
      <w:r w:rsidRPr="00646D2F">
        <w:rPr>
          <w:i/>
          <w:iCs/>
          <w:u w:val="single"/>
          <w:lang w:val="fr-FR"/>
        </w:rPr>
        <w:t>u 2.6.2.2.4.1 et 2.8.2.4)</w:t>
      </w:r>
      <w:r w:rsidRPr="00B30878">
        <w:rPr>
          <w:i/>
          <w:iCs/>
          <w:lang w:val="fr-FR"/>
        </w:rPr>
        <w:t>. ».</w:t>
      </w:r>
    </w:p>
    <w:p w14:paraId="6836F393" w14:textId="77777777" w:rsidR="00081DEF" w:rsidRPr="00B30878" w:rsidRDefault="00081DEF" w:rsidP="00081DEF">
      <w:pPr>
        <w:pStyle w:val="SingleTxtG"/>
        <w:kinsoku/>
        <w:overflowPunct/>
        <w:autoSpaceDE/>
        <w:autoSpaceDN/>
        <w:adjustRightInd/>
        <w:snapToGrid/>
        <w:rPr>
          <w:color w:val="000000" w:themeColor="text1"/>
          <w:u w:val="single"/>
          <w:lang w:val="fr-FR"/>
        </w:rPr>
      </w:pPr>
      <w:r w:rsidRPr="00B30878">
        <w:rPr>
          <w:lang w:val="fr-FR"/>
        </w:rPr>
        <w:t>9.</w:t>
      </w:r>
      <w:r w:rsidRPr="00B30878">
        <w:rPr>
          <w:lang w:val="fr-FR"/>
        </w:rPr>
        <w:tab/>
        <w:t>N</w:t>
      </w:r>
      <w:r>
        <w:rPr>
          <w:lang w:val="fr-FR"/>
        </w:rPr>
        <w:t>ota</w:t>
      </w:r>
      <w:r w:rsidRPr="00B30878">
        <w:rPr>
          <w:lang w:val="fr-FR"/>
        </w:rPr>
        <w:t xml:space="preserve"> du 2.6.2.2.4.1</w:t>
      </w:r>
      <w:r>
        <w:rPr>
          <w:lang w:val="fr-FR"/>
        </w:rPr>
        <w:t xml:space="preserve">, lire </w:t>
      </w:r>
      <w:r w:rsidRPr="00B30878">
        <w:rPr>
          <w:lang w:val="fr-FR"/>
        </w:rPr>
        <w:t>:</w:t>
      </w:r>
    </w:p>
    <w:p w14:paraId="1F2B320F" w14:textId="0184DDC8" w:rsidR="00081DEF" w:rsidRPr="00B30878" w:rsidRDefault="00081DEF" w:rsidP="00081DEF">
      <w:pPr>
        <w:spacing w:after="120"/>
        <w:ind w:left="1701" w:right="1140"/>
        <w:jc w:val="both"/>
        <w:rPr>
          <w:i/>
          <w:lang w:val="fr-FR"/>
        </w:rPr>
      </w:pPr>
      <w:r w:rsidRPr="00B30878">
        <w:rPr>
          <w:i/>
          <w:iCs/>
          <w:lang w:val="fr-FR"/>
        </w:rPr>
        <w:t>« NOTA :</w:t>
      </w:r>
      <w:r w:rsidRPr="00B30878">
        <w:rPr>
          <w:lang w:val="fr-FR"/>
        </w:rPr>
        <w:tab/>
      </w:r>
      <w:r w:rsidRPr="00B30878">
        <w:rPr>
          <w:i/>
          <w:iCs/>
          <w:lang w:val="fr-FR"/>
        </w:rPr>
        <w:t>Les matières répondant aux critères de la classe</w:t>
      </w:r>
      <w:r>
        <w:rPr>
          <w:i/>
          <w:iCs/>
          <w:lang w:val="fr-FR"/>
        </w:rPr>
        <w:t> </w:t>
      </w:r>
      <w:r w:rsidRPr="00B30878">
        <w:rPr>
          <w:i/>
          <w:iCs/>
          <w:lang w:val="fr-FR"/>
        </w:rPr>
        <w:t>8 dont la toxicité à l</w:t>
      </w:r>
      <w:r>
        <w:rPr>
          <w:i/>
          <w:iCs/>
          <w:lang w:val="fr-FR"/>
        </w:rPr>
        <w:t>’</w:t>
      </w:r>
      <w:r w:rsidRPr="00B30878">
        <w:rPr>
          <w:i/>
          <w:iCs/>
          <w:lang w:val="fr-FR"/>
        </w:rPr>
        <w:t>inhalation de poussières et brouillards (CL</w:t>
      </w:r>
      <w:r w:rsidRPr="00646D2F">
        <w:rPr>
          <w:i/>
          <w:iCs/>
          <w:vertAlign w:val="subscript"/>
          <w:lang w:val="fr-FR"/>
        </w:rPr>
        <w:t>50</w:t>
      </w:r>
      <w:r w:rsidRPr="00B30878">
        <w:rPr>
          <w:i/>
          <w:iCs/>
          <w:lang w:val="fr-FR"/>
        </w:rPr>
        <w:t>) correspond au groupe d</w:t>
      </w:r>
      <w:r>
        <w:rPr>
          <w:i/>
          <w:iCs/>
          <w:lang w:val="fr-FR"/>
        </w:rPr>
        <w:t>’</w:t>
      </w:r>
      <w:r w:rsidRPr="00B30878">
        <w:rPr>
          <w:i/>
          <w:iCs/>
          <w:lang w:val="fr-FR"/>
        </w:rPr>
        <w:t>emballage</w:t>
      </w:r>
      <w:r>
        <w:rPr>
          <w:i/>
          <w:iCs/>
          <w:lang w:val="fr-FR"/>
        </w:rPr>
        <w:t> </w:t>
      </w:r>
      <w:r w:rsidRPr="00B30878">
        <w:rPr>
          <w:i/>
          <w:iCs/>
          <w:lang w:val="fr-FR"/>
        </w:rPr>
        <w:t>I ne doivent être affectées à la division</w:t>
      </w:r>
      <w:r>
        <w:rPr>
          <w:i/>
          <w:iCs/>
          <w:lang w:val="fr-FR"/>
        </w:rPr>
        <w:t> </w:t>
      </w:r>
      <w:r w:rsidRPr="00B30878">
        <w:rPr>
          <w:i/>
          <w:iCs/>
          <w:lang w:val="fr-FR"/>
        </w:rPr>
        <w:t>6.1 que si la toxicité à l</w:t>
      </w:r>
      <w:r>
        <w:rPr>
          <w:i/>
          <w:iCs/>
          <w:lang w:val="fr-FR"/>
        </w:rPr>
        <w:t>’</w:t>
      </w:r>
      <w:r w:rsidRPr="00B30878">
        <w:rPr>
          <w:i/>
          <w:iCs/>
          <w:lang w:val="fr-FR"/>
        </w:rPr>
        <w:t>ingestion ou à l</w:t>
      </w:r>
      <w:r>
        <w:rPr>
          <w:i/>
          <w:iCs/>
          <w:lang w:val="fr-FR"/>
        </w:rPr>
        <w:t>’</w:t>
      </w:r>
      <w:r w:rsidRPr="00B30878">
        <w:rPr>
          <w:i/>
          <w:iCs/>
          <w:lang w:val="fr-FR"/>
        </w:rPr>
        <w:t>absorption cutanée correspond au moins aux groupes d</w:t>
      </w:r>
      <w:r>
        <w:rPr>
          <w:i/>
          <w:iCs/>
          <w:lang w:val="fr-FR"/>
        </w:rPr>
        <w:t>’</w:t>
      </w:r>
      <w:r w:rsidRPr="00B30878">
        <w:rPr>
          <w:i/>
          <w:iCs/>
          <w:lang w:val="fr-FR"/>
        </w:rPr>
        <w:t>emballage</w:t>
      </w:r>
      <w:r>
        <w:rPr>
          <w:i/>
          <w:iCs/>
          <w:lang w:val="fr-FR"/>
        </w:rPr>
        <w:t> </w:t>
      </w:r>
      <w:r w:rsidRPr="00B30878">
        <w:rPr>
          <w:i/>
          <w:iCs/>
          <w:lang w:val="fr-FR"/>
        </w:rPr>
        <w:t>I ou II.</w:t>
      </w:r>
      <w:r w:rsidRPr="00B30878">
        <w:rPr>
          <w:lang w:val="fr-FR"/>
        </w:rPr>
        <w:t xml:space="preserve"> </w:t>
      </w:r>
      <w:r w:rsidRPr="00B30878">
        <w:rPr>
          <w:i/>
          <w:iCs/>
          <w:lang w:val="fr-FR"/>
        </w:rPr>
        <w:t>Dans le cas contraire, la matière doit être affectée à la classe</w:t>
      </w:r>
      <w:r>
        <w:rPr>
          <w:i/>
          <w:iCs/>
          <w:lang w:val="fr-FR"/>
        </w:rPr>
        <w:t> </w:t>
      </w:r>
      <w:r w:rsidRPr="00B30878">
        <w:rPr>
          <w:i/>
          <w:iCs/>
          <w:lang w:val="fr-FR"/>
        </w:rPr>
        <w:t xml:space="preserve">8 si nécessaire (voir </w:t>
      </w:r>
      <w:r w:rsidRPr="00B30878">
        <w:rPr>
          <w:i/>
          <w:iCs/>
          <w:u w:val="single"/>
          <w:lang w:val="fr-FR"/>
        </w:rPr>
        <w:t xml:space="preserve">note de bas de page 3 du 2.0.3.1 </w:t>
      </w:r>
      <w:r w:rsidRPr="002D1F46">
        <w:rPr>
          <w:i/>
          <w:iCs/>
          <w:u w:val="single"/>
          <w:lang w:val="fr-FR"/>
        </w:rPr>
        <w:t>et</w:t>
      </w:r>
      <w:r w:rsidRPr="00EF0E61">
        <w:rPr>
          <w:i/>
          <w:iCs/>
          <w:lang w:val="fr-FR"/>
        </w:rPr>
        <w:t xml:space="preserve"> 2.8.2.4)</w:t>
      </w:r>
      <w:r w:rsidRPr="00B30878">
        <w:rPr>
          <w:i/>
          <w:iCs/>
          <w:lang w:val="fr-FR"/>
        </w:rPr>
        <w:t>. ».</w:t>
      </w:r>
    </w:p>
    <w:p w14:paraId="572C3341" w14:textId="79E872C8" w:rsidR="00081DEF" w:rsidRPr="00B30878" w:rsidRDefault="00081DEF" w:rsidP="00081DEF">
      <w:pPr>
        <w:pStyle w:val="SingleTxtG"/>
        <w:kinsoku/>
        <w:overflowPunct/>
        <w:autoSpaceDE/>
        <w:autoSpaceDN/>
        <w:adjustRightInd/>
        <w:snapToGrid/>
        <w:rPr>
          <w:lang w:val="fr-FR"/>
        </w:rPr>
      </w:pPr>
      <w:r w:rsidRPr="00B30878">
        <w:rPr>
          <w:lang w:val="fr-FR"/>
        </w:rPr>
        <w:t>10.</w:t>
      </w:r>
      <w:r w:rsidRPr="00B30878">
        <w:rPr>
          <w:lang w:val="fr-FR"/>
        </w:rPr>
        <w:tab/>
        <w:t>Paragraphe</w:t>
      </w:r>
      <w:r>
        <w:rPr>
          <w:lang w:val="fr-FR"/>
        </w:rPr>
        <w:t> </w:t>
      </w:r>
      <w:r w:rsidRPr="00B30878">
        <w:rPr>
          <w:lang w:val="fr-FR"/>
        </w:rPr>
        <w:t>2.8.2.4, lire :</w:t>
      </w:r>
    </w:p>
    <w:p w14:paraId="22719DD3" w14:textId="3968234C" w:rsidR="00446FE5" w:rsidRDefault="00081DEF" w:rsidP="00081DEF">
      <w:pPr>
        <w:spacing w:after="120"/>
        <w:ind w:left="1701" w:right="1138"/>
        <w:jc w:val="both"/>
        <w:rPr>
          <w:iCs/>
          <w:lang w:val="fr-FR"/>
        </w:rPr>
      </w:pPr>
      <w:r w:rsidRPr="00B30878">
        <w:rPr>
          <w:lang w:val="fr-FR"/>
        </w:rPr>
        <w:t>« 2.8.2.4</w:t>
      </w:r>
      <w:r w:rsidRPr="00B30878">
        <w:rPr>
          <w:lang w:val="fr-FR"/>
        </w:rPr>
        <w:tab/>
        <w:t>Une matière répondant aux critères de la classe</w:t>
      </w:r>
      <w:r>
        <w:rPr>
          <w:lang w:val="fr-FR"/>
        </w:rPr>
        <w:t> </w:t>
      </w:r>
      <w:r w:rsidRPr="00B30878">
        <w:rPr>
          <w:lang w:val="fr-FR"/>
        </w:rPr>
        <w:t>8, dont la toxicité à l</w:t>
      </w:r>
      <w:r>
        <w:rPr>
          <w:lang w:val="fr-FR"/>
        </w:rPr>
        <w:t>’</w:t>
      </w:r>
      <w:r w:rsidRPr="00B30878">
        <w:rPr>
          <w:lang w:val="fr-FR"/>
        </w:rPr>
        <w:t>inhalation de poussières et brouillards (CL</w:t>
      </w:r>
      <w:r w:rsidRPr="00B30878">
        <w:rPr>
          <w:vertAlign w:val="subscript"/>
          <w:lang w:val="fr-FR"/>
        </w:rPr>
        <w:t>50</w:t>
      </w:r>
      <w:r w:rsidRPr="00B30878">
        <w:rPr>
          <w:lang w:val="fr-FR"/>
        </w:rPr>
        <w:t>) correspond au groupe d</w:t>
      </w:r>
      <w:r>
        <w:rPr>
          <w:lang w:val="fr-FR"/>
        </w:rPr>
        <w:t>’</w:t>
      </w:r>
      <w:r w:rsidRPr="00B30878">
        <w:rPr>
          <w:lang w:val="fr-FR"/>
        </w:rPr>
        <w:t>emballage</w:t>
      </w:r>
      <w:r>
        <w:rPr>
          <w:lang w:val="fr-FR"/>
        </w:rPr>
        <w:t> </w:t>
      </w:r>
      <w:r w:rsidRPr="00B30878">
        <w:rPr>
          <w:lang w:val="fr-FR"/>
        </w:rPr>
        <w:t>I, mais dont la toxicité à l</w:t>
      </w:r>
      <w:r>
        <w:rPr>
          <w:lang w:val="fr-FR"/>
        </w:rPr>
        <w:t>’</w:t>
      </w:r>
      <w:r w:rsidRPr="00B30878">
        <w:rPr>
          <w:lang w:val="fr-FR"/>
        </w:rPr>
        <w:t>ingestion et à l</w:t>
      </w:r>
      <w:r>
        <w:rPr>
          <w:lang w:val="fr-FR"/>
        </w:rPr>
        <w:t>’</w:t>
      </w:r>
      <w:r w:rsidRPr="00B30878">
        <w:rPr>
          <w:lang w:val="fr-FR"/>
        </w:rPr>
        <w:t xml:space="preserve">absorption cutanée </w:t>
      </w:r>
      <w:r w:rsidRPr="00B30878">
        <w:rPr>
          <w:strike/>
          <w:lang w:val="fr-FR"/>
        </w:rPr>
        <w:t>ne</w:t>
      </w:r>
      <w:r w:rsidRPr="00B30878">
        <w:rPr>
          <w:lang w:val="fr-FR"/>
        </w:rPr>
        <w:t xml:space="preserve"> correspond </w:t>
      </w:r>
      <w:r w:rsidRPr="00B30878">
        <w:rPr>
          <w:strike/>
          <w:lang w:val="fr-FR"/>
        </w:rPr>
        <w:t>qu</w:t>
      </w:r>
      <w:r>
        <w:rPr>
          <w:strike/>
          <w:lang w:val="fr-FR"/>
        </w:rPr>
        <w:t>’</w:t>
      </w:r>
      <w:r w:rsidRPr="00B30878">
        <w:rPr>
          <w:lang w:val="fr-FR"/>
        </w:rPr>
        <w:t>au groupe d</w:t>
      </w:r>
      <w:r>
        <w:rPr>
          <w:lang w:val="fr-FR"/>
        </w:rPr>
        <w:t>’</w:t>
      </w:r>
      <w:r w:rsidRPr="00B30878">
        <w:rPr>
          <w:lang w:val="fr-FR"/>
        </w:rPr>
        <w:t xml:space="preserve">emballage III ou </w:t>
      </w:r>
      <w:r>
        <w:rPr>
          <w:lang w:val="fr-FR"/>
        </w:rPr>
        <w:t>moins</w:t>
      </w:r>
      <w:r w:rsidRPr="00B30878">
        <w:rPr>
          <w:lang w:val="fr-FR"/>
        </w:rPr>
        <w:t>, doit être affectée à la classe</w:t>
      </w:r>
      <w:r>
        <w:rPr>
          <w:lang w:val="fr-FR"/>
        </w:rPr>
        <w:t> </w:t>
      </w:r>
      <w:r w:rsidRPr="00B30878">
        <w:rPr>
          <w:lang w:val="fr-FR"/>
        </w:rPr>
        <w:t xml:space="preserve">8 (voir </w:t>
      </w:r>
      <w:r w:rsidRPr="00B30878">
        <w:rPr>
          <w:u w:val="single"/>
          <w:lang w:val="fr-FR"/>
        </w:rPr>
        <w:t>note de bas de page</w:t>
      </w:r>
      <w:r>
        <w:rPr>
          <w:u w:val="single"/>
          <w:lang w:val="fr-FR"/>
        </w:rPr>
        <w:t> </w:t>
      </w:r>
      <w:r w:rsidRPr="00B30878">
        <w:rPr>
          <w:u w:val="single"/>
          <w:lang w:val="fr-FR"/>
        </w:rPr>
        <w:t xml:space="preserve">3 du 2.0.3.1 et </w:t>
      </w:r>
      <w:r w:rsidRPr="00B30878">
        <w:rPr>
          <w:lang w:val="fr-FR"/>
        </w:rPr>
        <w:t xml:space="preserve">Nota </w:t>
      </w:r>
      <w:r>
        <w:rPr>
          <w:lang w:val="fr-FR"/>
        </w:rPr>
        <w:t>d</w:t>
      </w:r>
      <w:r w:rsidRPr="00B30878">
        <w:rPr>
          <w:lang w:val="fr-FR"/>
        </w:rPr>
        <w:t>u 2.6.2.2.4.1). ».</w:t>
      </w:r>
    </w:p>
    <w:p w14:paraId="2EB85594" w14:textId="70B7D7D1" w:rsidR="00081DEF" w:rsidRPr="00081DEF" w:rsidRDefault="00081DEF" w:rsidP="00081DEF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081DEF" w:rsidRPr="00081DEF" w:rsidSect="00081DE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2E170" w14:textId="77777777" w:rsidR="00940B26" w:rsidRDefault="00940B26" w:rsidP="00F95C08">
      <w:pPr>
        <w:spacing w:line="240" w:lineRule="auto"/>
      </w:pPr>
    </w:p>
  </w:endnote>
  <w:endnote w:type="continuationSeparator" w:id="0">
    <w:p w14:paraId="2F95148F" w14:textId="77777777" w:rsidR="00940B26" w:rsidRPr="00AC3823" w:rsidRDefault="00940B26" w:rsidP="00AC3823">
      <w:pPr>
        <w:pStyle w:val="Pieddepage"/>
      </w:pPr>
    </w:p>
  </w:endnote>
  <w:endnote w:type="continuationNotice" w:id="1">
    <w:p w14:paraId="64D157DD" w14:textId="77777777" w:rsidR="00940B26" w:rsidRDefault="00940B2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79A7" w14:textId="2FE1173D" w:rsidR="00081DEF" w:rsidRPr="00081DEF" w:rsidRDefault="00081DEF" w:rsidP="00081DEF">
    <w:pPr>
      <w:pStyle w:val="Pieddepage"/>
      <w:tabs>
        <w:tab w:val="right" w:pos="9638"/>
      </w:tabs>
    </w:pPr>
    <w:r w:rsidRPr="00081DEF">
      <w:rPr>
        <w:b/>
        <w:sz w:val="18"/>
      </w:rPr>
      <w:fldChar w:fldCharType="begin"/>
    </w:r>
    <w:r w:rsidRPr="00081DEF">
      <w:rPr>
        <w:b/>
        <w:sz w:val="18"/>
      </w:rPr>
      <w:instrText xml:space="preserve"> PAGE  \* MERGEFORMAT </w:instrText>
    </w:r>
    <w:r w:rsidRPr="00081DEF">
      <w:rPr>
        <w:b/>
        <w:sz w:val="18"/>
      </w:rPr>
      <w:fldChar w:fldCharType="separate"/>
    </w:r>
    <w:r w:rsidRPr="00081DEF">
      <w:rPr>
        <w:b/>
        <w:noProof/>
        <w:sz w:val="18"/>
      </w:rPr>
      <w:t>2</w:t>
    </w:r>
    <w:r w:rsidRPr="00081DEF">
      <w:rPr>
        <w:b/>
        <w:sz w:val="18"/>
      </w:rPr>
      <w:fldChar w:fldCharType="end"/>
    </w:r>
    <w:r>
      <w:rPr>
        <w:b/>
        <w:sz w:val="18"/>
      </w:rPr>
      <w:tab/>
    </w:r>
    <w:r>
      <w:t>GE.23-06849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BCF0F" w14:textId="661E25D0" w:rsidR="00081DEF" w:rsidRPr="00081DEF" w:rsidRDefault="00081DEF" w:rsidP="00081DEF">
    <w:pPr>
      <w:pStyle w:val="Pieddepage"/>
      <w:tabs>
        <w:tab w:val="right" w:pos="9638"/>
      </w:tabs>
      <w:rPr>
        <w:b/>
        <w:sz w:val="18"/>
      </w:rPr>
    </w:pPr>
    <w:r>
      <w:t>GE.23-06849</w:t>
    </w:r>
    <w:r>
      <w:tab/>
    </w:r>
    <w:r w:rsidRPr="00081DEF">
      <w:rPr>
        <w:b/>
        <w:sz w:val="18"/>
      </w:rPr>
      <w:fldChar w:fldCharType="begin"/>
    </w:r>
    <w:r w:rsidRPr="00081DEF">
      <w:rPr>
        <w:b/>
        <w:sz w:val="18"/>
      </w:rPr>
      <w:instrText xml:space="preserve"> PAGE  \* MERGEFORMAT </w:instrText>
    </w:r>
    <w:r w:rsidRPr="00081DEF">
      <w:rPr>
        <w:b/>
        <w:sz w:val="18"/>
      </w:rPr>
      <w:fldChar w:fldCharType="separate"/>
    </w:r>
    <w:r w:rsidRPr="00081DEF">
      <w:rPr>
        <w:b/>
        <w:noProof/>
        <w:sz w:val="18"/>
      </w:rPr>
      <w:t>3</w:t>
    </w:r>
    <w:r w:rsidRPr="00081DE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63B4" w14:textId="4DB7E1AB" w:rsidR="0068456F" w:rsidRPr="00081DEF" w:rsidRDefault="00081DEF" w:rsidP="00081DEF">
    <w:pPr>
      <w:pStyle w:val="Pieddepage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DB92CAF" wp14:editId="688A343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23-06849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1CF61FE" wp14:editId="636DD40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100523    110523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2F458" w14:textId="77777777" w:rsidR="00940B26" w:rsidRPr="00AC3823" w:rsidRDefault="00940B2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B2D72B7" w14:textId="77777777" w:rsidR="00940B26" w:rsidRPr="00AC3823" w:rsidRDefault="00940B2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6FC742F" w14:textId="77777777" w:rsidR="00940B26" w:rsidRPr="00AC3823" w:rsidRDefault="00940B26">
      <w:pPr>
        <w:spacing w:line="240" w:lineRule="auto"/>
        <w:rPr>
          <w:sz w:val="2"/>
          <w:szCs w:val="2"/>
        </w:rPr>
      </w:pPr>
    </w:p>
  </w:footnote>
  <w:footnote w:id="2">
    <w:p w14:paraId="30E0BB1A" w14:textId="0BC10C0F" w:rsidR="00081DEF" w:rsidRPr="00081DEF" w:rsidRDefault="00081DEF">
      <w:pPr>
        <w:pStyle w:val="Notedebasdepage"/>
      </w:pPr>
      <w:r>
        <w:rPr>
          <w:rStyle w:val="Appelnotedebasdep"/>
        </w:rPr>
        <w:tab/>
      </w:r>
      <w:r w:rsidRPr="00081DEF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A/77/6 (Sect.</w:t>
      </w:r>
      <w:r>
        <w:rPr>
          <w:lang w:val="fr-FR"/>
        </w:rPr>
        <w:t> </w:t>
      </w:r>
      <w:r>
        <w:rPr>
          <w:lang w:val="fr-FR"/>
        </w:rPr>
        <w:t>20), tableau</w:t>
      </w:r>
      <w:r>
        <w:rPr>
          <w:lang w:val="fr-FR"/>
        </w:rPr>
        <w:t> </w:t>
      </w:r>
      <w:r>
        <w:rPr>
          <w:lang w:val="fr-FR"/>
        </w:rPr>
        <w:t>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88F2" w14:textId="44729E14" w:rsidR="00081DEF" w:rsidRPr="00081DEF" w:rsidRDefault="00081DEF">
    <w:pPr>
      <w:pStyle w:val="En-tte"/>
    </w:pPr>
    <w:fldSimple w:instr=" TITLE  \* MERGEFORMAT ">
      <w:r w:rsidR="00ED512E">
        <w:t>ST/SG/AC.10/C.3/2023/11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E44F" w14:textId="0803281D" w:rsidR="00081DEF" w:rsidRPr="00081DEF" w:rsidRDefault="00081DEF" w:rsidP="00081DEF">
    <w:pPr>
      <w:pStyle w:val="En-tte"/>
      <w:jc w:val="right"/>
    </w:pPr>
    <w:fldSimple w:instr=" TITLE  \* MERGEFORMAT ">
      <w:r w:rsidR="00ED512E">
        <w:t>ST/SG/AC.10/C.3/2023/11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26"/>
    <w:rsid w:val="00017F94"/>
    <w:rsid w:val="00023842"/>
    <w:rsid w:val="000305D3"/>
    <w:rsid w:val="000334F9"/>
    <w:rsid w:val="0007796D"/>
    <w:rsid w:val="00081DEF"/>
    <w:rsid w:val="000B7790"/>
    <w:rsid w:val="00111F2F"/>
    <w:rsid w:val="00132EA9"/>
    <w:rsid w:val="0014365E"/>
    <w:rsid w:val="00172E49"/>
    <w:rsid w:val="00176178"/>
    <w:rsid w:val="00184BD5"/>
    <w:rsid w:val="001F525A"/>
    <w:rsid w:val="00223272"/>
    <w:rsid w:val="0024779E"/>
    <w:rsid w:val="00283190"/>
    <w:rsid w:val="002832AC"/>
    <w:rsid w:val="002D7C93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8456F"/>
    <w:rsid w:val="0071601D"/>
    <w:rsid w:val="007A62E6"/>
    <w:rsid w:val="0080684C"/>
    <w:rsid w:val="008123E0"/>
    <w:rsid w:val="00871C75"/>
    <w:rsid w:val="008776DC"/>
    <w:rsid w:val="008B40CD"/>
    <w:rsid w:val="00940B26"/>
    <w:rsid w:val="009705C8"/>
    <w:rsid w:val="009C1CF4"/>
    <w:rsid w:val="00A30353"/>
    <w:rsid w:val="00A81281"/>
    <w:rsid w:val="00AC3823"/>
    <w:rsid w:val="00AD138A"/>
    <w:rsid w:val="00AE323C"/>
    <w:rsid w:val="00AF0EFA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D512E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62F06"/>
  <w15:docId w15:val="{2BB10457-89D6-46CE-8312-9ED58C8C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584DC4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584DC4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584DC4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584DC4"/>
  </w:style>
  <w:style w:type="character" w:customStyle="1" w:styleId="NotedefinCar">
    <w:name w:val="Note de fin Car"/>
    <w:aliases w:val="2_G Car"/>
    <w:basedOn w:val="Policepardfaut"/>
    <w:link w:val="Notedefin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locked/>
    <w:rsid w:val="00081DEF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081DEF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81DEF"/>
    <w:pPr>
      <w:kinsoku/>
      <w:overflowPunct/>
      <w:autoSpaceDE/>
      <w:autoSpaceDN/>
      <w:adjustRightInd/>
      <w:snapToGrid/>
      <w:ind w:left="720"/>
      <w:contextualSpacing/>
    </w:pPr>
    <w:rPr>
      <w:rFonts w:eastAsia="Times New Roman"/>
    </w:rPr>
  </w:style>
  <w:style w:type="character" w:customStyle="1" w:styleId="SingleTxtGChar">
    <w:name w:val="_ Single Txt_G Char"/>
    <w:link w:val="SingleTxtG"/>
    <w:qFormat/>
    <w:locked/>
    <w:rsid w:val="00081DEF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ST.dotm</Template>
  <TotalTime>1</TotalTime>
  <Pages>2</Pages>
  <Words>702</Words>
  <Characters>3755</Characters>
  <Application>Microsoft Office Word</Application>
  <DocSecurity>0</DocSecurity>
  <Lines>76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ST/SG/AC.10/C.3/2023/11</dc:title>
  <dc:subject/>
  <dc:creator>Marie DESCHAMPS</dc:creator>
  <cp:keywords/>
  <cp:lastModifiedBy>Marie Deschamps</cp:lastModifiedBy>
  <cp:revision>2</cp:revision>
  <cp:lastPrinted>2023-05-11T07:46:00Z</cp:lastPrinted>
  <dcterms:created xsi:type="dcterms:W3CDTF">2023-05-11T07:48:00Z</dcterms:created>
  <dcterms:modified xsi:type="dcterms:W3CDTF">2023-05-11T07:48:00Z</dcterms:modified>
</cp:coreProperties>
</file>