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6B1A1E" w:rsidRPr="006B1A1E" w14:paraId="57FD71C5" w14:textId="77777777" w:rsidTr="00165E82">
        <w:trPr>
          <w:cantSplit/>
          <w:trHeight w:hRule="exact" w:val="851"/>
        </w:trPr>
        <w:tc>
          <w:tcPr>
            <w:tcW w:w="1276" w:type="dxa"/>
            <w:tcBorders>
              <w:bottom w:val="single" w:sz="4" w:space="0" w:color="auto"/>
            </w:tcBorders>
            <w:vAlign w:val="bottom"/>
          </w:tcPr>
          <w:p w14:paraId="5A6CFB92" w14:textId="77777777" w:rsidR="0064636E" w:rsidRPr="006B1A1E" w:rsidRDefault="0064636E" w:rsidP="003C3936"/>
        </w:tc>
        <w:tc>
          <w:tcPr>
            <w:tcW w:w="8363" w:type="dxa"/>
            <w:gridSpan w:val="2"/>
            <w:tcBorders>
              <w:bottom w:val="single" w:sz="4" w:space="0" w:color="auto"/>
            </w:tcBorders>
            <w:vAlign w:val="bottom"/>
          </w:tcPr>
          <w:p w14:paraId="21FBE7EF" w14:textId="245C9596" w:rsidR="0064636E" w:rsidRPr="006B1A1E" w:rsidRDefault="0064636E" w:rsidP="00D5540C">
            <w:pPr>
              <w:jc w:val="right"/>
            </w:pPr>
            <w:r w:rsidRPr="006B1A1E">
              <w:rPr>
                <w:sz w:val="40"/>
              </w:rPr>
              <w:t>E</w:t>
            </w:r>
            <w:r w:rsidRPr="006B1A1E">
              <w:t>/ECE/324</w:t>
            </w:r>
            <w:r w:rsidR="00616B23" w:rsidRPr="006B1A1E">
              <w:t>/</w:t>
            </w:r>
            <w:bookmarkStart w:id="0" w:name="_Hlk30061049"/>
            <w:bookmarkStart w:id="1" w:name="_Hlk30061380"/>
            <w:r w:rsidR="0043300D" w:rsidRPr="006B1A1E">
              <w:t>Rev.</w:t>
            </w:r>
            <w:r w:rsidR="00D33957" w:rsidRPr="006B1A1E">
              <w:t>1</w:t>
            </w:r>
            <w:r w:rsidR="0043300D" w:rsidRPr="006B1A1E">
              <w:t>/</w:t>
            </w:r>
            <w:bookmarkStart w:id="2" w:name="_Hlk30077314"/>
            <w:r w:rsidR="0043300D" w:rsidRPr="006B1A1E">
              <w:t>Add.</w:t>
            </w:r>
            <w:r w:rsidR="00611641" w:rsidRPr="006B1A1E">
              <w:t>89</w:t>
            </w:r>
            <w:r w:rsidR="0043300D" w:rsidRPr="006B1A1E">
              <w:t>/Rev.</w:t>
            </w:r>
            <w:r w:rsidR="00611641" w:rsidRPr="006B1A1E">
              <w:t>3</w:t>
            </w:r>
            <w:r w:rsidR="0043300D" w:rsidRPr="006B1A1E">
              <w:t>/Amend.</w:t>
            </w:r>
            <w:bookmarkEnd w:id="0"/>
            <w:bookmarkEnd w:id="1"/>
            <w:bookmarkEnd w:id="2"/>
            <w:r w:rsidR="00DA4C4B" w:rsidRPr="006B1A1E">
              <w:t>8</w:t>
            </w:r>
            <w:r w:rsidRPr="006B1A1E">
              <w:t>−</w:t>
            </w:r>
            <w:r w:rsidRPr="006B1A1E">
              <w:rPr>
                <w:sz w:val="40"/>
              </w:rPr>
              <w:t>E</w:t>
            </w:r>
            <w:r w:rsidRPr="006B1A1E">
              <w:t>/ECE/TRANS/505</w:t>
            </w:r>
            <w:r w:rsidR="00841EB5" w:rsidRPr="006B1A1E">
              <w:t>/</w:t>
            </w:r>
            <w:r w:rsidR="00D33957" w:rsidRPr="006B1A1E">
              <w:t>Rev.1/</w:t>
            </w:r>
            <w:r w:rsidR="00611641" w:rsidRPr="006B1A1E">
              <w:t>Add.89/Rev.3/Amend.</w:t>
            </w:r>
            <w:r w:rsidR="00DA4C4B" w:rsidRPr="006B1A1E">
              <w:t>8</w:t>
            </w:r>
          </w:p>
        </w:tc>
      </w:tr>
      <w:tr w:rsidR="006B1A1E" w:rsidRPr="006B1A1E" w14:paraId="6F985C55" w14:textId="77777777" w:rsidTr="00D46AFF">
        <w:trPr>
          <w:cantSplit/>
          <w:trHeight w:hRule="exact" w:val="1951"/>
        </w:trPr>
        <w:tc>
          <w:tcPr>
            <w:tcW w:w="1276" w:type="dxa"/>
            <w:tcBorders>
              <w:top w:val="single" w:sz="4" w:space="0" w:color="auto"/>
              <w:bottom w:val="single" w:sz="12" w:space="0" w:color="auto"/>
            </w:tcBorders>
          </w:tcPr>
          <w:p w14:paraId="31028A61" w14:textId="77777777" w:rsidR="003C3936" w:rsidRPr="006B1A1E" w:rsidRDefault="003C3936" w:rsidP="003C3936">
            <w:pPr>
              <w:spacing w:before="120"/>
            </w:pPr>
          </w:p>
        </w:tc>
        <w:tc>
          <w:tcPr>
            <w:tcW w:w="5528" w:type="dxa"/>
            <w:tcBorders>
              <w:top w:val="single" w:sz="4" w:space="0" w:color="auto"/>
              <w:bottom w:val="single" w:sz="12" w:space="0" w:color="auto"/>
            </w:tcBorders>
          </w:tcPr>
          <w:p w14:paraId="49836FB9" w14:textId="77777777" w:rsidR="003C3936" w:rsidRPr="006B1A1E" w:rsidRDefault="003C3936" w:rsidP="003C3936">
            <w:pPr>
              <w:spacing w:before="120"/>
            </w:pPr>
          </w:p>
        </w:tc>
        <w:tc>
          <w:tcPr>
            <w:tcW w:w="2835" w:type="dxa"/>
            <w:tcBorders>
              <w:top w:val="single" w:sz="4" w:space="0" w:color="auto"/>
              <w:bottom w:val="single" w:sz="12" w:space="0" w:color="auto"/>
            </w:tcBorders>
          </w:tcPr>
          <w:p w14:paraId="5261E6CB" w14:textId="77777777" w:rsidR="003C3936" w:rsidRPr="006B1A1E" w:rsidRDefault="003C3936" w:rsidP="003C3936">
            <w:pPr>
              <w:spacing w:before="120"/>
            </w:pPr>
          </w:p>
          <w:p w14:paraId="10DFEABE" w14:textId="77777777" w:rsidR="00D623A7" w:rsidRPr="006B1A1E" w:rsidRDefault="00D623A7" w:rsidP="003C3936">
            <w:pPr>
              <w:spacing w:before="120"/>
            </w:pPr>
          </w:p>
          <w:p w14:paraId="3AAF3BDD" w14:textId="088226F8" w:rsidR="00C84414" w:rsidRPr="006B1A1E" w:rsidRDefault="00F815EE" w:rsidP="003C3936">
            <w:pPr>
              <w:spacing w:before="120"/>
            </w:pPr>
            <w:r>
              <w:t>23 Novem</w:t>
            </w:r>
            <w:r w:rsidR="00DA4C4B" w:rsidRPr="006B1A1E">
              <w:t>ber 2022</w:t>
            </w:r>
          </w:p>
        </w:tc>
      </w:tr>
    </w:tbl>
    <w:p w14:paraId="431B1AEB" w14:textId="77777777" w:rsidR="00C711C7" w:rsidRPr="006B1A1E" w:rsidRDefault="00C711C7" w:rsidP="00A41529">
      <w:pPr>
        <w:pStyle w:val="HChG"/>
        <w:spacing w:before="240" w:after="120"/>
      </w:pPr>
      <w:r w:rsidRPr="006B1A1E">
        <w:tab/>
      </w:r>
      <w:r w:rsidRPr="006B1A1E">
        <w:tab/>
      </w:r>
      <w:bookmarkStart w:id="3" w:name="_Toc340666199"/>
      <w:bookmarkStart w:id="4" w:name="_Toc340745062"/>
      <w:r w:rsidRPr="006B1A1E">
        <w:t>Agreement</w:t>
      </w:r>
      <w:bookmarkEnd w:id="3"/>
      <w:bookmarkEnd w:id="4"/>
    </w:p>
    <w:p w14:paraId="306780C9" w14:textId="77777777" w:rsidR="004A29CA" w:rsidRPr="006B1A1E" w:rsidRDefault="004A29CA" w:rsidP="004A29CA">
      <w:pPr>
        <w:pStyle w:val="H1G"/>
        <w:spacing w:before="240"/>
      </w:pPr>
      <w:r w:rsidRPr="006B1A1E">
        <w:rPr>
          <w:rStyle w:val="H1GChar"/>
        </w:rPr>
        <w:tab/>
      </w:r>
      <w:r w:rsidRPr="006B1A1E">
        <w:rPr>
          <w:rStyle w:val="H1GChar"/>
        </w:rPr>
        <w:tab/>
      </w:r>
      <w:r w:rsidRPr="006B1A1E">
        <w:t>Concerning the</w:t>
      </w:r>
      <w:r w:rsidRPr="006B1A1E">
        <w:rPr>
          <w:smallCaps/>
        </w:rPr>
        <w:t xml:space="preserve"> </w:t>
      </w:r>
      <w:r w:rsidRPr="006B1A1E">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6B1A1E">
        <w:rPr>
          <w:rStyle w:val="FootnoteReference"/>
          <w:b w:val="0"/>
          <w:sz w:val="20"/>
          <w:vertAlign w:val="baseline"/>
        </w:rPr>
        <w:footnoteReference w:customMarkFollows="1" w:id="2"/>
        <w:t>*</w:t>
      </w:r>
    </w:p>
    <w:p w14:paraId="0DC47617" w14:textId="77777777" w:rsidR="004A29CA" w:rsidRPr="006B1A1E" w:rsidRDefault="004A29CA" w:rsidP="004A29CA">
      <w:pPr>
        <w:pStyle w:val="SingleTxtG"/>
        <w:spacing w:before="120"/>
      </w:pPr>
      <w:r w:rsidRPr="006B1A1E">
        <w:t>(Revision 3, including the amendments which entered into force on 14 September 2017)</w:t>
      </w:r>
    </w:p>
    <w:p w14:paraId="23520E79" w14:textId="77777777" w:rsidR="0064636E" w:rsidRPr="006B1A1E" w:rsidRDefault="00C711C7" w:rsidP="00B32121">
      <w:pPr>
        <w:pStyle w:val="H1G"/>
        <w:spacing w:before="120"/>
        <w:ind w:left="0" w:right="0" w:firstLine="0"/>
        <w:jc w:val="center"/>
      </w:pPr>
      <w:r w:rsidRPr="006B1A1E">
        <w:t>_________</w:t>
      </w:r>
    </w:p>
    <w:p w14:paraId="1E020283" w14:textId="3DF5C89A" w:rsidR="0064636E" w:rsidRPr="006B1A1E" w:rsidRDefault="0064636E" w:rsidP="00A41529">
      <w:pPr>
        <w:pStyle w:val="H1G"/>
        <w:spacing w:before="240" w:after="120"/>
      </w:pPr>
      <w:r w:rsidRPr="006B1A1E">
        <w:tab/>
      </w:r>
      <w:r w:rsidRPr="006B1A1E">
        <w:tab/>
        <w:t xml:space="preserve">Addendum </w:t>
      </w:r>
      <w:r w:rsidR="00611641" w:rsidRPr="006B1A1E">
        <w:t>89</w:t>
      </w:r>
      <w:r w:rsidRPr="006B1A1E">
        <w:t xml:space="preserve"> – </w:t>
      </w:r>
      <w:r w:rsidR="008A17BB" w:rsidRPr="006B1A1E">
        <w:t xml:space="preserve">UN </w:t>
      </w:r>
      <w:r w:rsidRPr="006B1A1E">
        <w:t>Regulation No.</w:t>
      </w:r>
      <w:r w:rsidR="00271A7F" w:rsidRPr="006B1A1E">
        <w:t xml:space="preserve"> </w:t>
      </w:r>
      <w:r w:rsidR="00611641" w:rsidRPr="006B1A1E">
        <w:t>90</w:t>
      </w:r>
    </w:p>
    <w:p w14:paraId="4E272B2A" w14:textId="465F4815" w:rsidR="0064636E" w:rsidRPr="006B1A1E" w:rsidRDefault="0064636E" w:rsidP="00A41529">
      <w:pPr>
        <w:pStyle w:val="H1G"/>
        <w:spacing w:before="240"/>
      </w:pPr>
      <w:r w:rsidRPr="006B1A1E">
        <w:tab/>
      </w:r>
      <w:r w:rsidRPr="006B1A1E">
        <w:tab/>
        <w:t xml:space="preserve">Revision </w:t>
      </w:r>
      <w:r w:rsidR="00611641" w:rsidRPr="006B1A1E">
        <w:t>3</w:t>
      </w:r>
      <w:r w:rsidR="00DE5D62" w:rsidRPr="006B1A1E">
        <w:t xml:space="preserve"> </w:t>
      </w:r>
      <w:r w:rsidRPr="006B1A1E">
        <w:t xml:space="preserve">- </w:t>
      </w:r>
      <w:r w:rsidR="00D623A7" w:rsidRPr="006B1A1E">
        <w:t>Amendment</w:t>
      </w:r>
      <w:r w:rsidRPr="006B1A1E">
        <w:t xml:space="preserve"> </w:t>
      </w:r>
      <w:r w:rsidR="007B15BF" w:rsidRPr="006B1A1E">
        <w:t>8</w:t>
      </w:r>
    </w:p>
    <w:p w14:paraId="4FAFC05A" w14:textId="4276594F" w:rsidR="0064636E" w:rsidRPr="006B1A1E" w:rsidRDefault="00D623A7" w:rsidP="0064636E">
      <w:pPr>
        <w:pStyle w:val="SingleTxtG"/>
        <w:spacing w:after="360"/>
        <w:rPr>
          <w:spacing w:val="-2"/>
        </w:rPr>
      </w:pPr>
      <w:r w:rsidRPr="006B1A1E">
        <w:rPr>
          <w:spacing w:val="-2"/>
        </w:rPr>
        <w:t xml:space="preserve">Supplement </w:t>
      </w:r>
      <w:r w:rsidR="007B15BF" w:rsidRPr="006B1A1E">
        <w:rPr>
          <w:spacing w:val="-2"/>
        </w:rPr>
        <w:t>8</w:t>
      </w:r>
      <w:r w:rsidRPr="006B1A1E">
        <w:rPr>
          <w:spacing w:val="-2"/>
        </w:rPr>
        <w:t xml:space="preserve"> to </w:t>
      </w:r>
      <w:r w:rsidR="00271A7F" w:rsidRPr="006B1A1E">
        <w:rPr>
          <w:spacing w:val="-2"/>
        </w:rPr>
        <w:t xml:space="preserve">the </w:t>
      </w:r>
      <w:r w:rsidR="00CA1FD0" w:rsidRPr="006B1A1E">
        <w:rPr>
          <w:spacing w:val="-2"/>
        </w:rPr>
        <w:t>0</w:t>
      </w:r>
      <w:r w:rsidR="00611641" w:rsidRPr="006B1A1E">
        <w:rPr>
          <w:spacing w:val="-2"/>
        </w:rPr>
        <w:t>2</w:t>
      </w:r>
      <w:r w:rsidRPr="006B1A1E">
        <w:rPr>
          <w:spacing w:val="-2"/>
        </w:rPr>
        <w:t xml:space="preserve"> series of amendments</w:t>
      </w:r>
      <w:r w:rsidR="0064636E" w:rsidRPr="006B1A1E">
        <w:rPr>
          <w:spacing w:val="-2"/>
        </w:rPr>
        <w:t xml:space="preserve"> – Date of entry into force: </w:t>
      </w:r>
      <w:r w:rsidR="007B15BF" w:rsidRPr="006B1A1E">
        <w:rPr>
          <w:spacing w:val="-2"/>
        </w:rPr>
        <w:t>8 October</w:t>
      </w:r>
      <w:r w:rsidR="00351DA6" w:rsidRPr="006B1A1E">
        <w:rPr>
          <w:spacing w:val="-2"/>
        </w:rPr>
        <w:t xml:space="preserve"> 2022.</w:t>
      </w:r>
    </w:p>
    <w:p w14:paraId="29C3AD83" w14:textId="43AE071C" w:rsidR="00D778E7" w:rsidRPr="006B1A1E" w:rsidRDefault="0064636E" w:rsidP="00611641">
      <w:pPr>
        <w:pStyle w:val="H1G"/>
        <w:spacing w:before="120" w:after="120" w:line="240" w:lineRule="exact"/>
        <w:rPr>
          <w:bCs/>
          <w:lang w:val="en-US"/>
        </w:rPr>
      </w:pPr>
      <w:r w:rsidRPr="006B1A1E">
        <w:rPr>
          <w:lang w:val="en-US"/>
        </w:rPr>
        <w:tab/>
      </w:r>
      <w:r w:rsidRPr="006B1A1E">
        <w:rPr>
          <w:lang w:val="en-US"/>
        </w:rPr>
        <w:tab/>
      </w:r>
      <w:r w:rsidR="00611641" w:rsidRPr="006B1A1E">
        <w:rPr>
          <w:bCs/>
          <w:lang w:val="en-US"/>
        </w:rPr>
        <w:t>Uniform provisions concerning the approval of replacement brake lining assemblies, drum-brake linings and discs and drums for power-driven vehicles and their trailers</w:t>
      </w:r>
    </w:p>
    <w:p w14:paraId="6C824AF8" w14:textId="30E25758" w:rsidR="00B32121" w:rsidRPr="006B1A1E" w:rsidRDefault="00D46AFF" w:rsidP="00A41529">
      <w:pPr>
        <w:pStyle w:val="SingleTxtG"/>
        <w:spacing w:after="40"/>
        <w:rPr>
          <w:spacing w:val="-6"/>
          <w:lang w:eastAsia="en-GB"/>
        </w:rPr>
      </w:pPr>
      <w:r w:rsidRPr="006B1A1E">
        <w:rPr>
          <w:b/>
          <w:noProof/>
          <w:sz w:val="24"/>
          <w:lang w:eastAsia="en-GB"/>
        </w:rPr>
        <w:drawing>
          <wp:anchor distT="0" distB="137160" distL="114300" distR="114300" simplePos="0" relativeHeight="251658752" behindDoc="0" locked="0" layoutInCell="1" allowOverlap="1" wp14:anchorId="1A9092C3" wp14:editId="6630D908">
            <wp:simplePos x="0" y="0"/>
            <wp:positionH relativeFrom="column">
              <wp:posOffset>2541905</wp:posOffset>
            </wp:positionH>
            <wp:positionV relativeFrom="paragraph">
              <wp:posOffset>712792</wp:posOffset>
            </wp:positionV>
            <wp:extent cx="1028700" cy="82677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00B32121" w:rsidRPr="006B1A1E">
        <w:rPr>
          <w:spacing w:val="-4"/>
          <w:lang w:eastAsia="en-GB"/>
        </w:rPr>
        <w:t>This document is meant purely as documentation tool. The authentic and legal binding text is:</w:t>
      </w:r>
      <w:r w:rsidR="00B32121" w:rsidRPr="006B1A1E">
        <w:rPr>
          <w:lang w:eastAsia="en-GB"/>
        </w:rPr>
        <w:t xml:space="preserve"> </w:t>
      </w:r>
      <w:r w:rsidR="00DE5D62" w:rsidRPr="006B1A1E">
        <w:rPr>
          <w:spacing w:val="-6"/>
          <w:lang w:eastAsia="en-GB"/>
        </w:rPr>
        <w:t>ECE/TRANS/WP.29/</w:t>
      </w:r>
      <w:r w:rsidR="007B15BF" w:rsidRPr="006B1A1E">
        <w:rPr>
          <w:spacing w:val="-6"/>
          <w:lang w:eastAsia="en-GB"/>
        </w:rPr>
        <w:t>2022/17</w:t>
      </w:r>
      <w:r w:rsidR="00DE5D62" w:rsidRPr="006B1A1E">
        <w:rPr>
          <w:spacing w:val="-6"/>
          <w:lang w:eastAsia="en-GB"/>
        </w:rPr>
        <w:t>.</w:t>
      </w:r>
    </w:p>
    <w:p w14:paraId="34149201" w14:textId="7523D622" w:rsidR="00D46AFF" w:rsidRPr="006B1A1E" w:rsidRDefault="00D46AFF" w:rsidP="00D46AFF">
      <w:pPr>
        <w:pStyle w:val="H1G"/>
        <w:spacing w:before="120"/>
        <w:ind w:left="0" w:right="0" w:firstLine="0"/>
        <w:jc w:val="center"/>
      </w:pPr>
      <w:r w:rsidRPr="006B1A1E">
        <w:t>_________</w:t>
      </w:r>
    </w:p>
    <w:p w14:paraId="7DF1B66E" w14:textId="77777777" w:rsidR="00D46AFF" w:rsidRPr="006B1A1E" w:rsidRDefault="000D3A4F" w:rsidP="00D46AFF">
      <w:pPr>
        <w:suppressAutoHyphens w:val="0"/>
        <w:spacing w:line="240" w:lineRule="auto"/>
        <w:jc w:val="center"/>
        <w:rPr>
          <w:b/>
          <w:sz w:val="24"/>
        </w:rPr>
      </w:pPr>
      <w:r w:rsidRPr="006B1A1E">
        <w:rPr>
          <w:b/>
          <w:sz w:val="24"/>
        </w:rPr>
        <w:t>UNITED NATIONS</w:t>
      </w:r>
    </w:p>
    <w:p w14:paraId="36014A03" w14:textId="7BA1817E" w:rsidR="00DE5D62" w:rsidRPr="00CC74A1" w:rsidRDefault="00D5540C" w:rsidP="00D46AFF">
      <w:pPr>
        <w:suppressAutoHyphens w:val="0"/>
        <w:spacing w:line="240" w:lineRule="auto"/>
        <w:rPr>
          <w:bCs/>
          <w:u w:val="single"/>
        </w:rPr>
      </w:pPr>
      <w:r w:rsidRPr="00CC74A1">
        <w:br w:type="page"/>
      </w:r>
    </w:p>
    <w:p w14:paraId="74029F87" w14:textId="77777777" w:rsidR="00F72631" w:rsidRPr="00EA1A84" w:rsidRDefault="00F72631" w:rsidP="00F72631">
      <w:pPr>
        <w:pStyle w:val="SingleTxtG"/>
        <w:rPr>
          <w:i/>
          <w:iCs/>
        </w:rPr>
      </w:pPr>
      <w:r w:rsidRPr="00EA1A84">
        <w:rPr>
          <w:i/>
          <w:iCs/>
        </w:rPr>
        <w:lastRenderedPageBreak/>
        <w:t>Annex 14,</w:t>
      </w:r>
    </w:p>
    <w:p w14:paraId="23AEF7CE" w14:textId="77777777" w:rsidR="00F72631" w:rsidRDefault="00F72631" w:rsidP="00F72631">
      <w:pPr>
        <w:pStyle w:val="SingleTxtG"/>
      </w:pPr>
      <w:r w:rsidRPr="00EA1A84">
        <w:rPr>
          <w:i/>
          <w:iCs/>
        </w:rPr>
        <w:t>Table A14/2.2.5,</w:t>
      </w:r>
      <w:r w:rsidRPr="00EA1A84">
        <w:t xml:space="preserve"> amend to read:</w:t>
      </w:r>
    </w:p>
    <w:p w14:paraId="0A6553C2" w14:textId="77777777" w:rsidR="00F72631" w:rsidRPr="0030782A" w:rsidRDefault="00F72631" w:rsidP="00F72631">
      <w:pPr>
        <w:pStyle w:val="SingleTxtG"/>
        <w:rPr>
          <w:b/>
        </w:rPr>
      </w:pPr>
      <w:r>
        <w:rPr>
          <w:b/>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08"/>
        <w:gridCol w:w="1808"/>
        <w:gridCol w:w="1867"/>
      </w:tblGrid>
      <w:tr w:rsidR="00F72631" w:rsidRPr="00EA1A84" w14:paraId="2D0303AC" w14:textId="77777777" w:rsidTr="00946C16">
        <w:tc>
          <w:tcPr>
            <w:tcW w:w="1808" w:type="dxa"/>
            <w:tcBorders>
              <w:bottom w:val="single" w:sz="12" w:space="0" w:color="auto"/>
            </w:tcBorders>
            <w:tcMar>
              <w:top w:w="0" w:type="dxa"/>
              <w:left w:w="108" w:type="dxa"/>
              <w:bottom w:w="0" w:type="dxa"/>
              <w:right w:w="108" w:type="dxa"/>
            </w:tcMar>
            <w:vAlign w:val="center"/>
          </w:tcPr>
          <w:p w14:paraId="6C4AFC9C" w14:textId="77777777" w:rsidR="00F72631" w:rsidRPr="00EA1A84" w:rsidRDefault="00F72631" w:rsidP="00946C16">
            <w:pPr>
              <w:spacing w:before="80" w:after="80"/>
              <w:jc w:val="both"/>
              <w:rPr>
                <w:i/>
                <w:sz w:val="16"/>
                <w:szCs w:val="16"/>
              </w:rPr>
            </w:pPr>
            <w:r w:rsidRPr="00EA1A84">
              <w:rPr>
                <w:i/>
                <w:sz w:val="16"/>
                <w:szCs w:val="16"/>
              </w:rPr>
              <w:t>Disc Diameter</w:t>
            </w:r>
          </w:p>
          <w:p w14:paraId="13C9E349" w14:textId="77777777" w:rsidR="00F72631" w:rsidRPr="00EA1A84" w:rsidRDefault="00F72631" w:rsidP="00946C16">
            <w:pPr>
              <w:spacing w:before="80" w:after="80"/>
              <w:jc w:val="both"/>
              <w:rPr>
                <w:i/>
                <w:sz w:val="16"/>
                <w:szCs w:val="16"/>
              </w:rPr>
            </w:pPr>
            <w:r w:rsidRPr="00EA1A84">
              <w:rPr>
                <w:i/>
                <w:sz w:val="16"/>
                <w:szCs w:val="16"/>
              </w:rPr>
              <w:t>[mm]</w:t>
            </w:r>
          </w:p>
        </w:tc>
        <w:tc>
          <w:tcPr>
            <w:tcW w:w="1808" w:type="dxa"/>
            <w:tcBorders>
              <w:bottom w:val="single" w:sz="12" w:space="0" w:color="auto"/>
            </w:tcBorders>
            <w:tcMar>
              <w:top w:w="0" w:type="dxa"/>
              <w:left w:w="108" w:type="dxa"/>
              <w:bottom w:w="0" w:type="dxa"/>
              <w:right w:w="108" w:type="dxa"/>
            </w:tcMar>
          </w:tcPr>
          <w:p w14:paraId="43212FAD" w14:textId="77777777" w:rsidR="00F72631" w:rsidRPr="00EA1A84" w:rsidRDefault="00F72631" w:rsidP="00946C16">
            <w:pPr>
              <w:spacing w:before="80" w:after="80"/>
              <w:jc w:val="both"/>
              <w:rPr>
                <w:i/>
                <w:sz w:val="16"/>
                <w:szCs w:val="16"/>
              </w:rPr>
            </w:pPr>
            <w:r w:rsidRPr="00EA1A84">
              <w:rPr>
                <w:i/>
                <w:sz w:val="16"/>
                <w:szCs w:val="16"/>
              </w:rPr>
              <w:t>Disc Thickness</w:t>
            </w:r>
          </w:p>
          <w:p w14:paraId="6B2ED69D" w14:textId="77777777" w:rsidR="00F72631" w:rsidRPr="00EA1A84" w:rsidRDefault="00F72631" w:rsidP="00946C16">
            <w:pPr>
              <w:spacing w:before="80" w:after="80"/>
              <w:jc w:val="both"/>
              <w:rPr>
                <w:i/>
                <w:sz w:val="16"/>
                <w:szCs w:val="16"/>
              </w:rPr>
            </w:pPr>
            <w:r w:rsidRPr="00EA1A84">
              <w:rPr>
                <w:i/>
                <w:sz w:val="16"/>
                <w:szCs w:val="16"/>
              </w:rPr>
              <w:t>[mm]</w:t>
            </w:r>
          </w:p>
        </w:tc>
        <w:tc>
          <w:tcPr>
            <w:tcW w:w="1867" w:type="dxa"/>
            <w:tcBorders>
              <w:bottom w:val="single" w:sz="12" w:space="0" w:color="auto"/>
            </w:tcBorders>
            <w:tcMar>
              <w:top w:w="0" w:type="dxa"/>
              <w:left w:w="108" w:type="dxa"/>
              <w:bottom w:w="0" w:type="dxa"/>
              <w:right w:w="108" w:type="dxa"/>
            </w:tcMar>
          </w:tcPr>
          <w:p w14:paraId="7EEC2BE8" w14:textId="77777777" w:rsidR="00F72631" w:rsidRPr="00EA1A84" w:rsidRDefault="00F72631" w:rsidP="00946C16">
            <w:pPr>
              <w:spacing w:before="80" w:after="80"/>
              <w:jc w:val="both"/>
              <w:rPr>
                <w:i/>
                <w:sz w:val="16"/>
                <w:szCs w:val="16"/>
              </w:rPr>
            </w:pPr>
            <w:r w:rsidRPr="00EA1A84">
              <w:rPr>
                <w:i/>
                <w:sz w:val="16"/>
                <w:szCs w:val="16"/>
              </w:rPr>
              <w:t xml:space="preserve">Tangential force F </w:t>
            </w:r>
          </w:p>
          <w:p w14:paraId="455D729E" w14:textId="77777777" w:rsidR="00F72631" w:rsidRPr="00EA1A84" w:rsidRDefault="00F72631" w:rsidP="00946C16">
            <w:pPr>
              <w:spacing w:before="80" w:after="80"/>
              <w:jc w:val="both"/>
              <w:rPr>
                <w:i/>
                <w:sz w:val="16"/>
                <w:szCs w:val="16"/>
              </w:rPr>
            </w:pPr>
            <w:r w:rsidRPr="00EA1A84">
              <w:rPr>
                <w:i/>
                <w:sz w:val="16"/>
                <w:szCs w:val="16"/>
              </w:rPr>
              <w:t>[</w:t>
            </w:r>
            <w:proofErr w:type="spellStart"/>
            <w:r w:rsidRPr="00EA1A84">
              <w:rPr>
                <w:i/>
                <w:sz w:val="16"/>
                <w:szCs w:val="16"/>
              </w:rPr>
              <w:t>kN</w:t>
            </w:r>
            <w:proofErr w:type="spellEnd"/>
            <w:r w:rsidRPr="00EA1A84">
              <w:rPr>
                <w:i/>
                <w:sz w:val="16"/>
                <w:szCs w:val="16"/>
              </w:rPr>
              <w:t>] min</w:t>
            </w:r>
          </w:p>
        </w:tc>
      </w:tr>
      <w:tr w:rsidR="00F72631" w:rsidRPr="00EA1A84" w14:paraId="6B79C16B" w14:textId="77777777" w:rsidTr="00946C16">
        <w:tc>
          <w:tcPr>
            <w:tcW w:w="1808" w:type="dxa"/>
            <w:vMerge w:val="restart"/>
            <w:tcBorders>
              <w:top w:val="single" w:sz="12" w:space="0" w:color="auto"/>
            </w:tcBorders>
            <w:tcMar>
              <w:top w:w="0" w:type="dxa"/>
              <w:left w:w="108" w:type="dxa"/>
              <w:bottom w:w="0" w:type="dxa"/>
              <w:right w:w="108" w:type="dxa"/>
            </w:tcMar>
            <w:vAlign w:val="center"/>
          </w:tcPr>
          <w:p w14:paraId="67B0A304" w14:textId="77777777" w:rsidR="00F72631" w:rsidRPr="00DB3142" w:rsidRDefault="00F72631" w:rsidP="00946C16">
            <w:pPr>
              <w:spacing w:before="40" w:after="40" w:line="220" w:lineRule="atLeast"/>
              <w:jc w:val="center"/>
              <w:rPr>
                <w:bCs/>
                <w:sz w:val="18"/>
                <w:szCs w:val="18"/>
              </w:rPr>
            </w:pPr>
            <w:r w:rsidRPr="00DB3142">
              <w:rPr>
                <w:bCs/>
                <w:sz w:val="18"/>
                <w:szCs w:val="18"/>
              </w:rPr>
              <w:t>≥ 150 &lt; 250</w:t>
            </w:r>
          </w:p>
        </w:tc>
        <w:tc>
          <w:tcPr>
            <w:tcW w:w="1808" w:type="dxa"/>
            <w:tcBorders>
              <w:top w:val="single" w:sz="12" w:space="0" w:color="auto"/>
            </w:tcBorders>
            <w:tcMar>
              <w:top w:w="0" w:type="dxa"/>
              <w:left w:w="108" w:type="dxa"/>
              <w:bottom w:w="0" w:type="dxa"/>
              <w:right w:w="108" w:type="dxa"/>
            </w:tcMar>
          </w:tcPr>
          <w:p w14:paraId="7E6ABFDE" w14:textId="77777777" w:rsidR="00F72631" w:rsidRPr="00DB3142" w:rsidRDefault="00F72631" w:rsidP="00946C16">
            <w:pPr>
              <w:spacing w:before="40" w:after="40" w:line="220" w:lineRule="atLeast"/>
              <w:jc w:val="center"/>
              <w:rPr>
                <w:bCs/>
                <w:sz w:val="18"/>
                <w:szCs w:val="18"/>
              </w:rPr>
            </w:pPr>
            <w:r w:rsidRPr="00DB3142">
              <w:rPr>
                <w:bCs/>
                <w:sz w:val="18"/>
                <w:szCs w:val="18"/>
              </w:rPr>
              <w:t>≤ 3</w:t>
            </w:r>
          </w:p>
        </w:tc>
        <w:tc>
          <w:tcPr>
            <w:tcW w:w="1867" w:type="dxa"/>
            <w:tcBorders>
              <w:top w:val="single" w:sz="12" w:space="0" w:color="auto"/>
            </w:tcBorders>
            <w:tcMar>
              <w:top w:w="0" w:type="dxa"/>
              <w:left w:w="108" w:type="dxa"/>
              <w:bottom w:w="0" w:type="dxa"/>
              <w:right w:w="108" w:type="dxa"/>
            </w:tcMar>
          </w:tcPr>
          <w:p w14:paraId="604FABAC" w14:textId="77777777" w:rsidR="00F72631" w:rsidRPr="00DB3142" w:rsidRDefault="00F72631" w:rsidP="00946C16">
            <w:pPr>
              <w:spacing w:before="40" w:after="40" w:line="220" w:lineRule="atLeast"/>
              <w:jc w:val="center"/>
              <w:rPr>
                <w:bCs/>
                <w:sz w:val="18"/>
                <w:szCs w:val="18"/>
              </w:rPr>
            </w:pPr>
            <w:r w:rsidRPr="00DB3142">
              <w:rPr>
                <w:bCs/>
                <w:sz w:val="18"/>
                <w:szCs w:val="18"/>
              </w:rPr>
              <w:t>≥ 8</w:t>
            </w:r>
          </w:p>
        </w:tc>
      </w:tr>
      <w:tr w:rsidR="00F72631" w:rsidRPr="00EA1A84" w14:paraId="4CB84893" w14:textId="77777777" w:rsidTr="00946C16">
        <w:tc>
          <w:tcPr>
            <w:tcW w:w="1808" w:type="dxa"/>
            <w:vMerge/>
            <w:vAlign w:val="center"/>
          </w:tcPr>
          <w:p w14:paraId="38FE2134" w14:textId="77777777" w:rsidR="00F72631" w:rsidRPr="00DB3142" w:rsidRDefault="00F72631" w:rsidP="00946C16">
            <w:pPr>
              <w:spacing w:before="40" w:after="40" w:line="220" w:lineRule="atLeast"/>
              <w:rPr>
                <w:bCs/>
                <w:sz w:val="18"/>
                <w:szCs w:val="18"/>
              </w:rPr>
            </w:pPr>
          </w:p>
        </w:tc>
        <w:tc>
          <w:tcPr>
            <w:tcW w:w="1808" w:type="dxa"/>
            <w:tcMar>
              <w:top w:w="0" w:type="dxa"/>
              <w:left w:w="108" w:type="dxa"/>
              <w:bottom w:w="0" w:type="dxa"/>
              <w:right w:w="108" w:type="dxa"/>
            </w:tcMar>
          </w:tcPr>
          <w:p w14:paraId="084CA122" w14:textId="77777777" w:rsidR="00F72631" w:rsidRPr="00DB3142" w:rsidRDefault="00F72631" w:rsidP="00946C16">
            <w:pPr>
              <w:spacing w:before="40" w:after="40" w:line="220" w:lineRule="atLeast"/>
              <w:jc w:val="center"/>
              <w:rPr>
                <w:bCs/>
                <w:sz w:val="18"/>
                <w:szCs w:val="18"/>
              </w:rPr>
            </w:pPr>
            <w:r w:rsidRPr="00DB3142">
              <w:rPr>
                <w:bCs/>
                <w:sz w:val="18"/>
                <w:szCs w:val="18"/>
              </w:rPr>
              <w:t>&gt;3 ≤ 4</w:t>
            </w:r>
          </w:p>
        </w:tc>
        <w:tc>
          <w:tcPr>
            <w:tcW w:w="1867" w:type="dxa"/>
            <w:tcMar>
              <w:top w:w="0" w:type="dxa"/>
              <w:left w:w="108" w:type="dxa"/>
              <w:bottom w:w="0" w:type="dxa"/>
              <w:right w:w="108" w:type="dxa"/>
            </w:tcMar>
          </w:tcPr>
          <w:p w14:paraId="7ECE55A3" w14:textId="77777777" w:rsidR="00F72631" w:rsidRPr="00DB3142" w:rsidRDefault="00F72631" w:rsidP="00946C16">
            <w:pPr>
              <w:spacing w:before="40" w:after="40" w:line="220" w:lineRule="atLeast"/>
              <w:jc w:val="center"/>
              <w:rPr>
                <w:bCs/>
                <w:sz w:val="18"/>
                <w:szCs w:val="18"/>
              </w:rPr>
            </w:pPr>
            <w:r w:rsidRPr="00DB3142">
              <w:rPr>
                <w:bCs/>
                <w:sz w:val="18"/>
                <w:szCs w:val="18"/>
              </w:rPr>
              <w:t>≥ 10</w:t>
            </w:r>
          </w:p>
        </w:tc>
      </w:tr>
      <w:tr w:rsidR="00F72631" w:rsidRPr="00EA1A84" w14:paraId="73841279" w14:textId="77777777" w:rsidTr="00946C16">
        <w:tc>
          <w:tcPr>
            <w:tcW w:w="1808" w:type="dxa"/>
            <w:vMerge/>
            <w:tcBorders>
              <w:bottom w:val="single" w:sz="4" w:space="0" w:color="auto"/>
            </w:tcBorders>
            <w:vAlign w:val="center"/>
          </w:tcPr>
          <w:p w14:paraId="54C4FAB4" w14:textId="77777777" w:rsidR="00F72631" w:rsidRPr="00DB3142" w:rsidRDefault="00F72631" w:rsidP="00946C16">
            <w:pPr>
              <w:spacing w:before="40" w:after="40" w:line="220" w:lineRule="atLeast"/>
              <w:rPr>
                <w:bCs/>
                <w:sz w:val="18"/>
                <w:szCs w:val="18"/>
              </w:rPr>
            </w:pPr>
          </w:p>
        </w:tc>
        <w:tc>
          <w:tcPr>
            <w:tcW w:w="1808" w:type="dxa"/>
            <w:tcBorders>
              <w:bottom w:val="single" w:sz="4" w:space="0" w:color="auto"/>
            </w:tcBorders>
            <w:tcMar>
              <w:top w:w="0" w:type="dxa"/>
              <w:left w:w="108" w:type="dxa"/>
              <w:bottom w:w="0" w:type="dxa"/>
              <w:right w:w="108" w:type="dxa"/>
            </w:tcMar>
          </w:tcPr>
          <w:p w14:paraId="23D2BA49" w14:textId="77777777" w:rsidR="00F72631" w:rsidRPr="00DB3142" w:rsidRDefault="00F72631" w:rsidP="00946C16">
            <w:pPr>
              <w:spacing w:before="40" w:after="40" w:line="220" w:lineRule="atLeast"/>
              <w:jc w:val="center"/>
              <w:rPr>
                <w:bCs/>
                <w:sz w:val="18"/>
                <w:szCs w:val="18"/>
              </w:rPr>
            </w:pPr>
            <w:r w:rsidRPr="00DB3142">
              <w:rPr>
                <w:bCs/>
                <w:sz w:val="18"/>
                <w:szCs w:val="18"/>
              </w:rPr>
              <w:t>&gt; 4</w:t>
            </w:r>
          </w:p>
        </w:tc>
        <w:tc>
          <w:tcPr>
            <w:tcW w:w="1867" w:type="dxa"/>
            <w:tcBorders>
              <w:bottom w:val="single" w:sz="4" w:space="0" w:color="auto"/>
            </w:tcBorders>
            <w:tcMar>
              <w:top w:w="0" w:type="dxa"/>
              <w:left w:w="108" w:type="dxa"/>
              <w:bottom w:w="0" w:type="dxa"/>
              <w:right w:w="108" w:type="dxa"/>
            </w:tcMar>
          </w:tcPr>
          <w:p w14:paraId="664155C3" w14:textId="77777777" w:rsidR="00F72631" w:rsidRPr="00DB3142" w:rsidRDefault="00F72631" w:rsidP="00946C16">
            <w:pPr>
              <w:spacing w:before="40" w:after="40" w:line="220" w:lineRule="atLeast"/>
              <w:jc w:val="center"/>
              <w:rPr>
                <w:bCs/>
                <w:sz w:val="18"/>
                <w:szCs w:val="18"/>
              </w:rPr>
            </w:pPr>
            <w:r w:rsidRPr="00DB3142">
              <w:rPr>
                <w:bCs/>
                <w:sz w:val="18"/>
                <w:szCs w:val="18"/>
              </w:rPr>
              <w:t>≥ 12</w:t>
            </w:r>
          </w:p>
        </w:tc>
      </w:tr>
      <w:tr w:rsidR="00F72631" w:rsidRPr="00EA1A84" w14:paraId="3559704D" w14:textId="77777777" w:rsidTr="00946C16">
        <w:tc>
          <w:tcPr>
            <w:tcW w:w="1808" w:type="dxa"/>
            <w:vMerge w:val="restart"/>
            <w:tcMar>
              <w:top w:w="0" w:type="dxa"/>
              <w:left w:w="108" w:type="dxa"/>
              <w:bottom w:w="0" w:type="dxa"/>
              <w:right w:w="108" w:type="dxa"/>
            </w:tcMar>
            <w:vAlign w:val="center"/>
          </w:tcPr>
          <w:p w14:paraId="2CC596BB" w14:textId="77777777" w:rsidR="00F72631" w:rsidRPr="00DB3142" w:rsidRDefault="00F72631" w:rsidP="00946C16">
            <w:pPr>
              <w:spacing w:before="40" w:after="40" w:line="220" w:lineRule="atLeast"/>
              <w:jc w:val="center"/>
              <w:rPr>
                <w:bCs/>
                <w:sz w:val="18"/>
                <w:szCs w:val="18"/>
              </w:rPr>
            </w:pPr>
            <w:r w:rsidRPr="00DB3142">
              <w:rPr>
                <w:bCs/>
                <w:sz w:val="18"/>
                <w:szCs w:val="18"/>
              </w:rPr>
              <w:t>≥ 250 &lt; 350</w:t>
            </w:r>
          </w:p>
        </w:tc>
        <w:tc>
          <w:tcPr>
            <w:tcW w:w="1808" w:type="dxa"/>
            <w:tcMar>
              <w:top w:w="0" w:type="dxa"/>
              <w:left w:w="108" w:type="dxa"/>
              <w:bottom w:w="0" w:type="dxa"/>
              <w:right w:w="108" w:type="dxa"/>
            </w:tcMar>
          </w:tcPr>
          <w:p w14:paraId="333457A1" w14:textId="77777777" w:rsidR="00F72631" w:rsidRPr="00DB3142" w:rsidRDefault="00F72631" w:rsidP="00946C16">
            <w:pPr>
              <w:spacing w:before="40" w:after="40" w:line="220" w:lineRule="atLeast"/>
              <w:jc w:val="center"/>
              <w:rPr>
                <w:bCs/>
                <w:sz w:val="18"/>
                <w:szCs w:val="18"/>
              </w:rPr>
            </w:pPr>
            <w:r w:rsidRPr="00DB3142">
              <w:rPr>
                <w:bCs/>
                <w:sz w:val="18"/>
                <w:szCs w:val="18"/>
              </w:rPr>
              <w:t>≤ 4</w:t>
            </w:r>
          </w:p>
        </w:tc>
        <w:tc>
          <w:tcPr>
            <w:tcW w:w="1867" w:type="dxa"/>
            <w:tcMar>
              <w:top w:w="0" w:type="dxa"/>
              <w:left w:w="108" w:type="dxa"/>
              <w:bottom w:w="0" w:type="dxa"/>
              <w:right w:w="108" w:type="dxa"/>
            </w:tcMar>
          </w:tcPr>
          <w:p w14:paraId="7A129134" w14:textId="77777777" w:rsidR="00F72631" w:rsidRPr="00DB3142" w:rsidRDefault="00F72631" w:rsidP="00946C16">
            <w:pPr>
              <w:spacing w:before="40" w:after="40" w:line="220" w:lineRule="atLeast"/>
              <w:jc w:val="center"/>
              <w:rPr>
                <w:bCs/>
                <w:sz w:val="18"/>
                <w:szCs w:val="18"/>
              </w:rPr>
            </w:pPr>
            <w:r w:rsidRPr="00DB3142">
              <w:rPr>
                <w:bCs/>
                <w:sz w:val="18"/>
                <w:szCs w:val="18"/>
              </w:rPr>
              <w:t>≥ 8</w:t>
            </w:r>
          </w:p>
        </w:tc>
      </w:tr>
      <w:tr w:rsidR="00F72631" w:rsidRPr="00EA1A84" w14:paraId="4EA5D41E" w14:textId="77777777" w:rsidTr="00946C16">
        <w:trPr>
          <w:trHeight w:val="248"/>
        </w:trPr>
        <w:tc>
          <w:tcPr>
            <w:tcW w:w="1808" w:type="dxa"/>
            <w:vMerge/>
            <w:vAlign w:val="center"/>
          </w:tcPr>
          <w:p w14:paraId="43360FEA" w14:textId="77777777" w:rsidR="00F72631" w:rsidRPr="00DB3142" w:rsidRDefault="00F72631" w:rsidP="00946C16">
            <w:pPr>
              <w:spacing w:before="40" w:after="40" w:line="220" w:lineRule="atLeast"/>
              <w:rPr>
                <w:bCs/>
                <w:sz w:val="18"/>
                <w:szCs w:val="18"/>
              </w:rPr>
            </w:pPr>
          </w:p>
        </w:tc>
        <w:tc>
          <w:tcPr>
            <w:tcW w:w="1808" w:type="dxa"/>
            <w:tcMar>
              <w:top w:w="0" w:type="dxa"/>
              <w:left w:w="108" w:type="dxa"/>
              <w:bottom w:w="0" w:type="dxa"/>
              <w:right w:w="108" w:type="dxa"/>
            </w:tcMar>
          </w:tcPr>
          <w:p w14:paraId="0C0D6AF6" w14:textId="77777777" w:rsidR="00F72631" w:rsidRPr="00DB3142" w:rsidRDefault="00F72631" w:rsidP="00946C16">
            <w:pPr>
              <w:spacing w:before="40" w:after="40" w:line="220" w:lineRule="atLeast"/>
              <w:jc w:val="center"/>
              <w:rPr>
                <w:bCs/>
                <w:sz w:val="18"/>
                <w:szCs w:val="18"/>
              </w:rPr>
            </w:pPr>
            <w:r w:rsidRPr="00DB3142">
              <w:rPr>
                <w:bCs/>
                <w:sz w:val="18"/>
                <w:szCs w:val="18"/>
              </w:rPr>
              <w:t>&gt; 4 ≤ 5</w:t>
            </w:r>
          </w:p>
        </w:tc>
        <w:tc>
          <w:tcPr>
            <w:tcW w:w="1867" w:type="dxa"/>
            <w:tcMar>
              <w:top w:w="0" w:type="dxa"/>
              <w:left w:w="108" w:type="dxa"/>
              <w:bottom w:w="0" w:type="dxa"/>
              <w:right w:w="108" w:type="dxa"/>
            </w:tcMar>
          </w:tcPr>
          <w:p w14:paraId="79CD28DE" w14:textId="77777777" w:rsidR="00F72631" w:rsidRPr="00DB3142" w:rsidRDefault="00F72631" w:rsidP="00946C16">
            <w:pPr>
              <w:spacing w:before="40" w:after="40" w:line="220" w:lineRule="atLeast"/>
              <w:jc w:val="center"/>
              <w:rPr>
                <w:bCs/>
                <w:sz w:val="18"/>
                <w:szCs w:val="18"/>
              </w:rPr>
            </w:pPr>
            <w:r w:rsidRPr="00DB3142">
              <w:rPr>
                <w:bCs/>
                <w:sz w:val="18"/>
                <w:szCs w:val="18"/>
              </w:rPr>
              <w:t>≥ 11</w:t>
            </w:r>
          </w:p>
        </w:tc>
      </w:tr>
      <w:tr w:rsidR="00F72631" w:rsidRPr="00EA1A84" w14:paraId="064DDD79" w14:textId="77777777" w:rsidTr="00946C16">
        <w:tc>
          <w:tcPr>
            <w:tcW w:w="1808" w:type="dxa"/>
            <w:vMerge/>
            <w:tcBorders>
              <w:bottom w:val="single" w:sz="12" w:space="0" w:color="auto"/>
            </w:tcBorders>
            <w:vAlign w:val="center"/>
          </w:tcPr>
          <w:p w14:paraId="4AC76C52" w14:textId="77777777" w:rsidR="00F72631" w:rsidRPr="00DB3142" w:rsidRDefault="00F72631" w:rsidP="00946C16">
            <w:pPr>
              <w:spacing w:before="40" w:after="40" w:line="220" w:lineRule="atLeast"/>
              <w:rPr>
                <w:bCs/>
                <w:sz w:val="18"/>
                <w:szCs w:val="18"/>
              </w:rPr>
            </w:pPr>
          </w:p>
        </w:tc>
        <w:tc>
          <w:tcPr>
            <w:tcW w:w="1808" w:type="dxa"/>
            <w:tcBorders>
              <w:bottom w:val="single" w:sz="12" w:space="0" w:color="auto"/>
            </w:tcBorders>
            <w:tcMar>
              <w:top w:w="0" w:type="dxa"/>
              <w:left w:w="108" w:type="dxa"/>
              <w:bottom w:w="0" w:type="dxa"/>
              <w:right w:w="108" w:type="dxa"/>
            </w:tcMar>
          </w:tcPr>
          <w:p w14:paraId="5F93756E" w14:textId="77777777" w:rsidR="00F72631" w:rsidRPr="00DB3142" w:rsidRDefault="00F72631" w:rsidP="00946C16">
            <w:pPr>
              <w:spacing w:before="40" w:after="40" w:line="220" w:lineRule="atLeast"/>
              <w:jc w:val="center"/>
              <w:rPr>
                <w:bCs/>
                <w:sz w:val="18"/>
                <w:szCs w:val="18"/>
              </w:rPr>
            </w:pPr>
            <w:r w:rsidRPr="00DB3142">
              <w:rPr>
                <w:bCs/>
                <w:sz w:val="18"/>
                <w:szCs w:val="18"/>
              </w:rPr>
              <w:t xml:space="preserve">&gt; 5 </w:t>
            </w:r>
          </w:p>
        </w:tc>
        <w:tc>
          <w:tcPr>
            <w:tcW w:w="1867" w:type="dxa"/>
            <w:tcBorders>
              <w:bottom w:val="single" w:sz="12" w:space="0" w:color="auto"/>
            </w:tcBorders>
            <w:tcMar>
              <w:top w:w="0" w:type="dxa"/>
              <w:left w:w="108" w:type="dxa"/>
              <w:bottom w:w="0" w:type="dxa"/>
              <w:right w:w="108" w:type="dxa"/>
            </w:tcMar>
          </w:tcPr>
          <w:p w14:paraId="370CEF87" w14:textId="77777777" w:rsidR="00F72631" w:rsidRPr="00DB3142" w:rsidRDefault="00F72631" w:rsidP="00946C16">
            <w:pPr>
              <w:spacing w:before="40" w:after="40" w:line="220" w:lineRule="atLeast"/>
              <w:jc w:val="center"/>
              <w:rPr>
                <w:bCs/>
                <w:sz w:val="18"/>
                <w:szCs w:val="18"/>
              </w:rPr>
            </w:pPr>
            <w:r w:rsidRPr="00DB3142">
              <w:rPr>
                <w:bCs/>
                <w:sz w:val="18"/>
                <w:szCs w:val="18"/>
              </w:rPr>
              <w:t>≥ 14</w:t>
            </w:r>
          </w:p>
        </w:tc>
      </w:tr>
    </w:tbl>
    <w:p w14:paraId="74360CBF" w14:textId="77777777" w:rsidR="00F72631" w:rsidRDefault="00F72631" w:rsidP="00F72631">
      <w:pPr>
        <w:pStyle w:val="SingleTxtG"/>
        <w:spacing w:before="120"/>
        <w:jc w:val="right"/>
        <w:rPr>
          <w:i/>
          <w:iCs/>
        </w:rPr>
      </w:pPr>
      <w:r>
        <w:t>”</w:t>
      </w:r>
    </w:p>
    <w:p w14:paraId="5893F884" w14:textId="77777777" w:rsidR="00F72631" w:rsidRPr="00EA1A84" w:rsidRDefault="00F72631" w:rsidP="00F72631">
      <w:pPr>
        <w:pStyle w:val="SingleTxtG"/>
        <w:spacing w:before="120"/>
        <w:rPr>
          <w:i/>
          <w:iCs/>
        </w:rPr>
      </w:pPr>
      <w:r w:rsidRPr="00EA1A84">
        <w:rPr>
          <w:i/>
          <w:iCs/>
        </w:rPr>
        <w:t>Annex 15,</w:t>
      </w:r>
    </w:p>
    <w:p w14:paraId="3FB1C6FB" w14:textId="77777777" w:rsidR="00F72631" w:rsidRPr="00FE15FB" w:rsidRDefault="00F72631" w:rsidP="00F72631">
      <w:pPr>
        <w:pStyle w:val="Default"/>
        <w:spacing w:after="120"/>
        <w:ind w:left="1134" w:right="1134"/>
        <w:jc w:val="both"/>
        <w:rPr>
          <w:bCs/>
          <w:sz w:val="20"/>
          <w:szCs w:val="20"/>
          <w:lang w:val="en-GB"/>
        </w:rPr>
      </w:pPr>
      <w:proofErr w:type="spellStart"/>
      <w:r w:rsidRPr="00EA1A84">
        <w:rPr>
          <w:rStyle w:val="SingleTxtGChar"/>
          <w:i/>
          <w:iCs/>
          <w:sz w:val="20"/>
          <w:szCs w:val="20"/>
        </w:rPr>
        <w:t>Insert</w:t>
      </w:r>
      <w:proofErr w:type="spellEnd"/>
      <w:r w:rsidRPr="00EA1A84">
        <w:rPr>
          <w:rStyle w:val="SingleTxtGChar"/>
          <w:i/>
          <w:iCs/>
          <w:sz w:val="20"/>
          <w:szCs w:val="20"/>
        </w:rPr>
        <w:t xml:space="preserve"> a new </w:t>
      </w:r>
      <w:proofErr w:type="spellStart"/>
      <w:r w:rsidRPr="00EA1A84">
        <w:rPr>
          <w:rStyle w:val="SingleTxtGChar"/>
          <w:i/>
          <w:iCs/>
          <w:sz w:val="20"/>
          <w:szCs w:val="20"/>
        </w:rPr>
        <w:t>paragraph</w:t>
      </w:r>
      <w:proofErr w:type="spellEnd"/>
      <w:r w:rsidRPr="00EA1A84">
        <w:rPr>
          <w:rStyle w:val="SingleTxtGChar"/>
          <w:i/>
          <w:iCs/>
          <w:sz w:val="20"/>
          <w:szCs w:val="20"/>
        </w:rPr>
        <w:t xml:space="preserve"> 1.5</w:t>
      </w:r>
      <w:r w:rsidRPr="00FE15FB">
        <w:rPr>
          <w:rStyle w:val="SingleTxtGChar"/>
          <w:i/>
          <w:iCs/>
          <w:sz w:val="20"/>
          <w:szCs w:val="20"/>
        </w:rPr>
        <w:t>.,</w:t>
      </w:r>
      <w:r w:rsidRPr="00FE15FB">
        <w:rPr>
          <w:bCs/>
          <w:sz w:val="20"/>
          <w:szCs w:val="20"/>
          <w:lang w:val="en-GB"/>
        </w:rPr>
        <w:t xml:space="preserve"> to read:</w:t>
      </w:r>
    </w:p>
    <w:p w14:paraId="222B5BA9" w14:textId="77777777" w:rsidR="00F72631" w:rsidRPr="00DB3142" w:rsidRDefault="00F72631" w:rsidP="00F72631">
      <w:pPr>
        <w:pStyle w:val="Default"/>
        <w:spacing w:after="120"/>
        <w:ind w:left="2268" w:right="1134" w:hanging="1134"/>
        <w:rPr>
          <w:sz w:val="20"/>
          <w:szCs w:val="20"/>
          <w:lang w:val="en-GB"/>
        </w:rPr>
      </w:pPr>
      <w:r w:rsidRPr="00DB3142">
        <w:rPr>
          <w:sz w:val="20"/>
          <w:szCs w:val="20"/>
          <w:lang w:val="en-GB"/>
        </w:rPr>
        <w:t>“1.5.</w:t>
      </w:r>
      <w:r w:rsidRPr="00DB3142">
        <w:rPr>
          <w:sz w:val="20"/>
          <w:szCs w:val="20"/>
          <w:lang w:val="en-GB"/>
        </w:rPr>
        <w:tab/>
        <w:t>Definition of bell mounting face</w:t>
      </w:r>
    </w:p>
    <w:p w14:paraId="74681904" w14:textId="77777777" w:rsidR="00F72631" w:rsidRPr="00DB3142" w:rsidRDefault="00F72631" w:rsidP="00F72631">
      <w:pPr>
        <w:pStyle w:val="Default"/>
        <w:spacing w:after="120"/>
        <w:ind w:left="2268" w:right="1134"/>
        <w:jc w:val="both"/>
        <w:rPr>
          <w:sz w:val="20"/>
          <w:szCs w:val="20"/>
          <w:lang w:val="en-GB"/>
        </w:rPr>
      </w:pPr>
      <w:r w:rsidRPr="00DB3142">
        <w:rPr>
          <w:sz w:val="20"/>
          <w:szCs w:val="20"/>
          <w:lang w:val="en-GB"/>
        </w:rPr>
        <w:t>“</w:t>
      </w:r>
      <w:r w:rsidRPr="00DB3142">
        <w:rPr>
          <w:i/>
          <w:iCs/>
          <w:sz w:val="20"/>
          <w:szCs w:val="20"/>
          <w:lang w:val="en-GB"/>
        </w:rPr>
        <w:t>Bell mounting face</w:t>
      </w:r>
      <w:r w:rsidRPr="00DB3142">
        <w:rPr>
          <w:sz w:val="20"/>
          <w:szCs w:val="20"/>
          <w:lang w:val="en-GB"/>
        </w:rPr>
        <w:t>” means the surface of a brake disc that goes in contact with wheel hub.</w:t>
      </w:r>
    </w:p>
    <w:p w14:paraId="58949840" w14:textId="77777777" w:rsidR="00F72631" w:rsidRPr="00DB3142" w:rsidRDefault="00F72631" w:rsidP="00F72631">
      <w:pPr>
        <w:pStyle w:val="Default"/>
        <w:spacing w:after="120"/>
        <w:ind w:left="2268" w:right="1134"/>
        <w:jc w:val="both"/>
        <w:rPr>
          <w:sz w:val="20"/>
          <w:szCs w:val="20"/>
          <w:lang w:val="en-GB"/>
        </w:rPr>
      </w:pPr>
      <w:r w:rsidRPr="00DB3142">
        <w:rPr>
          <w:sz w:val="20"/>
          <w:szCs w:val="20"/>
          <w:lang w:val="en-GB"/>
        </w:rPr>
        <w:t>The mounting surface is calculated between the disc inner diameter T(</w:t>
      </w:r>
      <w:proofErr w:type="spellStart"/>
      <w:r w:rsidRPr="00DB3142">
        <w:rPr>
          <w:sz w:val="20"/>
          <w:szCs w:val="20"/>
          <w:lang w:val="en-GB"/>
        </w:rPr>
        <w:t>i</w:t>
      </w:r>
      <w:proofErr w:type="spellEnd"/>
      <w:r w:rsidRPr="00DB3142">
        <w:rPr>
          <w:sz w:val="20"/>
          <w:szCs w:val="20"/>
          <w:lang w:val="en-GB"/>
        </w:rPr>
        <w:t>) and a diameter T(o) defined as the max diameter of area subjected to flatness restrictions as indicated on disc drawing (see figure 1).</w:t>
      </w:r>
    </w:p>
    <w:p w14:paraId="57A1BB5F" w14:textId="77777777" w:rsidR="00F72631" w:rsidRPr="00DB3142" w:rsidRDefault="00F72631" w:rsidP="00F72631">
      <w:pPr>
        <w:pStyle w:val="Default"/>
        <w:spacing w:after="120"/>
        <w:ind w:left="2268" w:right="1134"/>
        <w:rPr>
          <w:sz w:val="20"/>
          <w:szCs w:val="20"/>
          <w:lang w:val="en-GB"/>
        </w:rPr>
      </w:pPr>
      <w:r>
        <w:rPr>
          <w:sz w:val="22"/>
          <w:szCs w:val="22"/>
        </w:rPr>
        <w:t xml:space="preserve">In case </w:t>
      </w:r>
      <w:proofErr w:type="spellStart"/>
      <w:r>
        <w:rPr>
          <w:sz w:val="22"/>
          <w:szCs w:val="22"/>
        </w:rPr>
        <w:t>indications</w:t>
      </w:r>
      <w:proofErr w:type="spellEnd"/>
      <w:r>
        <w:rPr>
          <w:sz w:val="22"/>
          <w:szCs w:val="22"/>
        </w:rPr>
        <w:t xml:space="preserve"> on the </w:t>
      </w:r>
      <w:proofErr w:type="spellStart"/>
      <w:r>
        <w:rPr>
          <w:sz w:val="22"/>
          <w:szCs w:val="22"/>
        </w:rPr>
        <w:t>drawing</w:t>
      </w:r>
      <w:proofErr w:type="spellEnd"/>
      <w:r>
        <w:rPr>
          <w:sz w:val="22"/>
          <w:szCs w:val="22"/>
        </w:rPr>
        <w:t xml:space="preserve"> are missing</w:t>
      </w:r>
      <w:r w:rsidRPr="00DB3142">
        <w:rPr>
          <w:sz w:val="20"/>
          <w:szCs w:val="20"/>
          <w:lang w:val="en-GB"/>
        </w:rPr>
        <w:t>, T(o) is defined as follows:</w:t>
      </w:r>
    </w:p>
    <w:p w14:paraId="729E0978" w14:textId="77777777" w:rsidR="00F72631" w:rsidRPr="00DB3142" w:rsidRDefault="00F72631" w:rsidP="00F72631">
      <w:pPr>
        <w:pStyle w:val="Default"/>
        <w:spacing w:after="120"/>
        <w:ind w:left="2268" w:right="1134"/>
        <w:rPr>
          <w:sz w:val="20"/>
          <w:szCs w:val="20"/>
          <w:lang w:val="fr-CH"/>
        </w:rPr>
      </w:pPr>
      <w:r w:rsidRPr="00DB3142">
        <w:rPr>
          <w:sz w:val="20"/>
          <w:szCs w:val="20"/>
          <w:lang w:val="fr-CH"/>
        </w:rPr>
        <w:t>T(o) = T(k) + B + 10mm</w:t>
      </w:r>
    </w:p>
    <w:p w14:paraId="33DE3841" w14:textId="77777777" w:rsidR="00F72631" w:rsidRPr="00AC551C" w:rsidRDefault="00F72631" w:rsidP="00F72631">
      <w:pPr>
        <w:pStyle w:val="Default"/>
        <w:spacing w:after="120"/>
        <w:ind w:left="1134" w:right="1134"/>
        <w:rPr>
          <w:sz w:val="20"/>
          <w:szCs w:val="20"/>
          <w:lang w:val="fr-CH"/>
        </w:rPr>
      </w:pPr>
      <w:r w:rsidRPr="00AC551C">
        <w:rPr>
          <w:sz w:val="20"/>
          <w:szCs w:val="20"/>
          <w:lang w:val="fr-CH"/>
        </w:rPr>
        <w:t>Figure 1</w:t>
      </w:r>
    </w:p>
    <w:p w14:paraId="6F20F299" w14:textId="77777777" w:rsidR="00F72631" w:rsidRPr="00EA1A84" w:rsidRDefault="00F72631" w:rsidP="00F72631">
      <w:pPr>
        <w:pStyle w:val="Default"/>
        <w:ind w:left="993" w:right="1134"/>
        <w:jc w:val="both"/>
        <w:rPr>
          <w:bCs/>
          <w:sz w:val="22"/>
          <w:szCs w:val="22"/>
          <w:lang w:val="en-GB"/>
        </w:rPr>
      </w:pPr>
      <w:r w:rsidRPr="00EA1A84">
        <w:rPr>
          <w:noProof/>
          <w:lang w:val="en-GB" w:eastAsia="it-IT"/>
        </w:rPr>
        <w:drawing>
          <wp:inline distT="0" distB="0" distL="0" distR="0" wp14:anchorId="4B69B5B1" wp14:editId="316C34EC">
            <wp:extent cx="3906078" cy="1673629"/>
            <wp:effectExtent l="0" t="0" r="0" b="317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5426" cy="1716196"/>
                    </a:xfrm>
                    <a:prstGeom prst="rect">
                      <a:avLst/>
                    </a:prstGeom>
                  </pic:spPr>
                </pic:pic>
              </a:graphicData>
            </a:graphic>
          </wp:inline>
        </w:drawing>
      </w:r>
    </w:p>
    <w:p w14:paraId="5E07C161" w14:textId="77777777" w:rsidR="00F72631" w:rsidRDefault="00F72631" w:rsidP="00F72631">
      <w:pPr>
        <w:pStyle w:val="Default"/>
        <w:ind w:left="993" w:right="1134"/>
        <w:jc w:val="both"/>
        <w:rPr>
          <w:bCs/>
          <w:sz w:val="22"/>
          <w:szCs w:val="22"/>
          <w:lang w:val="en-GB"/>
        </w:rPr>
      </w:pPr>
      <w:r w:rsidRPr="00EA1A84">
        <w:rPr>
          <w:noProof/>
          <w:lang w:val="en-GB" w:eastAsia="it-IT"/>
        </w:rPr>
        <w:drawing>
          <wp:inline distT="0" distB="0" distL="0" distR="0" wp14:anchorId="1F37119C" wp14:editId="1EAB5947">
            <wp:extent cx="4443492" cy="1624993"/>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0213" cy="1642079"/>
                    </a:xfrm>
                    <a:prstGeom prst="rect">
                      <a:avLst/>
                    </a:prstGeom>
                  </pic:spPr>
                </pic:pic>
              </a:graphicData>
            </a:graphic>
          </wp:inline>
        </w:drawing>
      </w:r>
    </w:p>
    <w:p w14:paraId="6A92925C" w14:textId="77777777" w:rsidR="00F72631" w:rsidRPr="00EA1A84" w:rsidRDefault="00F72631" w:rsidP="00F72631">
      <w:pPr>
        <w:pStyle w:val="Default"/>
        <w:ind w:left="993" w:right="1134"/>
        <w:jc w:val="both"/>
        <w:rPr>
          <w:bCs/>
          <w:sz w:val="22"/>
          <w:szCs w:val="22"/>
          <w:lang w:val="en-GB"/>
        </w:rPr>
      </w:pPr>
      <w:r>
        <w:rPr>
          <w:bCs/>
          <w:sz w:val="22"/>
          <w:szCs w:val="22"/>
          <w:lang w:val="en-GB"/>
        </w:rPr>
        <w:t>"</w:t>
      </w:r>
    </w:p>
    <w:p w14:paraId="1405B163" w14:textId="77777777" w:rsidR="00F72631" w:rsidRPr="00EA1A84" w:rsidRDefault="00F72631" w:rsidP="00F72631">
      <w:pPr>
        <w:pStyle w:val="SingleTxtG"/>
        <w:keepNext/>
      </w:pPr>
      <w:r w:rsidRPr="00EA1A84">
        <w:rPr>
          <w:i/>
          <w:iCs/>
        </w:rPr>
        <w:lastRenderedPageBreak/>
        <w:t>Insert a new paragraph 1.6.,</w:t>
      </w:r>
      <w:r w:rsidRPr="00EA1A84">
        <w:t xml:space="preserve"> to read:</w:t>
      </w:r>
    </w:p>
    <w:p w14:paraId="3972CDE6" w14:textId="77777777" w:rsidR="00F72631" w:rsidRPr="00EA1A84" w:rsidRDefault="00F72631" w:rsidP="00F72631">
      <w:pPr>
        <w:pStyle w:val="SingleTxtG"/>
        <w:keepNext/>
        <w:ind w:left="2268" w:hanging="1134"/>
      </w:pPr>
      <w:r>
        <w:t>"</w:t>
      </w:r>
      <w:r w:rsidRPr="00EA1A84">
        <w:t>1.6.</w:t>
      </w:r>
      <w:r w:rsidRPr="00EA1A84">
        <w:tab/>
        <w:t xml:space="preserve">Definition of reference disc </w:t>
      </w:r>
    </w:p>
    <w:p w14:paraId="0451CD78" w14:textId="77777777" w:rsidR="00F72631" w:rsidRPr="00EA1A84" w:rsidRDefault="00F72631" w:rsidP="00F72631">
      <w:pPr>
        <w:pStyle w:val="SingleTxtG"/>
        <w:ind w:left="2268"/>
        <w:rPr>
          <w:bCs/>
        </w:rPr>
      </w:pPr>
      <w:r w:rsidRPr="00EA1A84">
        <w:t xml:space="preserve">Within each discs group, the </w:t>
      </w:r>
      <w:r w:rsidRPr="00EA1A84">
        <w:rPr>
          <w:i/>
          <w:iCs/>
        </w:rPr>
        <w:t>reference disc</w:t>
      </w:r>
      <w:r w:rsidRPr="00EA1A84">
        <w:t xml:space="preserve"> is the one which has the highest ratio of kinetic energy (considering all the replacement applications foreseen) and its mass, as described in paragraph 5.3.6.</w:t>
      </w:r>
      <w:r>
        <w:t>"</w:t>
      </w:r>
    </w:p>
    <w:p w14:paraId="5144310F" w14:textId="77777777" w:rsidR="00F72631" w:rsidRPr="00EA1A84" w:rsidRDefault="00F72631" w:rsidP="00F72631">
      <w:pPr>
        <w:pStyle w:val="SingleTxtG"/>
        <w:keepNext/>
      </w:pPr>
      <w:r w:rsidRPr="00EA1A84">
        <w:rPr>
          <w:i/>
          <w:iCs/>
        </w:rPr>
        <w:t>Paragraph 2.3.,</w:t>
      </w:r>
      <w:r w:rsidRPr="00EA1A84">
        <w:t xml:space="preserve"> amend to read:</w:t>
      </w:r>
    </w:p>
    <w:p w14:paraId="401AFCB1" w14:textId="77777777" w:rsidR="00F72631" w:rsidRPr="00DB3142" w:rsidRDefault="00F72631" w:rsidP="00F72631">
      <w:pPr>
        <w:pStyle w:val="Default"/>
        <w:spacing w:after="120"/>
        <w:ind w:left="2268" w:right="1134" w:hanging="1134"/>
        <w:jc w:val="both"/>
        <w:rPr>
          <w:sz w:val="20"/>
          <w:szCs w:val="20"/>
          <w:lang w:val="en-GB"/>
        </w:rPr>
      </w:pPr>
      <w:r>
        <w:rPr>
          <w:sz w:val="20"/>
          <w:szCs w:val="20"/>
          <w:lang w:val="en-GB"/>
        </w:rPr>
        <w:t>"</w:t>
      </w:r>
      <w:r w:rsidRPr="00EA1A84">
        <w:rPr>
          <w:sz w:val="20"/>
          <w:szCs w:val="20"/>
          <w:lang w:val="en-GB"/>
        </w:rPr>
        <w:t>2.3.</w:t>
      </w:r>
      <w:r w:rsidRPr="00EA1A84">
        <w:rPr>
          <w:sz w:val="20"/>
          <w:szCs w:val="20"/>
          <w:lang w:val="en-GB"/>
        </w:rPr>
        <w:tab/>
      </w:r>
      <w:r w:rsidRPr="00DB3142">
        <w:rPr>
          <w:sz w:val="20"/>
          <w:szCs w:val="20"/>
          <w:lang w:val="en-GB"/>
        </w:rPr>
        <w:t>Braking surface lightening: any solution is allowed (holes, slots, wave, etc.) provided that the ratio between the vehicle kinetic energy to the mass of the disc braking surface, must be same or higher than the reference disc (with tolerance of – 20 per cent maximum).</w:t>
      </w:r>
    </w:p>
    <w:p w14:paraId="665CEFE2" w14:textId="77777777" w:rsidR="00F72631" w:rsidRPr="00DB3142" w:rsidRDefault="00F72631" w:rsidP="00F72631">
      <w:pPr>
        <w:pStyle w:val="Default"/>
        <w:spacing w:after="120"/>
        <w:ind w:left="2268" w:right="1134"/>
        <w:jc w:val="both"/>
        <w:rPr>
          <w:sz w:val="20"/>
          <w:szCs w:val="22"/>
          <w:lang w:val="en-GB"/>
        </w:rPr>
      </w:pPr>
      <w:r w:rsidRPr="00DB3142">
        <w:rPr>
          <w:sz w:val="20"/>
          <w:szCs w:val="22"/>
          <w:lang w:val="en-GB"/>
        </w:rPr>
        <w:t xml:space="preserve">Example: </w:t>
      </w:r>
    </w:p>
    <w:p w14:paraId="166BAC49" w14:textId="77777777" w:rsidR="00F72631" w:rsidRPr="00DB3142" w:rsidRDefault="00F72631" w:rsidP="00F72631">
      <w:pPr>
        <w:pStyle w:val="Default"/>
        <w:spacing w:after="120"/>
        <w:ind w:left="2268" w:right="1134"/>
        <w:jc w:val="both"/>
        <w:rPr>
          <w:sz w:val="20"/>
          <w:szCs w:val="22"/>
          <w:lang w:val="en-GB"/>
        </w:rPr>
      </w:pPr>
      <w:r w:rsidRPr="00DB3142">
        <w:rPr>
          <w:sz w:val="20"/>
          <w:szCs w:val="22"/>
          <w:lang w:val="en-GB"/>
        </w:rPr>
        <w:t xml:space="preserve">Outer diameter 300 mm, </w:t>
      </w:r>
    </w:p>
    <w:p w14:paraId="3BBD37AC" w14:textId="77777777" w:rsidR="00F72631" w:rsidRPr="00DB3142" w:rsidRDefault="00F72631" w:rsidP="00F72631">
      <w:pPr>
        <w:pStyle w:val="Default"/>
        <w:spacing w:after="120"/>
        <w:ind w:left="2268" w:right="1134"/>
        <w:jc w:val="both"/>
        <w:rPr>
          <w:sz w:val="20"/>
          <w:szCs w:val="22"/>
          <w:lang w:val="en-GB"/>
        </w:rPr>
      </w:pPr>
      <w:r w:rsidRPr="00DB3142">
        <w:rPr>
          <w:sz w:val="20"/>
          <w:szCs w:val="22"/>
          <w:lang w:val="en-GB"/>
        </w:rPr>
        <w:t>radial width of the braking surface 36.5 mm ≥ total area A = 302 cm</w:t>
      </w:r>
      <w:r w:rsidRPr="00DB3142">
        <w:rPr>
          <w:sz w:val="20"/>
          <w:szCs w:val="22"/>
          <w:vertAlign w:val="superscript"/>
          <w:lang w:val="en-GB"/>
        </w:rPr>
        <w:t>2</w:t>
      </w:r>
      <w:r w:rsidRPr="00DB3142">
        <w:rPr>
          <w:sz w:val="20"/>
          <w:szCs w:val="22"/>
          <w:lang w:val="en-GB"/>
        </w:rPr>
        <w:t xml:space="preserve"> </w:t>
      </w:r>
    </w:p>
    <w:p w14:paraId="650DA271" w14:textId="77777777" w:rsidR="00F72631" w:rsidRPr="00DB3142" w:rsidRDefault="00F72631" w:rsidP="00F72631">
      <w:pPr>
        <w:pStyle w:val="Default"/>
        <w:spacing w:after="120"/>
        <w:ind w:left="2268" w:right="1134"/>
        <w:jc w:val="both"/>
        <w:rPr>
          <w:sz w:val="20"/>
          <w:szCs w:val="22"/>
          <w:lang w:val="en-GB"/>
        </w:rPr>
      </w:pPr>
      <w:r w:rsidRPr="00DB3142">
        <w:rPr>
          <w:sz w:val="20"/>
          <w:szCs w:val="22"/>
          <w:lang w:val="en-GB"/>
        </w:rPr>
        <w:t xml:space="preserve">Lightening on the braking surface: 64 holes diameter 7 mm ≥ total area </w:t>
      </w:r>
    </w:p>
    <w:p w14:paraId="571DA48A" w14:textId="77777777" w:rsidR="00F72631" w:rsidRPr="00DB3142" w:rsidRDefault="00F72631" w:rsidP="00F72631">
      <w:pPr>
        <w:pStyle w:val="Default"/>
        <w:spacing w:after="120"/>
        <w:ind w:left="2268" w:right="1134"/>
        <w:jc w:val="both"/>
        <w:rPr>
          <w:sz w:val="20"/>
          <w:szCs w:val="22"/>
          <w:lang w:val="en-GB"/>
        </w:rPr>
      </w:pPr>
      <w:r w:rsidRPr="00DB3142">
        <w:rPr>
          <w:sz w:val="20"/>
          <w:szCs w:val="22"/>
          <w:lang w:val="en-GB"/>
        </w:rPr>
        <w:t xml:space="preserve">B = 24.6 cm2 </w:t>
      </w:r>
    </w:p>
    <w:p w14:paraId="273E13A8" w14:textId="77777777" w:rsidR="00F72631" w:rsidRPr="00DB3142" w:rsidRDefault="00F72631" w:rsidP="00F72631">
      <w:pPr>
        <w:pStyle w:val="Default"/>
        <w:spacing w:after="120"/>
        <w:ind w:left="2268" w:right="1134"/>
        <w:jc w:val="both"/>
        <w:rPr>
          <w:sz w:val="20"/>
          <w:szCs w:val="22"/>
          <w:lang w:val="en-GB"/>
        </w:rPr>
      </w:pPr>
      <w:r w:rsidRPr="00DB3142">
        <w:rPr>
          <w:sz w:val="20"/>
          <w:szCs w:val="22"/>
          <w:lang w:val="en-GB"/>
        </w:rPr>
        <w:t xml:space="preserve">δ = Braking surface material specific weigh </w:t>
      </w:r>
    </w:p>
    <w:p w14:paraId="1384DF7D" w14:textId="77777777" w:rsidR="00F72631" w:rsidRPr="00DB3142" w:rsidRDefault="00F72631" w:rsidP="00F72631">
      <w:pPr>
        <w:pStyle w:val="Default"/>
        <w:spacing w:after="120"/>
        <w:ind w:left="2268" w:right="1134"/>
        <w:jc w:val="both"/>
        <w:rPr>
          <w:sz w:val="20"/>
          <w:szCs w:val="22"/>
          <w:lang w:val="en-GB"/>
        </w:rPr>
      </w:pPr>
      <w:r w:rsidRPr="00DB3142">
        <w:rPr>
          <w:sz w:val="20"/>
          <w:szCs w:val="22"/>
          <w:lang w:val="en-GB"/>
        </w:rPr>
        <w:t xml:space="preserve">Braking Surface Mass (BSM)= (A-B) * Th * δ </w:t>
      </w:r>
    </w:p>
    <w:p w14:paraId="6B7E6E83" w14:textId="77777777" w:rsidR="00F72631" w:rsidRPr="00DB3142" w:rsidRDefault="00F72631" w:rsidP="00F72631">
      <w:pPr>
        <w:pStyle w:val="Default"/>
        <w:spacing w:after="120"/>
        <w:ind w:left="2268" w:right="1134"/>
        <w:jc w:val="both"/>
        <w:rPr>
          <w:sz w:val="20"/>
          <w:szCs w:val="22"/>
          <w:lang w:val="en-GB"/>
        </w:rPr>
      </w:pPr>
      <w:r w:rsidRPr="00DB3142">
        <w:rPr>
          <w:sz w:val="20"/>
          <w:szCs w:val="22"/>
          <w:lang w:val="en-GB"/>
        </w:rPr>
        <w:t>Vehicle kinetic energy K.E.= ½ m V</w:t>
      </w:r>
      <w:r w:rsidRPr="00DB3142">
        <w:rPr>
          <w:sz w:val="20"/>
          <w:szCs w:val="22"/>
          <w:vertAlign w:val="superscript"/>
          <w:lang w:val="en-GB"/>
        </w:rPr>
        <w:t xml:space="preserve">2 </w:t>
      </w:r>
      <w:r w:rsidRPr="00DB3142">
        <w:rPr>
          <w:sz w:val="20"/>
          <w:szCs w:val="22"/>
          <w:lang w:val="en-GB"/>
        </w:rPr>
        <w:t xml:space="preserve">(as defined in para. 5.3.6) </w:t>
      </w:r>
    </w:p>
    <w:p w14:paraId="6C6288F4" w14:textId="77777777" w:rsidR="00F72631" w:rsidRPr="00DB3142" w:rsidRDefault="00F72631" w:rsidP="00F72631">
      <w:pPr>
        <w:pStyle w:val="Default"/>
        <w:spacing w:after="120"/>
        <w:ind w:left="2268" w:right="1134"/>
        <w:jc w:val="both"/>
        <w:rPr>
          <w:rFonts w:asciiTheme="majorBidi" w:hAnsiTheme="majorBidi" w:cstheme="majorBidi"/>
          <w:sz w:val="18"/>
          <w:szCs w:val="20"/>
          <w:lang w:val="en-GB"/>
        </w:rPr>
      </w:pPr>
      <w:r w:rsidRPr="00DB3142">
        <w:rPr>
          <w:rFonts w:asciiTheme="majorBidi" w:hAnsiTheme="majorBidi" w:cstheme="majorBidi"/>
          <w:sz w:val="20"/>
          <w:szCs w:val="22"/>
          <w:lang w:val="en-GB"/>
        </w:rPr>
        <w:t xml:space="preserve">Braking Surface Lightening (BSL) </w:t>
      </w:r>
      <w:r w:rsidRPr="00DB3142">
        <w:rPr>
          <w:rFonts w:ascii="Cambria Math" w:hAnsi="Cambria Math" w:cs="Cambria Math"/>
          <w:sz w:val="20"/>
          <w:szCs w:val="22"/>
          <w:lang w:val="en-GB"/>
        </w:rPr>
        <w:t>𝑟𝑎𝑡𝑖𝑜</w:t>
      </w:r>
      <w:r w:rsidRPr="00DB3142">
        <w:rPr>
          <w:rFonts w:asciiTheme="majorBidi" w:hAnsiTheme="majorBidi" w:cstheme="majorBidi"/>
          <w:sz w:val="20"/>
          <w:szCs w:val="22"/>
          <w:lang w:val="en-GB"/>
        </w:rPr>
        <w:t xml:space="preserve"> = </w:t>
      </w:r>
      <w:r w:rsidRPr="00DB3142">
        <w:rPr>
          <w:rFonts w:ascii="Cambria Math" w:hAnsi="Cambria Math" w:cs="Cambria Math"/>
          <w:sz w:val="20"/>
          <w:szCs w:val="22"/>
          <w:lang w:val="en-GB"/>
        </w:rPr>
        <w:t>𝐾</w:t>
      </w:r>
      <w:r w:rsidRPr="00DB3142">
        <w:rPr>
          <w:rFonts w:asciiTheme="majorBidi" w:hAnsiTheme="majorBidi" w:cstheme="majorBidi"/>
          <w:sz w:val="20"/>
          <w:szCs w:val="22"/>
          <w:lang w:val="en-GB"/>
        </w:rPr>
        <w:t>.</w:t>
      </w:r>
      <w:r w:rsidRPr="00DB3142">
        <w:rPr>
          <w:rFonts w:ascii="Cambria Math" w:hAnsi="Cambria Math" w:cs="Cambria Math"/>
          <w:sz w:val="20"/>
          <w:szCs w:val="22"/>
          <w:lang w:val="en-GB"/>
        </w:rPr>
        <w:t>𝐸</w:t>
      </w:r>
      <w:r w:rsidRPr="00DB3142">
        <w:rPr>
          <w:rFonts w:asciiTheme="majorBidi" w:hAnsiTheme="majorBidi" w:cstheme="majorBidi"/>
          <w:sz w:val="20"/>
          <w:szCs w:val="22"/>
          <w:lang w:val="en-GB"/>
        </w:rPr>
        <w:t xml:space="preserve">. / </w:t>
      </w:r>
      <w:r w:rsidRPr="00DB3142">
        <w:rPr>
          <w:rFonts w:ascii="Cambria Math" w:hAnsi="Cambria Math" w:cs="Cambria Math"/>
          <w:sz w:val="20"/>
          <w:szCs w:val="22"/>
          <w:lang w:val="en-GB"/>
        </w:rPr>
        <w:t>𝐵</w:t>
      </w:r>
      <w:r w:rsidRPr="00A82CCB">
        <w:rPr>
          <w:rFonts w:asciiTheme="majorBidi" w:hAnsiTheme="majorBidi" w:cstheme="majorBidi"/>
          <w:i/>
          <w:iCs/>
          <w:sz w:val="20"/>
          <w:szCs w:val="22"/>
          <w:lang w:val="en-GB"/>
        </w:rPr>
        <w:t>SM</w:t>
      </w:r>
      <w:r>
        <w:rPr>
          <w:rFonts w:asciiTheme="majorBidi" w:hAnsiTheme="majorBidi" w:cstheme="majorBidi"/>
          <w:i/>
          <w:iCs/>
          <w:sz w:val="20"/>
          <w:szCs w:val="22"/>
          <w:lang w:val="en-GB"/>
        </w:rPr>
        <w:t xml:space="preserve"> "</w:t>
      </w:r>
    </w:p>
    <w:p w14:paraId="1B2CF21A" w14:textId="77777777" w:rsidR="00F72631" w:rsidRPr="00EA1A84" w:rsidRDefault="00F72631" w:rsidP="00F72631">
      <w:pPr>
        <w:pStyle w:val="SingleTxtG"/>
        <w:spacing w:line="240" w:lineRule="auto"/>
      </w:pPr>
      <w:r w:rsidRPr="00EA1A84">
        <w:rPr>
          <w:i/>
          <w:iCs/>
        </w:rPr>
        <w:t>Paragraph 2.6.,</w:t>
      </w:r>
      <w:r w:rsidRPr="00EA1A84">
        <w:t xml:space="preserve"> amend to read:</w:t>
      </w:r>
    </w:p>
    <w:p w14:paraId="265093DB" w14:textId="77777777" w:rsidR="00F72631" w:rsidRPr="00EA1A84" w:rsidRDefault="00F72631" w:rsidP="00F72631">
      <w:pPr>
        <w:pStyle w:val="Default"/>
        <w:spacing w:after="120"/>
        <w:ind w:left="2268" w:right="1134" w:hanging="1134"/>
        <w:jc w:val="both"/>
        <w:rPr>
          <w:bCs/>
          <w:sz w:val="18"/>
          <w:szCs w:val="20"/>
          <w:lang w:val="en-GB"/>
        </w:rPr>
      </w:pPr>
      <w:r>
        <w:rPr>
          <w:sz w:val="20"/>
          <w:szCs w:val="22"/>
          <w:lang w:val="en-GB"/>
        </w:rPr>
        <w:t>"</w:t>
      </w:r>
      <w:r w:rsidRPr="00EA1A84">
        <w:rPr>
          <w:sz w:val="20"/>
          <w:szCs w:val="22"/>
          <w:lang w:val="en-GB"/>
        </w:rPr>
        <w:t>2.6.</w:t>
      </w:r>
      <w:r w:rsidRPr="00EA1A84">
        <w:rPr>
          <w:sz w:val="20"/>
          <w:szCs w:val="22"/>
          <w:lang w:val="en-GB"/>
        </w:rPr>
        <w:tab/>
        <w:t xml:space="preserve">Spokes of the bell with full/empty ratio – measured on the average </w:t>
      </w:r>
      <w:r w:rsidRPr="00A82CCB">
        <w:rPr>
          <w:sz w:val="20"/>
          <w:szCs w:val="22"/>
          <w:lang w:val="en-GB"/>
        </w:rPr>
        <w:t>circumference between end of the mounting face and max. diameter of the bell same or higher than the reference disc (with a tolerance of -20 per cent max.), thickness same or higher than the reference disc (with a tolerance of -15 per cent max)</w:t>
      </w:r>
      <w:r w:rsidRPr="00EA1A84">
        <w:rPr>
          <w:sz w:val="20"/>
          <w:szCs w:val="22"/>
          <w:lang w:val="en-GB"/>
        </w:rPr>
        <w:t xml:space="preserve"> and same mechanical properties, as specified in the international standard for materials, with respect to the reference disc.</w:t>
      </w:r>
      <w:r>
        <w:rPr>
          <w:sz w:val="20"/>
          <w:szCs w:val="22"/>
          <w:lang w:val="en-GB"/>
        </w:rPr>
        <w:t>"</w:t>
      </w:r>
    </w:p>
    <w:p w14:paraId="7C450C2D" w14:textId="77777777" w:rsidR="00F72631" w:rsidRPr="00EA1A84" w:rsidRDefault="00F72631" w:rsidP="00F72631">
      <w:pPr>
        <w:pStyle w:val="SingleTxtG"/>
        <w:spacing w:line="240" w:lineRule="auto"/>
      </w:pPr>
      <w:r w:rsidRPr="00EA1A84">
        <w:rPr>
          <w:i/>
          <w:iCs/>
        </w:rPr>
        <w:t>Paragraph 2.9.,</w:t>
      </w:r>
      <w:r w:rsidRPr="00EA1A84">
        <w:t xml:space="preserve"> amend to read:</w:t>
      </w:r>
    </w:p>
    <w:p w14:paraId="7FF10F75" w14:textId="77777777" w:rsidR="00F72631" w:rsidRPr="00EA1A84" w:rsidRDefault="00F72631" w:rsidP="00F72631">
      <w:pPr>
        <w:pStyle w:val="Default"/>
        <w:spacing w:after="120"/>
        <w:ind w:left="2268" w:right="1134" w:hanging="1134"/>
        <w:jc w:val="both"/>
        <w:rPr>
          <w:bCs/>
          <w:sz w:val="18"/>
          <w:szCs w:val="20"/>
          <w:lang w:val="en-GB"/>
        </w:rPr>
      </w:pPr>
      <w:r>
        <w:rPr>
          <w:sz w:val="20"/>
          <w:szCs w:val="22"/>
          <w:lang w:val="en-GB"/>
        </w:rPr>
        <w:t>"</w:t>
      </w:r>
      <w:r w:rsidRPr="00EA1A84">
        <w:rPr>
          <w:sz w:val="20"/>
          <w:szCs w:val="22"/>
          <w:lang w:val="en-GB"/>
        </w:rPr>
        <w:t>2.9.</w:t>
      </w:r>
      <w:r w:rsidRPr="00EA1A84">
        <w:rPr>
          <w:sz w:val="20"/>
          <w:szCs w:val="22"/>
          <w:lang w:val="en-GB"/>
        </w:rPr>
        <w:tab/>
        <w:t xml:space="preserve">Outer diameter included in the range of </w:t>
      </w:r>
      <w:r w:rsidRPr="00A82CCB">
        <w:rPr>
          <w:bCs/>
          <w:sz w:val="20"/>
          <w:szCs w:val="22"/>
          <w:lang w:val="en-GB"/>
        </w:rPr>
        <w:t>100</w:t>
      </w:r>
      <w:r w:rsidRPr="00EA1A84">
        <w:rPr>
          <w:sz w:val="20"/>
          <w:szCs w:val="22"/>
          <w:lang w:val="en-GB"/>
        </w:rPr>
        <w:t xml:space="preserve"> mm, according to Table 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134"/>
      </w:tblGrid>
      <w:tr w:rsidR="00F72631" w:rsidRPr="00EA1A84" w14:paraId="5E3A336F" w14:textId="77777777" w:rsidTr="00946C16">
        <w:trPr>
          <w:trHeight w:val="629"/>
          <w:jc w:val="center"/>
        </w:trPr>
        <w:tc>
          <w:tcPr>
            <w:tcW w:w="2694" w:type="dxa"/>
            <w:tcBorders>
              <w:bottom w:val="single" w:sz="12" w:space="0" w:color="auto"/>
            </w:tcBorders>
            <w:shd w:val="clear" w:color="auto" w:fill="auto"/>
          </w:tcPr>
          <w:p w14:paraId="5DEAF81C" w14:textId="77777777" w:rsidR="00F72631" w:rsidRPr="00CF07E5" w:rsidRDefault="00F72631" w:rsidP="00946C16">
            <w:pPr>
              <w:keepNext/>
              <w:keepLines/>
              <w:spacing w:before="80" w:after="120" w:line="240" w:lineRule="auto"/>
              <w:ind w:right="34"/>
              <w:jc w:val="center"/>
              <w:rPr>
                <w:i/>
                <w:sz w:val="16"/>
                <w:szCs w:val="16"/>
              </w:rPr>
            </w:pPr>
            <w:r w:rsidRPr="00CF07E5">
              <w:rPr>
                <w:i/>
                <w:sz w:val="16"/>
                <w:szCs w:val="16"/>
              </w:rPr>
              <w:t>Range</w:t>
            </w:r>
          </w:p>
          <w:p w14:paraId="1A3D26B6" w14:textId="77777777" w:rsidR="00F72631" w:rsidRPr="00CF07E5" w:rsidRDefault="00F72631" w:rsidP="00946C16">
            <w:pPr>
              <w:keepNext/>
              <w:keepLines/>
              <w:spacing w:before="80" w:after="120" w:line="240" w:lineRule="auto"/>
              <w:ind w:right="34"/>
              <w:jc w:val="center"/>
              <w:rPr>
                <w:i/>
                <w:sz w:val="16"/>
                <w:szCs w:val="16"/>
              </w:rPr>
            </w:pPr>
            <w:r w:rsidRPr="00CF07E5">
              <w:rPr>
                <w:i/>
                <w:sz w:val="16"/>
                <w:szCs w:val="16"/>
              </w:rPr>
              <w:t>[mm]</w:t>
            </w:r>
          </w:p>
        </w:tc>
        <w:tc>
          <w:tcPr>
            <w:tcW w:w="1134" w:type="dxa"/>
            <w:tcBorders>
              <w:bottom w:val="single" w:sz="12" w:space="0" w:color="auto"/>
            </w:tcBorders>
            <w:shd w:val="clear" w:color="auto" w:fill="auto"/>
          </w:tcPr>
          <w:p w14:paraId="3702D41B" w14:textId="77777777" w:rsidR="00F72631" w:rsidRPr="00CF07E5" w:rsidRDefault="00F72631" w:rsidP="00946C16">
            <w:pPr>
              <w:keepNext/>
              <w:keepLines/>
              <w:spacing w:before="80" w:after="120" w:line="240" w:lineRule="auto"/>
              <w:jc w:val="center"/>
              <w:rPr>
                <w:i/>
                <w:sz w:val="16"/>
                <w:szCs w:val="16"/>
              </w:rPr>
            </w:pPr>
            <w:r w:rsidRPr="00CF07E5">
              <w:rPr>
                <w:i/>
                <w:sz w:val="16"/>
                <w:szCs w:val="16"/>
              </w:rPr>
              <w:t>One piece</w:t>
            </w:r>
          </w:p>
        </w:tc>
        <w:tc>
          <w:tcPr>
            <w:tcW w:w="1134" w:type="dxa"/>
            <w:tcBorders>
              <w:bottom w:val="single" w:sz="12" w:space="0" w:color="auto"/>
            </w:tcBorders>
            <w:shd w:val="clear" w:color="auto" w:fill="auto"/>
          </w:tcPr>
          <w:p w14:paraId="028FEE4C" w14:textId="77777777" w:rsidR="00F72631" w:rsidRPr="00CF07E5" w:rsidRDefault="00F72631" w:rsidP="00946C16">
            <w:pPr>
              <w:keepNext/>
              <w:keepLines/>
              <w:spacing w:before="80" w:after="120" w:line="240" w:lineRule="auto"/>
              <w:jc w:val="center"/>
              <w:rPr>
                <w:i/>
                <w:sz w:val="16"/>
                <w:szCs w:val="16"/>
              </w:rPr>
            </w:pPr>
            <w:r w:rsidRPr="00CF07E5">
              <w:rPr>
                <w:i/>
                <w:sz w:val="16"/>
                <w:szCs w:val="16"/>
              </w:rPr>
              <w:t>Composite fixed</w:t>
            </w:r>
          </w:p>
        </w:tc>
        <w:tc>
          <w:tcPr>
            <w:tcW w:w="1134" w:type="dxa"/>
            <w:tcBorders>
              <w:bottom w:val="single" w:sz="12" w:space="0" w:color="auto"/>
            </w:tcBorders>
            <w:shd w:val="clear" w:color="auto" w:fill="auto"/>
          </w:tcPr>
          <w:p w14:paraId="66B58EF5" w14:textId="77777777" w:rsidR="00F72631" w:rsidRPr="00CF07E5" w:rsidRDefault="00F72631" w:rsidP="00946C16">
            <w:pPr>
              <w:keepNext/>
              <w:keepLines/>
              <w:spacing w:before="80" w:after="120" w:line="240" w:lineRule="auto"/>
              <w:jc w:val="center"/>
              <w:rPr>
                <w:i/>
                <w:sz w:val="16"/>
                <w:szCs w:val="16"/>
              </w:rPr>
            </w:pPr>
            <w:r w:rsidRPr="00CF07E5">
              <w:rPr>
                <w:i/>
                <w:sz w:val="16"/>
                <w:szCs w:val="16"/>
              </w:rPr>
              <w:t>Floating discs</w:t>
            </w:r>
          </w:p>
        </w:tc>
      </w:tr>
      <w:tr w:rsidR="00F72631" w:rsidRPr="00EA1A84" w14:paraId="0286B98B" w14:textId="77777777" w:rsidTr="00946C16">
        <w:trPr>
          <w:trHeight w:val="343"/>
          <w:jc w:val="center"/>
        </w:trPr>
        <w:tc>
          <w:tcPr>
            <w:tcW w:w="2694" w:type="dxa"/>
            <w:tcBorders>
              <w:top w:val="single" w:sz="12" w:space="0" w:color="auto"/>
            </w:tcBorders>
            <w:shd w:val="clear" w:color="auto" w:fill="auto"/>
            <w:vAlign w:val="center"/>
          </w:tcPr>
          <w:p w14:paraId="79D3FF6A" w14:textId="77777777" w:rsidR="00F72631" w:rsidRPr="00CF07E5" w:rsidRDefault="00F72631" w:rsidP="00946C16">
            <w:pPr>
              <w:keepNext/>
              <w:keepLines/>
              <w:spacing w:before="40" w:after="120" w:line="240" w:lineRule="auto"/>
              <w:ind w:right="34"/>
              <w:jc w:val="center"/>
            </w:pPr>
            <w:r w:rsidRPr="00CF07E5">
              <w:t>≥ 150 &lt; 250</w:t>
            </w:r>
          </w:p>
        </w:tc>
        <w:tc>
          <w:tcPr>
            <w:tcW w:w="1134" w:type="dxa"/>
            <w:tcBorders>
              <w:top w:val="single" w:sz="12" w:space="0" w:color="auto"/>
            </w:tcBorders>
            <w:shd w:val="clear" w:color="auto" w:fill="auto"/>
          </w:tcPr>
          <w:p w14:paraId="54FA7A65" w14:textId="77777777" w:rsidR="00F72631" w:rsidRPr="00CF07E5" w:rsidRDefault="00F72631" w:rsidP="00946C16">
            <w:pPr>
              <w:keepNext/>
              <w:keepLines/>
              <w:spacing w:before="40" w:after="120" w:line="240" w:lineRule="auto"/>
              <w:jc w:val="center"/>
            </w:pPr>
            <w:r w:rsidRPr="00CF07E5">
              <w:t>X</w:t>
            </w:r>
          </w:p>
        </w:tc>
        <w:tc>
          <w:tcPr>
            <w:tcW w:w="1134" w:type="dxa"/>
            <w:tcBorders>
              <w:top w:val="single" w:sz="12" w:space="0" w:color="auto"/>
            </w:tcBorders>
            <w:shd w:val="clear" w:color="auto" w:fill="auto"/>
          </w:tcPr>
          <w:p w14:paraId="28365C52" w14:textId="77777777" w:rsidR="00F72631" w:rsidRPr="00CF07E5" w:rsidRDefault="00F72631" w:rsidP="00946C16">
            <w:pPr>
              <w:keepNext/>
              <w:keepLines/>
              <w:spacing w:before="40" w:after="120" w:line="240" w:lineRule="auto"/>
              <w:jc w:val="center"/>
            </w:pPr>
            <w:r w:rsidRPr="00CF07E5">
              <w:t>X</w:t>
            </w:r>
          </w:p>
        </w:tc>
        <w:tc>
          <w:tcPr>
            <w:tcW w:w="1134" w:type="dxa"/>
            <w:tcBorders>
              <w:top w:val="single" w:sz="12" w:space="0" w:color="auto"/>
            </w:tcBorders>
            <w:shd w:val="clear" w:color="auto" w:fill="auto"/>
            <w:vAlign w:val="center"/>
          </w:tcPr>
          <w:p w14:paraId="48807148" w14:textId="77777777" w:rsidR="00F72631" w:rsidRPr="00CF07E5" w:rsidRDefault="00F72631" w:rsidP="00946C16">
            <w:pPr>
              <w:keepNext/>
              <w:keepLines/>
              <w:spacing w:before="40" w:after="120" w:line="240" w:lineRule="auto"/>
              <w:jc w:val="center"/>
            </w:pPr>
            <w:r w:rsidRPr="00CF07E5">
              <w:t>X</w:t>
            </w:r>
          </w:p>
        </w:tc>
      </w:tr>
      <w:tr w:rsidR="00F72631" w:rsidRPr="00EA1A84" w14:paraId="188BFBA9" w14:textId="77777777" w:rsidTr="00946C16">
        <w:trPr>
          <w:jc w:val="center"/>
        </w:trPr>
        <w:tc>
          <w:tcPr>
            <w:tcW w:w="2694" w:type="dxa"/>
            <w:tcBorders>
              <w:bottom w:val="single" w:sz="12" w:space="0" w:color="auto"/>
            </w:tcBorders>
            <w:shd w:val="clear" w:color="auto" w:fill="auto"/>
            <w:vAlign w:val="center"/>
          </w:tcPr>
          <w:p w14:paraId="0588A992" w14:textId="77777777" w:rsidR="00F72631" w:rsidRPr="00EA1A84" w:rsidRDefault="00F72631" w:rsidP="00946C16">
            <w:pPr>
              <w:keepNext/>
              <w:keepLines/>
              <w:spacing w:before="40" w:after="120" w:line="240" w:lineRule="auto"/>
              <w:ind w:right="34"/>
              <w:jc w:val="center"/>
              <w:rPr>
                <w:strike/>
              </w:rPr>
            </w:pPr>
            <w:r w:rsidRPr="00CF07E5">
              <w:t>≥ 250 &lt; 350</w:t>
            </w:r>
          </w:p>
        </w:tc>
        <w:tc>
          <w:tcPr>
            <w:tcW w:w="1134" w:type="dxa"/>
            <w:tcBorders>
              <w:bottom w:val="single" w:sz="12" w:space="0" w:color="auto"/>
            </w:tcBorders>
            <w:shd w:val="clear" w:color="auto" w:fill="auto"/>
          </w:tcPr>
          <w:p w14:paraId="66DDEFA0" w14:textId="77777777" w:rsidR="00F72631" w:rsidRPr="00EA1A84" w:rsidRDefault="00F72631" w:rsidP="00946C16">
            <w:pPr>
              <w:keepNext/>
              <w:keepLines/>
              <w:spacing w:before="40" w:after="120" w:line="240" w:lineRule="auto"/>
              <w:jc w:val="center"/>
              <w:rPr>
                <w:bCs/>
                <w:strike/>
              </w:rPr>
            </w:pPr>
            <w:r w:rsidRPr="00CF07E5">
              <w:t>X</w:t>
            </w:r>
          </w:p>
        </w:tc>
        <w:tc>
          <w:tcPr>
            <w:tcW w:w="1134" w:type="dxa"/>
            <w:tcBorders>
              <w:bottom w:val="single" w:sz="12" w:space="0" w:color="auto"/>
            </w:tcBorders>
            <w:shd w:val="clear" w:color="auto" w:fill="auto"/>
          </w:tcPr>
          <w:p w14:paraId="6B3EB6B0" w14:textId="77777777" w:rsidR="00F72631" w:rsidRPr="00EA1A84" w:rsidRDefault="00F72631" w:rsidP="00946C16">
            <w:pPr>
              <w:keepNext/>
              <w:keepLines/>
              <w:spacing w:before="40" w:after="120" w:line="240" w:lineRule="auto"/>
              <w:jc w:val="center"/>
              <w:rPr>
                <w:bCs/>
                <w:strike/>
              </w:rPr>
            </w:pPr>
            <w:r w:rsidRPr="00CF07E5">
              <w:t>X</w:t>
            </w:r>
          </w:p>
        </w:tc>
        <w:tc>
          <w:tcPr>
            <w:tcW w:w="1134" w:type="dxa"/>
            <w:tcBorders>
              <w:bottom w:val="single" w:sz="12" w:space="0" w:color="auto"/>
            </w:tcBorders>
            <w:shd w:val="clear" w:color="auto" w:fill="auto"/>
            <w:vAlign w:val="center"/>
          </w:tcPr>
          <w:p w14:paraId="5FF36C3B" w14:textId="77777777" w:rsidR="00F72631" w:rsidRPr="00EA1A84" w:rsidRDefault="00F72631" w:rsidP="00946C16">
            <w:pPr>
              <w:keepNext/>
              <w:keepLines/>
              <w:spacing w:before="40" w:after="120" w:line="240" w:lineRule="auto"/>
              <w:jc w:val="center"/>
              <w:rPr>
                <w:bCs/>
                <w:strike/>
              </w:rPr>
            </w:pPr>
            <w:r w:rsidRPr="00CF07E5">
              <w:t>X</w:t>
            </w:r>
          </w:p>
        </w:tc>
      </w:tr>
    </w:tbl>
    <w:p w14:paraId="4D424F45" w14:textId="77777777" w:rsidR="00F72631" w:rsidRDefault="00F72631" w:rsidP="00F72631">
      <w:pPr>
        <w:pStyle w:val="SingleTxtG"/>
      </w:pPr>
      <w:r>
        <w:t>"</w:t>
      </w:r>
    </w:p>
    <w:p w14:paraId="03E7F1D9" w14:textId="77777777" w:rsidR="00F72631" w:rsidRPr="00EE5A92" w:rsidRDefault="00F72631" w:rsidP="00F72631">
      <w:pPr>
        <w:spacing w:before="240"/>
        <w:jc w:val="center"/>
        <w:rPr>
          <w:u w:val="single"/>
        </w:rPr>
      </w:pPr>
      <w:r>
        <w:rPr>
          <w:u w:val="single"/>
        </w:rPr>
        <w:tab/>
      </w:r>
      <w:r>
        <w:rPr>
          <w:u w:val="single"/>
        </w:rPr>
        <w:tab/>
      </w:r>
      <w:r>
        <w:rPr>
          <w:u w:val="single"/>
        </w:rPr>
        <w:tab/>
      </w:r>
    </w:p>
    <w:p w14:paraId="7435B4E5" w14:textId="77777777" w:rsidR="00F72631" w:rsidRPr="006B3551" w:rsidRDefault="00F72631" w:rsidP="00F72631"/>
    <w:sectPr w:rsidR="00F72631" w:rsidRPr="006B3551" w:rsidSect="00641B25">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01CD" w14:textId="77777777" w:rsidR="008D59CE" w:rsidRDefault="008D59CE"/>
  </w:endnote>
  <w:endnote w:type="continuationSeparator" w:id="0">
    <w:p w14:paraId="5E211399" w14:textId="77777777" w:rsidR="008D59CE" w:rsidRDefault="008D59CE"/>
  </w:endnote>
  <w:endnote w:type="continuationNotice" w:id="1">
    <w:p w14:paraId="469117D0" w14:textId="77777777" w:rsidR="008D59CE" w:rsidRDefault="008D5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0473" w14:textId="0AC4EAC0" w:rsidR="00B701B3" w:rsidRPr="00D623A7" w:rsidRDefault="00B701B3">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sidR="00D976D0">
      <w:rPr>
        <w:b/>
        <w:noProof/>
        <w:sz w:val="18"/>
        <w:szCs w:val="18"/>
      </w:rPr>
      <w:t>2</w:t>
    </w:r>
    <w:r w:rsidRPr="00D623A7">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877D" w14:textId="101857EE" w:rsidR="00B701B3" w:rsidRPr="00776D12" w:rsidRDefault="00B701B3"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sidR="00D976D0">
      <w:rPr>
        <w:b/>
        <w:noProof/>
        <w:sz w:val="18"/>
        <w:szCs w:val="18"/>
      </w:rPr>
      <w:t>3</w:t>
    </w:r>
    <w:r w:rsidRPr="00776D12">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65B7" w14:textId="23958240" w:rsidR="0076749E" w:rsidRDefault="0076749E" w:rsidP="0076749E">
    <w:pPr>
      <w:pStyle w:val="Footer"/>
    </w:pPr>
    <w:r w:rsidRPr="0027112F">
      <w:rPr>
        <w:noProof/>
        <w:lang w:val="en-US"/>
      </w:rPr>
      <w:drawing>
        <wp:anchor distT="0" distB="0" distL="114300" distR="114300" simplePos="0" relativeHeight="251659264" behindDoc="0" locked="1" layoutInCell="1" allowOverlap="1" wp14:anchorId="267032B2" wp14:editId="3955972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9B2901E" w14:textId="2134AAFF" w:rsidR="0076749E" w:rsidRPr="0076749E" w:rsidRDefault="0076749E" w:rsidP="0076749E">
    <w:pPr>
      <w:pStyle w:val="Footer"/>
      <w:ind w:right="1134"/>
      <w:rPr>
        <w:sz w:val="20"/>
      </w:rPr>
    </w:pPr>
    <w:r>
      <w:rPr>
        <w:sz w:val="20"/>
      </w:rPr>
      <w:t>GE.22-26466(E)</w:t>
    </w:r>
    <w:r>
      <w:rPr>
        <w:noProof/>
        <w:sz w:val="20"/>
      </w:rPr>
      <w:drawing>
        <wp:anchor distT="0" distB="0" distL="114300" distR="114300" simplePos="0" relativeHeight="251660288" behindDoc="0" locked="0" layoutInCell="1" allowOverlap="1" wp14:anchorId="45B2EAC8" wp14:editId="616F54C6">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41E4" w14:textId="77777777" w:rsidR="008D59CE" w:rsidRPr="000B175B" w:rsidRDefault="008D59CE" w:rsidP="000B175B">
      <w:pPr>
        <w:tabs>
          <w:tab w:val="right" w:pos="2155"/>
        </w:tabs>
        <w:spacing w:after="80"/>
        <w:ind w:left="680"/>
        <w:rPr>
          <w:u w:val="single"/>
        </w:rPr>
      </w:pPr>
      <w:r>
        <w:rPr>
          <w:u w:val="single"/>
        </w:rPr>
        <w:tab/>
      </w:r>
    </w:p>
  </w:footnote>
  <w:footnote w:type="continuationSeparator" w:id="0">
    <w:p w14:paraId="0DC99AF0" w14:textId="77777777" w:rsidR="008D59CE" w:rsidRPr="00FC68B7" w:rsidRDefault="008D59CE" w:rsidP="00FC68B7">
      <w:pPr>
        <w:tabs>
          <w:tab w:val="left" w:pos="2155"/>
        </w:tabs>
        <w:spacing w:after="80"/>
        <w:ind w:left="680"/>
        <w:rPr>
          <w:u w:val="single"/>
        </w:rPr>
      </w:pPr>
      <w:r>
        <w:rPr>
          <w:u w:val="single"/>
        </w:rPr>
        <w:tab/>
      </w:r>
    </w:p>
  </w:footnote>
  <w:footnote w:type="continuationNotice" w:id="1">
    <w:p w14:paraId="448A9D40" w14:textId="77777777" w:rsidR="008D59CE" w:rsidRDefault="008D59CE"/>
  </w:footnote>
  <w:footnote w:id="2">
    <w:p w14:paraId="44F30661" w14:textId="77777777" w:rsidR="004A29CA" w:rsidRPr="00CC74A1" w:rsidRDefault="004A29CA" w:rsidP="004A29CA">
      <w:pPr>
        <w:pStyle w:val="FootnoteText"/>
        <w:rPr>
          <w:lang w:val="en-US"/>
        </w:rPr>
      </w:pPr>
      <w:r w:rsidRPr="00CC74A1">
        <w:tab/>
      </w:r>
      <w:r w:rsidRPr="00CC74A1">
        <w:rPr>
          <w:rStyle w:val="FootnoteReference"/>
          <w:sz w:val="20"/>
          <w:lang w:val="en-US"/>
        </w:rPr>
        <w:t>*</w:t>
      </w:r>
      <w:r w:rsidRPr="00CC74A1">
        <w:rPr>
          <w:sz w:val="20"/>
          <w:lang w:val="en-US"/>
        </w:rPr>
        <w:tab/>
      </w:r>
      <w:r w:rsidRPr="00CC74A1">
        <w:rPr>
          <w:lang w:val="en-US"/>
        </w:rPr>
        <w:t>Former titles of the Agreement:</w:t>
      </w:r>
    </w:p>
    <w:p w14:paraId="3A488FA8" w14:textId="77777777" w:rsidR="004A29CA" w:rsidRPr="00CC74A1" w:rsidRDefault="004A29CA" w:rsidP="004A29CA">
      <w:pPr>
        <w:pStyle w:val="FootnoteText"/>
        <w:rPr>
          <w:sz w:val="20"/>
          <w:lang w:val="en-US"/>
        </w:rPr>
      </w:pPr>
      <w:r w:rsidRPr="00CC74A1">
        <w:rPr>
          <w:lang w:val="en-US"/>
        </w:rPr>
        <w:tab/>
      </w:r>
      <w:r w:rsidRPr="00CC74A1">
        <w:rPr>
          <w:lang w:val="en-US"/>
        </w:rPr>
        <w:tab/>
      </w:r>
      <w:r w:rsidRPr="00CC74A1">
        <w:rPr>
          <w:spacing w:val="-4"/>
          <w:lang w:val="en-US"/>
        </w:rPr>
        <w:t>Agreement concerning the Adoption of Uniform Conditions of Approval and Reciprocal Recognition of Approval for Motor Vehicle Equipment and Parts, done at Geneva on 20 March 1958 (original version</w:t>
      </w:r>
      <w:proofErr w:type="gramStart"/>
      <w:r w:rsidRPr="00CC74A1">
        <w:rPr>
          <w:spacing w:val="-4"/>
          <w:lang w:val="en-US"/>
        </w:rPr>
        <w:t>);</w:t>
      </w:r>
      <w:proofErr w:type="gramEnd"/>
    </w:p>
    <w:p w14:paraId="0CBBE066" w14:textId="77777777" w:rsidR="004A29CA" w:rsidRPr="00E964DF" w:rsidRDefault="004A29CA" w:rsidP="004A29CA">
      <w:pPr>
        <w:pStyle w:val="FootnoteText"/>
        <w:rPr>
          <w:lang w:val="en-US"/>
        </w:rPr>
      </w:pPr>
      <w:r w:rsidRPr="00CC74A1">
        <w:rPr>
          <w:lang w:val="en-US"/>
        </w:rPr>
        <w:tab/>
      </w:r>
      <w:r w:rsidRPr="00CC74A1">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593D" w14:textId="2E1C07D8" w:rsidR="00BF4A36" w:rsidRPr="00BF4A36" w:rsidRDefault="00B701B3" w:rsidP="0076749E">
    <w:pPr>
      <w:pStyle w:val="Header"/>
    </w:pPr>
    <w:r w:rsidRPr="00D623A7">
      <w:t>E/ECE/324</w:t>
    </w:r>
    <w:r w:rsidRPr="00841EB5">
      <w:t>/</w:t>
    </w:r>
    <w:r w:rsidR="00D33957" w:rsidRPr="00C51B97">
      <w:t>Rev.</w:t>
    </w:r>
    <w:r w:rsidR="00D33957">
      <w:t>1</w:t>
    </w:r>
    <w:r w:rsidR="00D33957" w:rsidRPr="00C51B97">
      <w:t>/</w:t>
    </w:r>
    <w:r w:rsidR="00611641" w:rsidRPr="00C51B97">
      <w:t>Add.</w:t>
    </w:r>
    <w:r w:rsidR="00611641">
      <w:t>89</w:t>
    </w:r>
    <w:r w:rsidR="00611641" w:rsidRPr="00C51B97">
      <w:t>/Rev.</w:t>
    </w:r>
    <w:r w:rsidR="00611641">
      <w:t>3</w:t>
    </w:r>
    <w:r w:rsidR="00611641" w:rsidRPr="00C51B97">
      <w:t>/Amend.</w:t>
    </w:r>
    <w:r w:rsidR="007B15BF">
      <w:t>8</w:t>
    </w:r>
    <w:r>
      <w:br/>
    </w:r>
    <w:r w:rsidRPr="00D623A7">
      <w:t>E/ECE/TRANS/505</w:t>
    </w:r>
    <w:r w:rsidRPr="00841EB5">
      <w:t>/</w:t>
    </w:r>
    <w:r w:rsidR="00D33957" w:rsidRPr="00C51B97">
      <w:t>Rev.</w:t>
    </w:r>
    <w:r w:rsidR="00D33957">
      <w:t>1</w:t>
    </w:r>
    <w:r w:rsidR="00D33957" w:rsidRPr="00C51B97">
      <w:t>/</w:t>
    </w:r>
    <w:r w:rsidR="00611641" w:rsidRPr="00C51B97">
      <w:t>Add.</w:t>
    </w:r>
    <w:r w:rsidR="00611641">
      <w:t>89</w:t>
    </w:r>
    <w:r w:rsidR="00611641" w:rsidRPr="00C51B97">
      <w:t>/Rev.</w:t>
    </w:r>
    <w:r w:rsidR="00611641">
      <w:t>3</w:t>
    </w:r>
    <w:r w:rsidR="00611641" w:rsidRPr="00C51B97">
      <w:t>/Amend.</w:t>
    </w:r>
    <w:r w:rsidR="007B15BF">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CE24" w14:textId="0465A411" w:rsidR="00BF4A36" w:rsidRPr="00EA0991" w:rsidRDefault="00B701B3" w:rsidP="0076749E">
    <w:pPr>
      <w:pStyle w:val="Header"/>
      <w:jc w:val="right"/>
    </w:pPr>
    <w:r w:rsidRPr="00EA0991">
      <w:t>E/ECE/324/</w:t>
    </w:r>
    <w:r w:rsidR="00D33957" w:rsidRPr="00C51B97">
      <w:t>Rev.</w:t>
    </w:r>
    <w:r w:rsidR="00D33957">
      <w:t>1</w:t>
    </w:r>
    <w:r w:rsidR="00D33957" w:rsidRPr="00C51B97">
      <w:t>/</w:t>
    </w:r>
    <w:r w:rsidR="00611641" w:rsidRPr="00C51B97">
      <w:t>Add.</w:t>
    </w:r>
    <w:r w:rsidR="00611641">
      <w:t>89</w:t>
    </w:r>
    <w:r w:rsidR="00611641" w:rsidRPr="00C51B97">
      <w:t>/Rev.</w:t>
    </w:r>
    <w:r w:rsidR="00611641">
      <w:t>3</w:t>
    </w:r>
    <w:r w:rsidR="00611641" w:rsidRPr="00C51B97">
      <w:t>/Amend.</w:t>
    </w:r>
    <w:r w:rsidR="00F72631">
      <w:t>8</w:t>
    </w:r>
    <w:r w:rsidRPr="00EA0991">
      <w:br/>
      <w:t>E/ECE/TRANS/505/</w:t>
    </w:r>
    <w:r w:rsidR="00D33957" w:rsidRPr="00C51B97">
      <w:t>Rev.</w:t>
    </w:r>
    <w:r w:rsidR="00D33957">
      <w:t>1</w:t>
    </w:r>
    <w:r w:rsidR="00D33957" w:rsidRPr="00C51B97">
      <w:t>/</w:t>
    </w:r>
    <w:r w:rsidR="00611641" w:rsidRPr="00C51B97">
      <w:t>Add.</w:t>
    </w:r>
    <w:r w:rsidR="00611641">
      <w:t>89</w:t>
    </w:r>
    <w:r w:rsidR="00611641" w:rsidRPr="00C51B97">
      <w:t>/Rev.</w:t>
    </w:r>
    <w:r w:rsidR="00611641">
      <w:t>3</w:t>
    </w:r>
    <w:r w:rsidR="00611641" w:rsidRPr="00C51B97">
      <w:t>/Amend.</w:t>
    </w:r>
    <w:r w:rsidR="00F72631">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9880" w14:textId="77777777" w:rsidR="00D5540C" w:rsidRDefault="00D5540C" w:rsidP="008518D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es-ES" w:vendorID="64" w:dllVersion="0" w:nlCheck="1" w:checkStyle="0"/>
  <w:activeWritingStyle w:appName="MSWord" w:lang="fr-FR" w:vendorID="64" w:dllVersion="0" w:nlCheck="1" w:checkStyle="0"/>
  <w:activeWritingStyle w:appName="MSWord" w:lang="nl-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30"/>
    <w:rsid w:val="0001166C"/>
    <w:rsid w:val="00036DE1"/>
    <w:rsid w:val="00050F6B"/>
    <w:rsid w:val="00064650"/>
    <w:rsid w:val="0006468E"/>
    <w:rsid w:val="00072C8C"/>
    <w:rsid w:val="00086287"/>
    <w:rsid w:val="000931C0"/>
    <w:rsid w:val="000B175B"/>
    <w:rsid w:val="000B3A0F"/>
    <w:rsid w:val="000D3A4F"/>
    <w:rsid w:val="000E0415"/>
    <w:rsid w:val="000F6317"/>
    <w:rsid w:val="001220B8"/>
    <w:rsid w:val="00134B40"/>
    <w:rsid w:val="001352D9"/>
    <w:rsid w:val="001479A5"/>
    <w:rsid w:val="00165E82"/>
    <w:rsid w:val="0016678B"/>
    <w:rsid w:val="001A66A2"/>
    <w:rsid w:val="001B4B04"/>
    <w:rsid w:val="001B57B3"/>
    <w:rsid w:val="001C6663"/>
    <w:rsid w:val="001C7895"/>
    <w:rsid w:val="001D26DF"/>
    <w:rsid w:val="00211E0B"/>
    <w:rsid w:val="00232BD4"/>
    <w:rsid w:val="002405A7"/>
    <w:rsid w:val="00271A7F"/>
    <w:rsid w:val="00274468"/>
    <w:rsid w:val="002930ED"/>
    <w:rsid w:val="002A1E3A"/>
    <w:rsid w:val="002C540F"/>
    <w:rsid w:val="002E2EA2"/>
    <w:rsid w:val="003107FA"/>
    <w:rsid w:val="00312E48"/>
    <w:rsid w:val="003229D8"/>
    <w:rsid w:val="0033745A"/>
    <w:rsid w:val="00351DA6"/>
    <w:rsid w:val="003852F5"/>
    <w:rsid w:val="0039277A"/>
    <w:rsid w:val="003972E0"/>
    <w:rsid w:val="003A61A3"/>
    <w:rsid w:val="003B7F10"/>
    <w:rsid w:val="003C2CC4"/>
    <w:rsid w:val="003C3936"/>
    <w:rsid w:val="003D4B23"/>
    <w:rsid w:val="003F1ED3"/>
    <w:rsid w:val="003F2892"/>
    <w:rsid w:val="004325CB"/>
    <w:rsid w:val="0043300D"/>
    <w:rsid w:val="00440758"/>
    <w:rsid w:val="00442E3F"/>
    <w:rsid w:val="00445C26"/>
    <w:rsid w:val="00446DE4"/>
    <w:rsid w:val="00455F4E"/>
    <w:rsid w:val="004A15AE"/>
    <w:rsid w:val="004A29CA"/>
    <w:rsid w:val="004A41CA"/>
    <w:rsid w:val="004E3FEB"/>
    <w:rsid w:val="00503228"/>
    <w:rsid w:val="00505384"/>
    <w:rsid w:val="005211B3"/>
    <w:rsid w:val="005420F2"/>
    <w:rsid w:val="0054561B"/>
    <w:rsid w:val="00561C9B"/>
    <w:rsid w:val="00570BBD"/>
    <w:rsid w:val="005716FF"/>
    <w:rsid w:val="00582B38"/>
    <w:rsid w:val="005A412C"/>
    <w:rsid w:val="005B3DB3"/>
    <w:rsid w:val="005B55DC"/>
    <w:rsid w:val="005E1409"/>
    <w:rsid w:val="005F4236"/>
    <w:rsid w:val="00611641"/>
    <w:rsid w:val="00611FC4"/>
    <w:rsid w:val="00616B23"/>
    <w:rsid w:val="006176FB"/>
    <w:rsid w:val="00623235"/>
    <w:rsid w:val="00627ED0"/>
    <w:rsid w:val="00640B26"/>
    <w:rsid w:val="00641B25"/>
    <w:rsid w:val="0064636E"/>
    <w:rsid w:val="00665595"/>
    <w:rsid w:val="0069341E"/>
    <w:rsid w:val="00694209"/>
    <w:rsid w:val="00697919"/>
    <w:rsid w:val="006A67EF"/>
    <w:rsid w:val="006A7392"/>
    <w:rsid w:val="006B011B"/>
    <w:rsid w:val="006B1A1E"/>
    <w:rsid w:val="006C5D43"/>
    <w:rsid w:val="006E564B"/>
    <w:rsid w:val="006E678C"/>
    <w:rsid w:val="00713BD8"/>
    <w:rsid w:val="0072632A"/>
    <w:rsid w:val="00727478"/>
    <w:rsid w:val="00743CD6"/>
    <w:rsid w:val="00750602"/>
    <w:rsid w:val="0076749E"/>
    <w:rsid w:val="00776D12"/>
    <w:rsid w:val="00785E14"/>
    <w:rsid w:val="007A3084"/>
    <w:rsid w:val="007A6E97"/>
    <w:rsid w:val="007B15BF"/>
    <w:rsid w:val="007B6BA5"/>
    <w:rsid w:val="007C3390"/>
    <w:rsid w:val="007C4F4B"/>
    <w:rsid w:val="007F0B83"/>
    <w:rsid w:val="007F6611"/>
    <w:rsid w:val="00815E13"/>
    <w:rsid w:val="008175E9"/>
    <w:rsid w:val="008242D7"/>
    <w:rsid w:val="00827E05"/>
    <w:rsid w:val="008311A3"/>
    <w:rsid w:val="00841EB5"/>
    <w:rsid w:val="008432E1"/>
    <w:rsid w:val="008518D5"/>
    <w:rsid w:val="00871FD5"/>
    <w:rsid w:val="00884648"/>
    <w:rsid w:val="008948AC"/>
    <w:rsid w:val="008979B1"/>
    <w:rsid w:val="008A17BB"/>
    <w:rsid w:val="008A6B25"/>
    <w:rsid w:val="008A6C4F"/>
    <w:rsid w:val="008C3804"/>
    <w:rsid w:val="008D59CE"/>
    <w:rsid w:val="008E0E46"/>
    <w:rsid w:val="008F1873"/>
    <w:rsid w:val="00907AD2"/>
    <w:rsid w:val="00934A79"/>
    <w:rsid w:val="00963CBA"/>
    <w:rsid w:val="00974A8D"/>
    <w:rsid w:val="00991261"/>
    <w:rsid w:val="009A2B72"/>
    <w:rsid w:val="009D1FA2"/>
    <w:rsid w:val="009F3A17"/>
    <w:rsid w:val="00A1427D"/>
    <w:rsid w:val="00A41529"/>
    <w:rsid w:val="00A569D6"/>
    <w:rsid w:val="00A709CC"/>
    <w:rsid w:val="00A72F22"/>
    <w:rsid w:val="00A748A6"/>
    <w:rsid w:val="00A85956"/>
    <w:rsid w:val="00A879A4"/>
    <w:rsid w:val="00A96092"/>
    <w:rsid w:val="00B30179"/>
    <w:rsid w:val="00B32121"/>
    <w:rsid w:val="00B33EC0"/>
    <w:rsid w:val="00B37A1A"/>
    <w:rsid w:val="00B701B3"/>
    <w:rsid w:val="00B81E12"/>
    <w:rsid w:val="00BC2683"/>
    <w:rsid w:val="00BC358D"/>
    <w:rsid w:val="00BC74E9"/>
    <w:rsid w:val="00BD2146"/>
    <w:rsid w:val="00BD538F"/>
    <w:rsid w:val="00BE4F74"/>
    <w:rsid w:val="00BE618E"/>
    <w:rsid w:val="00BF4A36"/>
    <w:rsid w:val="00C17699"/>
    <w:rsid w:val="00C2458D"/>
    <w:rsid w:val="00C41A28"/>
    <w:rsid w:val="00C463DD"/>
    <w:rsid w:val="00C545CC"/>
    <w:rsid w:val="00C711C7"/>
    <w:rsid w:val="00C71A58"/>
    <w:rsid w:val="00C745C3"/>
    <w:rsid w:val="00C84414"/>
    <w:rsid w:val="00C93CE1"/>
    <w:rsid w:val="00CA1FD0"/>
    <w:rsid w:val="00CC0D28"/>
    <w:rsid w:val="00CC74A1"/>
    <w:rsid w:val="00CE4A8F"/>
    <w:rsid w:val="00CE5E33"/>
    <w:rsid w:val="00CF4C6E"/>
    <w:rsid w:val="00D2031B"/>
    <w:rsid w:val="00D25FE2"/>
    <w:rsid w:val="00D317BB"/>
    <w:rsid w:val="00D33957"/>
    <w:rsid w:val="00D43252"/>
    <w:rsid w:val="00D46AFF"/>
    <w:rsid w:val="00D53AD7"/>
    <w:rsid w:val="00D5540C"/>
    <w:rsid w:val="00D623A7"/>
    <w:rsid w:val="00D6614F"/>
    <w:rsid w:val="00D778E7"/>
    <w:rsid w:val="00D8522B"/>
    <w:rsid w:val="00D976D0"/>
    <w:rsid w:val="00D978C6"/>
    <w:rsid w:val="00DA4C4B"/>
    <w:rsid w:val="00DA67AD"/>
    <w:rsid w:val="00DB5D0F"/>
    <w:rsid w:val="00DC3F07"/>
    <w:rsid w:val="00DE30C0"/>
    <w:rsid w:val="00DE5D62"/>
    <w:rsid w:val="00DF12F7"/>
    <w:rsid w:val="00DF3A2D"/>
    <w:rsid w:val="00E02C81"/>
    <w:rsid w:val="00E130AB"/>
    <w:rsid w:val="00E30898"/>
    <w:rsid w:val="00E506F0"/>
    <w:rsid w:val="00E53330"/>
    <w:rsid w:val="00E7260F"/>
    <w:rsid w:val="00E73405"/>
    <w:rsid w:val="00E81C7A"/>
    <w:rsid w:val="00E8553E"/>
    <w:rsid w:val="00E87921"/>
    <w:rsid w:val="00E96630"/>
    <w:rsid w:val="00EA0991"/>
    <w:rsid w:val="00EA0ED6"/>
    <w:rsid w:val="00EA264E"/>
    <w:rsid w:val="00ED7A2A"/>
    <w:rsid w:val="00EF1D7F"/>
    <w:rsid w:val="00F20696"/>
    <w:rsid w:val="00F33047"/>
    <w:rsid w:val="00F53EDA"/>
    <w:rsid w:val="00F72631"/>
    <w:rsid w:val="00F7753D"/>
    <w:rsid w:val="00F815EE"/>
    <w:rsid w:val="00F85F34"/>
    <w:rsid w:val="00F92107"/>
    <w:rsid w:val="00F94608"/>
    <w:rsid w:val="00FA06F7"/>
    <w:rsid w:val="00FB0728"/>
    <w:rsid w:val="00FB171A"/>
    <w:rsid w:val="00FC15E4"/>
    <w:rsid w:val="00FC2283"/>
    <w:rsid w:val="00FC68B7"/>
    <w:rsid w:val="00FD7BF6"/>
    <w:rsid w:val="00FE5C9E"/>
    <w:rsid w:val="00FF1DA4"/>
    <w:rsid w:val="00FF5C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0A858"/>
  <w15:docId w15:val="{071BF3DD-C0DE-4523-AB47-59A69D98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1C7"/>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ußnotentext,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Fußnotentext Char,5_G_6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styleId="CommentReference">
    <w:name w:val="annotation reference"/>
    <w:rsid w:val="00B701B3"/>
    <w:rPr>
      <w:sz w:val="16"/>
      <w:szCs w:val="16"/>
    </w:rPr>
  </w:style>
  <w:style w:type="paragraph" w:styleId="CommentText">
    <w:name w:val="annotation text"/>
    <w:basedOn w:val="Normal"/>
    <w:link w:val="CommentTextChar"/>
    <w:rsid w:val="00B701B3"/>
  </w:style>
  <w:style w:type="character" w:customStyle="1" w:styleId="CommentTextChar">
    <w:name w:val="Comment Text Char"/>
    <w:link w:val="CommentText"/>
    <w:rsid w:val="00B701B3"/>
    <w:rPr>
      <w:lang w:eastAsia="en-US"/>
    </w:rPr>
  </w:style>
  <w:style w:type="paragraph" w:styleId="CommentSubject">
    <w:name w:val="annotation subject"/>
    <w:basedOn w:val="CommentText"/>
    <w:next w:val="CommentText"/>
    <w:link w:val="CommentSubjectChar"/>
    <w:rsid w:val="00B701B3"/>
    <w:rPr>
      <w:b/>
      <w:bCs/>
    </w:rPr>
  </w:style>
  <w:style w:type="character" w:customStyle="1" w:styleId="CommentSubjectChar">
    <w:name w:val="Comment Subject Char"/>
    <w:link w:val="CommentSubject"/>
    <w:rsid w:val="00B701B3"/>
    <w:rPr>
      <w:b/>
      <w:bCs/>
      <w:lang w:eastAsia="en-US"/>
    </w:rPr>
  </w:style>
  <w:style w:type="paragraph" w:styleId="BalloonText">
    <w:name w:val="Balloon Text"/>
    <w:basedOn w:val="Normal"/>
    <w:link w:val="BalloonTextChar"/>
    <w:rsid w:val="00B701B3"/>
    <w:pPr>
      <w:spacing w:line="240" w:lineRule="auto"/>
    </w:pPr>
    <w:rPr>
      <w:rFonts w:ascii="Tahoma" w:hAnsi="Tahoma" w:cs="Tahoma"/>
      <w:sz w:val="16"/>
      <w:szCs w:val="16"/>
    </w:rPr>
  </w:style>
  <w:style w:type="character" w:customStyle="1" w:styleId="BalloonTextChar">
    <w:name w:val="Balloon Text Char"/>
    <w:link w:val="BalloonText"/>
    <w:rsid w:val="00B701B3"/>
    <w:rPr>
      <w:rFonts w:ascii="Tahoma" w:hAnsi="Tahoma" w:cs="Tahoma"/>
      <w:sz w:val="16"/>
      <w:szCs w:val="16"/>
      <w:lang w:eastAsia="en-US"/>
    </w:rPr>
  </w:style>
  <w:style w:type="character" w:customStyle="1" w:styleId="paraChar">
    <w:name w:val="para Char"/>
    <w:link w:val="para"/>
    <w:rsid w:val="003B7F10"/>
    <w:rPr>
      <w:lang w:eastAsia="en-US"/>
    </w:rPr>
  </w:style>
  <w:style w:type="paragraph" w:customStyle="1" w:styleId="a0">
    <w:name w:val="a)"/>
    <w:basedOn w:val="SingleTxtG"/>
    <w:rsid w:val="003B7F10"/>
    <w:pPr>
      <w:ind w:left="2835" w:hanging="567"/>
    </w:pPr>
  </w:style>
  <w:style w:type="paragraph" w:customStyle="1" w:styleId="Default">
    <w:name w:val="Default"/>
    <w:rsid w:val="005A412C"/>
    <w:pPr>
      <w:autoSpaceDE w:val="0"/>
      <w:autoSpaceDN w:val="0"/>
      <w:adjustRightInd w:val="0"/>
    </w:pPr>
    <w:rPr>
      <w:color w:val="000000"/>
      <w:sz w:val="24"/>
      <w:szCs w:val="24"/>
      <w:lang w:val="nl-NL" w:eastAsia="nl-NL"/>
    </w:rPr>
  </w:style>
  <w:style w:type="table" w:customStyle="1" w:styleId="Grilledutableau1">
    <w:name w:val="Grille du tableau1"/>
    <w:basedOn w:val="TableNormal"/>
    <w:next w:val="TableGrid"/>
    <w:uiPriority w:val="59"/>
    <w:rsid w:val="005A412C"/>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AAB2E-B678-49F0-AB8C-435E94BDB84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5CBACC21-D79E-41B0-87BD-B0668ABE2A82}">
  <ds:schemaRefs>
    <ds:schemaRef ds:uri="http://schemas.microsoft.com/sharepoint/v3/contenttype/forms"/>
  </ds:schemaRefs>
</ds:datastoreItem>
</file>

<file path=customXml/itemProps3.xml><?xml version="1.0" encoding="utf-8"?>
<ds:datastoreItem xmlns:ds="http://schemas.openxmlformats.org/officeDocument/2006/customXml" ds:itemID="{6E39154A-0A08-497D-A7BB-826ECD99A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2726</Characters>
  <Application>Microsoft Office Word</Application>
  <DocSecurity>0</DocSecurity>
  <Lines>113</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1701769</vt:lpstr>
      <vt:lpstr/>
    </vt:vector>
  </TitlesOfParts>
  <Company>CSD</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E/ECE/324/Rev.1/Add.89/Rev.3/Amend.8</dc:title>
  <dc:subject>2226466</dc:subject>
  <dc:creator>Una Giltsoff</dc:creator>
  <cp:keywords/>
  <dc:description/>
  <cp:lastModifiedBy>Una Giltsoff</cp:lastModifiedBy>
  <cp:revision>2</cp:revision>
  <cp:lastPrinted>2015-05-06T11:39:00Z</cp:lastPrinted>
  <dcterms:created xsi:type="dcterms:W3CDTF">2022-11-23T09:07:00Z</dcterms:created>
  <dcterms:modified xsi:type="dcterms:W3CDTF">2022-11-23T09:07:00Z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2452800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