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F7664" w14:paraId="19B4402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CFE7D0" w14:textId="77777777" w:rsidR="002D5AAC" w:rsidRPr="008C1A9B" w:rsidRDefault="002D5AAC" w:rsidP="00CF76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FCC59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F361AF0" w14:textId="2B6E01F3" w:rsidR="00CF7664" w:rsidRPr="00CF7664" w:rsidRDefault="00CF7664" w:rsidP="00CF7664">
            <w:pPr>
              <w:jc w:val="right"/>
              <w:rPr>
                <w:lang w:val="en-US"/>
              </w:rPr>
            </w:pPr>
            <w:r w:rsidRPr="00CF7664">
              <w:rPr>
                <w:sz w:val="40"/>
                <w:lang w:val="en-US"/>
              </w:rPr>
              <w:t>E</w:t>
            </w:r>
            <w:r w:rsidRPr="00CF7664">
              <w:rPr>
                <w:lang w:val="en-US"/>
              </w:rPr>
              <w:t>/ECE/324/Rev.2/Add.106/Rev.9/Amend.1</w:t>
            </w:r>
            <w:r w:rsidRPr="00CF7664">
              <w:rPr>
                <w:rFonts w:cs="Times New Roman"/>
                <w:lang w:val="en-US"/>
              </w:rPr>
              <w:t>−</w:t>
            </w:r>
            <w:r w:rsidRPr="00CF7664">
              <w:rPr>
                <w:sz w:val="40"/>
                <w:lang w:val="en-US"/>
              </w:rPr>
              <w:t>E</w:t>
            </w:r>
            <w:r w:rsidRPr="00CF7664">
              <w:rPr>
                <w:lang w:val="en-US"/>
              </w:rPr>
              <w:t>/ECE/TRANS/505/Rev.2/Add.106/Rev.9/Amend.1</w:t>
            </w:r>
          </w:p>
        </w:tc>
      </w:tr>
      <w:tr w:rsidR="002D5AAC" w:rsidRPr="009D084C" w14:paraId="33F6E06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30EFA21" w14:textId="77777777" w:rsidR="002D5AAC" w:rsidRPr="00CF766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09EA086" w14:textId="77777777" w:rsidR="002D5AAC" w:rsidRPr="00CF766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CC2F6D4" w14:textId="77777777" w:rsidR="00CF7664" w:rsidRDefault="00CF7664" w:rsidP="00CF7664">
            <w:pPr>
              <w:spacing w:line="240" w:lineRule="exact"/>
              <w:rPr>
                <w:szCs w:val="20"/>
                <w:lang w:val="en-US"/>
              </w:rPr>
            </w:pPr>
          </w:p>
          <w:p w14:paraId="100B38B7" w14:textId="77777777" w:rsidR="00CF7664" w:rsidRPr="00CF7664" w:rsidRDefault="00CF7664" w:rsidP="00CF7664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40811B08" w14:textId="4804AC59" w:rsidR="00CF7664" w:rsidRPr="009D084C" w:rsidRDefault="00CF7664" w:rsidP="00CF7664">
            <w:pPr>
              <w:spacing w:before="120"/>
              <w:rPr>
                <w:szCs w:val="20"/>
                <w:lang w:val="en-US"/>
              </w:rPr>
            </w:pPr>
            <w:r w:rsidRPr="00CF7664">
              <w:rPr>
                <w:rFonts w:eastAsia="Times New Roman" w:cs="Times New Roman"/>
                <w:szCs w:val="20"/>
                <w:lang w:val="en-GB"/>
              </w:rPr>
              <w:t>23 November 2022</w:t>
            </w:r>
          </w:p>
        </w:tc>
      </w:tr>
    </w:tbl>
    <w:p w14:paraId="2D46AD08" w14:textId="77777777" w:rsidR="00CF7664" w:rsidRPr="003A4A39" w:rsidRDefault="00CF7664" w:rsidP="00CF7664">
      <w:pPr>
        <w:pStyle w:val="HChG"/>
        <w:spacing w:before="240" w:after="120"/>
      </w:pPr>
      <w:r w:rsidRPr="003A4A39">
        <w:tab/>
      </w:r>
      <w:r w:rsidRPr="003A4A39">
        <w:tab/>
        <w:t>Соглашение</w:t>
      </w:r>
    </w:p>
    <w:p w14:paraId="0B68E9DF" w14:textId="77777777" w:rsidR="00CF7664" w:rsidRPr="003A4A39" w:rsidRDefault="00CF7664" w:rsidP="00CF7664">
      <w:pPr>
        <w:pStyle w:val="H1G"/>
        <w:spacing w:before="240"/>
      </w:pPr>
      <w:r w:rsidRPr="003A4A39">
        <w:rPr>
          <w:rStyle w:val="H1GChar"/>
        </w:rPr>
        <w:tab/>
      </w:r>
      <w:r w:rsidRPr="003A4A39">
        <w:rPr>
          <w:rStyle w:val="H1GChar"/>
        </w:rPr>
        <w:tab/>
      </w:r>
      <w:r w:rsidRPr="003A4A39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F766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2E0BAF2" w14:textId="77777777" w:rsidR="00CF7664" w:rsidRPr="003A4A39" w:rsidRDefault="00CF7664" w:rsidP="00CF7664">
      <w:pPr>
        <w:pStyle w:val="SingleTxtG"/>
        <w:spacing w:before="120"/>
      </w:pPr>
      <w:r w:rsidRPr="003A4A39">
        <w:t>(Пересмотр 3, включающий поправки, вступившие в силу 14 сентября 2017 года)</w:t>
      </w:r>
    </w:p>
    <w:p w14:paraId="1270B2D4" w14:textId="2E23B541" w:rsidR="00CF7664" w:rsidRPr="00CF7664" w:rsidRDefault="00CF7664" w:rsidP="00CF76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92B7D" w14:textId="69F1FF27" w:rsidR="00CF7664" w:rsidRPr="003A4A39" w:rsidRDefault="00CF7664" w:rsidP="00CF7664">
      <w:pPr>
        <w:pStyle w:val="H1G"/>
        <w:spacing w:before="240" w:after="120"/>
      </w:pPr>
      <w:r w:rsidRPr="003A4A39">
        <w:tab/>
      </w:r>
      <w:r w:rsidRPr="003A4A39">
        <w:tab/>
      </w:r>
      <w:r w:rsidRPr="003A4A39">
        <w:rPr>
          <w:bCs/>
        </w:rPr>
        <w:t xml:space="preserve">Добавление </w:t>
      </w:r>
      <w:r w:rsidRPr="003A4A39">
        <w:t xml:space="preserve">106 </w:t>
      </w:r>
      <w:r w:rsidRPr="00CF7664">
        <w:t>—</w:t>
      </w:r>
      <w:r w:rsidRPr="003A4A39">
        <w:t xml:space="preserve"> </w:t>
      </w:r>
      <w:r w:rsidRPr="003A4A39">
        <w:rPr>
          <w:bCs/>
        </w:rPr>
        <w:t>Правила № 107 ООН</w:t>
      </w:r>
      <w:r w:rsidRPr="003A4A39">
        <w:t xml:space="preserve"> </w:t>
      </w:r>
    </w:p>
    <w:p w14:paraId="1155FDEE" w14:textId="542E355E" w:rsidR="00CF7664" w:rsidRPr="003A4A39" w:rsidRDefault="00CF7664" w:rsidP="00CF7664">
      <w:pPr>
        <w:pStyle w:val="H1G"/>
        <w:spacing w:before="240"/>
      </w:pPr>
      <w:r w:rsidRPr="003A4A39">
        <w:tab/>
      </w:r>
      <w:r w:rsidRPr="003A4A39">
        <w:tab/>
        <w:t xml:space="preserve">Пересмотр 9 </w:t>
      </w:r>
      <w:r w:rsidRPr="00CF7664">
        <w:t>—</w:t>
      </w:r>
      <w:r w:rsidRPr="003A4A39">
        <w:t xml:space="preserve"> Поправка 1</w:t>
      </w:r>
    </w:p>
    <w:p w14:paraId="2AFB4AAF" w14:textId="344E468A" w:rsidR="00CF7664" w:rsidRPr="003A4A39" w:rsidRDefault="00CF7664" w:rsidP="00CF7664">
      <w:pPr>
        <w:pStyle w:val="SingleTxtG"/>
        <w:spacing w:after="360"/>
        <w:rPr>
          <w:spacing w:val="-2"/>
        </w:rPr>
      </w:pPr>
      <w:r w:rsidRPr="003A4A39">
        <w:rPr>
          <w:shd w:val="clear" w:color="auto" w:fill="FFFFFF"/>
        </w:rPr>
        <w:t xml:space="preserve">Поправки серии 10 </w:t>
      </w:r>
      <w:r w:rsidRPr="00CF7664">
        <w:rPr>
          <w:spacing w:val="-2"/>
        </w:rPr>
        <w:t>—</w:t>
      </w:r>
      <w:r w:rsidRPr="003A4A39">
        <w:rPr>
          <w:spacing w:val="-2"/>
        </w:rPr>
        <w:t xml:space="preserve"> </w:t>
      </w:r>
      <w:r w:rsidRPr="003A4A39">
        <w:t>Дата вступления в силу</w:t>
      </w:r>
      <w:r w:rsidRPr="003A4A39">
        <w:rPr>
          <w:spacing w:val="-2"/>
        </w:rPr>
        <w:t xml:space="preserve">: </w:t>
      </w:r>
      <w:r w:rsidRPr="003A4A39">
        <w:t>8 октября 2022 года</w:t>
      </w:r>
    </w:p>
    <w:p w14:paraId="056CF066" w14:textId="04651074" w:rsidR="00CF7664" w:rsidRPr="003A4A39" w:rsidRDefault="00CF7664" w:rsidP="00CF7664">
      <w:pPr>
        <w:pStyle w:val="H1G"/>
        <w:spacing w:before="120" w:after="120" w:line="240" w:lineRule="exact"/>
        <w:rPr>
          <w:szCs w:val="24"/>
        </w:rPr>
      </w:pPr>
      <w:r w:rsidRPr="003A4A39">
        <w:rPr>
          <w:szCs w:val="24"/>
        </w:rPr>
        <w:tab/>
      </w:r>
      <w:r w:rsidRPr="003A4A39">
        <w:rPr>
          <w:szCs w:val="24"/>
        </w:rPr>
        <w:tab/>
        <w:t>Единообразные предписания, касающиеся официального утверждения транспортных средств категорий М</w:t>
      </w:r>
      <w:r w:rsidRPr="003A4A39">
        <w:rPr>
          <w:szCs w:val="24"/>
          <w:vertAlign w:val="subscript"/>
        </w:rPr>
        <w:t>2</w:t>
      </w:r>
      <w:r w:rsidRPr="003A4A39">
        <w:rPr>
          <w:szCs w:val="24"/>
        </w:rPr>
        <w:t xml:space="preserve"> и М</w:t>
      </w:r>
      <w:r w:rsidRPr="003A4A39">
        <w:rPr>
          <w:szCs w:val="24"/>
          <w:vertAlign w:val="subscript"/>
        </w:rPr>
        <w:t>3</w:t>
      </w:r>
      <w:r w:rsidRPr="003A4A39">
        <w:rPr>
          <w:szCs w:val="24"/>
        </w:rPr>
        <w:t xml:space="preserve"> в</w:t>
      </w:r>
      <w:r>
        <w:rPr>
          <w:szCs w:val="24"/>
          <w:lang w:val="en-US"/>
        </w:rPr>
        <w:t> </w:t>
      </w:r>
      <w:r w:rsidRPr="003A4A39">
        <w:rPr>
          <w:szCs w:val="24"/>
        </w:rPr>
        <w:t>отношении их общей конструкции</w:t>
      </w:r>
    </w:p>
    <w:p w14:paraId="3F4F1DD8" w14:textId="77777777" w:rsidR="00CF7664" w:rsidRPr="003A4A39" w:rsidRDefault="00CF7664" w:rsidP="00CF7664">
      <w:pPr>
        <w:pStyle w:val="SingleTxtG"/>
        <w:spacing w:after="40"/>
        <w:rPr>
          <w:lang w:eastAsia="en-GB"/>
        </w:rPr>
      </w:pPr>
      <w:r w:rsidRPr="003A4A39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3A4A39">
        <w:rPr>
          <w:spacing w:val="-4"/>
          <w:lang w:eastAsia="en-GB"/>
        </w:rPr>
        <w:t>:</w:t>
      </w:r>
      <w:r w:rsidRPr="003A4A39">
        <w:rPr>
          <w:lang w:eastAsia="en-GB"/>
        </w:rPr>
        <w:t xml:space="preserve"> </w:t>
      </w:r>
      <w:r w:rsidRPr="003A4A39">
        <w:rPr>
          <w:spacing w:val="-6"/>
          <w:lang w:val="en-GB" w:eastAsia="en-GB"/>
        </w:rPr>
        <w:t>ECE</w:t>
      </w:r>
      <w:r w:rsidRPr="003A4A39">
        <w:rPr>
          <w:spacing w:val="-6"/>
          <w:lang w:eastAsia="en-GB"/>
        </w:rPr>
        <w:t>/</w:t>
      </w:r>
      <w:r w:rsidRPr="003A4A39">
        <w:rPr>
          <w:spacing w:val="-6"/>
          <w:lang w:val="en-GB" w:eastAsia="en-GB"/>
        </w:rPr>
        <w:t>TRANS</w:t>
      </w:r>
      <w:r w:rsidRPr="003A4A39">
        <w:rPr>
          <w:spacing w:val="-6"/>
          <w:lang w:eastAsia="en-GB"/>
        </w:rPr>
        <w:t>/</w:t>
      </w:r>
      <w:r w:rsidRPr="003A4A39">
        <w:rPr>
          <w:spacing w:val="-6"/>
          <w:lang w:val="en-GB" w:eastAsia="en-GB"/>
        </w:rPr>
        <w:t>WP</w:t>
      </w:r>
      <w:r w:rsidRPr="003A4A39">
        <w:rPr>
          <w:spacing w:val="-6"/>
          <w:lang w:eastAsia="en-GB"/>
        </w:rPr>
        <w:t>.29/2022/53.</w:t>
      </w:r>
    </w:p>
    <w:p w14:paraId="5938C86D" w14:textId="6865B0CA" w:rsidR="00CF7664" w:rsidRPr="00CF7664" w:rsidRDefault="00FB52BD" w:rsidP="00CF7664">
      <w:pPr>
        <w:pStyle w:val="SingleTxtG"/>
        <w:spacing w:after="0"/>
        <w:jc w:val="center"/>
      </w:pPr>
      <w:r w:rsidRPr="00CF7664">
        <w:drawing>
          <wp:anchor distT="0" distB="137160" distL="114300" distR="114300" simplePos="0" relativeHeight="251659264" behindDoc="0" locked="0" layoutInCell="1" allowOverlap="1" wp14:anchorId="0B977E1C" wp14:editId="2116936A">
            <wp:simplePos x="0" y="0"/>
            <wp:positionH relativeFrom="column">
              <wp:posOffset>2560320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64">
        <w:rPr>
          <w:u w:val="single"/>
        </w:rPr>
        <w:tab/>
      </w:r>
      <w:r w:rsidR="00CF7664">
        <w:rPr>
          <w:u w:val="single"/>
        </w:rPr>
        <w:tab/>
      </w:r>
      <w:r w:rsidR="00CF7664">
        <w:rPr>
          <w:u w:val="single"/>
        </w:rPr>
        <w:tab/>
      </w:r>
    </w:p>
    <w:p w14:paraId="7B2DF283" w14:textId="4D34C1C9" w:rsidR="00CF7664" w:rsidRPr="003A4A39" w:rsidRDefault="00CF7664" w:rsidP="00CF7664">
      <w:pPr>
        <w:suppressAutoHyphens w:val="0"/>
        <w:spacing w:line="240" w:lineRule="auto"/>
        <w:jc w:val="center"/>
        <w:rPr>
          <w:b/>
          <w:sz w:val="28"/>
          <w:lang w:eastAsia="ar-SA"/>
        </w:rPr>
      </w:pPr>
      <w:r w:rsidRPr="00CF7664">
        <w:rPr>
          <w:b/>
          <w:bCs/>
          <w:szCs w:val="20"/>
        </w:rPr>
        <w:t>ОРГАНИЗАЦИЯ ОБЪЕДИНЕННЫХ НАЦИЙ</w:t>
      </w:r>
      <w:r w:rsidRPr="003A4A39">
        <w:rPr>
          <w:lang w:eastAsia="ar-SA"/>
        </w:rPr>
        <w:br w:type="page"/>
      </w:r>
    </w:p>
    <w:p w14:paraId="2CBD7D68" w14:textId="77777777" w:rsidR="00CF7664" w:rsidRPr="003A4A39" w:rsidRDefault="00CF7664" w:rsidP="00CF7664">
      <w:pPr>
        <w:pStyle w:val="SingleTxtG"/>
      </w:pPr>
      <w:r w:rsidRPr="003A4A39">
        <w:rPr>
          <w:i/>
          <w:iCs/>
        </w:rPr>
        <w:lastRenderedPageBreak/>
        <w:t>Включить новые пункты</w:t>
      </w:r>
      <w:r w:rsidRPr="003A4A39">
        <w:t xml:space="preserve"> </w:t>
      </w:r>
      <w:r w:rsidRPr="003A4A39">
        <w:rPr>
          <w:i/>
          <w:iCs/>
        </w:rPr>
        <w:t>10.30</w:t>
      </w:r>
      <w:r w:rsidRPr="003A4A39">
        <w:t>–</w:t>
      </w:r>
      <w:r w:rsidRPr="003A4A39">
        <w:rPr>
          <w:i/>
          <w:iCs/>
        </w:rPr>
        <w:t xml:space="preserve">10.34 </w:t>
      </w:r>
      <w:r w:rsidRPr="003A4A39">
        <w:t>следующего содержания:</w:t>
      </w:r>
    </w:p>
    <w:p w14:paraId="7C80D552" w14:textId="7BFB2271" w:rsidR="00CF7664" w:rsidRPr="003A4A39" w:rsidRDefault="00CF7664" w:rsidP="00CF7664">
      <w:pPr>
        <w:pStyle w:val="SingleTxtG"/>
        <w:ind w:left="2268" w:hanging="1134"/>
      </w:pPr>
      <w:r w:rsidRPr="003A4A39">
        <w:t>«10.30</w:t>
      </w:r>
      <w:r w:rsidRPr="003A4A39">
        <w:tab/>
      </w:r>
      <w:r>
        <w:tab/>
      </w:r>
      <w:r w:rsidRPr="003A4A39">
        <w:t>Начиная с официальной даты вступления в силу поправок серии 10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10.</w:t>
      </w:r>
    </w:p>
    <w:p w14:paraId="7584A31F" w14:textId="6C6554DD" w:rsidR="00CF7664" w:rsidRPr="003A4A39" w:rsidRDefault="00CF7664" w:rsidP="00CF7664">
      <w:pPr>
        <w:pStyle w:val="SingleTxtG"/>
        <w:ind w:left="2268" w:hanging="1134"/>
      </w:pPr>
      <w:r w:rsidRPr="003A4A39">
        <w:t>10.31</w:t>
      </w:r>
      <w:r w:rsidRPr="003A4A39">
        <w:tab/>
      </w:r>
      <w:r>
        <w:tab/>
      </w:r>
      <w:r w:rsidRPr="003A4A39">
        <w:t>Начиная с 1 сентября 2024 года Договаривающиеся стороны, применяющие настоящие Правила, не обязаны признавать официальные утверждения типа, предоставленные впервые на основании поправок предшествующих серий после 1 сентября 2024 года.</w:t>
      </w:r>
    </w:p>
    <w:p w14:paraId="7C72D1AC" w14:textId="0675A065" w:rsidR="00CF7664" w:rsidRPr="003A4A39" w:rsidRDefault="00CF7664" w:rsidP="00CF7664">
      <w:pPr>
        <w:pStyle w:val="SingleTxtG"/>
        <w:ind w:left="2268" w:hanging="1134"/>
      </w:pPr>
      <w:r w:rsidRPr="003A4A39">
        <w:t>10.32</w:t>
      </w:r>
      <w:r w:rsidRPr="003A4A39">
        <w:tab/>
      </w:r>
      <w:r>
        <w:tab/>
      </w:r>
      <w:r w:rsidRPr="003A4A39">
        <w:t>До 1 сентября 2026 года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2024 года.</w:t>
      </w:r>
    </w:p>
    <w:p w14:paraId="5BE2A599" w14:textId="6996EAC7" w:rsidR="00CF7664" w:rsidRPr="003A4A39" w:rsidRDefault="00CF7664" w:rsidP="00CF7664">
      <w:pPr>
        <w:pStyle w:val="SingleTxtG"/>
        <w:ind w:left="2268" w:hanging="1134"/>
      </w:pPr>
      <w:r w:rsidRPr="003A4A39">
        <w:t>10.33</w:t>
      </w:r>
      <w:r w:rsidRPr="003A4A39">
        <w:tab/>
      </w:r>
      <w:r>
        <w:tab/>
      </w:r>
      <w:r w:rsidRPr="003A4A39"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</w:t>
      </w:r>
    </w:p>
    <w:p w14:paraId="20F7D100" w14:textId="5DB9B4F3" w:rsidR="00CF7664" w:rsidRPr="003A4A39" w:rsidRDefault="00CF7664" w:rsidP="00CF7664">
      <w:pPr>
        <w:pStyle w:val="SingleTxtG"/>
        <w:ind w:left="2268" w:hanging="1134"/>
      </w:pPr>
      <w:r w:rsidRPr="003A4A39">
        <w:t>10.34</w:t>
      </w:r>
      <w:r w:rsidRPr="003A4A39">
        <w:tab/>
      </w:r>
      <w:r>
        <w:tab/>
      </w:r>
      <w:r w:rsidRPr="003A4A39">
        <w:t>Независимо от положений пунктов 10.31 и 10.33 Договаривающиеся стороны, применяющие настоящие Правила, продолжают признавать официальные утверждения типа, предоставленные на основании поправок серий 06, 07, 08 и 09 в отношении транспортных средств, не затрагиваемых поправками серии 10».</w:t>
      </w:r>
    </w:p>
    <w:p w14:paraId="5E19AE7C" w14:textId="77777777" w:rsidR="00CF7664" w:rsidRPr="003A4A39" w:rsidRDefault="00CF7664" w:rsidP="00CF7664">
      <w:pPr>
        <w:pStyle w:val="SingleTxtG"/>
      </w:pPr>
      <w:r w:rsidRPr="003A4A39">
        <w:rPr>
          <w:i/>
          <w:iCs/>
        </w:rPr>
        <w:t>Приложение 3, пункт 7.6.8.2</w:t>
      </w:r>
      <w:r w:rsidRPr="003A4A39">
        <w:rPr>
          <w:iCs/>
        </w:rPr>
        <w:t xml:space="preserve"> изменить следующим образом</w:t>
      </w:r>
      <w:r w:rsidRPr="003A4A39">
        <w:t>:</w:t>
      </w:r>
    </w:p>
    <w:p w14:paraId="1A47C1D0" w14:textId="77777777" w:rsidR="00CF7664" w:rsidRPr="003A4A39" w:rsidRDefault="00CF7664" w:rsidP="00CF7664">
      <w:pPr>
        <w:pStyle w:val="SingleTxtG"/>
        <w:ind w:left="2268" w:hanging="1134"/>
      </w:pPr>
      <w:r w:rsidRPr="003A4A39">
        <w:t>«7.6.8.2</w:t>
      </w:r>
      <w:r w:rsidRPr="003A4A39">
        <w:tab/>
        <w:t>Каждое запасное окно должно:</w:t>
      </w:r>
    </w:p>
    <w:p w14:paraId="4DE2F837" w14:textId="77777777" w:rsidR="00CF7664" w:rsidRPr="003A4A39" w:rsidRDefault="00CF7664" w:rsidP="00CF7664">
      <w:pPr>
        <w:pStyle w:val="SingleTxtG"/>
        <w:ind w:left="2268" w:hanging="1134"/>
      </w:pPr>
      <w:r w:rsidRPr="003A4A39">
        <w:t>7.6.8.2.1</w:t>
      </w:r>
      <w:r w:rsidRPr="003A4A39">
        <w:tab/>
        <w:t>либо легко и быстро открываться изнутри и снаружи транспортного средства при помощи соответствующего приспособления; это положение предусматривает возможность использования, например, многослойного безосколочного стекла или стекла, изготовленного из пластического материала;</w:t>
      </w:r>
    </w:p>
    <w:p w14:paraId="175943E7" w14:textId="77777777" w:rsidR="00CF7664" w:rsidRPr="003A4A39" w:rsidRDefault="00CF7664" w:rsidP="00CF7664">
      <w:pPr>
        <w:pStyle w:val="SingleTxtG"/>
        <w:ind w:left="2268" w:hanging="1134"/>
      </w:pPr>
      <w:r w:rsidRPr="003A4A39">
        <w:t>7.6.8.2.2</w:t>
      </w:r>
      <w:r w:rsidRPr="003A4A39">
        <w:tab/>
        <w:t>либо иметь упрочненное(ые) стекло(а). Последнее положение исключает возможность использования слоистого стекла или стекла, изготовленного из пластического материала. Простое в использовании приспособление должно позволять одному человеку изнутри пассажирского салона за 20 секунд разбить и извлечь каждое стекло. Техническая служба проводит проверку путем испытания этого приспособления и измерения времени с момента первого воздействия данным приспособлением на запасное окно до образования свободного проема с требуемыми размерами, указанными в пункте 7.6.3.1.3.</w:t>
      </w:r>
    </w:p>
    <w:p w14:paraId="568EBA4D" w14:textId="04FEB4B8" w:rsidR="00CF7664" w:rsidRPr="003A4A39" w:rsidRDefault="00CF7664" w:rsidP="00CF7664">
      <w:pPr>
        <w:pStyle w:val="SingleTxtG"/>
        <w:ind w:left="2268"/>
      </w:pPr>
      <w:r w:rsidRPr="003A4A39">
        <w:t>Это приспособление должно отвечать нижеследующим требованиям».</w:t>
      </w:r>
    </w:p>
    <w:p w14:paraId="3C8DFD74" w14:textId="77777777" w:rsidR="00CF7664" w:rsidRPr="003A4A39" w:rsidRDefault="00CF7664" w:rsidP="00CF7664">
      <w:pPr>
        <w:pStyle w:val="SingleTxtG"/>
        <w:rPr>
          <w:i/>
          <w:iCs/>
        </w:rPr>
      </w:pPr>
      <w:r w:rsidRPr="003A4A39">
        <w:rPr>
          <w:i/>
        </w:rPr>
        <w:t>Приложение 3, пункт 7.6.8.2.2,</w:t>
      </w:r>
      <w:r w:rsidRPr="003A4A39">
        <w:t xml:space="preserve"> </w:t>
      </w:r>
      <w:r w:rsidRPr="003A4A39">
        <w:rPr>
          <w:i/>
          <w:iCs/>
        </w:rPr>
        <w:t>включить новые пункты 7.6.8.2.2.1–7.6.8.2.2.4</w:t>
      </w:r>
      <w:r w:rsidRPr="003A4A39">
        <w:t xml:space="preserve"> следующего содержания:</w:t>
      </w:r>
    </w:p>
    <w:p w14:paraId="2E41310B" w14:textId="14872A5A" w:rsidR="00CF7664" w:rsidRPr="003A4A39" w:rsidRDefault="00CF7664" w:rsidP="00CF7664">
      <w:pPr>
        <w:pStyle w:val="SingleTxtG"/>
        <w:ind w:left="2268" w:hanging="1134"/>
      </w:pPr>
      <w:r w:rsidRPr="003A4A39">
        <w:t>«7.6.8.2.2.1</w:t>
      </w:r>
      <w:r w:rsidRPr="003A4A39">
        <w:tab/>
        <w:t>Приспособление должно находиться вблизи запасного окна или же крепиться к нему, и высота его установки должна соответствовать верхней трети высоты поверхности окна. В случае запасного окна в задней торцевой части транспортного средства приспособление должно быть закреплено по центру вблизи окна или же на нем, либо в качестве альтернативы расположено вблизи окна или по обеим его сторонам.</w:t>
      </w:r>
    </w:p>
    <w:p w14:paraId="16034E09" w14:textId="20706B6E" w:rsidR="00CF7664" w:rsidRPr="003A4A39" w:rsidRDefault="00CF7664" w:rsidP="00CF7664">
      <w:pPr>
        <w:pStyle w:val="SingleTxtG"/>
        <w:ind w:left="2268" w:hanging="1134"/>
      </w:pPr>
      <w:r w:rsidRPr="00CF7664">
        <w:tab/>
      </w:r>
      <w:r>
        <w:tab/>
      </w:r>
      <w:r w:rsidRPr="003A4A39">
        <w:t>В том случае, если применение приспособления технически несовместимо с изложенными выше требованиями о его расположении, приспособление должно находиться вблизи каждого запасного окна либо быть прикреплено к нему. Вместе с тем изготовитель предоставляет технической службе удовлетворительные доказательства следующего:</w:t>
      </w:r>
    </w:p>
    <w:p w14:paraId="17D57D59" w14:textId="77777777" w:rsidR="00CF7664" w:rsidRPr="003A4A39" w:rsidRDefault="00CF7664" w:rsidP="00CF7664">
      <w:pPr>
        <w:pStyle w:val="SingleTxtG"/>
        <w:ind w:left="2835" w:hanging="567"/>
      </w:pPr>
      <w:r w:rsidRPr="003A4A39">
        <w:lastRenderedPageBreak/>
        <w:t>1.</w:t>
      </w:r>
      <w:r w:rsidRPr="003A4A39">
        <w:tab/>
        <w:t>проведения анализа для определения местонахождения приспособления;</w:t>
      </w:r>
    </w:p>
    <w:p w14:paraId="74367D25" w14:textId="77777777" w:rsidR="00CF7664" w:rsidRPr="003A4A39" w:rsidRDefault="00CF7664" w:rsidP="00CF7664">
      <w:pPr>
        <w:pStyle w:val="SingleTxtG"/>
        <w:ind w:left="2835" w:hanging="567"/>
      </w:pPr>
      <w:r w:rsidRPr="003A4A39">
        <w:t>2.</w:t>
      </w:r>
      <w:r w:rsidRPr="003A4A39">
        <w:tab/>
        <w:t>определения принимаемых мер для недопущения непреднамеренного использования.</w:t>
      </w:r>
    </w:p>
    <w:p w14:paraId="696BEF06" w14:textId="77777777" w:rsidR="00CF7664" w:rsidRPr="003A4A39" w:rsidRDefault="00CF7664" w:rsidP="00CF7664">
      <w:pPr>
        <w:pStyle w:val="SingleTxtG"/>
        <w:ind w:left="2268" w:hanging="1134"/>
      </w:pPr>
      <w:r w:rsidRPr="003A4A39">
        <w:tab/>
      </w:r>
      <w:r w:rsidRPr="003A4A39">
        <w:tab/>
        <w:t>Эти доказательства проверяются технической службой.</w:t>
      </w:r>
    </w:p>
    <w:p w14:paraId="6CBD994F" w14:textId="77777777" w:rsidR="00CF7664" w:rsidRPr="003A4A39" w:rsidRDefault="00CF7664" w:rsidP="00CF7664">
      <w:pPr>
        <w:pStyle w:val="SingleTxtG"/>
        <w:ind w:left="2268" w:hanging="1134"/>
      </w:pPr>
      <w:r w:rsidRPr="003A4A39">
        <w:t xml:space="preserve">7.6.8.2.2.2 </w:t>
      </w:r>
      <w:r w:rsidRPr="003A4A39">
        <w:tab/>
        <w:t>Приспособление должно быть хорошо видимым для любого пассажира, находящегося в непосредственной близости от него. Оно должно иметь маркировку красного цвета и дополняться предупреждающим знаком.</w:t>
      </w:r>
    </w:p>
    <w:p w14:paraId="40AF6DA0" w14:textId="3798EAF8" w:rsidR="00CF7664" w:rsidRPr="003A4A39" w:rsidRDefault="00CF7664" w:rsidP="00CF7664">
      <w:pPr>
        <w:pStyle w:val="SingleTxtG"/>
        <w:ind w:left="2268" w:hanging="1134"/>
      </w:pPr>
      <w:r w:rsidRPr="003A4A39">
        <w:t xml:space="preserve">7.6.8.2.2.3 </w:t>
      </w:r>
      <w:r w:rsidRPr="003A4A39">
        <w:tab/>
        <w:t xml:space="preserve">Приспособление должно всегда иметься в наличии и быть готовым к использованию. В случае электронных устройств такое приспособление должно оставаться функциональным при отказе источника </w:t>
      </w:r>
      <w:r>
        <w:br/>
      </w:r>
      <w:r w:rsidRPr="003A4A39">
        <w:t>питания транспортного средства, а состояние его эксплуатационной готовности — легко проверяться водителем со своего места. Приспособление должно иметь конструкцию, препятствующую его неправильному использованию. Предусматривается по крайней мере одна из следующих упредительных мер по выбору изготовителя:</w:t>
      </w:r>
    </w:p>
    <w:p w14:paraId="250D6BC4" w14:textId="77777777" w:rsidR="00CF7664" w:rsidRPr="003A4A39" w:rsidRDefault="00CF7664" w:rsidP="00CF7664">
      <w:pPr>
        <w:pStyle w:val="SingleTxtG"/>
        <w:ind w:left="2835" w:hanging="567"/>
      </w:pPr>
      <w:r w:rsidRPr="003A4A39">
        <w:rPr>
          <w:lang w:val="en-US"/>
        </w:rPr>
        <w:t>a</w:t>
      </w:r>
      <w:r w:rsidRPr="003A4A39">
        <w:t>)</w:t>
      </w:r>
      <w:r w:rsidRPr="003A4A39">
        <w:tab/>
        <w:t>приспособление стационарно установлено вблизи каждого запасного окна или же на нем; либо</w:t>
      </w:r>
    </w:p>
    <w:p w14:paraId="0EEC137A" w14:textId="77777777" w:rsidR="00CF7664" w:rsidRPr="003A4A39" w:rsidRDefault="00CF7664" w:rsidP="00CF7664">
      <w:pPr>
        <w:pStyle w:val="SingleTxtG"/>
        <w:ind w:left="2835" w:hanging="567"/>
      </w:pPr>
      <w:r w:rsidRPr="003A4A39">
        <w:rPr>
          <w:lang w:val="en-US"/>
        </w:rPr>
        <w:t>b</w:t>
      </w:r>
      <w:r w:rsidRPr="003A4A39">
        <w:t>)</w:t>
      </w:r>
      <w:r w:rsidRPr="003A4A39">
        <w:tab/>
        <w:t>при временном извлечении приспособления из его гнезда подается предупреждающий сигнал, слышимый или видимый водителем с его места.</w:t>
      </w:r>
    </w:p>
    <w:p w14:paraId="11B3D78F" w14:textId="77777777" w:rsidR="00CF7664" w:rsidRPr="003A4A39" w:rsidRDefault="00CF7664" w:rsidP="00CF7664">
      <w:pPr>
        <w:pStyle w:val="SingleTxtG"/>
        <w:ind w:left="2268" w:hanging="1134"/>
      </w:pPr>
      <w:r w:rsidRPr="003A4A39">
        <w:t>7.6.8.2.2.4</w:t>
      </w:r>
      <w:r w:rsidRPr="003A4A39">
        <w:tab/>
        <w:t>Приспособление должно быть оснащено защитной крышкой либо иметь конструкцию, препятствующую его непреднамеренному использованию, а также предусматривать необходимость одного дополнительного действия для разблокировки приспособления со стороны использующего его лица. При наличии защитной крышки приспособление должно оставаться видимым для пассажиров.</w:t>
      </w:r>
    </w:p>
    <w:p w14:paraId="3B61512E" w14:textId="087A6C33" w:rsidR="00CF7664" w:rsidRPr="003A4A39" w:rsidRDefault="00CF7664" w:rsidP="00CF7664">
      <w:pPr>
        <w:pStyle w:val="SingleTxtG"/>
        <w:ind w:left="2268" w:hanging="1134"/>
      </w:pPr>
      <w:r w:rsidRPr="003A4A39">
        <w:t>7.6.8.2.2.5</w:t>
      </w:r>
      <w:r w:rsidRPr="003A4A39">
        <w:tab/>
        <w:t>Поверхность каждого запасного окна может быть оснащена пластиковой пленкой, позволяющей снять стекло или стекла. Пластиковая пленка должна быть вырезана на внешнем крае запасного окна в соответствии с шаблонами, аналогичными приведенным на рис. 32 приложения 4. В</w:t>
      </w:r>
      <w:r>
        <w:rPr>
          <w:lang w:val="en-US"/>
        </w:rPr>
        <w:t> </w:t>
      </w:r>
      <w:r w:rsidRPr="003A4A39">
        <w:t>случае оснащения пластиковой пленкой аварийного выхода она должна быть совместимой с приспособлением и не снижать его эффективности. Кроме того, не должны изменяться характеристики официально утвержденных стекловых материалов».</w:t>
      </w:r>
    </w:p>
    <w:p w14:paraId="1F742F73" w14:textId="77777777" w:rsidR="00CF7664" w:rsidRPr="003A4A39" w:rsidRDefault="00CF7664" w:rsidP="00CF7664">
      <w:pPr>
        <w:pStyle w:val="SingleTxtG"/>
        <w:rPr>
          <w:i/>
          <w:iCs/>
        </w:rPr>
      </w:pPr>
      <w:r w:rsidRPr="003A4A39">
        <w:rPr>
          <w:i/>
          <w:iCs/>
        </w:rPr>
        <w:t>Пункт 7.6.8.2.2.4 пронумеровать как пункт 7.6.8.2.2.5.</w:t>
      </w:r>
    </w:p>
    <w:p w14:paraId="474D0B2B" w14:textId="77777777" w:rsidR="00CF7664" w:rsidRPr="003A4A39" w:rsidRDefault="00CF7664" w:rsidP="00CF7664">
      <w:pPr>
        <w:pStyle w:val="SingleTxtG"/>
        <w:rPr>
          <w:i/>
          <w:iCs/>
        </w:rPr>
      </w:pPr>
      <w:r w:rsidRPr="003A4A39">
        <w:rPr>
          <w:i/>
          <w:iCs/>
        </w:rPr>
        <w:t xml:space="preserve">Приложение 3, пункт 7.6.9.5 </w:t>
      </w:r>
      <w:r w:rsidRPr="003A4A39">
        <w:rPr>
          <w:iCs/>
        </w:rPr>
        <w:t>изменить следующим образом</w:t>
      </w:r>
      <w:r w:rsidRPr="003A4A39">
        <w:rPr>
          <w:i/>
          <w:iCs/>
        </w:rPr>
        <w:t>:</w:t>
      </w:r>
    </w:p>
    <w:p w14:paraId="71B259E5" w14:textId="77777777" w:rsidR="00CF7664" w:rsidRPr="003A4A39" w:rsidRDefault="00CF7664" w:rsidP="00CF7664">
      <w:pPr>
        <w:pStyle w:val="SingleTxtG"/>
        <w:ind w:left="2268" w:hanging="1134"/>
      </w:pPr>
      <w:r w:rsidRPr="003A4A39">
        <w:t>«7.6.9.5</w:t>
      </w:r>
      <w:r w:rsidRPr="003A4A39">
        <w:tab/>
        <w:t>Аварийные люки должны легко открываться или сниматься как изнутри, так и снаружи. Однако это требование не толкуют как исключающее возможность запирания аварийного люка в целях обеспечения безопасности транспортного средства, когда в нем никого нет, при условии, что аварийный люк можно всегда открыть или снять изнутри с помощью обычного отпирающего механизма или механизма для снятия люка. В случае люка с упрочненным(и) стеклом(ами) простое в использовании приспособление должно позволять одному человеку изнутри пассажирского салона за 20 секунд разбить и извлечь каждое стекло. Техническая служба проводит проверку путем испытания этого приспособления и измерения времени с момента первого воздействия данным приспособлением на аварийный люк до образования свободного проема с требуемыми размерами, указанными в пункте 7.6.3.1.5.</w:t>
      </w:r>
    </w:p>
    <w:p w14:paraId="622F87E5" w14:textId="77777777" w:rsidR="00CF7664" w:rsidRPr="003A4A39" w:rsidRDefault="00CF7664" w:rsidP="00CF7664">
      <w:pPr>
        <w:pStyle w:val="SingleTxtG"/>
        <w:ind w:left="2268" w:hanging="1134"/>
      </w:pPr>
      <w:r w:rsidRPr="00CF7664">
        <w:tab/>
      </w:r>
      <w:r w:rsidRPr="00CF7664">
        <w:tab/>
      </w:r>
      <w:r w:rsidRPr="003A4A39">
        <w:t>Это приспособление должно отвечать нижеследующим требованиям.</w:t>
      </w:r>
    </w:p>
    <w:p w14:paraId="547D56FF" w14:textId="77777777" w:rsidR="00CF7664" w:rsidRPr="003A4A39" w:rsidRDefault="00CF7664" w:rsidP="00CF7664">
      <w:pPr>
        <w:pStyle w:val="SingleTxtG"/>
        <w:ind w:left="2268" w:hanging="1134"/>
      </w:pPr>
      <w:r w:rsidRPr="003A4A39">
        <w:lastRenderedPageBreak/>
        <w:t>7.6.9.5.1</w:t>
      </w:r>
      <w:r w:rsidRPr="003A4A39">
        <w:tab/>
        <w:t>Приспособление должно быть хорошо видимым для любого пассажира, находящегося в непосредственной близости от него. Оно должно иметь маркировку красного цвета и дополняться предупреждающим знаком.</w:t>
      </w:r>
    </w:p>
    <w:p w14:paraId="677F69AC" w14:textId="77777777" w:rsidR="00CF7664" w:rsidRPr="003A4A39" w:rsidRDefault="00CF7664" w:rsidP="00CF7664">
      <w:pPr>
        <w:pStyle w:val="SingleTxtG"/>
        <w:ind w:left="2268" w:hanging="1134"/>
      </w:pPr>
      <w:r w:rsidRPr="003A4A39">
        <w:t>7.6.9.5.2</w:t>
      </w:r>
      <w:r w:rsidRPr="003A4A39">
        <w:tab/>
        <w:t xml:space="preserve">Приспособление должно всегда иметься в наличии и быть готовым к использованию. В случае электронных устройств такое приспособление должно оставаться функциональным при отказе источника </w:t>
      </w:r>
      <w:r w:rsidRPr="003A4A39">
        <w:br/>
        <w:t>питания транспортного средства, а состояние его эксплуатационной готовности — легко проверяться водителем со своего места. Приспособление должно иметь конструкцию, препятствующую его неправильному использованию. Предусматривается по крайней мере одна из следующих упредительных мер по выбору изготовителя:</w:t>
      </w:r>
    </w:p>
    <w:p w14:paraId="1E05E10D" w14:textId="77777777" w:rsidR="00CF7664" w:rsidRPr="003A4A39" w:rsidRDefault="00CF7664" w:rsidP="00CF7664">
      <w:pPr>
        <w:pStyle w:val="SingleTxtG"/>
        <w:ind w:left="2835" w:hanging="567"/>
      </w:pPr>
      <w:r w:rsidRPr="003A4A39">
        <w:rPr>
          <w:lang w:val="en-US"/>
        </w:rPr>
        <w:t>a</w:t>
      </w:r>
      <w:r w:rsidRPr="003A4A39">
        <w:t>)</w:t>
      </w:r>
      <w:r w:rsidRPr="003A4A39">
        <w:tab/>
        <w:t>приспособление стационарно установлено вблизи каждого аварийного люка или же на нем; либо</w:t>
      </w:r>
    </w:p>
    <w:p w14:paraId="629762F9" w14:textId="77777777" w:rsidR="00CF7664" w:rsidRPr="003A4A39" w:rsidRDefault="00CF7664" w:rsidP="00CF7664">
      <w:pPr>
        <w:pStyle w:val="SingleTxtG"/>
        <w:ind w:left="2835" w:hanging="567"/>
      </w:pPr>
      <w:r w:rsidRPr="003A4A39">
        <w:rPr>
          <w:lang w:val="en-US"/>
        </w:rPr>
        <w:t>b</w:t>
      </w:r>
      <w:r w:rsidRPr="003A4A39">
        <w:t>)</w:t>
      </w:r>
      <w:r w:rsidRPr="003A4A39">
        <w:tab/>
        <w:t>при временном извлечении приспособления из его гнезда подается предупреждающий сигнал, слышимый или видимый водителем с его места.</w:t>
      </w:r>
    </w:p>
    <w:p w14:paraId="64BCCD96" w14:textId="77777777" w:rsidR="00CF7664" w:rsidRPr="003A4A39" w:rsidRDefault="00CF7664" w:rsidP="00CF7664">
      <w:pPr>
        <w:pStyle w:val="SingleTxtG"/>
        <w:ind w:left="2268" w:hanging="1134"/>
      </w:pPr>
      <w:r w:rsidRPr="003A4A39">
        <w:t>7.6.9.5.3</w:t>
      </w:r>
      <w:r w:rsidRPr="003A4A39">
        <w:tab/>
        <w:t>Приспособление должно быть оснащено защитной крышкой либо иметь конструкцию, препятствующую его непреднамеренному использованию, а также предусматривать необходимость одного дополнительного действия для разблокировки приспособления со стороны использующего его лица. При наличии защитной крышки приспособление должно оставаться видимым для пассажиров.</w:t>
      </w:r>
    </w:p>
    <w:p w14:paraId="3A27D93F" w14:textId="77777777" w:rsidR="00CF7664" w:rsidRPr="003A4A39" w:rsidRDefault="00CF7664" w:rsidP="00CF7664">
      <w:pPr>
        <w:pStyle w:val="SingleTxtG"/>
        <w:ind w:left="2268" w:hanging="1134"/>
      </w:pPr>
      <w:r w:rsidRPr="003A4A39">
        <w:t>7.6.9.5.4</w:t>
      </w:r>
      <w:r w:rsidRPr="003A4A39">
        <w:tab/>
        <w:t>Поверхность каждого аварийного люка может быть оснащена пластиковой пленкой, позволяющей снять стекло или стекла. Пластиковая пленка должна быть вырезана на внешнем крае аварийного люка в соответствии с шаблонами, аналогичными приведенным на рис.</w:t>
      </w:r>
      <w:r w:rsidRPr="003A4A39">
        <w:rPr>
          <w:lang w:val="en-US"/>
        </w:rPr>
        <w:t> </w:t>
      </w:r>
      <w:r w:rsidRPr="003A4A39">
        <w:t>32 приложения 4. В случае оснащения пластиковой пленкой аварийного выхода она должна быть совместимой с приспособлением и не снижать его эффективности. Кроме того, не должны изменяться характеристики официально утвержденных стекловых материалов».</w:t>
      </w:r>
    </w:p>
    <w:p w14:paraId="25C612FD" w14:textId="77777777" w:rsidR="00CF7664" w:rsidRPr="003A4A39" w:rsidRDefault="00CF7664" w:rsidP="00CF7664">
      <w:pPr>
        <w:pStyle w:val="SingleTxtG"/>
        <w:ind w:firstLine="4"/>
        <w:rPr>
          <w:bCs/>
          <w:i/>
          <w:iCs/>
        </w:rPr>
      </w:pPr>
      <w:r w:rsidRPr="003A4A39">
        <w:rPr>
          <w:bCs/>
          <w:i/>
          <w:iCs/>
        </w:rPr>
        <w:t xml:space="preserve">Приложение 4, после рис. 31 </w:t>
      </w:r>
      <w:r w:rsidRPr="003A4A39">
        <w:rPr>
          <w:bCs/>
        </w:rPr>
        <w:t>включить следующее:</w:t>
      </w:r>
    </w:p>
    <w:p w14:paraId="3AD34A3A" w14:textId="77777777" w:rsidR="00CF7664" w:rsidRPr="003A4A39" w:rsidRDefault="00CF7664" w:rsidP="00CF7664">
      <w:pPr>
        <w:pStyle w:val="SingleTxtG"/>
        <w:ind w:left="2268"/>
        <w:jc w:val="left"/>
        <w:rPr>
          <w:b/>
        </w:rPr>
      </w:pPr>
      <w:r w:rsidRPr="003A4A39">
        <w:t>«</w:t>
      </w:r>
      <w:r w:rsidRPr="003A4A39">
        <w:rPr>
          <w:bCs/>
        </w:rPr>
        <w:t>Рис. 32</w:t>
      </w:r>
      <w:r w:rsidRPr="003A4A39">
        <w:rPr>
          <w:b/>
        </w:rPr>
        <w:br/>
        <w:t>Шаблоны для вырезания пластиковой пленки на запасном окне или аварийном люке</w:t>
      </w:r>
    </w:p>
    <w:p w14:paraId="56D37680" w14:textId="5B95A769" w:rsidR="00CF7664" w:rsidRPr="003A4A39" w:rsidRDefault="00CF7664" w:rsidP="00CF7664">
      <w:pPr>
        <w:pStyle w:val="SingleTxtG"/>
        <w:rPr>
          <w:bCs/>
          <w:lang w:val="en-GB"/>
        </w:rPr>
      </w:pPr>
      <w:r w:rsidRPr="003A4A39">
        <w:rPr>
          <w:bCs/>
        </w:rPr>
        <w:tab/>
      </w:r>
      <w:r w:rsidRPr="003A4A39">
        <w:rPr>
          <w:bCs/>
        </w:rPr>
        <w:tab/>
      </w:r>
      <w:r w:rsidRPr="003A4A39">
        <w:rPr>
          <w:bCs/>
          <w:lang w:val="en-GB"/>
        </w:rPr>
        <w:t>(</w:t>
      </w:r>
      <w:proofErr w:type="spellStart"/>
      <w:r w:rsidRPr="003A4A39">
        <w:rPr>
          <w:bCs/>
          <w:lang w:val="en-GB"/>
        </w:rPr>
        <w:t>См</w:t>
      </w:r>
      <w:proofErr w:type="spellEnd"/>
      <w:r w:rsidRPr="003A4A39">
        <w:rPr>
          <w:bCs/>
          <w:lang w:val="en-GB"/>
        </w:rPr>
        <w:t>. приложение 3, пункты 7.6.8.2.2.4 и 7.6.9.5.3)</w:t>
      </w:r>
    </w:p>
    <w:p w14:paraId="0975E7C4" w14:textId="77777777" w:rsidR="00CF7664" w:rsidRPr="003A4A39" w:rsidRDefault="00CF7664" w:rsidP="00CF7664">
      <w:pPr>
        <w:tabs>
          <w:tab w:val="left" w:pos="2268"/>
          <w:tab w:val="left" w:pos="8505"/>
        </w:tabs>
        <w:spacing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  <w:lang w:val="en-US"/>
        </w:rPr>
      </w:pPr>
      <w:r w:rsidRPr="003A4A39">
        <w:rPr>
          <w:rFonts w:asciiTheme="majorBidi" w:hAnsiTheme="majorBidi" w:cstheme="majorBidi"/>
          <w:i/>
          <w:iCs/>
          <w:noProof/>
        </w:rPr>
        <w:drawing>
          <wp:inline distT="0" distB="0" distL="0" distR="0" wp14:anchorId="659258BC" wp14:editId="1CFDE094">
            <wp:extent cx="4572000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A39">
        <w:rPr>
          <w:rFonts w:asciiTheme="majorBidi" w:hAnsiTheme="majorBidi" w:cstheme="majorBidi"/>
          <w:lang w:val="en-US"/>
        </w:rPr>
        <w:t>»</w:t>
      </w:r>
    </w:p>
    <w:p w14:paraId="0B4906D3" w14:textId="4FA263B1" w:rsidR="00CF7664" w:rsidRPr="00544AAF" w:rsidRDefault="00544AAF" w:rsidP="00544A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0B380B" w14:textId="1CBC3D18" w:rsidR="00CF7664" w:rsidRDefault="00CF7664" w:rsidP="001F49C9"/>
    <w:p w14:paraId="2CA168AB" w14:textId="77777777" w:rsidR="00381C24" w:rsidRPr="00BC18B2" w:rsidRDefault="00381C24" w:rsidP="001F49C9"/>
    <w:sectPr w:rsidR="00381C24" w:rsidRPr="00BC18B2" w:rsidSect="00CF76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3779" w14:textId="77777777" w:rsidR="003D48E3" w:rsidRPr="00A312BC" w:rsidRDefault="003D48E3" w:rsidP="00A312BC"/>
  </w:endnote>
  <w:endnote w:type="continuationSeparator" w:id="0">
    <w:p w14:paraId="529AC729" w14:textId="77777777" w:rsidR="003D48E3" w:rsidRPr="00A312BC" w:rsidRDefault="003D48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4A2C" w14:textId="13BB8D1F" w:rsidR="00CF7664" w:rsidRPr="00CF7664" w:rsidRDefault="00CF7664">
    <w:pPr>
      <w:pStyle w:val="a8"/>
    </w:pPr>
    <w:r w:rsidRPr="00CF7664">
      <w:rPr>
        <w:b/>
        <w:sz w:val="18"/>
      </w:rPr>
      <w:fldChar w:fldCharType="begin"/>
    </w:r>
    <w:r w:rsidRPr="00CF7664">
      <w:rPr>
        <w:b/>
        <w:sz w:val="18"/>
      </w:rPr>
      <w:instrText xml:space="preserve"> PAGE  \* MERGEFORMAT </w:instrText>
    </w:r>
    <w:r w:rsidRPr="00CF7664">
      <w:rPr>
        <w:b/>
        <w:sz w:val="18"/>
      </w:rPr>
      <w:fldChar w:fldCharType="separate"/>
    </w:r>
    <w:r w:rsidRPr="00CF7664">
      <w:rPr>
        <w:b/>
        <w:noProof/>
        <w:sz w:val="18"/>
      </w:rPr>
      <w:t>2</w:t>
    </w:r>
    <w:r w:rsidRPr="00CF7664">
      <w:rPr>
        <w:b/>
        <w:sz w:val="18"/>
      </w:rPr>
      <w:fldChar w:fldCharType="end"/>
    </w:r>
    <w:r>
      <w:rPr>
        <w:b/>
        <w:sz w:val="18"/>
      </w:rPr>
      <w:tab/>
    </w:r>
    <w:r>
      <w:t>GE.22-26484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F4E8" w14:textId="7C6A67F7" w:rsidR="00CF7664" w:rsidRPr="00CF7664" w:rsidRDefault="00CF7664" w:rsidP="00CF7664">
    <w:pPr>
      <w:pStyle w:val="a8"/>
      <w:tabs>
        <w:tab w:val="clear" w:pos="9639"/>
        <w:tab w:val="right" w:pos="9638"/>
      </w:tabs>
      <w:rPr>
        <w:b/>
        <w:sz w:val="18"/>
      </w:rPr>
    </w:pPr>
    <w:r>
      <w:t>GE.22-26484</w:t>
    </w:r>
    <w:r>
      <w:tab/>
    </w:r>
    <w:r w:rsidRPr="00CF7664">
      <w:rPr>
        <w:b/>
        <w:sz w:val="18"/>
      </w:rPr>
      <w:fldChar w:fldCharType="begin"/>
    </w:r>
    <w:r w:rsidRPr="00CF7664">
      <w:rPr>
        <w:b/>
        <w:sz w:val="18"/>
      </w:rPr>
      <w:instrText xml:space="preserve"> PAGE  \* MERGEFORMAT </w:instrText>
    </w:r>
    <w:r w:rsidRPr="00CF7664">
      <w:rPr>
        <w:b/>
        <w:sz w:val="18"/>
      </w:rPr>
      <w:fldChar w:fldCharType="separate"/>
    </w:r>
    <w:r w:rsidRPr="00CF7664">
      <w:rPr>
        <w:b/>
        <w:noProof/>
        <w:sz w:val="18"/>
      </w:rPr>
      <w:t>3</w:t>
    </w:r>
    <w:r w:rsidRPr="00CF76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FB35" w14:textId="5180972F" w:rsidR="00042B72" w:rsidRPr="00CF7664" w:rsidRDefault="00CF7664" w:rsidP="00CF766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F49F53" wp14:editId="4C126B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22-26484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A0658F" wp14:editId="1501ED5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010223  200223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BE0F" w14:textId="77777777" w:rsidR="003D48E3" w:rsidRPr="001075E9" w:rsidRDefault="003D48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9BB783" w14:textId="77777777" w:rsidR="003D48E3" w:rsidRDefault="003D48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3A79AE" w14:textId="77777777" w:rsidR="00CF7664" w:rsidRPr="0039586B" w:rsidRDefault="00CF7664" w:rsidP="00CF7664">
      <w:pPr>
        <w:pStyle w:val="ad"/>
      </w:pPr>
      <w:r w:rsidRPr="00CF7664">
        <w:tab/>
      </w:r>
      <w:r w:rsidRPr="00CF7664">
        <w:rPr>
          <w:rStyle w:val="aa"/>
          <w:sz w:val="20"/>
          <w:vertAlign w:val="baseline"/>
        </w:rPr>
        <w:t>*</w:t>
      </w:r>
      <w:r w:rsidRPr="00CF7664">
        <w:rPr>
          <w:sz w:val="20"/>
        </w:rPr>
        <w:tab/>
      </w:r>
      <w:r w:rsidRPr="0039586B">
        <w:t>Прежние названия Соглашения:</w:t>
      </w:r>
    </w:p>
    <w:p w14:paraId="2F5AC115" w14:textId="77777777" w:rsidR="00CF7664" w:rsidRPr="0039586B" w:rsidRDefault="00CF7664" w:rsidP="00CF7664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7AE174C" w14:textId="77777777" w:rsidR="00CF7664" w:rsidRPr="008C1855" w:rsidRDefault="00CF7664" w:rsidP="00CF7664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4923" w14:textId="27631760" w:rsidR="00CF7664" w:rsidRPr="00CF7664" w:rsidRDefault="00CF7664">
    <w:pPr>
      <w:pStyle w:val="a5"/>
    </w:pPr>
    <w:fldSimple w:instr=" TITLE  \* MERGEFORMAT ">
      <w:r w:rsidR="00A20160">
        <w:t>E/ECE/324/Rev.2/Add.106/Rev.9/Amend.1</w:t>
      </w:r>
    </w:fldSimple>
    <w:r>
      <w:br/>
    </w:r>
    <w:fldSimple w:instr=" KEYWORDS  \* MERGEFORMAT ">
      <w:r w:rsidR="00A20160">
        <w:t>E/ECE/TRANS/505/Rev.2/Add.106/Rev.9/Amend.1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B9E0" w14:textId="74712870" w:rsidR="00CF7664" w:rsidRPr="00CF7664" w:rsidRDefault="00CF7664" w:rsidP="00CF7664">
    <w:pPr>
      <w:pStyle w:val="a5"/>
      <w:jc w:val="right"/>
    </w:pPr>
    <w:fldSimple w:instr=" TITLE  \* MERGEFORMAT ">
      <w:r w:rsidR="00A20160">
        <w:t>E/ECE/324/Rev.2/Add.106/Rev.9/Amend.1</w:t>
      </w:r>
    </w:fldSimple>
    <w:r>
      <w:br/>
    </w:r>
    <w:fldSimple w:instr=" KEYWORDS  \* MERGEFORMAT ">
      <w:r w:rsidR="00A20160">
        <w:t>E/ECE/TRANS/505/Rev.2/Add.106/Rev.9/Amend.1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293297">
    <w:abstractNumId w:val="17"/>
  </w:num>
  <w:num w:numId="2" w16cid:durableId="1665545307">
    <w:abstractNumId w:val="13"/>
  </w:num>
  <w:num w:numId="3" w16cid:durableId="891691800">
    <w:abstractNumId w:val="11"/>
  </w:num>
  <w:num w:numId="4" w16cid:durableId="889921929">
    <w:abstractNumId w:val="12"/>
  </w:num>
  <w:num w:numId="5" w16cid:durableId="758332433">
    <w:abstractNumId w:val="10"/>
  </w:num>
  <w:num w:numId="6" w16cid:durableId="2031950062">
    <w:abstractNumId w:val="8"/>
  </w:num>
  <w:num w:numId="7" w16cid:durableId="1472868173">
    <w:abstractNumId w:val="3"/>
  </w:num>
  <w:num w:numId="8" w16cid:durableId="1816098720">
    <w:abstractNumId w:val="2"/>
  </w:num>
  <w:num w:numId="9" w16cid:durableId="1586911270">
    <w:abstractNumId w:val="1"/>
  </w:num>
  <w:num w:numId="10" w16cid:durableId="75367155">
    <w:abstractNumId w:val="0"/>
  </w:num>
  <w:num w:numId="11" w16cid:durableId="1035695887">
    <w:abstractNumId w:val="9"/>
  </w:num>
  <w:num w:numId="12" w16cid:durableId="2123841565">
    <w:abstractNumId w:val="7"/>
  </w:num>
  <w:num w:numId="13" w16cid:durableId="968246724">
    <w:abstractNumId w:val="6"/>
  </w:num>
  <w:num w:numId="14" w16cid:durableId="2097624718">
    <w:abstractNumId w:val="5"/>
  </w:num>
  <w:num w:numId="15" w16cid:durableId="1249119431">
    <w:abstractNumId w:val="4"/>
  </w:num>
  <w:num w:numId="16" w16cid:durableId="1612586979">
    <w:abstractNumId w:val="16"/>
  </w:num>
  <w:num w:numId="17" w16cid:durableId="1227842464">
    <w:abstractNumId w:val="14"/>
  </w:num>
  <w:num w:numId="18" w16cid:durableId="2044553949">
    <w:abstractNumId w:val="15"/>
  </w:num>
  <w:num w:numId="19" w16cid:durableId="2054114766">
    <w:abstractNumId w:val="16"/>
  </w:num>
  <w:num w:numId="20" w16cid:durableId="1366448168">
    <w:abstractNumId w:val="14"/>
  </w:num>
  <w:num w:numId="21" w16cid:durableId="1295152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E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48E3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44AAF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16E28"/>
    <w:rsid w:val="00943923"/>
    <w:rsid w:val="00951972"/>
    <w:rsid w:val="009608F3"/>
    <w:rsid w:val="00991C69"/>
    <w:rsid w:val="009A24AC"/>
    <w:rsid w:val="009D084C"/>
    <w:rsid w:val="009F307A"/>
    <w:rsid w:val="00A04E47"/>
    <w:rsid w:val="00A20160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F57F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CF7664"/>
    <w:rsid w:val="00D33D63"/>
    <w:rsid w:val="00D36D8C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B52B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6C54A"/>
  <w15:docId w15:val="{6D3733AF-B4AA-47E2-8BBC-DFBCA0AE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CF7664"/>
    <w:rPr>
      <w:lang w:val="ru-RU" w:eastAsia="en-US"/>
    </w:rPr>
  </w:style>
  <w:style w:type="character" w:customStyle="1" w:styleId="HChGChar">
    <w:name w:val="_ H _Ch_G Char"/>
    <w:link w:val="HChG"/>
    <w:rsid w:val="00CF766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F766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C7B34-5F4D-4277-9C78-32F396FE00E4}"/>
</file>

<file path=customXml/itemProps2.xml><?xml version="1.0" encoding="utf-8"?>
<ds:datastoreItem xmlns:ds="http://schemas.openxmlformats.org/officeDocument/2006/customXml" ds:itemID="{5D6473E6-E442-485B-877D-FF201AD23B6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4</Pages>
  <Words>1113</Words>
  <Characters>8095</Characters>
  <Application>Microsoft Office Word</Application>
  <DocSecurity>0</DocSecurity>
  <Lines>67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E/ECE/324/Rev.2/Add.106/Rev.9/Amend.1</vt:lpstr>
      <vt:lpstr>A/</vt:lpstr>
      <vt:lpstr>A/</vt:lpstr>
    </vt:vector>
  </TitlesOfParts>
  <Company>DCM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E/ECE/324/Rev.2/Add.106/Rev.9/Amend.1</dc:title>
  <dc:creator>Elena IZOTOVA</dc:creator>
  <cp:keywords>E/ECE/TRANS/505/Rev.2/Add.106/Rev.9/Amend.1</cp:keywords>
  <cp:lastModifiedBy>Elena Izotova</cp:lastModifiedBy>
  <cp:revision>3</cp:revision>
  <cp:lastPrinted>2023-02-20T07:42:00Z</cp:lastPrinted>
  <dcterms:created xsi:type="dcterms:W3CDTF">2023-02-20T07:42:00Z</dcterms:created>
  <dcterms:modified xsi:type="dcterms:W3CDTF">2023-02-20T07:42:00Z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