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D238" w14:textId="2F68EAA0" w:rsidR="007D396D" w:rsidRDefault="00F43FB3" w:rsidP="008F590F">
      <w:pPr>
        <w:spacing w:after="0" w:line="240" w:lineRule="auto"/>
        <w:ind w:left="567"/>
        <w:jc w:val="center"/>
        <w:rPr>
          <w:rFonts w:ascii="Times New Roman" w:hAnsi="Times New Roman" w:cs="Times New Roman"/>
          <w:b/>
          <w:bCs/>
          <w:sz w:val="28"/>
          <w:szCs w:val="28"/>
        </w:rPr>
      </w:pPr>
      <w:r w:rsidRPr="007D396D">
        <w:rPr>
          <w:rFonts w:ascii="Times New Roman" w:hAnsi="Times New Roman" w:cs="Times New Roman"/>
          <w:b/>
          <w:bCs/>
          <w:sz w:val="28"/>
          <w:szCs w:val="28"/>
        </w:rPr>
        <w:t xml:space="preserve">Comments and </w:t>
      </w:r>
      <w:r w:rsidR="000E2D5E">
        <w:rPr>
          <w:rFonts w:ascii="Times New Roman" w:hAnsi="Times New Roman" w:cs="Times New Roman"/>
          <w:b/>
          <w:bCs/>
          <w:sz w:val="28"/>
          <w:szCs w:val="28"/>
        </w:rPr>
        <w:t xml:space="preserve">amendment </w:t>
      </w:r>
      <w:r w:rsidRPr="007D396D">
        <w:rPr>
          <w:rFonts w:ascii="Times New Roman" w:hAnsi="Times New Roman" w:cs="Times New Roman"/>
          <w:b/>
          <w:bCs/>
          <w:sz w:val="28"/>
          <w:szCs w:val="28"/>
        </w:rPr>
        <w:t xml:space="preserve">proposal to </w:t>
      </w:r>
      <w:r w:rsidR="000E2D5E">
        <w:rPr>
          <w:rFonts w:ascii="Times New Roman" w:hAnsi="Times New Roman" w:cs="Times New Roman"/>
          <w:b/>
          <w:bCs/>
          <w:sz w:val="28"/>
          <w:szCs w:val="28"/>
        </w:rPr>
        <w:t xml:space="preserve">working </w:t>
      </w:r>
      <w:r w:rsidRPr="007D396D">
        <w:rPr>
          <w:rFonts w:ascii="Times New Roman" w:hAnsi="Times New Roman" w:cs="Times New Roman"/>
          <w:b/>
          <w:bCs/>
          <w:sz w:val="28"/>
          <w:szCs w:val="28"/>
        </w:rPr>
        <w:t xml:space="preserve">document </w:t>
      </w:r>
      <w:r w:rsidR="007D396D">
        <w:rPr>
          <w:rFonts w:ascii="Times New Roman" w:hAnsi="Times New Roman" w:cs="Times New Roman"/>
          <w:b/>
          <w:bCs/>
          <w:sz w:val="24"/>
          <w:szCs w:val="24"/>
        </w:rPr>
        <w:t>ECE/TRANS/WP.29/</w:t>
      </w:r>
      <w:r w:rsidRPr="007D396D">
        <w:rPr>
          <w:rFonts w:ascii="Times New Roman" w:hAnsi="Times New Roman" w:cs="Times New Roman"/>
          <w:b/>
          <w:bCs/>
          <w:sz w:val="28"/>
          <w:szCs w:val="28"/>
        </w:rPr>
        <w:t>GRVA</w:t>
      </w:r>
      <w:r w:rsidR="003353DE" w:rsidRPr="007D396D">
        <w:rPr>
          <w:rFonts w:ascii="Times New Roman" w:hAnsi="Times New Roman" w:cs="Times New Roman"/>
          <w:b/>
          <w:bCs/>
          <w:sz w:val="28"/>
          <w:szCs w:val="28"/>
        </w:rPr>
        <w:t>/</w:t>
      </w:r>
      <w:r w:rsidRPr="007D396D">
        <w:rPr>
          <w:rFonts w:ascii="Times New Roman" w:hAnsi="Times New Roman" w:cs="Times New Roman"/>
          <w:b/>
          <w:bCs/>
          <w:sz w:val="28"/>
          <w:szCs w:val="28"/>
        </w:rPr>
        <w:t>2023</w:t>
      </w:r>
      <w:r w:rsidR="003353DE" w:rsidRPr="007D396D">
        <w:rPr>
          <w:rFonts w:ascii="Times New Roman" w:hAnsi="Times New Roman" w:cs="Times New Roman"/>
          <w:b/>
          <w:bCs/>
          <w:sz w:val="28"/>
          <w:szCs w:val="28"/>
        </w:rPr>
        <w:t>/</w:t>
      </w:r>
      <w:r w:rsidRPr="007D396D">
        <w:rPr>
          <w:rFonts w:ascii="Times New Roman" w:hAnsi="Times New Roman" w:cs="Times New Roman"/>
          <w:b/>
          <w:bCs/>
          <w:sz w:val="28"/>
          <w:szCs w:val="28"/>
        </w:rPr>
        <w:t>10</w:t>
      </w:r>
    </w:p>
    <w:p w14:paraId="37DB5F6C" w14:textId="40374119" w:rsidR="005E6C37" w:rsidRPr="000E2D5E" w:rsidRDefault="00F43FB3" w:rsidP="008F590F">
      <w:pPr>
        <w:spacing w:after="360" w:line="240" w:lineRule="auto"/>
        <w:ind w:left="567"/>
        <w:jc w:val="center"/>
        <w:rPr>
          <w:rFonts w:ascii="Times New Roman" w:hAnsi="Times New Roman" w:cs="Times New Roman"/>
        </w:rPr>
      </w:pPr>
      <w:r w:rsidRPr="000E2D5E">
        <w:rPr>
          <w:rFonts w:ascii="Times New Roman" w:hAnsi="Times New Roman" w:cs="Times New Roman"/>
        </w:rPr>
        <w:t xml:space="preserve">(Amendment of </w:t>
      </w:r>
      <w:r w:rsidR="000E2D5E" w:rsidRPr="000E2D5E">
        <w:rPr>
          <w:rFonts w:ascii="Times New Roman" w:hAnsi="Times New Roman" w:cs="Times New Roman"/>
        </w:rPr>
        <w:t xml:space="preserve">Annex 18 to </w:t>
      </w:r>
      <w:r w:rsidRPr="000E2D5E">
        <w:rPr>
          <w:rFonts w:ascii="Times New Roman" w:hAnsi="Times New Roman" w:cs="Times New Roman"/>
        </w:rPr>
        <w:t xml:space="preserve">UN R13 </w:t>
      </w:r>
      <w:r w:rsidR="000E2D5E" w:rsidRPr="000E2D5E">
        <w:rPr>
          <w:rFonts w:ascii="Times New Roman" w:hAnsi="Times New Roman" w:cs="Times New Roman"/>
        </w:rPr>
        <w:t>(CEL)</w:t>
      </w:r>
      <w:r w:rsidRPr="000E2D5E">
        <w:rPr>
          <w:rFonts w:ascii="Times New Roman" w:hAnsi="Times New Roman" w:cs="Times New Roman"/>
        </w:rPr>
        <w:t xml:space="preserve"> for Electro-Mechanical Brake)</w:t>
      </w:r>
    </w:p>
    <w:p w14:paraId="2970B2F8" w14:textId="2BAEFAA6" w:rsidR="005E6C37" w:rsidRPr="004D6688" w:rsidRDefault="004D6688" w:rsidP="004D6688">
      <w:pPr>
        <w:pStyle w:val="ListParagraph"/>
        <w:spacing w:after="240" w:line="240" w:lineRule="auto"/>
        <w:ind w:left="0"/>
        <w:contextualSpacing w:val="0"/>
        <w:rPr>
          <w:rFonts w:ascii="Times New Roman" w:hAnsi="Times New Roman" w:cs="Times New Roman"/>
          <w:b/>
          <w:bCs/>
          <w:sz w:val="24"/>
          <w:szCs w:val="24"/>
        </w:rPr>
      </w:pPr>
      <w:r w:rsidRPr="004D6688">
        <w:rPr>
          <w:rFonts w:ascii="Times New Roman" w:hAnsi="Times New Roman" w:cs="Times New Roman"/>
          <w:b/>
          <w:bCs/>
          <w:sz w:val="24"/>
          <w:szCs w:val="24"/>
        </w:rPr>
        <w:tab/>
        <w:t>I.</w:t>
      </w:r>
      <w:r w:rsidRPr="004D6688">
        <w:rPr>
          <w:rFonts w:ascii="Times New Roman" w:hAnsi="Times New Roman" w:cs="Times New Roman"/>
          <w:b/>
          <w:bCs/>
          <w:sz w:val="24"/>
          <w:szCs w:val="24"/>
        </w:rPr>
        <w:tab/>
      </w:r>
      <w:r w:rsidR="005E6C37" w:rsidRPr="004D6688">
        <w:rPr>
          <w:rFonts w:ascii="Times New Roman" w:hAnsi="Times New Roman" w:cs="Times New Roman"/>
          <w:b/>
          <w:bCs/>
          <w:sz w:val="24"/>
          <w:szCs w:val="24"/>
        </w:rPr>
        <w:t xml:space="preserve">Proposed changes to </w:t>
      </w:r>
      <w:r w:rsidR="007D396D" w:rsidRPr="004D6688">
        <w:rPr>
          <w:rFonts w:ascii="Times New Roman" w:hAnsi="Times New Roman" w:cs="Times New Roman"/>
          <w:b/>
          <w:bCs/>
          <w:sz w:val="24"/>
          <w:szCs w:val="24"/>
        </w:rPr>
        <w:t>ECE/TRANS/WP.29/</w:t>
      </w:r>
      <w:r w:rsidR="005E6C37" w:rsidRPr="004D6688">
        <w:rPr>
          <w:rFonts w:ascii="Times New Roman" w:hAnsi="Times New Roman" w:cs="Times New Roman"/>
          <w:b/>
          <w:bCs/>
          <w:sz w:val="24"/>
          <w:szCs w:val="24"/>
        </w:rPr>
        <w:t>GRVA</w:t>
      </w:r>
      <w:r w:rsidR="003353DE" w:rsidRPr="004D6688">
        <w:rPr>
          <w:rFonts w:ascii="Times New Roman" w:hAnsi="Times New Roman" w:cs="Times New Roman"/>
          <w:b/>
          <w:bCs/>
          <w:sz w:val="24"/>
          <w:szCs w:val="24"/>
        </w:rPr>
        <w:t>/</w:t>
      </w:r>
      <w:r w:rsidR="005E6C37" w:rsidRPr="004D6688">
        <w:rPr>
          <w:rFonts w:ascii="Times New Roman" w:hAnsi="Times New Roman" w:cs="Times New Roman"/>
          <w:b/>
          <w:bCs/>
          <w:sz w:val="24"/>
          <w:szCs w:val="24"/>
        </w:rPr>
        <w:t>2023</w:t>
      </w:r>
      <w:r w:rsidR="003353DE" w:rsidRPr="004D6688">
        <w:rPr>
          <w:rFonts w:ascii="Times New Roman" w:hAnsi="Times New Roman" w:cs="Times New Roman"/>
          <w:b/>
          <w:bCs/>
          <w:sz w:val="24"/>
          <w:szCs w:val="24"/>
        </w:rPr>
        <w:t>/</w:t>
      </w:r>
      <w:r w:rsidR="005E6C37" w:rsidRPr="004D6688">
        <w:rPr>
          <w:rFonts w:ascii="Times New Roman" w:hAnsi="Times New Roman" w:cs="Times New Roman"/>
          <w:b/>
          <w:bCs/>
          <w:sz w:val="24"/>
          <w:szCs w:val="24"/>
        </w:rPr>
        <w:t>10 (in bold text)</w:t>
      </w:r>
    </w:p>
    <w:p w14:paraId="5B413F4F" w14:textId="4502EA4C"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12.1.1.</w:t>
      </w:r>
      <w:r w:rsidRPr="00B90E24">
        <w:rPr>
          <w:sz w:val="20"/>
          <w:szCs w:val="20"/>
        </w:rPr>
        <w:tab/>
        <w:t>As from the official date of entry into force of the XX series of amendments, no Contracting Party applying this Regulation shall refuse to grant or refuse to accept type approvals under this Regulation as amended by the XX series of amendments.</w:t>
      </w:r>
    </w:p>
    <w:p w14:paraId="71269D81" w14:textId="77777777"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12.1.2.</w:t>
      </w:r>
      <w:r w:rsidRPr="00B90E24">
        <w:rPr>
          <w:sz w:val="20"/>
          <w:szCs w:val="20"/>
        </w:rPr>
        <w:tab/>
        <w:t xml:space="preserve">As from the official date of entry into force of the XX series of amendments, Contracting Parties applying this Regulation shall grant type approvals </w:t>
      </w:r>
      <w:r w:rsidRPr="00B90E24">
        <w:rPr>
          <w:i/>
          <w:iCs/>
          <w:sz w:val="20"/>
          <w:szCs w:val="20"/>
        </w:rPr>
        <w:t xml:space="preserve">for a vehicle equipped with an electro-mechanical braking system </w:t>
      </w:r>
      <w:r w:rsidRPr="00B90E24">
        <w:rPr>
          <w:sz w:val="20"/>
          <w:szCs w:val="20"/>
        </w:rPr>
        <w:t xml:space="preserve">only if the vehicle type to be approved meets the requirements of this Regulation as amended by the XX series of amendments. </w:t>
      </w:r>
    </w:p>
    <w:p w14:paraId="71754C9B" w14:textId="77777777"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12.1.3.</w:t>
      </w:r>
      <w:r w:rsidRPr="00B90E24">
        <w:rPr>
          <w:sz w:val="20"/>
          <w:szCs w:val="20"/>
        </w:rPr>
        <w:tab/>
        <w:t>As from 1 September 2027</w:t>
      </w:r>
      <w:r w:rsidRPr="00B90E24">
        <w:rPr>
          <w:i/>
          <w:iCs/>
          <w:sz w:val="20"/>
          <w:szCs w:val="20"/>
        </w:rPr>
        <w:t>,</w:t>
      </w:r>
      <w:r w:rsidRPr="00B90E24">
        <w:rPr>
          <w:sz w:val="20"/>
          <w:szCs w:val="20"/>
        </w:rPr>
        <w:t xml:space="preserve"> Contracting Parties applying this Regulation shall not be obliged to accept type approvals to the preceding series of amendments, for a vehicle type having a braking system equipped with an electronic control system,</w:t>
      </w:r>
      <w:r w:rsidRPr="00B90E24">
        <w:rPr>
          <w:sz w:val="20"/>
          <w:szCs w:val="20"/>
          <w:lang w:eastAsia="en-US"/>
        </w:rPr>
        <w:t xml:space="preserve"> </w:t>
      </w:r>
      <w:r w:rsidRPr="00B90E24">
        <w:rPr>
          <w:sz w:val="20"/>
          <w:szCs w:val="20"/>
        </w:rPr>
        <w:t>first issued after 1 September 2027.</w:t>
      </w:r>
    </w:p>
    <w:p w14:paraId="3C08C222" w14:textId="77777777"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12.1.4.</w:t>
      </w:r>
      <w:r w:rsidRPr="00B90E24">
        <w:rPr>
          <w:sz w:val="20"/>
          <w:szCs w:val="20"/>
        </w:rPr>
        <w:tab/>
        <w:t>As from 1 September 2029, Contracting Parties applying this Regulation shall not be obliged to accept type approvals issued to the preceding series of amendments to this Regulation.</w:t>
      </w:r>
    </w:p>
    <w:p w14:paraId="370C5484" w14:textId="2BA4390B"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12.1.5.</w:t>
      </w:r>
      <w:r w:rsidRPr="00B90E24">
        <w:rPr>
          <w:sz w:val="20"/>
          <w:szCs w:val="20"/>
        </w:rPr>
        <w:tab/>
        <w:t xml:space="preserve">Notwithstanding paragraph 12.1.4., Contracting Parties applying this Regulation shall continue to accept type approvals issued according to the preceding series of amendments to this Regulation, for the vehicles which are not affected by the </w:t>
      </w:r>
      <w:r w:rsidRPr="00B90E24">
        <w:rPr>
          <w:b/>
          <w:bCs/>
          <w:sz w:val="20"/>
          <w:szCs w:val="20"/>
        </w:rPr>
        <w:t>technical</w:t>
      </w:r>
      <w:r w:rsidRPr="00B90E24">
        <w:rPr>
          <w:sz w:val="20"/>
          <w:szCs w:val="20"/>
        </w:rPr>
        <w:t xml:space="preserve"> changes </w:t>
      </w:r>
      <w:r w:rsidRPr="00B90E24">
        <w:rPr>
          <w:b/>
          <w:bCs/>
          <w:sz w:val="20"/>
          <w:szCs w:val="20"/>
        </w:rPr>
        <w:t>applicable to electro-mechanical braking systems</w:t>
      </w:r>
      <w:r w:rsidRPr="00B90E24">
        <w:rPr>
          <w:sz w:val="20"/>
          <w:szCs w:val="20"/>
        </w:rPr>
        <w:t xml:space="preserve"> introduced by the XX series of amendments.</w:t>
      </w:r>
    </w:p>
    <w:p w14:paraId="6F130E56" w14:textId="77777777"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12.1.6.</w:t>
      </w:r>
      <w:r w:rsidRPr="00B90E24">
        <w:rPr>
          <w:sz w:val="20"/>
          <w:szCs w:val="20"/>
        </w:rPr>
        <w:tab/>
        <w:t>Notwithstanding the transitional provisions above, Contracting Parties whose application of this Regulation comes into force after the date of entry into force of the most recent series of amendments are not obliged to accept type approvals which were granted in accordance with any of the preceding series of amendments to this Regulation/ are only obliged to accept type approval granted in accordance with the XX series of amendments.</w:t>
      </w:r>
    </w:p>
    <w:p w14:paraId="4919F6E6" w14:textId="77777777"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12.2.</w:t>
      </w:r>
      <w:r w:rsidRPr="00B90E24">
        <w:rPr>
          <w:sz w:val="20"/>
          <w:szCs w:val="20"/>
        </w:rPr>
        <w:tab/>
        <w:t>General transitional provisions:</w:t>
      </w:r>
    </w:p>
    <w:p w14:paraId="0421A090" w14:textId="77777777"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12.2.1.</w:t>
      </w:r>
      <w:r w:rsidRPr="00B90E24">
        <w:rPr>
          <w:sz w:val="20"/>
          <w:szCs w:val="20"/>
        </w:rPr>
        <w:tab/>
        <w:t xml:space="preserve">Contracting Parties applying this Regulation may grant type approvals according to any preceding series of amendments to this Regulation. </w:t>
      </w:r>
    </w:p>
    <w:p w14:paraId="63112FB3" w14:textId="6985717A" w:rsidR="005E6C37" w:rsidRPr="00B90E24" w:rsidRDefault="005E6C37" w:rsidP="008F590F">
      <w:pPr>
        <w:pStyle w:val="NormalWeb"/>
        <w:spacing w:before="0" w:beforeAutospacing="0" w:after="120" w:afterAutospacing="0"/>
        <w:ind w:left="2268" w:right="334" w:hanging="1134"/>
        <w:jc w:val="both"/>
        <w:rPr>
          <w:sz w:val="20"/>
          <w:szCs w:val="20"/>
        </w:rPr>
      </w:pPr>
      <w:r w:rsidRPr="00B90E24">
        <w:rPr>
          <w:sz w:val="20"/>
          <w:szCs w:val="20"/>
        </w:rPr>
        <w:t>12.2.2.</w:t>
      </w:r>
      <w:r w:rsidRPr="00B90E24">
        <w:rPr>
          <w:sz w:val="20"/>
          <w:szCs w:val="20"/>
        </w:rPr>
        <w:tab/>
        <w:t>Contracting Parties applying this Regulation shall continue to grant extensions of existing approvals to any preceding series of amendments to this Regulation</w:t>
      </w:r>
    </w:p>
    <w:p w14:paraId="1D4ED457" w14:textId="29FB5E47" w:rsidR="00F43FB3" w:rsidRPr="00221A09" w:rsidRDefault="00221A09" w:rsidP="00221A09">
      <w:pPr>
        <w:pStyle w:val="ListParagraph"/>
        <w:spacing w:after="24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ab/>
        <w:t>II.</w:t>
      </w:r>
      <w:r>
        <w:rPr>
          <w:rFonts w:ascii="Times New Roman" w:hAnsi="Times New Roman" w:cs="Times New Roman"/>
          <w:b/>
          <w:bCs/>
          <w:sz w:val="24"/>
          <w:szCs w:val="24"/>
        </w:rPr>
        <w:tab/>
      </w:r>
      <w:r w:rsidR="00F43FB3" w:rsidRPr="00221A09">
        <w:rPr>
          <w:rFonts w:ascii="Times New Roman" w:hAnsi="Times New Roman" w:cs="Times New Roman"/>
          <w:b/>
          <w:bCs/>
          <w:sz w:val="24"/>
          <w:szCs w:val="24"/>
        </w:rPr>
        <w:t>Comments and Justification for proposed changes</w:t>
      </w:r>
    </w:p>
    <w:p w14:paraId="0B64C0EF" w14:textId="73C56E37" w:rsidR="00F43FB3" w:rsidRPr="003353DE" w:rsidRDefault="007F029A" w:rsidP="00283ADE">
      <w:pPr>
        <w:pStyle w:val="ListParagraph"/>
        <w:numPr>
          <w:ilvl w:val="0"/>
          <w:numId w:val="2"/>
        </w:numPr>
        <w:ind w:left="567"/>
        <w:jc w:val="both"/>
        <w:rPr>
          <w:rFonts w:ascii="Times New Roman" w:hAnsi="Times New Roman" w:cs="Times New Roman"/>
          <w:sz w:val="20"/>
          <w:szCs w:val="20"/>
        </w:rPr>
      </w:pPr>
      <w:r w:rsidRPr="003353DE">
        <w:rPr>
          <w:rFonts w:ascii="Times New Roman" w:hAnsi="Times New Roman" w:cs="Times New Roman"/>
          <w:sz w:val="20"/>
          <w:szCs w:val="20"/>
        </w:rPr>
        <w:t xml:space="preserve">The new requirements </w:t>
      </w:r>
      <w:r w:rsidR="00AC56EA">
        <w:rPr>
          <w:rFonts w:ascii="Times New Roman" w:hAnsi="Times New Roman" w:cs="Times New Roman"/>
          <w:sz w:val="20"/>
          <w:szCs w:val="20"/>
        </w:rPr>
        <w:t>proposed in</w:t>
      </w:r>
      <w:r w:rsidRPr="003353DE">
        <w:rPr>
          <w:rFonts w:ascii="Times New Roman" w:hAnsi="Times New Roman" w:cs="Times New Roman"/>
          <w:sz w:val="20"/>
          <w:szCs w:val="20"/>
        </w:rPr>
        <w:t xml:space="preserve"> </w:t>
      </w:r>
      <w:r w:rsidR="00AC56EA">
        <w:rPr>
          <w:rFonts w:ascii="Times New Roman" w:hAnsi="Times New Roman" w:cs="Times New Roman"/>
          <w:sz w:val="20"/>
          <w:szCs w:val="20"/>
        </w:rPr>
        <w:t>ECE/TRANS/WP.29/</w:t>
      </w:r>
      <w:r w:rsidRPr="003353DE">
        <w:rPr>
          <w:rFonts w:ascii="Times New Roman" w:hAnsi="Times New Roman" w:cs="Times New Roman"/>
          <w:sz w:val="20"/>
          <w:szCs w:val="20"/>
        </w:rPr>
        <w:t>GRVA</w:t>
      </w:r>
      <w:r w:rsidR="005B79FE">
        <w:rPr>
          <w:rFonts w:ascii="Times New Roman" w:hAnsi="Times New Roman" w:cs="Times New Roman"/>
          <w:sz w:val="20"/>
          <w:szCs w:val="20"/>
        </w:rPr>
        <w:t>/</w:t>
      </w:r>
      <w:r w:rsidRPr="003353DE">
        <w:rPr>
          <w:rFonts w:ascii="Times New Roman" w:hAnsi="Times New Roman" w:cs="Times New Roman"/>
          <w:sz w:val="20"/>
          <w:szCs w:val="20"/>
        </w:rPr>
        <w:t>2023</w:t>
      </w:r>
      <w:r w:rsidR="005B79FE">
        <w:rPr>
          <w:rFonts w:ascii="Times New Roman" w:hAnsi="Times New Roman" w:cs="Times New Roman"/>
          <w:sz w:val="20"/>
          <w:szCs w:val="20"/>
        </w:rPr>
        <w:t>/</w:t>
      </w:r>
      <w:r w:rsidRPr="003353DE">
        <w:rPr>
          <w:rFonts w:ascii="Times New Roman" w:hAnsi="Times New Roman" w:cs="Times New Roman"/>
          <w:sz w:val="20"/>
          <w:szCs w:val="20"/>
        </w:rPr>
        <w:t xml:space="preserve">10 (UK) are mainly addressing new EMB technology, but also </w:t>
      </w:r>
      <w:r w:rsidR="009F6F0C" w:rsidRPr="003353DE">
        <w:rPr>
          <w:rFonts w:ascii="Times New Roman" w:hAnsi="Times New Roman" w:cs="Times New Roman"/>
          <w:sz w:val="20"/>
          <w:szCs w:val="20"/>
        </w:rPr>
        <w:t xml:space="preserve">potentially </w:t>
      </w:r>
      <w:r w:rsidRPr="003353DE">
        <w:rPr>
          <w:rFonts w:ascii="Times New Roman" w:hAnsi="Times New Roman" w:cs="Times New Roman"/>
          <w:sz w:val="20"/>
          <w:szCs w:val="20"/>
        </w:rPr>
        <w:t>existing systems on the market (</w:t>
      </w:r>
      <w:proofErr w:type="gramStart"/>
      <w:r w:rsidRPr="003353DE">
        <w:rPr>
          <w:rFonts w:ascii="Times New Roman" w:hAnsi="Times New Roman" w:cs="Times New Roman"/>
          <w:sz w:val="20"/>
          <w:szCs w:val="20"/>
        </w:rPr>
        <w:t>e.g.</w:t>
      </w:r>
      <w:proofErr w:type="gramEnd"/>
      <w:r w:rsidRPr="003353DE">
        <w:rPr>
          <w:rFonts w:ascii="Times New Roman" w:hAnsi="Times New Roman" w:cs="Times New Roman"/>
          <w:sz w:val="20"/>
          <w:szCs w:val="20"/>
        </w:rPr>
        <w:t xml:space="preserve"> Electronic Braking Systems).</w:t>
      </w:r>
    </w:p>
    <w:p w14:paraId="69D9D470" w14:textId="433C46F5" w:rsidR="007F029A" w:rsidRPr="003353DE" w:rsidRDefault="007F029A" w:rsidP="00283ADE">
      <w:pPr>
        <w:pStyle w:val="ListParagraph"/>
        <w:numPr>
          <w:ilvl w:val="0"/>
          <w:numId w:val="2"/>
        </w:numPr>
        <w:ind w:left="567"/>
        <w:jc w:val="both"/>
        <w:rPr>
          <w:rFonts w:ascii="Times New Roman" w:hAnsi="Times New Roman" w:cs="Times New Roman"/>
          <w:sz w:val="20"/>
          <w:szCs w:val="20"/>
        </w:rPr>
      </w:pPr>
      <w:r w:rsidRPr="003353DE">
        <w:rPr>
          <w:rFonts w:ascii="Times New Roman" w:hAnsi="Times New Roman" w:cs="Times New Roman"/>
          <w:sz w:val="20"/>
          <w:szCs w:val="20"/>
        </w:rPr>
        <w:t xml:space="preserve">Industry does not see a need to apply those new requirements to systems </w:t>
      </w:r>
      <w:r w:rsidR="005B79FE" w:rsidRPr="003353DE">
        <w:rPr>
          <w:rFonts w:ascii="Times New Roman" w:hAnsi="Times New Roman" w:cs="Times New Roman"/>
          <w:sz w:val="20"/>
          <w:szCs w:val="20"/>
        </w:rPr>
        <w:t xml:space="preserve">existing </w:t>
      </w:r>
      <w:r w:rsidRPr="003353DE">
        <w:rPr>
          <w:rFonts w:ascii="Times New Roman" w:hAnsi="Times New Roman" w:cs="Times New Roman"/>
          <w:sz w:val="20"/>
          <w:szCs w:val="20"/>
        </w:rPr>
        <w:t>on the market, since they introduce no technical changes to the vehicles but only modif</w:t>
      </w:r>
      <w:r w:rsidR="005B79FE">
        <w:rPr>
          <w:rFonts w:ascii="Times New Roman" w:hAnsi="Times New Roman" w:cs="Times New Roman"/>
          <w:sz w:val="20"/>
          <w:szCs w:val="20"/>
        </w:rPr>
        <w:t>y</w:t>
      </w:r>
      <w:r w:rsidRPr="003353DE">
        <w:rPr>
          <w:rFonts w:ascii="Times New Roman" w:hAnsi="Times New Roman" w:cs="Times New Roman"/>
          <w:sz w:val="20"/>
          <w:szCs w:val="20"/>
        </w:rPr>
        <w:t xml:space="preserve"> the method to assess the electronic systems. We do not see any added value, but only a burden for both </w:t>
      </w:r>
      <w:r w:rsidR="005B79FE">
        <w:rPr>
          <w:rFonts w:ascii="Times New Roman" w:hAnsi="Times New Roman" w:cs="Times New Roman"/>
          <w:sz w:val="20"/>
          <w:szCs w:val="20"/>
        </w:rPr>
        <w:t>I</w:t>
      </w:r>
      <w:r w:rsidRPr="003353DE">
        <w:rPr>
          <w:rFonts w:ascii="Times New Roman" w:hAnsi="Times New Roman" w:cs="Times New Roman"/>
          <w:sz w:val="20"/>
          <w:szCs w:val="20"/>
        </w:rPr>
        <w:t>ndustry and</w:t>
      </w:r>
      <w:r w:rsidR="005B79FE">
        <w:rPr>
          <w:rFonts w:ascii="Times New Roman" w:hAnsi="Times New Roman" w:cs="Times New Roman"/>
          <w:sz w:val="20"/>
          <w:szCs w:val="20"/>
        </w:rPr>
        <w:t xml:space="preserve"> the</w:t>
      </w:r>
      <w:r w:rsidRPr="003353DE">
        <w:rPr>
          <w:rFonts w:ascii="Times New Roman" w:hAnsi="Times New Roman" w:cs="Times New Roman"/>
          <w:sz w:val="20"/>
          <w:szCs w:val="20"/>
        </w:rPr>
        <w:t xml:space="preserve"> technical </w:t>
      </w:r>
      <w:r w:rsidR="005B79FE">
        <w:rPr>
          <w:rFonts w:ascii="Times New Roman" w:hAnsi="Times New Roman" w:cs="Times New Roman"/>
          <w:sz w:val="20"/>
          <w:szCs w:val="20"/>
        </w:rPr>
        <w:t>s</w:t>
      </w:r>
      <w:r w:rsidRPr="003353DE">
        <w:rPr>
          <w:rFonts w:ascii="Times New Roman" w:hAnsi="Times New Roman" w:cs="Times New Roman"/>
          <w:sz w:val="20"/>
          <w:szCs w:val="20"/>
        </w:rPr>
        <w:t xml:space="preserve">ervices, to re-approve existing systems, </w:t>
      </w:r>
      <w:r w:rsidR="009F6F0C" w:rsidRPr="003353DE">
        <w:rPr>
          <w:rFonts w:ascii="Times New Roman" w:hAnsi="Times New Roman" w:cs="Times New Roman"/>
          <w:sz w:val="20"/>
          <w:szCs w:val="20"/>
        </w:rPr>
        <w:t xml:space="preserve">which have </w:t>
      </w:r>
      <w:r w:rsidRPr="003353DE">
        <w:rPr>
          <w:rFonts w:ascii="Times New Roman" w:hAnsi="Times New Roman" w:cs="Times New Roman"/>
          <w:sz w:val="20"/>
          <w:szCs w:val="20"/>
        </w:rPr>
        <w:t>in some case</w:t>
      </w:r>
      <w:r w:rsidR="009F6F0C" w:rsidRPr="003353DE">
        <w:rPr>
          <w:rFonts w:ascii="Times New Roman" w:hAnsi="Times New Roman" w:cs="Times New Roman"/>
          <w:sz w:val="20"/>
          <w:szCs w:val="20"/>
        </w:rPr>
        <w:t>s</w:t>
      </w:r>
      <w:r w:rsidRPr="003353DE">
        <w:rPr>
          <w:rFonts w:ascii="Times New Roman" w:hAnsi="Times New Roman" w:cs="Times New Roman"/>
          <w:sz w:val="20"/>
          <w:szCs w:val="20"/>
        </w:rPr>
        <w:t xml:space="preserve"> </w:t>
      </w:r>
      <w:r w:rsidR="009F6F0C" w:rsidRPr="003353DE">
        <w:rPr>
          <w:rFonts w:ascii="Times New Roman" w:hAnsi="Times New Roman" w:cs="Times New Roman"/>
          <w:sz w:val="20"/>
          <w:szCs w:val="20"/>
        </w:rPr>
        <w:t xml:space="preserve">been </w:t>
      </w:r>
      <w:r w:rsidRPr="003353DE">
        <w:rPr>
          <w:rFonts w:ascii="Times New Roman" w:hAnsi="Times New Roman" w:cs="Times New Roman"/>
          <w:sz w:val="20"/>
          <w:szCs w:val="20"/>
        </w:rPr>
        <w:t xml:space="preserve">developed more than 10 years ago (the pace to renew </w:t>
      </w:r>
      <w:r w:rsidR="009F6F0C" w:rsidRPr="003353DE">
        <w:rPr>
          <w:rFonts w:ascii="Times New Roman" w:hAnsi="Times New Roman" w:cs="Times New Roman"/>
          <w:sz w:val="20"/>
          <w:szCs w:val="20"/>
        </w:rPr>
        <w:t xml:space="preserve">HCVs </w:t>
      </w:r>
      <w:r w:rsidRPr="003353DE">
        <w:rPr>
          <w:rFonts w:ascii="Times New Roman" w:hAnsi="Times New Roman" w:cs="Times New Roman"/>
          <w:sz w:val="20"/>
          <w:szCs w:val="20"/>
        </w:rPr>
        <w:t xml:space="preserve">electronic platforms is </w:t>
      </w:r>
      <w:r w:rsidR="009F6F0C" w:rsidRPr="003353DE">
        <w:rPr>
          <w:rFonts w:ascii="Times New Roman" w:hAnsi="Times New Roman" w:cs="Times New Roman"/>
          <w:sz w:val="20"/>
          <w:szCs w:val="20"/>
        </w:rPr>
        <w:t xml:space="preserve">indeed </w:t>
      </w:r>
      <w:r w:rsidRPr="003353DE">
        <w:rPr>
          <w:rFonts w:ascii="Times New Roman" w:hAnsi="Times New Roman" w:cs="Times New Roman"/>
          <w:sz w:val="20"/>
          <w:szCs w:val="20"/>
        </w:rPr>
        <w:t>much lower than passenger cars</w:t>
      </w:r>
      <w:r w:rsidR="009F6F0C" w:rsidRPr="003353DE">
        <w:rPr>
          <w:rFonts w:ascii="Times New Roman" w:hAnsi="Times New Roman" w:cs="Times New Roman"/>
          <w:sz w:val="20"/>
          <w:szCs w:val="20"/>
        </w:rPr>
        <w:t>’</w:t>
      </w:r>
      <w:r w:rsidRPr="003353DE">
        <w:rPr>
          <w:rFonts w:ascii="Times New Roman" w:hAnsi="Times New Roman" w:cs="Times New Roman"/>
          <w:sz w:val="20"/>
          <w:szCs w:val="20"/>
        </w:rPr>
        <w:t>)</w:t>
      </w:r>
      <w:r w:rsidR="00631578" w:rsidRPr="003353DE">
        <w:rPr>
          <w:rFonts w:ascii="Times New Roman" w:hAnsi="Times New Roman" w:cs="Times New Roman"/>
          <w:sz w:val="20"/>
          <w:szCs w:val="20"/>
        </w:rPr>
        <w:t>, without any safety issues in the field.</w:t>
      </w:r>
    </w:p>
    <w:p w14:paraId="5C5B8CF5" w14:textId="64D4DC6F" w:rsidR="005B79FE" w:rsidRPr="008F590F" w:rsidRDefault="00631578" w:rsidP="00283ADE">
      <w:pPr>
        <w:pStyle w:val="ListParagraph"/>
        <w:numPr>
          <w:ilvl w:val="0"/>
          <w:numId w:val="2"/>
        </w:numPr>
        <w:ind w:left="567"/>
        <w:jc w:val="both"/>
        <w:rPr>
          <w:rFonts w:ascii="Times New Roman" w:hAnsi="Times New Roman" w:cs="Times New Roman"/>
          <w:sz w:val="20"/>
          <w:szCs w:val="20"/>
        </w:rPr>
      </w:pPr>
      <w:r w:rsidRPr="003353DE">
        <w:rPr>
          <w:rFonts w:ascii="Times New Roman" w:hAnsi="Times New Roman" w:cs="Times New Roman"/>
          <w:sz w:val="20"/>
          <w:szCs w:val="20"/>
        </w:rPr>
        <w:t>Industry considers t</w:t>
      </w:r>
      <w:r w:rsidR="009F6F0C" w:rsidRPr="003353DE">
        <w:rPr>
          <w:rFonts w:ascii="Times New Roman" w:hAnsi="Times New Roman" w:cs="Times New Roman"/>
          <w:sz w:val="20"/>
          <w:szCs w:val="20"/>
        </w:rPr>
        <w:t xml:space="preserve">his proposal to amend Annex 18 </w:t>
      </w:r>
      <w:r w:rsidR="001754EB">
        <w:rPr>
          <w:rFonts w:ascii="Times New Roman" w:hAnsi="Times New Roman" w:cs="Times New Roman"/>
          <w:sz w:val="20"/>
          <w:szCs w:val="20"/>
        </w:rPr>
        <w:t xml:space="preserve">(CEL) to </w:t>
      </w:r>
      <w:r w:rsidR="001754EB" w:rsidRPr="003353DE">
        <w:rPr>
          <w:rFonts w:ascii="Times New Roman" w:hAnsi="Times New Roman" w:cs="Times New Roman"/>
          <w:sz w:val="20"/>
          <w:szCs w:val="20"/>
        </w:rPr>
        <w:t>the UN R13</w:t>
      </w:r>
      <w:r w:rsidR="001754EB">
        <w:rPr>
          <w:rFonts w:ascii="Times New Roman" w:hAnsi="Times New Roman" w:cs="Times New Roman"/>
          <w:sz w:val="20"/>
          <w:szCs w:val="20"/>
        </w:rPr>
        <w:t xml:space="preserve"> </w:t>
      </w:r>
      <w:r w:rsidRPr="003353DE">
        <w:rPr>
          <w:rFonts w:ascii="Times New Roman" w:hAnsi="Times New Roman" w:cs="Times New Roman"/>
          <w:sz w:val="20"/>
          <w:szCs w:val="20"/>
        </w:rPr>
        <w:t>sh</w:t>
      </w:r>
      <w:r w:rsidR="00B90E24" w:rsidRPr="003353DE">
        <w:rPr>
          <w:rFonts w:ascii="Times New Roman" w:hAnsi="Times New Roman" w:cs="Times New Roman"/>
          <w:sz w:val="20"/>
          <w:szCs w:val="20"/>
        </w:rPr>
        <w:t>ould be synchronized with the amendment in development for the Electro-Mechanical Brake technology</w:t>
      </w:r>
      <w:r w:rsidRPr="003353DE">
        <w:rPr>
          <w:rFonts w:ascii="Times New Roman" w:hAnsi="Times New Roman" w:cs="Times New Roman"/>
          <w:sz w:val="20"/>
          <w:szCs w:val="20"/>
        </w:rPr>
        <w:t>.</w:t>
      </w:r>
    </w:p>
    <w:p w14:paraId="542CBBC4" w14:textId="1FDF6240" w:rsidR="005B79FE" w:rsidRPr="005B79FE" w:rsidRDefault="005B79FE" w:rsidP="005B79FE">
      <w:pPr>
        <w:jc w:val="center"/>
        <w:rPr>
          <w:rFonts w:ascii="Times New Roman" w:hAnsi="Times New Roman" w:cs="Times New Roman"/>
          <w:sz w:val="20"/>
          <w:szCs w:val="20"/>
        </w:rPr>
      </w:pPr>
      <w:r>
        <w:rPr>
          <w:rFonts w:ascii="Times New Roman" w:hAnsi="Times New Roman" w:cs="Times New Roman"/>
          <w:sz w:val="20"/>
          <w:szCs w:val="20"/>
        </w:rPr>
        <w:t>_______</w:t>
      </w:r>
    </w:p>
    <w:sectPr w:rsidR="005B79FE" w:rsidRPr="005B79FE" w:rsidSect="00394445">
      <w:headerReference w:type="default" r:id="rId9"/>
      <w:pgSz w:w="12240" w:h="15840"/>
      <w:pgMar w:top="1276"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694C" w14:textId="77777777" w:rsidR="00E0528F" w:rsidRDefault="00E0528F" w:rsidP="00B90E24">
      <w:pPr>
        <w:spacing w:after="0" w:line="240" w:lineRule="auto"/>
      </w:pPr>
      <w:r>
        <w:separator/>
      </w:r>
    </w:p>
  </w:endnote>
  <w:endnote w:type="continuationSeparator" w:id="0">
    <w:p w14:paraId="130002AB" w14:textId="77777777" w:rsidR="00E0528F" w:rsidRDefault="00E0528F" w:rsidP="00B9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FF8D" w14:textId="77777777" w:rsidR="00E0528F" w:rsidRDefault="00E0528F" w:rsidP="00B90E24">
      <w:pPr>
        <w:spacing w:after="0" w:line="240" w:lineRule="auto"/>
      </w:pPr>
      <w:r>
        <w:separator/>
      </w:r>
    </w:p>
  </w:footnote>
  <w:footnote w:type="continuationSeparator" w:id="0">
    <w:p w14:paraId="3A14D7B9" w14:textId="77777777" w:rsidR="00E0528F" w:rsidRDefault="00E0528F" w:rsidP="00B9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402"/>
    </w:tblGrid>
    <w:tr w:rsidR="00B90E24" w:rsidRPr="007E1962" w14:paraId="1981E819" w14:textId="77777777" w:rsidTr="00B90E24">
      <w:tc>
        <w:tcPr>
          <w:tcW w:w="6521" w:type="dxa"/>
        </w:tcPr>
        <w:p w14:paraId="40140FBA" w14:textId="77777777" w:rsidR="00B90E24" w:rsidRPr="007E1962" w:rsidRDefault="00B90E24" w:rsidP="00B90E24">
          <w:pPr>
            <w:pStyle w:val="Header"/>
            <w:tabs>
              <w:tab w:val="right" w:pos="5875"/>
            </w:tabs>
            <w:ind w:left="42"/>
            <w:rPr>
              <w:rFonts w:asciiTheme="majorBidi" w:hAnsiTheme="majorBidi" w:cstheme="majorBidi"/>
              <w:sz w:val="20"/>
              <w:szCs w:val="20"/>
              <w:lang w:val="en-GB"/>
            </w:rPr>
          </w:pPr>
          <w:r w:rsidRPr="007E1962">
            <w:rPr>
              <w:rFonts w:asciiTheme="majorBidi" w:hAnsiTheme="majorBidi" w:cstheme="majorBidi"/>
              <w:sz w:val="20"/>
              <w:szCs w:val="20"/>
              <w:lang w:val="en-GB"/>
            </w:rPr>
            <w:t xml:space="preserve">Submitted by the experts </w:t>
          </w:r>
        </w:p>
        <w:p w14:paraId="5CAC3207" w14:textId="77777777" w:rsidR="00B90E24" w:rsidRPr="007E1962" w:rsidRDefault="00B90E24" w:rsidP="00B90E24">
          <w:pPr>
            <w:pStyle w:val="Header"/>
            <w:tabs>
              <w:tab w:val="right" w:pos="5875"/>
            </w:tabs>
            <w:ind w:left="42"/>
            <w:rPr>
              <w:rFonts w:asciiTheme="majorBidi" w:hAnsiTheme="majorBidi" w:cstheme="majorBidi"/>
              <w:sz w:val="20"/>
              <w:szCs w:val="20"/>
              <w:lang w:val="en-GB"/>
            </w:rPr>
          </w:pPr>
          <w:r w:rsidRPr="007E1962">
            <w:rPr>
              <w:rFonts w:asciiTheme="majorBidi" w:hAnsiTheme="majorBidi" w:cstheme="majorBidi"/>
              <w:sz w:val="20"/>
              <w:szCs w:val="20"/>
              <w:lang w:val="en-GB"/>
            </w:rPr>
            <w:t>from CLEPA and OICA</w:t>
          </w:r>
        </w:p>
      </w:tc>
      <w:tc>
        <w:tcPr>
          <w:tcW w:w="3402" w:type="dxa"/>
        </w:tcPr>
        <w:p w14:paraId="5508201E" w14:textId="78A6B1D1" w:rsidR="00B90E24" w:rsidRPr="007E1962" w:rsidRDefault="00B90E24" w:rsidP="00B90E24">
          <w:pPr>
            <w:pStyle w:val="Header"/>
            <w:ind w:left="31" w:right="40"/>
            <w:rPr>
              <w:rFonts w:asciiTheme="majorBidi" w:hAnsiTheme="majorBidi" w:cstheme="majorBidi"/>
              <w:b/>
              <w:bCs/>
              <w:sz w:val="20"/>
              <w:szCs w:val="20"/>
              <w:lang w:val="en-GB"/>
            </w:rPr>
          </w:pPr>
          <w:r w:rsidRPr="007E1962">
            <w:rPr>
              <w:rFonts w:asciiTheme="majorBidi" w:hAnsiTheme="majorBidi" w:cstheme="majorBidi"/>
              <w:sz w:val="20"/>
              <w:szCs w:val="20"/>
              <w:u w:val="single"/>
              <w:lang w:val="en-GB"/>
            </w:rPr>
            <w:t>Informal document</w:t>
          </w:r>
          <w:r w:rsidRPr="007E1962">
            <w:rPr>
              <w:rFonts w:asciiTheme="majorBidi" w:hAnsiTheme="majorBidi" w:cstheme="majorBidi"/>
              <w:sz w:val="20"/>
              <w:szCs w:val="20"/>
              <w:lang w:val="en-GB"/>
            </w:rPr>
            <w:t xml:space="preserve"> </w:t>
          </w:r>
          <w:r w:rsidRPr="007E1962">
            <w:rPr>
              <w:rFonts w:asciiTheme="majorBidi" w:hAnsiTheme="majorBidi" w:cstheme="majorBidi"/>
              <w:b/>
              <w:bCs/>
              <w:sz w:val="20"/>
              <w:szCs w:val="20"/>
              <w:lang w:val="en-GB"/>
            </w:rPr>
            <w:t>GRVA-16-</w:t>
          </w:r>
          <w:r w:rsidR="00394445">
            <w:rPr>
              <w:rFonts w:asciiTheme="majorBidi" w:hAnsiTheme="majorBidi" w:cstheme="majorBidi"/>
              <w:b/>
              <w:bCs/>
              <w:sz w:val="20"/>
              <w:szCs w:val="20"/>
              <w:lang w:val="en-GB"/>
            </w:rPr>
            <w:t>41</w:t>
          </w:r>
        </w:p>
        <w:p w14:paraId="33C4F61E" w14:textId="77777777" w:rsidR="00B90E24" w:rsidRPr="00A21A7A" w:rsidRDefault="00B90E24" w:rsidP="00B90E24">
          <w:pPr>
            <w:pStyle w:val="Header"/>
            <w:ind w:left="31" w:right="40"/>
            <w:rPr>
              <w:rFonts w:asciiTheme="majorBidi" w:hAnsiTheme="majorBidi" w:cstheme="majorBidi"/>
              <w:bCs/>
              <w:sz w:val="20"/>
              <w:szCs w:val="20"/>
              <w:lang w:val="en-GB"/>
            </w:rPr>
          </w:pPr>
          <w:r w:rsidRPr="00A21A7A">
            <w:rPr>
              <w:rFonts w:asciiTheme="majorBidi" w:hAnsiTheme="majorBidi" w:cstheme="majorBidi"/>
              <w:bCs/>
              <w:sz w:val="20"/>
              <w:szCs w:val="20"/>
              <w:lang w:val="en-GB"/>
            </w:rPr>
            <w:t>16</w:t>
          </w:r>
          <w:r w:rsidRPr="00260A40">
            <w:rPr>
              <w:rFonts w:asciiTheme="majorBidi" w:hAnsiTheme="majorBidi" w:cstheme="majorBidi"/>
              <w:bCs/>
              <w:sz w:val="20"/>
              <w:szCs w:val="20"/>
              <w:lang w:val="en-GB"/>
            </w:rPr>
            <w:t>th</w:t>
          </w:r>
          <w:r w:rsidRPr="00A21A7A">
            <w:rPr>
              <w:rFonts w:asciiTheme="majorBidi" w:hAnsiTheme="majorBidi" w:cstheme="majorBidi"/>
              <w:bCs/>
              <w:sz w:val="20"/>
              <w:szCs w:val="20"/>
              <w:lang w:val="en-GB"/>
            </w:rPr>
            <w:t xml:space="preserve"> GRVA, 22</w:t>
          </w:r>
          <w:r>
            <w:rPr>
              <w:rFonts w:asciiTheme="majorBidi" w:hAnsiTheme="majorBidi" w:cstheme="majorBidi"/>
              <w:b/>
              <w:bCs/>
              <w:sz w:val="20"/>
              <w:lang w:val="en-GB"/>
            </w:rPr>
            <w:t xml:space="preserve"> </w:t>
          </w:r>
          <w:r w:rsidRPr="00A21A7A">
            <w:rPr>
              <w:rFonts w:asciiTheme="majorBidi" w:hAnsiTheme="majorBidi" w:cstheme="majorBidi"/>
              <w:bCs/>
              <w:sz w:val="20"/>
              <w:szCs w:val="20"/>
              <w:lang w:val="en-GB"/>
            </w:rPr>
            <w:t>-</w:t>
          </w:r>
          <w:r>
            <w:rPr>
              <w:rFonts w:asciiTheme="majorBidi" w:hAnsiTheme="majorBidi" w:cstheme="majorBidi"/>
              <w:b/>
              <w:bCs/>
              <w:sz w:val="20"/>
              <w:lang w:val="en-GB"/>
            </w:rPr>
            <w:t xml:space="preserve"> </w:t>
          </w:r>
          <w:r w:rsidRPr="00A21A7A">
            <w:rPr>
              <w:rFonts w:asciiTheme="majorBidi" w:hAnsiTheme="majorBidi" w:cstheme="majorBidi"/>
              <w:bCs/>
              <w:sz w:val="20"/>
              <w:szCs w:val="20"/>
              <w:lang w:val="en-GB"/>
            </w:rPr>
            <w:t>26 May 2023</w:t>
          </w:r>
        </w:p>
        <w:p w14:paraId="2622A0DC" w14:textId="1D96C5F9" w:rsidR="00B90E24" w:rsidRPr="007E1962" w:rsidRDefault="00B90E24" w:rsidP="00B90E24">
          <w:pPr>
            <w:pStyle w:val="Header"/>
            <w:ind w:left="31" w:right="40"/>
            <w:rPr>
              <w:rFonts w:asciiTheme="majorBidi" w:hAnsiTheme="majorBidi" w:cstheme="majorBidi"/>
              <w:sz w:val="20"/>
              <w:szCs w:val="20"/>
              <w:lang w:val="en-GB"/>
            </w:rPr>
          </w:pPr>
          <w:r w:rsidRPr="007E1962">
            <w:rPr>
              <w:rFonts w:asciiTheme="majorBidi" w:hAnsiTheme="majorBidi" w:cstheme="majorBidi"/>
              <w:sz w:val="20"/>
              <w:szCs w:val="20"/>
              <w:lang w:val="en-GB"/>
            </w:rPr>
            <w:t xml:space="preserve">Provisional agenda item </w:t>
          </w:r>
          <w:r w:rsidR="003353DE">
            <w:rPr>
              <w:rFonts w:asciiTheme="majorBidi" w:hAnsiTheme="majorBidi" w:cstheme="majorBidi"/>
              <w:sz w:val="20"/>
              <w:szCs w:val="20"/>
              <w:lang w:val="en-GB"/>
            </w:rPr>
            <w:t>8 (b)</w:t>
          </w:r>
        </w:p>
      </w:tc>
    </w:tr>
  </w:tbl>
  <w:p w14:paraId="1AC63BBB" w14:textId="77777777" w:rsidR="00B90E24" w:rsidRDefault="00B90E24" w:rsidP="0039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2620"/>
    <w:multiLevelType w:val="hybridMultilevel"/>
    <w:tmpl w:val="B344D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B7563A"/>
    <w:multiLevelType w:val="hybridMultilevel"/>
    <w:tmpl w:val="6642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33926">
    <w:abstractNumId w:val="1"/>
  </w:num>
  <w:num w:numId="2" w16cid:durableId="3829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D"/>
    <w:rsid w:val="000E2D5E"/>
    <w:rsid w:val="001135DD"/>
    <w:rsid w:val="001754EB"/>
    <w:rsid w:val="00221A09"/>
    <w:rsid w:val="00283ADE"/>
    <w:rsid w:val="003353DE"/>
    <w:rsid w:val="00394445"/>
    <w:rsid w:val="003C2512"/>
    <w:rsid w:val="004D6688"/>
    <w:rsid w:val="005B79FE"/>
    <w:rsid w:val="005E6C37"/>
    <w:rsid w:val="00631578"/>
    <w:rsid w:val="006669AC"/>
    <w:rsid w:val="00781185"/>
    <w:rsid w:val="007D396D"/>
    <w:rsid w:val="007F029A"/>
    <w:rsid w:val="008F590F"/>
    <w:rsid w:val="009F6F0C"/>
    <w:rsid w:val="00AC56EA"/>
    <w:rsid w:val="00B63196"/>
    <w:rsid w:val="00B90E24"/>
    <w:rsid w:val="00E0528F"/>
    <w:rsid w:val="00F43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F845"/>
  <w15:chartTrackingRefBased/>
  <w15:docId w15:val="{FEF2D21A-14D1-42D1-A4EE-D3E0148C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FB3"/>
    <w:pPr>
      <w:ind w:left="720"/>
      <w:contextualSpacing/>
    </w:pPr>
  </w:style>
  <w:style w:type="paragraph" w:styleId="NormalWeb">
    <w:name w:val="Normal (Web)"/>
    <w:basedOn w:val="Normal"/>
    <w:uiPriority w:val="99"/>
    <w:unhideWhenUsed/>
    <w:rsid w:val="005E6C37"/>
    <w:pPr>
      <w:suppressAutoHyphens/>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aliases w:val="6_G"/>
    <w:basedOn w:val="Normal"/>
    <w:link w:val="HeaderChar"/>
    <w:uiPriority w:val="99"/>
    <w:unhideWhenUsed/>
    <w:qFormat/>
    <w:rsid w:val="00B90E24"/>
    <w:pPr>
      <w:tabs>
        <w:tab w:val="center" w:pos="4703"/>
        <w:tab w:val="right" w:pos="9406"/>
      </w:tabs>
      <w:spacing w:after="0" w:line="240" w:lineRule="auto"/>
    </w:pPr>
  </w:style>
  <w:style w:type="character" w:customStyle="1" w:styleId="HeaderChar">
    <w:name w:val="Header Char"/>
    <w:aliases w:val="6_G Char"/>
    <w:basedOn w:val="DefaultParagraphFont"/>
    <w:link w:val="Header"/>
    <w:uiPriority w:val="99"/>
    <w:qFormat/>
    <w:rsid w:val="00B90E24"/>
  </w:style>
  <w:style w:type="paragraph" w:styleId="Footer">
    <w:name w:val="footer"/>
    <w:basedOn w:val="Normal"/>
    <w:link w:val="FooterChar"/>
    <w:uiPriority w:val="99"/>
    <w:unhideWhenUsed/>
    <w:rsid w:val="00B90E2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E24"/>
  </w:style>
  <w:style w:type="table" w:styleId="TableGrid">
    <w:name w:val="Table Grid"/>
    <w:basedOn w:val="TableNormal"/>
    <w:uiPriority w:val="39"/>
    <w:rsid w:val="00B90E2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5199B-A826-424D-9DD4-994D93EB8583}">
  <ds:schemaRefs>
    <ds:schemaRef ds:uri="http://schemas.microsoft.com/sharepoint/v3/contenttype/forms"/>
  </ds:schemaRefs>
</ds:datastoreItem>
</file>

<file path=customXml/itemProps2.xml><?xml version="1.0" encoding="utf-8"?>
<ds:datastoreItem xmlns:ds="http://schemas.openxmlformats.org/officeDocument/2006/customXml" ds:itemID="{E90CA3BE-1BDE-481D-8452-76B3F087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Teyssier</dc:creator>
  <cp:keywords/>
  <dc:description/>
  <cp:lastModifiedBy>Francois</cp:lastModifiedBy>
  <cp:revision>14</cp:revision>
  <dcterms:created xsi:type="dcterms:W3CDTF">2023-05-22T06:26:00Z</dcterms:created>
  <dcterms:modified xsi:type="dcterms:W3CDTF">2023-05-23T19:00:00Z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2023-05-22T06:26:17Z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4c087a54-e3cf-4dab-a723-0dc418c182fc</vt:lpwstr>
  </property>
  <property fmtid="{D5CDD505-2E9C-101B-9397-08002B2CF9AE}" pid="8" name="MSIP_Label_19540963-e559-4020-8a90-fe8a502c2801_ContentBits">
    <vt:lpwstr>0</vt:lpwstr>
  </property>
</Properties>
</file>