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D12C" w14:textId="6FF80A7A" w:rsidR="00C84883" w:rsidRDefault="00F67180" w:rsidP="00780CAF">
      <w:pPr>
        <w:pStyle w:val="HChG"/>
        <w:ind w:firstLine="0"/>
        <w:jc w:val="center"/>
      </w:pPr>
      <w:r w:rsidRPr="00585857">
        <w:t>Comparison between UN Regulation No. 155 and the EU Cyber-Resilience Act with regard to CSS requirements on agricultural and forestry vehicles</w:t>
      </w:r>
    </w:p>
    <w:p w14:paraId="02EAD6F2" w14:textId="77777777" w:rsidR="00585857" w:rsidRPr="00585857" w:rsidRDefault="00585857" w:rsidP="00585857">
      <w:pPr>
        <w:rPr>
          <w:lang w:val="en-GB" w:eastAsia="en-US" w:bidi="ar-SA"/>
        </w:rPr>
      </w:pPr>
    </w:p>
    <w:p w14:paraId="2FDE7032" w14:textId="3F07B19B" w:rsidR="00AB62F6" w:rsidRPr="00585857" w:rsidRDefault="00C84883" w:rsidP="002826A1">
      <w:pPr>
        <w:ind w:left="1134" w:right="1133" w:firstLine="567"/>
        <w:jc w:val="both"/>
        <w:rPr>
          <w:sz w:val="20"/>
          <w:szCs w:val="20"/>
          <w:lang w:val="en-GB"/>
        </w:rPr>
      </w:pPr>
      <w:r w:rsidRPr="00585857">
        <w:rPr>
          <w:sz w:val="20"/>
          <w:szCs w:val="20"/>
          <w:lang w:val="en-GB"/>
        </w:rPr>
        <w:t>UN-R 155 is applicable only to certain categories of vehicles. In particular, agricultural and forestry vehicles are not covered by the regulation. For these vehicle categories, the EU Cyber Resilience Act (CRA) is therefore likely to apply. The following table compares the key requirements of both regulations. For the CRA, the draft version of 15.9.22 has been used.</w:t>
      </w:r>
    </w:p>
    <w:p w14:paraId="473FB29F" w14:textId="77777777" w:rsidR="00C84883" w:rsidRPr="00585857" w:rsidRDefault="00C84883">
      <w:pPr>
        <w:rPr>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8"/>
        <w:gridCol w:w="3210"/>
        <w:gridCol w:w="3210"/>
      </w:tblGrid>
      <w:tr w:rsidR="00AB62F6" w:rsidRPr="00585857" w14:paraId="4934D1AF" w14:textId="77777777" w:rsidTr="00C84883">
        <w:tc>
          <w:tcPr>
            <w:tcW w:w="3208" w:type="dxa"/>
          </w:tcPr>
          <w:p w14:paraId="03830456" w14:textId="77777777" w:rsidR="00AB62F6" w:rsidRPr="00585857" w:rsidRDefault="00AB62F6">
            <w:pPr>
              <w:pStyle w:val="Tabelleninhalt"/>
              <w:rPr>
                <w:sz w:val="20"/>
                <w:szCs w:val="20"/>
                <w:lang w:val="en-GB"/>
              </w:rPr>
            </w:pPr>
          </w:p>
        </w:tc>
        <w:tc>
          <w:tcPr>
            <w:tcW w:w="3210" w:type="dxa"/>
          </w:tcPr>
          <w:p w14:paraId="544A065F" w14:textId="77777777" w:rsidR="00AB62F6" w:rsidRPr="00585857" w:rsidRDefault="002B35C3">
            <w:pPr>
              <w:pStyle w:val="Tabelleninhalt"/>
              <w:rPr>
                <w:sz w:val="20"/>
                <w:szCs w:val="20"/>
              </w:rPr>
            </w:pPr>
            <w:r w:rsidRPr="00585857">
              <w:rPr>
                <w:sz w:val="20"/>
                <w:szCs w:val="20"/>
              </w:rPr>
              <w:t>UN-R 155</w:t>
            </w:r>
          </w:p>
        </w:tc>
        <w:tc>
          <w:tcPr>
            <w:tcW w:w="3210" w:type="dxa"/>
          </w:tcPr>
          <w:p w14:paraId="36E34E04" w14:textId="77777777" w:rsidR="00AB62F6" w:rsidRPr="00585857" w:rsidRDefault="002B35C3">
            <w:pPr>
              <w:pStyle w:val="Tabelleninhalt"/>
              <w:rPr>
                <w:sz w:val="20"/>
                <w:szCs w:val="20"/>
              </w:rPr>
            </w:pPr>
            <w:r w:rsidRPr="00585857">
              <w:rPr>
                <w:sz w:val="20"/>
                <w:szCs w:val="20"/>
              </w:rPr>
              <w:t>CRA</w:t>
            </w:r>
          </w:p>
        </w:tc>
      </w:tr>
      <w:tr w:rsidR="00AB62F6" w:rsidRPr="00033D15" w14:paraId="5EA80B41" w14:textId="77777777" w:rsidTr="00C84883">
        <w:tc>
          <w:tcPr>
            <w:tcW w:w="3208" w:type="dxa"/>
          </w:tcPr>
          <w:p w14:paraId="0A5D0570" w14:textId="05C62C60" w:rsidR="00AB62F6" w:rsidRPr="00585857" w:rsidRDefault="00C84883">
            <w:pPr>
              <w:pStyle w:val="Tabelleninhalt"/>
              <w:rPr>
                <w:sz w:val="20"/>
                <w:szCs w:val="20"/>
              </w:rPr>
            </w:pPr>
            <w:r w:rsidRPr="00585857">
              <w:rPr>
                <w:sz w:val="20"/>
                <w:szCs w:val="20"/>
              </w:rPr>
              <w:t>Products affected</w:t>
            </w:r>
          </w:p>
        </w:tc>
        <w:tc>
          <w:tcPr>
            <w:tcW w:w="3210" w:type="dxa"/>
          </w:tcPr>
          <w:p w14:paraId="2DA64B84" w14:textId="550E0072" w:rsidR="00AB62F6" w:rsidRPr="00585857" w:rsidRDefault="00BA5521">
            <w:pPr>
              <w:pStyle w:val="Tabelleninhalt"/>
              <w:rPr>
                <w:sz w:val="20"/>
                <w:szCs w:val="20"/>
                <w:lang w:val="en-GB"/>
              </w:rPr>
            </w:pPr>
            <w:r w:rsidRPr="00585857">
              <w:rPr>
                <w:sz w:val="20"/>
                <w:szCs w:val="20"/>
                <w:lang w:val="en-GB"/>
              </w:rPr>
              <w:t>Vehicles of categories M, N, partly also O, L6, L7</w:t>
            </w:r>
          </w:p>
        </w:tc>
        <w:tc>
          <w:tcPr>
            <w:tcW w:w="3210" w:type="dxa"/>
          </w:tcPr>
          <w:p w14:paraId="5FABD8C6" w14:textId="3A7087A7" w:rsidR="00AB62F6" w:rsidRPr="00585857" w:rsidRDefault="00BA5521" w:rsidP="00143D40">
            <w:pPr>
              <w:pStyle w:val="Tabelleninhalt"/>
              <w:rPr>
                <w:sz w:val="20"/>
                <w:szCs w:val="20"/>
                <w:lang w:val="en-GB"/>
              </w:rPr>
            </w:pPr>
            <w:r w:rsidRPr="00585857">
              <w:rPr>
                <w:sz w:val="20"/>
                <w:szCs w:val="20"/>
                <w:lang w:val="en-GB"/>
              </w:rPr>
              <w:t xml:space="preserve">Products with digital elements that have a </w:t>
            </w:r>
            <w:r w:rsidR="006E0F53" w:rsidRPr="00585857">
              <w:rPr>
                <w:sz w:val="20"/>
                <w:szCs w:val="20"/>
                <w:lang w:val="en-GB"/>
              </w:rPr>
              <w:t>direct</w:t>
            </w:r>
            <w:r w:rsidRPr="00585857">
              <w:rPr>
                <w:sz w:val="20"/>
                <w:szCs w:val="20"/>
                <w:lang w:val="en-GB"/>
              </w:rPr>
              <w:t xml:space="preserve"> or </w:t>
            </w:r>
            <w:r w:rsidR="006E0F53" w:rsidRPr="00585857">
              <w:rPr>
                <w:sz w:val="20"/>
                <w:szCs w:val="20"/>
                <w:lang w:val="en-GB"/>
              </w:rPr>
              <w:t>indirect</w:t>
            </w:r>
            <w:r w:rsidRPr="00585857">
              <w:rPr>
                <w:sz w:val="20"/>
                <w:szCs w:val="20"/>
                <w:lang w:val="en-GB"/>
              </w:rPr>
              <w:t xml:space="preserve"> data connection to a device or network</w:t>
            </w:r>
            <w:r w:rsidR="0053465F" w:rsidRPr="00585857">
              <w:rPr>
                <w:sz w:val="20"/>
                <w:szCs w:val="20"/>
                <w:lang w:val="en-GB"/>
              </w:rPr>
              <w:t>.</w:t>
            </w:r>
          </w:p>
        </w:tc>
      </w:tr>
      <w:tr w:rsidR="00AB62F6" w:rsidRPr="00033D15" w14:paraId="3ACF0DD2" w14:textId="77777777" w:rsidTr="00C84883">
        <w:tc>
          <w:tcPr>
            <w:tcW w:w="3208" w:type="dxa"/>
          </w:tcPr>
          <w:p w14:paraId="6FC4A8F5" w14:textId="5A27AF8E" w:rsidR="00AB62F6" w:rsidRPr="00585857" w:rsidRDefault="00C84883">
            <w:pPr>
              <w:pStyle w:val="Tabelleninhalt"/>
              <w:rPr>
                <w:sz w:val="20"/>
                <w:szCs w:val="20"/>
              </w:rPr>
            </w:pPr>
            <w:r w:rsidRPr="00585857">
              <w:rPr>
                <w:sz w:val="20"/>
                <w:szCs w:val="20"/>
              </w:rPr>
              <w:t>Management systems required</w:t>
            </w:r>
          </w:p>
        </w:tc>
        <w:tc>
          <w:tcPr>
            <w:tcW w:w="3210" w:type="dxa"/>
          </w:tcPr>
          <w:p w14:paraId="6692B1DE" w14:textId="333C16F0" w:rsidR="00AB62F6" w:rsidRPr="00585857" w:rsidRDefault="00BA5521">
            <w:pPr>
              <w:pStyle w:val="Tabelleninhalt"/>
              <w:rPr>
                <w:sz w:val="20"/>
                <w:szCs w:val="20"/>
                <w:lang w:val="en-GB"/>
              </w:rPr>
            </w:pPr>
            <w:r w:rsidRPr="00585857">
              <w:rPr>
                <w:sz w:val="20"/>
                <w:szCs w:val="20"/>
                <w:u w:val="single"/>
                <w:lang w:val="en-GB"/>
              </w:rPr>
              <w:t>A cyber security management system (CSMS) is required</w:t>
            </w:r>
            <w:r w:rsidRPr="00585857">
              <w:rPr>
                <w:sz w:val="20"/>
                <w:szCs w:val="20"/>
                <w:lang w:val="en-GB"/>
              </w:rPr>
              <w:t xml:space="preserve"> by the manufacturer that includes </w:t>
            </w:r>
            <w:r w:rsidR="0053465F" w:rsidRPr="00585857">
              <w:rPr>
                <w:sz w:val="20"/>
                <w:szCs w:val="20"/>
                <w:lang w:val="en-GB"/>
              </w:rPr>
              <w:t xml:space="preserve">a.o. </w:t>
            </w:r>
            <w:r w:rsidRPr="00585857">
              <w:rPr>
                <w:sz w:val="20"/>
                <w:szCs w:val="20"/>
                <w:lang w:val="en-GB"/>
              </w:rPr>
              <w:t>processes for risk assessment, secure development, and vulnerability handling</w:t>
            </w:r>
            <w:r w:rsidR="0053465F" w:rsidRPr="00585857">
              <w:rPr>
                <w:sz w:val="20"/>
                <w:szCs w:val="20"/>
                <w:lang w:val="en-GB"/>
              </w:rPr>
              <w:t>.</w:t>
            </w:r>
          </w:p>
        </w:tc>
        <w:tc>
          <w:tcPr>
            <w:tcW w:w="3210" w:type="dxa"/>
          </w:tcPr>
          <w:p w14:paraId="24BE7D06" w14:textId="6854E3AA" w:rsidR="00AB62F6" w:rsidRPr="00585857" w:rsidRDefault="00BA5521" w:rsidP="00153492">
            <w:pPr>
              <w:pStyle w:val="Tabelleninhalt"/>
              <w:rPr>
                <w:sz w:val="20"/>
                <w:szCs w:val="20"/>
                <w:lang w:val="en-GB"/>
              </w:rPr>
            </w:pPr>
            <w:r w:rsidRPr="00585857">
              <w:rPr>
                <w:sz w:val="20"/>
                <w:szCs w:val="20"/>
                <w:u w:val="single"/>
                <w:lang w:val="en-GB"/>
              </w:rPr>
              <w:t>No formal management system required</w:t>
            </w:r>
            <w:r w:rsidRPr="00585857">
              <w:rPr>
                <w:sz w:val="20"/>
                <w:szCs w:val="20"/>
                <w:lang w:val="en-GB"/>
              </w:rPr>
              <w:t>. Manufacturers can have a quality system approved to ensure the conformity of affected products (Annex VI).</w:t>
            </w:r>
          </w:p>
        </w:tc>
      </w:tr>
      <w:tr w:rsidR="00AB62F6" w:rsidRPr="00033D15" w14:paraId="32046BD6" w14:textId="77777777" w:rsidTr="00C84883">
        <w:tc>
          <w:tcPr>
            <w:tcW w:w="3208" w:type="dxa"/>
          </w:tcPr>
          <w:p w14:paraId="3452056F" w14:textId="20D0A7D7" w:rsidR="00AB62F6" w:rsidRPr="00585857" w:rsidRDefault="00C84883">
            <w:pPr>
              <w:pStyle w:val="Tabelleninhalt"/>
              <w:rPr>
                <w:sz w:val="20"/>
                <w:szCs w:val="20"/>
              </w:rPr>
            </w:pPr>
            <w:r w:rsidRPr="00585857">
              <w:rPr>
                <w:sz w:val="20"/>
                <w:szCs w:val="20"/>
              </w:rPr>
              <w:t>Risk assessment</w:t>
            </w:r>
          </w:p>
        </w:tc>
        <w:tc>
          <w:tcPr>
            <w:tcW w:w="3210" w:type="dxa"/>
          </w:tcPr>
          <w:p w14:paraId="49A74C7D" w14:textId="61A3E89B" w:rsidR="00AB62F6" w:rsidRPr="00585857" w:rsidRDefault="00BA5521">
            <w:pPr>
              <w:pStyle w:val="Tabelleninhalt"/>
              <w:rPr>
                <w:sz w:val="20"/>
                <w:szCs w:val="20"/>
                <w:lang w:val="en-GB"/>
              </w:rPr>
            </w:pPr>
            <w:r w:rsidRPr="00585857">
              <w:rPr>
                <w:sz w:val="20"/>
                <w:szCs w:val="20"/>
                <w:lang w:val="en-GB"/>
              </w:rPr>
              <w:t xml:space="preserve">Identification, assessment, and mitigation of risks during product development is required as </w:t>
            </w:r>
            <w:r w:rsidRPr="00585857">
              <w:rPr>
                <w:sz w:val="20"/>
                <w:szCs w:val="20"/>
                <w:u w:val="single"/>
                <w:lang w:val="en-GB"/>
              </w:rPr>
              <w:t>part of the CSMS</w:t>
            </w:r>
            <w:r w:rsidRPr="00585857">
              <w:rPr>
                <w:sz w:val="20"/>
                <w:szCs w:val="20"/>
                <w:lang w:val="en-GB"/>
              </w:rPr>
              <w:t>.</w:t>
            </w:r>
          </w:p>
        </w:tc>
        <w:tc>
          <w:tcPr>
            <w:tcW w:w="3210" w:type="dxa"/>
          </w:tcPr>
          <w:p w14:paraId="322E3718" w14:textId="23F50258" w:rsidR="00AB62F6" w:rsidRPr="00585857" w:rsidRDefault="00BA5521">
            <w:pPr>
              <w:pStyle w:val="Tabelleninhalt"/>
              <w:rPr>
                <w:sz w:val="20"/>
                <w:szCs w:val="20"/>
                <w:lang w:val="en-GB"/>
              </w:rPr>
            </w:pPr>
            <w:r w:rsidRPr="00585857">
              <w:rPr>
                <w:sz w:val="20"/>
                <w:szCs w:val="20"/>
                <w:lang w:val="en-GB"/>
              </w:rPr>
              <w:t xml:space="preserve">An assessment of cybersecurity risks must be performed and must be taken into account during the development, manufacture and maintenance of the product. The risk assessment must be </w:t>
            </w:r>
            <w:r w:rsidRPr="00585857">
              <w:rPr>
                <w:sz w:val="20"/>
                <w:szCs w:val="20"/>
                <w:u w:val="single"/>
                <w:lang w:val="en-GB"/>
              </w:rPr>
              <w:t>included in the technical documentation</w:t>
            </w:r>
            <w:r w:rsidRPr="00585857">
              <w:rPr>
                <w:sz w:val="20"/>
                <w:szCs w:val="20"/>
                <w:lang w:val="en-GB"/>
              </w:rPr>
              <w:t xml:space="preserve"> (Article 10).</w:t>
            </w:r>
          </w:p>
        </w:tc>
      </w:tr>
      <w:tr w:rsidR="00AB62F6" w:rsidRPr="00033D15" w14:paraId="06F8AFB4" w14:textId="77777777" w:rsidTr="00C84883">
        <w:tc>
          <w:tcPr>
            <w:tcW w:w="3208" w:type="dxa"/>
          </w:tcPr>
          <w:p w14:paraId="6EA9BB98" w14:textId="1180D1C2" w:rsidR="00AB62F6" w:rsidRPr="00585857" w:rsidRDefault="00C84883">
            <w:pPr>
              <w:pStyle w:val="Tabelleninhalt"/>
              <w:rPr>
                <w:sz w:val="20"/>
                <w:szCs w:val="20"/>
              </w:rPr>
            </w:pPr>
            <w:r w:rsidRPr="00585857">
              <w:rPr>
                <w:sz w:val="20"/>
                <w:szCs w:val="20"/>
              </w:rPr>
              <w:t>Technical safety requirements</w:t>
            </w:r>
          </w:p>
        </w:tc>
        <w:tc>
          <w:tcPr>
            <w:tcW w:w="3210" w:type="dxa"/>
          </w:tcPr>
          <w:p w14:paraId="008EA1AC" w14:textId="0FAA6900" w:rsidR="00AB62F6" w:rsidRPr="00585857" w:rsidRDefault="00BA5521">
            <w:pPr>
              <w:pStyle w:val="Tabelleninhalt"/>
              <w:rPr>
                <w:sz w:val="20"/>
                <w:szCs w:val="20"/>
                <w:lang w:val="en-GB"/>
              </w:rPr>
            </w:pPr>
            <w:r w:rsidRPr="00585857">
              <w:rPr>
                <w:sz w:val="20"/>
                <w:szCs w:val="20"/>
                <w:lang w:val="en-GB"/>
              </w:rPr>
              <w:t>A number of threats are listed (with reference to the vehicle and back-end systems) to be considered in the risk assessment. Corresponding abstract countermeasures are also formulated (Annex 5). Concrete technologies or algorithms are not prescribed.</w:t>
            </w:r>
          </w:p>
        </w:tc>
        <w:tc>
          <w:tcPr>
            <w:tcW w:w="3210" w:type="dxa"/>
          </w:tcPr>
          <w:p w14:paraId="7ADCE2E0" w14:textId="0934F849" w:rsidR="00AB62F6" w:rsidRPr="00585857" w:rsidRDefault="00BA5521" w:rsidP="001E448C">
            <w:pPr>
              <w:pStyle w:val="Tabelleninhalt"/>
              <w:rPr>
                <w:sz w:val="20"/>
                <w:szCs w:val="20"/>
                <w:lang w:val="en-GB"/>
              </w:rPr>
            </w:pPr>
            <w:r w:rsidRPr="00585857">
              <w:rPr>
                <w:sz w:val="20"/>
                <w:szCs w:val="20"/>
                <w:lang w:val="en-GB"/>
              </w:rPr>
              <w:t>Basic abstract requirements for the cybersecurity of products are defined (Annex I). Concrete technologies or algorithms are not prescribed. The technical design of the security requirements is basically the responsibility of the relevant economic operator (usually the manufacturer). In doing so, the latter can, if necessary, rely on more concrete requirements from suitable harmonized standards, common specifications or within the framework of European schemes for cybersecurity certification.</w:t>
            </w:r>
          </w:p>
        </w:tc>
      </w:tr>
      <w:tr w:rsidR="00AB62F6" w:rsidRPr="00033D15" w14:paraId="549A421A" w14:textId="77777777" w:rsidTr="00C84883">
        <w:tc>
          <w:tcPr>
            <w:tcW w:w="3208" w:type="dxa"/>
          </w:tcPr>
          <w:p w14:paraId="0D7942DE" w14:textId="39C691CA" w:rsidR="00AB62F6" w:rsidRPr="00585857" w:rsidRDefault="00C84883">
            <w:pPr>
              <w:pStyle w:val="Tabelleninhalt"/>
              <w:rPr>
                <w:sz w:val="20"/>
                <w:szCs w:val="20"/>
              </w:rPr>
            </w:pPr>
            <w:r w:rsidRPr="00585857">
              <w:rPr>
                <w:sz w:val="20"/>
                <w:szCs w:val="20"/>
              </w:rPr>
              <w:t>Testing and certification</w:t>
            </w:r>
          </w:p>
        </w:tc>
        <w:tc>
          <w:tcPr>
            <w:tcW w:w="3210" w:type="dxa"/>
          </w:tcPr>
          <w:p w14:paraId="0006F427" w14:textId="4099CB37" w:rsidR="00AB62F6" w:rsidRPr="00585857" w:rsidRDefault="00BA5521">
            <w:pPr>
              <w:pStyle w:val="Tabelleninhalt"/>
              <w:rPr>
                <w:sz w:val="20"/>
                <w:szCs w:val="20"/>
                <w:lang w:val="en-GB"/>
              </w:rPr>
            </w:pPr>
            <w:r w:rsidRPr="00585857">
              <w:rPr>
                <w:sz w:val="20"/>
                <w:szCs w:val="20"/>
                <w:lang w:val="en-GB"/>
              </w:rPr>
              <w:t xml:space="preserve">The CSMS is </w:t>
            </w:r>
            <w:r w:rsidRPr="00585857">
              <w:rPr>
                <w:sz w:val="20"/>
                <w:szCs w:val="20"/>
                <w:u w:val="single"/>
                <w:lang w:val="en-GB"/>
              </w:rPr>
              <w:t>tested by a technical service and certified by the approval authority</w:t>
            </w:r>
            <w:r w:rsidRPr="00585857">
              <w:rPr>
                <w:sz w:val="20"/>
                <w:szCs w:val="20"/>
                <w:lang w:val="en-GB"/>
              </w:rPr>
              <w:t>. Vehicle types are also tested by technical services and approved by the authority.</w:t>
            </w:r>
          </w:p>
        </w:tc>
        <w:tc>
          <w:tcPr>
            <w:tcW w:w="3210" w:type="dxa"/>
          </w:tcPr>
          <w:p w14:paraId="0C8A2594" w14:textId="3B8CDEA7" w:rsidR="00BA5521" w:rsidRPr="00585857" w:rsidRDefault="00BA5521" w:rsidP="00BA5521">
            <w:pPr>
              <w:pStyle w:val="Tabelleninhalt"/>
              <w:rPr>
                <w:sz w:val="20"/>
                <w:szCs w:val="20"/>
                <w:lang w:val="en-GB"/>
              </w:rPr>
            </w:pPr>
            <w:r w:rsidRPr="00585857">
              <w:rPr>
                <w:sz w:val="20"/>
                <w:szCs w:val="20"/>
                <w:lang w:val="en-GB"/>
              </w:rPr>
              <w:t xml:space="preserve">Depending on the type of product and the specific design of the regulation, the relevant economic operator (usually manufacturer) </w:t>
            </w:r>
            <w:r w:rsidRPr="00585857">
              <w:rPr>
                <w:sz w:val="20"/>
                <w:szCs w:val="20"/>
                <w:u w:val="single"/>
                <w:lang w:val="en-GB"/>
              </w:rPr>
              <w:t>can choose between different conformity assessment procedures</w:t>
            </w:r>
            <w:r w:rsidRPr="00585857">
              <w:rPr>
                <w:sz w:val="20"/>
                <w:szCs w:val="20"/>
                <w:lang w:val="en-GB"/>
              </w:rPr>
              <w:t>. Basically, there is a differentiation with regard to:</w:t>
            </w:r>
          </w:p>
          <w:p w14:paraId="2AD05A69" w14:textId="0080F192" w:rsidR="00BA5521" w:rsidRPr="00585857" w:rsidRDefault="00BA5521" w:rsidP="00BA5521">
            <w:pPr>
              <w:pStyle w:val="Tabelleninhalt"/>
              <w:numPr>
                <w:ilvl w:val="0"/>
                <w:numId w:val="2"/>
              </w:numPr>
              <w:rPr>
                <w:sz w:val="20"/>
                <w:szCs w:val="20"/>
                <w:lang w:val="en-GB"/>
              </w:rPr>
            </w:pPr>
            <w:r w:rsidRPr="00585857">
              <w:rPr>
                <w:sz w:val="20"/>
                <w:szCs w:val="20"/>
                <w:lang w:val="en-GB"/>
              </w:rPr>
              <w:t>Conformity assessment by the manufacturer (self-declaration) with or without harmonized standard or common specification,</w:t>
            </w:r>
          </w:p>
          <w:p w14:paraId="1629381A" w14:textId="42916A90" w:rsidR="00BA5521" w:rsidRPr="00585857" w:rsidRDefault="00BA5521" w:rsidP="00BA5521">
            <w:pPr>
              <w:pStyle w:val="Tabelleninhalt"/>
              <w:numPr>
                <w:ilvl w:val="0"/>
                <w:numId w:val="2"/>
              </w:numPr>
              <w:rPr>
                <w:sz w:val="20"/>
                <w:szCs w:val="20"/>
                <w:lang w:val="en-GB"/>
              </w:rPr>
            </w:pPr>
            <w:r w:rsidRPr="00585857">
              <w:rPr>
                <w:sz w:val="20"/>
                <w:szCs w:val="20"/>
                <w:lang w:val="en-GB"/>
              </w:rPr>
              <w:t xml:space="preserve">Conformity based on a type examination by a notified conformity assessment body </w:t>
            </w:r>
            <w:r w:rsidRPr="00585857">
              <w:rPr>
                <w:sz w:val="20"/>
                <w:szCs w:val="20"/>
                <w:lang w:val="en-GB"/>
              </w:rPr>
              <w:lastRenderedPageBreak/>
              <w:t>and internal production control,</w:t>
            </w:r>
          </w:p>
          <w:p w14:paraId="4659FBA3" w14:textId="5FB1E98E" w:rsidR="00BA5521" w:rsidRPr="00585857" w:rsidRDefault="00BA5521" w:rsidP="00BA5521">
            <w:pPr>
              <w:pStyle w:val="Tabelleninhalt"/>
              <w:numPr>
                <w:ilvl w:val="0"/>
                <w:numId w:val="2"/>
              </w:numPr>
              <w:rPr>
                <w:sz w:val="20"/>
                <w:szCs w:val="20"/>
                <w:lang w:val="en-GB"/>
              </w:rPr>
            </w:pPr>
            <w:r w:rsidRPr="00585857">
              <w:rPr>
                <w:sz w:val="20"/>
                <w:szCs w:val="20"/>
                <w:lang w:val="en-GB"/>
              </w:rPr>
              <w:t>Conformity on the basis of a quality assurance system approved by a notified body to ensure the conformity of products concerned, and</w:t>
            </w:r>
          </w:p>
          <w:p w14:paraId="6EBA1888" w14:textId="23761209" w:rsidR="00BA5521" w:rsidRPr="00585857" w:rsidRDefault="00BA5521" w:rsidP="00BA5521">
            <w:pPr>
              <w:pStyle w:val="Tabelleninhalt"/>
              <w:numPr>
                <w:ilvl w:val="0"/>
                <w:numId w:val="2"/>
              </w:numPr>
              <w:rPr>
                <w:sz w:val="20"/>
                <w:szCs w:val="20"/>
                <w:lang w:val="en-GB"/>
              </w:rPr>
            </w:pPr>
            <w:r w:rsidRPr="00585857">
              <w:rPr>
                <w:sz w:val="20"/>
                <w:szCs w:val="20"/>
                <w:lang w:val="en-GB"/>
              </w:rPr>
              <w:t>conformity on the basis of a European cybersecurity certificate.</w:t>
            </w:r>
          </w:p>
          <w:p w14:paraId="503D23FB" w14:textId="744C1D34" w:rsidR="00AB62F6" w:rsidRPr="00585857" w:rsidRDefault="00BA5521" w:rsidP="00BA5521">
            <w:pPr>
              <w:pStyle w:val="Tabelleninhalt"/>
              <w:rPr>
                <w:sz w:val="20"/>
                <w:szCs w:val="20"/>
                <w:lang w:val="en-GB"/>
              </w:rPr>
            </w:pPr>
            <w:r w:rsidRPr="00585857">
              <w:rPr>
                <w:sz w:val="20"/>
                <w:szCs w:val="20"/>
                <w:lang w:val="en-GB"/>
              </w:rPr>
              <w:t>Issued or withdrawn approvals or type examination certificates must be reported to a notifying authority.</w:t>
            </w:r>
          </w:p>
        </w:tc>
      </w:tr>
      <w:tr w:rsidR="00AB62F6" w:rsidRPr="00033D15" w14:paraId="7ED9C27C" w14:textId="77777777" w:rsidTr="00C84883">
        <w:tc>
          <w:tcPr>
            <w:tcW w:w="3208" w:type="dxa"/>
          </w:tcPr>
          <w:p w14:paraId="3CE6CB31" w14:textId="169DF41F" w:rsidR="00AB62F6" w:rsidRPr="00585857" w:rsidRDefault="00C84883">
            <w:pPr>
              <w:pStyle w:val="Tabelleninhalt"/>
              <w:rPr>
                <w:sz w:val="20"/>
                <w:szCs w:val="20"/>
              </w:rPr>
            </w:pPr>
            <w:r w:rsidRPr="00585857">
              <w:rPr>
                <w:sz w:val="20"/>
                <w:szCs w:val="20"/>
              </w:rPr>
              <w:lastRenderedPageBreak/>
              <w:t>Reporting obligations</w:t>
            </w:r>
          </w:p>
        </w:tc>
        <w:tc>
          <w:tcPr>
            <w:tcW w:w="3210" w:type="dxa"/>
          </w:tcPr>
          <w:p w14:paraId="03BB1390" w14:textId="0A10DC60" w:rsidR="00AB62F6" w:rsidRPr="00585857" w:rsidRDefault="00BA5521">
            <w:pPr>
              <w:pStyle w:val="Tabelleninhalt"/>
              <w:rPr>
                <w:sz w:val="20"/>
                <w:szCs w:val="20"/>
                <w:lang w:val="en-GB"/>
              </w:rPr>
            </w:pPr>
            <w:r w:rsidRPr="00585857">
              <w:rPr>
                <w:sz w:val="20"/>
                <w:szCs w:val="20"/>
                <w:lang w:val="en-GB"/>
              </w:rPr>
              <w:t xml:space="preserve">The OEM is required to report cybersecurity activities and new cyberattacks to the </w:t>
            </w:r>
            <w:r w:rsidR="00B86CDB" w:rsidRPr="00585857">
              <w:rPr>
                <w:sz w:val="20"/>
                <w:szCs w:val="20"/>
                <w:lang w:val="en-GB"/>
              </w:rPr>
              <w:t>approval</w:t>
            </w:r>
            <w:r w:rsidRPr="00585857">
              <w:rPr>
                <w:sz w:val="20"/>
                <w:szCs w:val="20"/>
                <w:lang w:val="en-GB"/>
              </w:rPr>
              <w:t xml:space="preserve"> authority or technical service </w:t>
            </w:r>
            <w:r w:rsidRPr="00585857">
              <w:rPr>
                <w:sz w:val="20"/>
                <w:szCs w:val="20"/>
                <w:u w:val="single"/>
                <w:lang w:val="en-GB"/>
              </w:rPr>
              <w:t>at least once per year</w:t>
            </w:r>
            <w:r w:rsidRPr="00585857">
              <w:rPr>
                <w:sz w:val="20"/>
                <w:szCs w:val="20"/>
                <w:lang w:val="en-GB"/>
              </w:rPr>
              <w:t>.</w:t>
            </w:r>
          </w:p>
          <w:p w14:paraId="0A2A0391" w14:textId="77777777" w:rsidR="00B86CDB" w:rsidRPr="00585857" w:rsidRDefault="00B86CDB" w:rsidP="00B86CDB">
            <w:pPr>
              <w:pStyle w:val="Tabelleninhalt"/>
              <w:rPr>
                <w:sz w:val="20"/>
                <w:szCs w:val="20"/>
                <w:lang w:val="en-GB"/>
              </w:rPr>
            </w:pPr>
            <w:r w:rsidRPr="00585857">
              <w:rPr>
                <w:sz w:val="20"/>
                <w:szCs w:val="20"/>
                <w:lang w:val="en-GB"/>
              </w:rPr>
              <w:t>The vehicle manufacturer</w:t>
            </w:r>
          </w:p>
          <w:p w14:paraId="4A94A848" w14:textId="77777777" w:rsidR="00B86CDB" w:rsidRPr="00585857" w:rsidRDefault="00B86CDB" w:rsidP="00B86CDB">
            <w:pPr>
              <w:pStyle w:val="Tabelleninhalt"/>
              <w:rPr>
                <w:sz w:val="20"/>
                <w:szCs w:val="20"/>
                <w:lang w:val="en-GB"/>
              </w:rPr>
            </w:pPr>
            <w:r w:rsidRPr="00585857">
              <w:rPr>
                <w:sz w:val="20"/>
                <w:szCs w:val="20"/>
                <w:lang w:val="en-GB"/>
              </w:rPr>
              <w:t>shall also report and confirm to the Approval Authority or the Technical Service that the cyber security mitigations implemented for their vehicle types are still effective and any additional actions taken.</w:t>
            </w:r>
          </w:p>
          <w:p w14:paraId="1C4817FA" w14:textId="77777777" w:rsidR="00891BA9" w:rsidRPr="00585857" w:rsidRDefault="00891BA9" w:rsidP="00B86CDB">
            <w:pPr>
              <w:pStyle w:val="Tabelleninhalt"/>
              <w:rPr>
                <w:sz w:val="20"/>
                <w:szCs w:val="20"/>
                <w:lang w:val="en-GB"/>
              </w:rPr>
            </w:pPr>
          </w:p>
          <w:p w14:paraId="07F125F4" w14:textId="77777777" w:rsidR="00891BA9" w:rsidRPr="00585857" w:rsidRDefault="00891BA9" w:rsidP="00B86CDB">
            <w:pPr>
              <w:pStyle w:val="Tabelleninhalt"/>
              <w:rPr>
                <w:sz w:val="20"/>
                <w:szCs w:val="20"/>
                <w:lang w:val="en-GB"/>
              </w:rPr>
            </w:pPr>
          </w:p>
          <w:p w14:paraId="2C7988C7" w14:textId="77777777" w:rsidR="00891BA9" w:rsidRPr="00585857" w:rsidRDefault="00891BA9" w:rsidP="00B86CDB">
            <w:pPr>
              <w:pStyle w:val="Tabelleninhalt"/>
              <w:rPr>
                <w:sz w:val="20"/>
                <w:szCs w:val="20"/>
                <w:lang w:val="en-GB"/>
              </w:rPr>
            </w:pPr>
          </w:p>
          <w:p w14:paraId="7D0DF847" w14:textId="39A0B852" w:rsidR="00891BA9" w:rsidRPr="00585857" w:rsidRDefault="00891BA9" w:rsidP="00B86CDB">
            <w:pPr>
              <w:pStyle w:val="Tabelleninhalt"/>
              <w:rPr>
                <w:sz w:val="20"/>
                <w:szCs w:val="20"/>
                <w:lang w:val="en-GB"/>
              </w:rPr>
            </w:pPr>
          </w:p>
        </w:tc>
        <w:tc>
          <w:tcPr>
            <w:tcW w:w="3210" w:type="dxa"/>
          </w:tcPr>
          <w:p w14:paraId="1BFAC810" w14:textId="6629CD8E" w:rsidR="00AB62F6" w:rsidRPr="00585857" w:rsidRDefault="00BA5521">
            <w:pPr>
              <w:pStyle w:val="Tabelleninhalt"/>
              <w:rPr>
                <w:sz w:val="20"/>
                <w:szCs w:val="20"/>
                <w:lang w:val="en-GB"/>
              </w:rPr>
            </w:pPr>
            <w:r w:rsidRPr="00585857">
              <w:rPr>
                <w:sz w:val="20"/>
                <w:szCs w:val="20"/>
                <w:lang w:val="en-GB"/>
              </w:rPr>
              <w:t xml:space="preserve">The manufacturer is obliged to report exploited vulnerabilities or incidents affecting the IT security of the product to ENISA </w:t>
            </w:r>
            <w:r w:rsidRPr="00585857">
              <w:rPr>
                <w:sz w:val="20"/>
                <w:szCs w:val="20"/>
                <w:u w:val="single"/>
                <w:lang w:val="en-GB"/>
              </w:rPr>
              <w:t>within 24 hours</w:t>
            </w:r>
            <w:r w:rsidRPr="00585857">
              <w:rPr>
                <w:sz w:val="20"/>
                <w:szCs w:val="20"/>
                <w:lang w:val="en-GB"/>
              </w:rPr>
              <w:t xml:space="preserve"> of becoming aware of them. Furthermore, the product users must also be informed about this.</w:t>
            </w:r>
          </w:p>
        </w:tc>
      </w:tr>
      <w:tr w:rsidR="00AB62F6" w:rsidRPr="00033D15" w14:paraId="51BA42CD" w14:textId="77777777" w:rsidTr="00C84883">
        <w:tc>
          <w:tcPr>
            <w:tcW w:w="3208" w:type="dxa"/>
          </w:tcPr>
          <w:p w14:paraId="0307037D" w14:textId="7AF18AAF" w:rsidR="00AB62F6" w:rsidRPr="00585857" w:rsidRDefault="00C84883">
            <w:pPr>
              <w:pStyle w:val="Tabelleninhalt"/>
              <w:rPr>
                <w:sz w:val="20"/>
                <w:szCs w:val="20"/>
              </w:rPr>
            </w:pPr>
            <w:r w:rsidRPr="00585857">
              <w:rPr>
                <w:sz w:val="20"/>
                <w:szCs w:val="20"/>
              </w:rPr>
              <w:t>Fixing vulnerabilities</w:t>
            </w:r>
          </w:p>
        </w:tc>
        <w:tc>
          <w:tcPr>
            <w:tcW w:w="3210" w:type="dxa"/>
          </w:tcPr>
          <w:p w14:paraId="3F1D9060" w14:textId="7A9753AA" w:rsidR="00AB62F6" w:rsidRPr="00585857" w:rsidRDefault="00BA5521">
            <w:pPr>
              <w:pStyle w:val="Tabelleninhalt"/>
              <w:rPr>
                <w:sz w:val="20"/>
                <w:szCs w:val="20"/>
                <w:lang w:val="en-GB"/>
              </w:rPr>
            </w:pPr>
            <w:r w:rsidRPr="00585857">
              <w:rPr>
                <w:sz w:val="20"/>
                <w:szCs w:val="20"/>
                <w:lang w:val="en-GB"/>
              </w:rPr>
              <w:t xml:space="preserve">Processes must be implemented at the manufacturer's site to enable the remediation of threats and vulnerabilities in the product </w:t>
            </w:r>
            <w:r w:rsidRPr="00585857">
              <w:rPr>
                <w:sz w:val="20"/>
                <w:szCs w:val="20"/>
                <w:u w:val="single"/>
                <w:lang w:val="en-GB"/>
              </w:rPr>
              <w:t>within a reasonable timeframe</w:t>
            </w:r>
            <w:r w:rsidRPr="00585857">
              <w:rPr>
                <w:sz w:val="20"/>
                <w:szCs w:val="20"/>
                <w:lang w:val="en-GB"/>
              </w:rPr>
              <w:t>.</w:t>
            </w:r>
          </w:p>
        </w:tc>
        <w:tc>
          <w:tcPr>
            <w:tcW w:w="3210" w:type="dxa"/>
          </w:tcPr>
          <w:p w14:paraId="6C389508" w14:textId="57F58E60" w:rsidR="00F67180" w:rsidRPr="00585857" w:rsidRDefault="00BA5521">
            <w:pPr>
              <w:pStyle w:val="Tabelleninhalt"/>
              <w:rPr>
                <w:sz w:val="20"/>
                <w:szCs w:val="20"/>
                <w:lang w:val="en-GB"/>
              </w:rPr>
            </w:pPr>
            <w:r w:rsidRPr="00585857">
              <w:rPr>
                <w:sz w:val="20"/>
                <w:szCs w:val="20"/>
                <w:lang w:val="en-GB"/>
              </w:rPr>
              <w:t xml:space="preserve">Manufacturers must be able to correct any vulnerabilities that occur </w:t>
            </w:r>
            <w:r w:rsidRPr="00585857">
              <w:rPr>
                <w:sz w:val="20"/>
                <w:szCs w:val="20"/>
                <w:u w:val="single"/>
                <w:lang w:val="en-GB"/>
              </w:rPr>
              <w:t>over the expected service life, but over a maximum of five years,</w:t>
            </w:r>
            <w:r w:rsidRPr="00585857">
              <w:rPr>
                <w:sz w:val="20"/>
                <w:szCs w:val="20"/>
                <w:lang w:val="en-GB"/>
              </w:rPr>
              <w:t xml:space="preserve"> by means of security updates.</w:t>
            </w:r>
          </w:p>
        </w:tc>
      </w:tr>
      <w:tr w:rsidR="00AB62F6" w:rsidRPr="00033D15" w14:paraId="07ADA710" w14:textId="77777777" w:rsidTr="00C84883">
        <w:tc>
          <w:tcPr>
            <w:tcW w:w="3208" w:type="dxa"/>
          </w:tcPr>
          <w:p w14:paraId="71A185B7" w14:textId="7EC5FBDC" w:rsidR="00AB62F6" w:rsidRPr="00585857" w:rsidRDefault="00C84883">
            <w:pPr>
              <w:pStyle w:val="Tabelleninhalt"/>
              <w:rPr>
                <w:sz w:val="20"/>
                <w:szCs w:val="20"/>
              </w:rPr>
            </w:pPr>
            <w:r w:rsidRPr="00585857">
              <w:rPr>
                <w:sz w:val="20"/>
                <w:szCs w:val="20"/>
                <w:lang w:val="en-GB"/>
              </w:rPr>
              <w:t>Market surveillance</w:t>
            </w:r>
          </w:p>
        </w:tc>
        <w:tc>
          <w:tcPr>
            <w:tcW w:w="3210" w:type="dxa"/>
          </w:tcPr>
          <w:p w14:paraId="5C93B61D" w14:textId="0F02BAA6" w:rsidR="00AB62F6" w:rsidRPr="00585857" w:rsidRDefault="00BA5521">
            <w:pPr>
              <w:pStyle w:val="Tabelleninhalt"/>
              <w:rPr>
                <w:sz w:val="20"/>
                <w:szCs w:val="20"/>
                <w:lang w:val="en-GB"/>
              </w:rPr>
            </w:pPr>
            <w:r w:rsidRPr="00585857">
              <w:rPr>
                <w:sz w:val="20"/>
                <w:szCs w:val="20"/>
                <w:lang w:val="en-GB"/>
              </w:rPr>
              <w:t xml:space="preserve">Not regulated in UN-R 155. Technical services </w:t>
            </w:r>
            <w:r w:rsidRPr="00585857">
              <w:rPr>
                <w:sz w:val="20"/>
                <w:szCs w:val="20"/>
                <w:u w:val="single"/>
                <w:lang w:val="en-GB"/>
              </w:rPr>
              <w:t>check the conformity of production at least every three years.</w:t>
            </w:r>
          </w:p>
        </w:tc>
        <w:tc>
          <w:tcPr>
            <w:tcW w:w="3210" w:type="dxa"/>
          </w:tcPr>
          <w:p w14:paraId="29BE6176" w14:textId="38AC361C" w:rsidR="00AB62F6" w:rsidRPr="00585857" w:rsidRDefault="00BA5521">
            <w:pPr>
              <w:pStyle w:val="Tabelleninhalt"/>
              <w:rPr>
                <w:sz w:val="20"/>
                <w:szCs w:val="20"/>
                <w:lang w:val="en-GB"/>
              </w:rPr>
            </w:pPr>
            <w:r w:rsidRPr="00585857">
              <w:rPr>
                <w:sz w:val="20"/>
                <w:szCs w:val="20"/>
                <w:lang w:val="en-GB"/>
              </w:rPr>
              <w:t xml:space="preserve">Each member state must appoint at least one market surveillance authority. </w:t>
            </w:r>
            <w:r w:rsidRPr="00585857">
              <w:rPr>
                <w:sz w:val="20"/>
                <w:szCs w:val="20"/>
                <w:u w:val="single"/>
                <w:lang w:val="en-GB"/>
              </w:rPr>
              <w:t>This authority can</w:t>
            </w:r>
            <w:r w:rsidRPr="00585857">
              <w:rPr>
                <w:sz w:val="20"/>
                <w:szCs w:val="20"/>
                <w:lang w:val="en-GB"/>
              </w:rPr>
              <w:t xml:space="preserve"> request access to the internal technical documentation of the products and carry out tests. It can specify corrective measures in the event of risks being identified. If the measures are not implemented, the market surveillance authority can ban the sale.</w:t>
            </w:r>
          </w:p>
        </w:tc>
      </w:tr>
    </w:tbl>
    <w:p w14:paraId="06765D0C" w14:textId="19B6CC41" w:rsidR="00E622C5" w:rsidRPr="00585857" w:rsidRDefault="00E622C5" w:rsidP="00BB0995">
      <w:pPr>
        <w:rPr>
          <w:sz w:val="20"/>
          <w:szCs w:val="20"/>
          <w:lang w:val="en-GB"/>
        </w:rPr>
      </w:pPr>
    </w:p>
    <w:p w14:paraId="374FAD71" w14:textId="5E1F2E88" w:rsidR="00907B01" w:rsidRPr="00585857" w:rsidRDefault="00907B01" w:rsidP="00907B01">
      <w:pPr>
        <w:jc w:val="center"/>
        <w:rPr>
          <w:sz w:val="20"/>
          <w:szCs w:val="20"/>
          <w:u w:val="single"/>
          <w:lang w:val="en-GB"/>
        </w:rPr>
      </w:pPr>
      <w:r w:rsidRPr="00585857">
        <w:rPr>
          <w:sz w:val="20"/>
          <w:szCs w:val="20"/>
          <w:u w:val="single"/>
          <w:lang w:val="en-GB"/>
        </w:rPr>
        <w:tab/>
      </w:r>
      <w:r w:rsidRPr="00585857">
        <w:rPr>
          <w:sz w:val="20"/>
          <w:szCs w:val="20"/>
          <w:u w:val="single"/>
          <w:lang w:val="en-GB"/>
        </w:rPr>
        <w:tab/>
      </w:r>
    </w:p>
    <w:sectPr w:rsidR="00907B01" w:rsidRPr="00585857" w:rsidSect="00585857">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426"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6D19" w14:textId="77777777" w:rsidR="004356B5" w:rsidRDefault="004356B5" w:rsidP="00907B01">
      <w:r>
        <w:separator/>
      </w:r>
    </w:p>
  </w:endnote>
  <w:endnote w:type="continuationSeparator" w:id="0">
    <w:p w14:paraId="6D2CC049" w14:textId="77777777" w:rsidR="004356B5" w:rsidRDefault="004356B5" w:rsidP="0090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170C" w14:textId="77777777" w:rsidR="00033D15" w:rsidRDefault="00033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E7C6" w14:textId="77777777" w:rsidR="00033D15" w:rsidRDefault="00033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3510" w14:textId="77777777" w:rsidR="00033D15" w:rsidRDefault="0003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0B25" w14:textId="77777777" w:rsidR="004356B5" w:rsidRDefault="004356B5" w:rsidP="00907B01">
      <w:r>
        <w:separator/>
      </w:r>
    </w:p>
  </w:footnote>
  <w:footnote w:type="continuationSeparator" w:id="0">
    <w:p w14:paraId="4B3499AC" w14:textId="77777777" w:rsidR="004356B5" w:rsidRDefault="004356B5" w:rsidP="0090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2153" w14:textId="77777777" w:rsidR="00033D15" w:rsidRDefault="00033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8" w:type="dxa"/>
      <w:tblBorders>
        <w:top w:val="nil"/>
        <w:left w:val="nil"/>
        <w:bottom w:val="nil"/>
        <w:right w:val="nil"/>
      </w:tblBorders>
      <w:tblLayout w:type="fixed"/>
      <w:tblLook w:val="0000" w:firstRow="0" w:lastRow="0" w:firstColumn="0" w:lastColumn="0" w:noHBand="0" w:noVBand="0"/>
    </w:tblPr>
    <w:tblGrid>
      <w:gridCol w:w="4962"/>
      <w:gridCol w:w="4616"/>
    </w:tblGrid>
    <w:tr w:rsidR="000221B6" w:rsidRPr="008A14D0" w14:paraId="70CB9D03" w14:textId="77777777" w:rsidTr="005F566A">
      <w:trPr>
        <w:trHeight w:val="361"/>
      </w:trPr>
      <w:tc>
        <w:tcPr>
          <w:tcW w:w="4962" w:type="dxa"/>
        </w:tcPr>
        <w:tbl>
          <w:tblPr>
            <w:tblW w:w="4854" w:type="dxa"/>
            <w:tblBorders>
              <w:top w:val="nil"/>
              <w:left w:val="nil"/>
              <w:bottom w:val="nil"/>
              <w:right w:val="nil"/>
            </w:tblBorders>
            <w:tblLayout w:type="fixed"/>
            <w:tblLook w:val="0000" w:firstRow="0" w:lastRow="0" w:firstColumn="0" w:lastColumn="0" w:noHBand="0" w:noVBand="0"/>
          </w:tblPr>
          <w:tblGrid>
            <w:gridCol w:w="4854"/>
          </w:tblGrid>
          <w:tr w:rsidR="000221B6" w:rsidRPr="00033D15" w14:paraId="741E3AF1" w14:textId="77777777" w:rsidTr="005F566A">
            <w:trPr>
              <w:trHeight w:val="250"/>
            </w:trPr>
            <w:tc>
              <w:tcPr>
                <w:tcW w:w="4854" w:type="dxa"/>
              </w:tcPr>
              <w:p w14:paraId="337D9732" w14:textId="77777777" w:rsidR="000221B6" w:rsidRPr="00F67180" w:rsidRDefault="000221B6" w:rsidP="000221B6">
                <w:pPr>
                  <w:autoSpaceDE w:val="0"/>
                  <w:autoSpaceDN w:val="0"/>
                  <w:adjustRightInd w:val="0"/>
                  <w:rPr>
                    <w:rFonts w:eastAsia="Calibri"/>
                    <w:color w:val="000000"/>
                    <w:lang w:val="en-GB"/>
                  </w:rPr>
                </w:pPr>
                <w:r w:rsidRPr="00F67180">
                  <w:rPr>
                    <w:rFonts w:eastAsia="Calibri"/>
                    <w:color w:val="000000"/>
                    <w:lang w:val="en-GB"/>
                  </w:rPr>
                  <w:t xml:space="preserve">Submitted by the expert </w:t>
                </w:r>
                <w:r>
                  <w:rPr>
                    <w:rFonts w:eastAsia="Calibri"/>
                    <w:color w:val="000000"/>
                    <w:lang w:val="en-GB"/>
                  </w:rPr>
                  <w:br/>
                  <w:t>from</w:t>
                </w:r>
                <w:r w:rsidRPr="00F67180">
                  <w:rPr>
                    <w:rFonts w:eastAsia="Calibri"/>
                    <w:color w:val="000000"/>
                    <w:lang w:val="en-GB"/>
                  </w:rPr>
                  <w:t xml:space="preserve"> </w:t>
                </w:r>
                <w:r>
                  <w:rPr>
                    <w:rFonts w:eastAsia="Calibri"/>
                    <w:color w:val="000000"/>
                    <w:lang w:val="en-GB"/>
                  </w:rPr>
                  <w:t>Germany</w:t>
                </w:r>
              </w:p>
            </w:tc>
          </w:tr>
        </w:tbl>
        <w:p w14:paraId="46C83154" w14:textId="77777777" w:rsidR="000221B6" w:rsidRPr="00F67180" w:rsidRDefault="000221B6" w:rsidP="000221B6">
          <w:pPr>
            <w:autoSpaceDE w:val="0"/>
            <w:autoSpaceDN w:val="0"/>
            <w:adjustRightInd w:val="0"/>
            <w:jc w:val="both"/>
            <w:rPr>
              <w:rFonts w:eastAsia="Calibri"/>
              <w:color w:val="000000"/>
              <w:lang w:val="en-GB"/>
            </w:rPr>
          </w:pPr>
        </w:p>
      </w:tc>
      <w:tc>
        <w:tcPr>
          <w:tcW w:w="4616" w:type="dxa"/>
        </w:tcPr>
        <w:p w14:paraId="09192E13" w14:textId="77777777" w:rsidR="000221B6" w:rsidRPr="00F67180" w:rsidRDefault="000221B6" w:rsidP="000221B6">
          <w:pPr>
            <w:autoSpaceDE w:val="0"/>
            <w:autoSpaceDN w:val="0"/>
            <w:adjustRightInd w:val="0"/>
            <w:ind w:left="635"/>
            <w:jc w:val="both"/>
            <w:rPr>
              <w:rFonts w:eastAsia="Calibri"/>
              <w:color w:val="000000"/>
              <w:lang w:val="en-GB"/>
            </w:rPr>
          </w:pPr>
          <w:r w:rsidRPr="00F67180">
            <w:rPr>
              <w:rFonts w:eastAsia="Calibri"/>
              <w:color w:val="000000"/>
              <w:u w:val="single"/>
              <w:lang w:val="en-GB"/>
            </w:rPr>
            <w:t>Informal document</w:t>
          </w:r>
          <w:r w:rsidRPr="00F67180">
            <w:rPr>
              <w:rFonts w:eastAsia="Calibri"/>
              <w:color w:val="000000"/>
              <w:lang w:val="en-GB"/>
            </w:rPr>
            <w:t xml:space="preserve"> </w:t>
          </w:r>
          <w:r w:rsidRPr="00F67180">
            <w:rPr>
              <w:rFonts w:eastAsia="Calibri"/>
              <w:b/>
              <w:bCs/>
              <w:color w:val="000000"/>
              <w:lang w:val="en-GB"/>
            </w:rPr>
            <w:t>GRVA-1</w:t>
          </w:r>
          <w:r>
            <w:rPr>
              <w:rFonts w:eastAsia="Calibri"/>
              <w:b/>
              <w:bCs/>
              <w:color w:val="000000"/>
              <w:lang w:val="en-GB"/>
            </w:rPr>
            <w:t>6</w:t>
          </w:r>
          <w:r w:rsidRPr="00F67180">
            <w:rPr>
              <w:rFonts w:eastAsia="Calibri"/>
              <w:b/>
              <w:bCs/>
              <w:color w:val="000000"/>
              <w:lang w:val="en-GB"/>
            </w:rPr>
            <w:t>-</w:t>
          </w:r>
          <w:r>
            <w:rPr>
              <w:rFonts w:eastAsia="Calibri"/>
              <w:b/>
              <w:bCs/>
              <w:color w:val="000000"/>
              <w:lang w:val="en-GB"/>
            </w:rPr>
            <w:t>26</w:t>
          </w:r>
        </w:p>
        <w:p w14:paraId="2609381D" w14:textId="77777777" w:rsidR="000221B6" w:rsidRPr="00F67180" w:rsidRDefault="000221B6" w:rsidP="000221B6">
          <w:pPr>
            <w:autoSpaceDE w:val="0"/>
            <w:autoSpaceDN w:val="0"/>
            <w:adjustRightInd w:val="0"/>
            <w:ind w:left="635"/>
            <w:jc w:val="both"/>
            <w:rPr>
              <w:rFonts w:eastAsia="Calibri"/>
              <w:color w:val="000000"/>
              <w:lang w:val="en-GB"/>
            </w:rPr>
          </w:pPr>
          <w:r w:rsidRPr="00F67180">
            <w:rPr>
              <w:lang w:val="en-GB" w:eastAsia="ar-SA"/>
            </w:rPr>
            <w:t>1</w:t>
          </w:r>
          <w:r>
            <w:rPr>
              <w:lang w:val="en-GB" w:eastAsia="ar-SA"/>
            </w:rPr>
            <w:t>6</w:t>
          </w:r>
          <w:r w:rsidRPr="00F67180">
            <w:rPr>
              <w:lang w:val="en-GB" w:eastAsia="ar-SA"/>
            </w:rPr>
            <w:t>h GRVA, 2</w:t>
          </w:r>
          <w:r>
            <w:rPr>
              <w:lang w:val="en-GB" w:eastAsia="ar-SA"/>
            </w:rPr>
            <w:t>2</w:t>
          </w:r>
          <w:r w:rsidRPr="00F67180">
            <w:rPr>
              <w:lang w:val="en-GB" w:eastAsia="ar-SA"/>
            </w:rPr>
            <w:t>-2</w:t>
          </w:r>
          <w:r>
            <w:rPr>
              <w:lang w:val="en-GB" w:eastAsia="ar-SA"/>
            </w:rPr>
            <w:t>6</w:t>
          </w:r>
          <w:r w:rsidRPr="00F67180">
            <w:rPr>
              <w:lang w:val="en-GB" w:eastAsia="ar-SA"/>
            </w:rPr>
            <w:t xml:space="preserve"> </w:t>
          </w:r>
          <w:r>
            <w:rPr>
              <w:lang w:val="en-GB" w:eastAsia="ar-SA"/>
            </w:rPr>
            <w:t>May</w:t>
          </w:r>
          <w:r w:rsidRPr="00F67180">
            <w:rPr>
              <w:lang w:val="en-GB" w:eastAsia="ar-SA"/>
            </w:rPr>
            <w:t xml:space="preserve"> 2023 </w:t>
          </w:r>
        </w:p>
        <w:p w14:paraId="4ABA86A1" w14:textId="77777777" w:rsidR="000221B6" w:rsidRPr="008A14D0" w:rsidRDefault="000221B6" w:rsidP="000221B6">
          <w:pPr>
            <w:autoSpaceDE w:val="0"/>
            <w:autoSpaceDN w:val="0"/>
            <w:adjustRightInd w:val="0"/>
            <w:ind w:left="635"/>
            <w:jc w:val="both"/>
            <w:rPr>
              <w:rFonts w:eastAsia="Calibri"/>
              <w:color w:val="000000"/>
            </w:rPr>
          </w:pPr>
          <w:r>
            <w:rPr>
              <w:rFonts w:eastAsia="Calibri"/>
              <w:color w:val="000000"/>
            </w:rPr>
            <w:t>Provisional agenda item 5(a)</w:t>
          </w:r>
        </w:p>
      </w:tc>
    </w:tr>
  </w:tbl>
  <w:p w14:paraId="3CEE86CC" w14:textId="77777777" w:rsidR="000221B6" w:rsidRPr="000221B6" w:rsidRDefault="000221B6">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8" w:type="dxa"/>
      <w:tblBorders>
        <w:top w:val="nil"/>
        <w:left w:val="nil"/>
        <w:bottom w:val="nil"/>
        <w:right w:val="nil"/>
      </w:tblBorders>
      <w:tblLayout w:type="fixed"/>
      <w:tblLook w:val="0000" w:firstRow="0" w:lastRow="0" w:firstColumn="0" w:lastColumn="0" w:noHBand="0" w:noVBand="0"/>
    </w:tblPr>
    <w:tblGrid>
      <w:gridCol w:w="4962"/>
      <w:gridCol w:w="4616"/>
    </w:tblGrid>
    <w:tr w:rsidR="00585857" w:rsidRPr="008A14D0" w14:paraId="5E58525D" w14:textId="77777777" w:rsidTr="005F566A">
      <w:trPr>
        <w:trHeight w:val="361"/>
      </w:trPr>
      <w:tc>
        <w:tcPr>
          <w:tcW w:w="4962" w:type="dxa"/>
        </w:tcPr>
        <w:tbl>
          <w:tblPr>
            <w:tblW w:w="4854" w:type="dxa"/>
            <w:tblBorders>
              <w:top w:val="nil"/>
              <w:left w:val="nil"/>
              <w:bottom w:val="nil"/>
              <w:right w:val="nil"/>
            </w:tblBorders>
            <w:tblLayout w:type="fixed"/>
            <w:tblLook w:val="0000" w:firstRow="0" w:lastRow="0" w:firstColumn="0" w:lastColumn="0" w:noHBand="0" w:noVBand="0"/>
          </w:tblPr>
          <w:tblGrid>
            <w:gridCol w:w="4854"/>
          </w:tblGrid>
          <w:tr w:rsidR="00585857" w:rsidRPr="00033D15" w14:paraId="51836E90" w14:textId="77777777" w:rsidTr="005F566A">
            <w:trPr>
              <w:trHeight w:val="250"/>
            </w:trPr>
            <w:tc>
              <w:tcPr>
                <w:tcW w:w="4854" w:type="dxa"/>
              </w:tcPr>
              <w:p w14:paraId="4F8F8F90" w14:textId="77777777" w:rsidR="00585857" w:rsidRPr="00585857" w:rsidRDefault="00585857" w:rsidP="00585857">
                <w:pPr>
                  <w:autoSpaceDE w:val="0"/>
                  <w:autoSpaceDN w:val="0"/>
                  <w:adjustRightInd w:val="0"/>
                  <w:rPr>
                    <w:rFonts w:eastAsia="Calibri"/>
                    <w:color w:val="000000"/>
                    <w:sz w:val="20"/>
                    <w:szCs w:val="20"/>
                    <w:lang w:val="en-GB"/>
                  </w:rPr>
                </w:pPr>
                <w:r w:rsidRPr="00585857">
                  <w:rPr>
                    <w:rFonts w:eastAsia="Calibri"/>
                    <w:color w:val="000000"/>
                    <w:sz w:val="20"/>
                    <w:szCs w:val="20"/>
                    <w:lang w:val="en-GB"/>
                  </w:rPr>
                  <w:t xml:space="preserve">Submitted by the expert </w:t>
                </w:r>
                <w:r w:rsidRPr="00585857">
                  <w:rPr>
                    <w:rFonts w:eastAsia="Calibri"/>
                    <w:color w:val="000000"/>
                    <w:sz w:val="20"/>
                    <w:szCs w:val="20"/>
                    <w:lang w:val="en-GB"/>
                  </w:rPr>
                  <w:br/>
                  <w:t>from Germany</w:t>
                </w:r>
              </w:p>
            </w:tc>
          </w:tr>
        </w:tbl>
        <w:p w14:paraId="3A356FB1" w14:textId="77777777" w:rsidR="00585857" w:rsidRPr="00585857" w:rsidRDefault="00585857" w:rsidP="00585857">
          <w:pPr>
            <w:autoSpaceDE w:val="0"/>
            <w:autoSpaceDN w:val="0"/>
            <w:adjustRightInd w:val="0"/>
            <w:jc w:val="both"/>
            <w:rPr>
              <w:rFonts w:eastAsia="Calibri"/>
              <w:color w:val="000000"/>
              <w:sz w:val="20"/>
              <w:szCs w:val="20"/>
              <w:lang w:val="en-GB"/>
            </w:rPr>
          </w:pPr>
        </w:p>
      </w:tc>
      <w:tc>
        <w:tcPr>
          <w:tcW w:w="4616" w:type="dxa"/>
        </w:tcPr>
        <w:p w14:paraId="2F0AA9ED" w14:textId="77777777" w:rsidR="00585857" w:rsidRPr="00585857" w:rsidRDefault="00585857" w:rsidP="00585857">
          <w:pPr>
            <w:autoSpaceDE w:val="0"/>
            <w:autoSpaceDN w:val="0"/>
            <w:adjustRightInd w:val="0"/>
            <w:ind w:left="1306"/>
            <w:jc w:val="both"/>
            <w:rPr>
              <w:rFonts w:eastAsia="Calibri"/>
              <w:color w:val="000000"/>
              <w:sz w:val="20"/>
              <w:szCs w:val="20"/>
              <w:lang w:val="en-GB"/>
            </w:rPr>
          </w:pPr>
          <w:r w:rsidRPr="00585857">
            <w:rPr>
              <w:rFonts w:eastAsia="Calibri"/>
              <w:color w:val="000000"/>
              <w:sz w:val="20"/>
              <w:szCs w:val="20"/>
              <w:u w:val="single"/>
              <w:lang w:val="en-GB"/>
            </w:rPr>
            <w:t>Informal document</w:t>
          </w:r>
          <w:r w:rsidRPr="00585857">
            <w:rPr>
              <w:rFonts w:eastAsia="Calibri"/>
              <w:color w:val="000000"/>
              <w:sz w:val="20"/>
              <w:szCs w:val="20"/>
              <w:lang w:val="en-GB"/>
            </w:rPr>
            <w:t xml:space="preserve"> </w:t>
          </w:r>
          <w:r w:rsidRPr="00585857">
            <w:rPr>
              <w:rFonts w:eastAsia="Calibri"/>
              <w:b/>
              <w:bCs/>
              <w:color w:val="000000"/>
              <w:sz w:val="20"/>
              <w:szCs w:val="20"/>
              <w:lang w:val="en-GB"/>
            </w:rPr>
            <w:t>GRVA-16-26</w:t>
          </w:r>
        </w:p>
        <w:p w14:paraId="4725ADA8" w14:textId="4FEA016A" w:rsidR="00585857" w:rsidRPr="00585857" w:rsidRDefault="00585857" w:rsidP="00585857">
          <w:pPr>
            <w:autoSpaceDE w:val="0"/>
            <w:autoSpaceDN w:val="0"/>
            <w:adjustRightInd w:val="0"/>
            <w:ind w:left="1306"/>
            <w:jc w:val="both"/>
            <w:rPr>
              <w:rFonts w:eastAsia="Calibri"/>
              <w:color w:val="000000"/>
              <w:sz w:val="20"/>
              <w:szCs w:val="20"/>
              <w:lang w:val="en-GB"/>
            </w:rPr>
          </w:pPr>
          <w:r w:rsidRPr="00585857">
            <w:rPr>
              <w:sz w:val="20"/>
              <w:szCs w:val="20"/>
              <w:lang w:val="en-GB" w:eastAsia="ar-SA"/>
            </w:rPr>
            <w:t>16</w:t>
          </w:r>
          <w:r w:rsidR="00033D15">
            <w:rPr>
              <w:sz w:val="20"/>
              <w:szCs w:val="20"/>
              <w:lang w:val="en-GB" w:eastAsia="ar-SA"/>
            </w:rPr>
            <w:t>t</w:t>
          </w:r>
          <w:r w:rsidRPr="00585857">
            <w:rPr>
              <w:sz w:val="20"/>
              <w:szCs w:val="20"/>
              <w:lang w:val="en-GB" w:eastAsia="ar-SA"/>
            </w:rPr>
            <w:t xml:space="preserve">h GRVA, 22-26 May 2023 </w:t>
          </w:r>
        </w:p>
        <w:p w14:paraId="0B83E797" w14:textId="77777777" w:rsidR="00585857" w:rsidRPr="00585857" w:rsidRDefault="00585857" w:rsidP="00585857">
          <w:pPr>
            <w:autoSpaceDE w:val="0"/>
            <w:autoSpaceDN w:val="0"/>
            <w:adjustRightInd w:val="0"/>
            <w:ind w:left="1306"/>
            <w:jc w:val="both"/>
            <w:rPr>
              <w:rFonts w:eastAsia="Calibri"/>
              <w:color w:val="000000"/>
              <w:sz w:val="20"/>
              <w:szCs w:val="20"/>
            </w:rPr>
          </w:pPr>
          <w:r w:rsidRPr="00585857">
            <w:rPr>
              <w:rFonts w:eastAsia="Calibri"/>
              <w:color w:val="000000"/>
              <w:sz w:val="20"/>
              <w:szCs w:val="20"/>
            </w:rPr>
            <w:t>Provisional agenda item 5(a)</w:t>
          </w:r>
        </w:p>
      </w:tc>
    </w:tr>
  </w:tbl>
  <w:p w14:paraId="0C56CC92" w14:textId="77777777" w:rsidR="00585857" w:rsidRDefault="00585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01FE"/>
    <w:multiLevelType w:val="hybridMultilevel"/>
    <w:tmpl w:val="177EB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C2266A"/>
    <w:multiLevelType w:val="hybridMultilevel"/>
    <w:tmpl w:val="BAF60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BF7E78"/>
    <w:multiLevelType w:val="hybridMultilevel"/>
    <w:tmpl w:val="6F20A5AE"/>
    <w:lvl w:ilvl="0" w:tplc="A2AC0B50">
      <w:numFmt w:val="bullet"/>
      <w:lvlText w:val="-"/>
      <w:lvlJc w:val="left"/>
      <w:pPr>
        <w:ind w:left="720" w:hanging="360"/>
      </w:pPr>
      <w:rPr>
        <w:rFonts w:ascii="Liberation Serif" w:eastAsia="Noto Serif CJK SC" w:hAnsi="Liberation Serif" w:cs="Liberation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8673199">
    <w:abstractNumId w:val="1"/>
  </w:num>
  <w:num w:numId="2" w16cid:durableId="629286960">
    <w:abstractNumId w:val="0"/>
  </w:num>
  <w:num w:numId="3" w16cid:durableId="996111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F6"/>
    <w:rsid w:val="000221B6"/>
    <w:rsid w:val="00033D15"/>
    <w:rsid w:val="00037494"/>
    <w:rsid w:val="00143D40"/>
    <w:rsid w:val="00153492"/>
    <w:rsid w:val="0019470E"/>
    <w:rsid w:val="001E448C"/>
    <w:rsid w:val="001F7EAF"/>
    <w:rsid w:val="00222A7A"/>
    <w:rsid w:val="002826A1"/>
    <w:rsid w:val="002B35C3"/>
    <w:rsid w:val="004356B5"/>
    <w:rsid w:val="0044111A"/>
    <w:rsid w:val="00510DD1"/>
    <w:rsid w:val="0053465F"/>
    <w:rsid w:val="00584C80"/>
    <w:rsid w:val="00585857"/>
    <w:rsid w:val="00617F16"/>
    <w:rsid w:val="006D4D3B"/>
    <w:rsid w:val="006E0F53"/>
    <w:rsid w:val="006F6F31"/>
    <w:rsid w:val="00767A61"/>
    <w:rsid w:val="00780CAF"/>
    <w:rsid w:val="008849B5"/>
    <w:rsid w:val="00891BA9"/>
    <w:rsid w:val="008920C3"/>
    <w:rsid w:val="00897E1B"/>
    <w:rsid w:val="008C5FE7"/>
    <w:rsid w:val="008E0CCC"/>
    <w:rsid w:val="008F6A7A"/>
    <w:rsid w:val="00907B01"/>
    <w:rsid w:val="009F26DA"/>
    <w:rsid w:val="00AB62F6"/>
    <w:rsid w:val="00B17768"/>
    <w:rsid w:val="00B86CDB"/>
    <w:rsid w:val="00BA5521"/>
    <w:rsid w:val="00BB0995"/>
    <w:rsid w:val="00BF46AB"/>
    <w:rsid w:val="00C761F4"/>
    <w:rsid w:val="00C84883"/>
    <w:rsid w:val="00D84B27"/>
    <w:rsid w:val="00DF0478"/>
    <w:rsid w:val="00E622C5"/>
    <w:rsid w:val="00F67180"/>
    <w:rsid w:val="00FB7109"/>
    <w:rsid w:val="00FF04A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4B3C4"/>
  <w15:docId w15:val="{08055356-760E-42F5-A3F4-330558FA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Verzeichnis">
    <w:name w:val="Verzeichnis"/>
    <w:basedOn w:val="Normal"/>
    <w:qFormat/>
    <w:pPr>
      <w:suppressLineNumbers/>
    </w:pPr>
  </w:style>
  <w:style w:type="paragraph" w:customStyle="1" w:styleId="Tabelleninhalt">
    <w:name w:val="Tabelleninhalt"/>
    <w:basedOn w:val="Normal"/>
    <w:qFormat/>
    <w:pPr>
      <w:suppressLineNumbers/>
    </w:pPr>
  </w:style>
  <w:style w:type="paragraph" w:styleId="BalloonText">
    <w:name w:val="Balloon Text"/>
    <w:basedOn w:val="Normal"/>
    <w:link w:val="BalloonTextChar"/>
    <w:uiPriority w:val="99"/>
    <w:semiHidden/>
    <w:unhideWhenUsed/>
    <w:rsid w:val="00153492"/>
    <w:rPr>
      <w:rFonts w:ascii="Segoe UI" w:hAnsi="Segoe UI" w:cs="Mangal"/>
      <w:sz w:val="18"/>
      <w:szCs w:val="16"/>
    </w:rPr>
  </w:style>
  <w:style w:type="character" w:customStyle="1" w:styleId="BalloonTextChar">
    <w:name w:val="Balloon Text Char"/>
    <w:basedOn w:val="DefaultParagraphFont"/>
    <w:link w:val="BalloonText"/>
    <w:uiPriority w:val="99"/>
    <w:semiHidden/>
    <w:rsid w:val="00153492"/>
    <w:rPr>
      <w:rFonts w:ascii="Segoe UI" w:hAnsi="Segoe UI" w:cs="Mangal"/>
      <w:sz w:val="18"/>
      <w:szCs w:val="16"/>
    </w:rPr>
  </w:style>
  <w:style w:type="character" w:styleId="CommentReference">
    <w:name w:val="annotation reference"/>
    <w:basedOn w:val="DefaultParagraphFont"/>
    <w:uiPriority w:val="99"/>
    <w:semiHidden/>
    <w:unhideWhenUsed/>
    <w:rsid w:val="00153492"/>
    <w:rPr>
      <w:sz w:val="16"/>
      <w:szCs w:val="16"/>
    </w:rPr>
  </w:style>
  <w:style w:type="paragraph" w:styleId="CommentText">
    <w:name w:val="annotation text"/>
    <w:basedOn w:val="Normal"/>
    <w:link w:val="CommentTextChar"/>
    <w:uiPriority w:val="99"/>
    <w:semiHidden/>
    <w:unhideWhenUsed/>
    <w:rsid w:val="00153492"/>
    <w:rPr>
      <w:rFonts w:cs="Mangal"/>
      <w:sz w:val="20"/>
      <w:szCs w:val="18"/>
    </w:rPr>
  </w:style>
  <w:style w:type="character" w:customStyle="1" w:styleId="CommentTextChar">
    <w:name w:val="Comment Text Char"/>
    <w:basedOn w:val="DefaultParagraphFont"/>
    <w:link w:val="CommentText"/>
    <w:uiPriority w:val="99"/>
    <w:semiHidden/>
    <w:rsid w:val="00153492"/>
    <w:rPr>
      <w:rFonts w:cs="Mangal"/>
      <w:sz w:val="20"/>
      <w:szCs w:val="18"/>
    </w:rPr>
  </w:style>
  <w:style w:type="paragraph" w:styleId="CommentSubject">
    <w:name w:val="annotation subject"/>
    <w:basedOn w:val="CommentText"/>
    <w:next w:val="CommentText"/>
    <w:link w:val="CommentSubjectChar"/>
    <w:uiPriority w:val="99"/>
    <w:semiHidden/>
    <w:unhideWhenUsed/>
    <w:rsid w:val="00153492"/>
    <w:rPr>
      <w:b/>
      <w:bCs/>
    </w:rPr>
  </w:style>
  <w:style w:type="character" w:customStyle="1" w:styleId="CommentSubjectChar">
    <w:name w:val="Comment Subject Char"/>
    <w:basedOn w:val="CommentTextChar"/>
    <w:link w:val="CommentSubject"/>
    <w:uiPriority w:val="99"/>
    <w:semiHidden/>
    <w:rsid w:val="00153492"/>
    <w:rPr>
      <w:rFonts w:cs="Mangal"/>
      <w:b/>
      <w:bCs/>
      <w:sz w:val="20"/>
      <w:szCs w:val="18"/>
    </w:rPr>
  </w:style>
  <w:style w:type="paragraph" w:customStyle="1" w:styleId="HChG">
    <w:name w:val="_ H _Ch_G"/>
    <w:basedOn w:val="Normal"/>
    <w:next w:val="Normal"/>
    <w:link w:val="HChGChar"/>
    <w:rsid w:val="00F67180"/>
    <w:pPr>
      <w:keepNext/>
      <w:keepLines/>
      <w:tabs>
        <w:tab w:val="right" w:pos="851"/>
      </w:tabs>
      <w:spacing w:before="360" w:after="240" w:line="300" w:lineRule="exact"/>
      <w:ind w:left="1134" w:right="1134" w:hanging="1134"/>
    </w:pPr>
    <w:rPr>
      <w:rFonts w:ascii="Times New Roman" w:eastAsia="MS Mincho" w:hAnsi="Times New Roman" w:cs="Times New Roman"/>
      <w:b/>
      <w:kern w:val="0"/>
      <w:sz w:val="28"/>
      <w:szCs w:val="20"/>
      <w:lang w:val="en-GB" w:eastAsia="en-US" w:bidi="ar-SA"/>
    </w:rPr>
  </w:style>
  <w:style w:type="character" w:customStyle="1" w:styleId="HChGChar">
    <w:name w:val="_ H _Ch_G Char"/>
    <w:link w:val="HChG"/>
    <w:rsid w:val="00F67180"/>
    <w:rPr>
      <w:rFonts w:ascii="Times New Roman" w:eastAsia="MS Mincho" w:hAnsi="Times New Roman" w:cs="Times New Roman"/>
      <w:b/>
      <w:kern w:val="0"/>
      <w:sz w:val="28"/>
      <w:szCs w:val="20"/>
      <w:lang w:val="en-GB" w:eastAsia="en-US" w:bidi="ar-SA"/>
    </w:rPr>
  </w:style>
  <w:style w:type="paragraph" w:styleId="Header">
    <w:name w:val="header"/>
    <w:basedOn w:val="Normal"/>
    <w:link w:val="HeaderChar"/>
    <w:uiPriority w:val="99"/>
    <w:unhideWhenUsed/>
    <w:rsid w:val="00907B01"/>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07B01"/>
    <w:rPr>
      <w:rFonts w:cs="Mangal"/>
      <w:szCs w:val="21"/>
    </w:rPr>
  </w:style>
  <w:style w:type="paragraph" w:styleId="Footer">
    <w:name w:val="footer"/>
    <w:basedOn w:val="Normal"/>
    <w:link w:val="FooterChar"/>
    <w:uiPriority w:val="99"/>
    <w:unhideWhenUsed/>
    <w:rsid w:val="00907B0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07B0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1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08105-2328-4A1D-9DC7-10BECF79E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619D7-812C-41F8-9229-D15E920EB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693</Words>
  <Characters>3954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Bundesamt für Sicherheit in der Informationstechnik</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Kilian Mitterweger</dc:creator>
  <dc:description/>
  <cp:lastModifiedBy>Laura Mueller</cp:lastModifiedBy>
  <cp:revision>8</cp:revision>
  <cp:lastPrinted>2023-05-19T13:49:00Z</cp:lastPrinted>
  <dcterms:created xsi:type="dcterms:W3CDTF">2023-05-19T13:37:00Z</dcterms:created>
  <dcterms:modified xsi:type="dcterms:W3CDTF">2023-05-19T14:12:00Z</dcterms:modified>
  <dc:language>de-DE</dc:language>
</cp:coreProperties>
</file>