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5C6" w14:textId="1B680B9A" w:rsidR="00773FAA" w:rsidRPr="00AE28CD" w:rsidRDefault="00DA581C" w:rsidP="00BC03B4">
      <w:pPr>
        <w:pStyle w:val="HChG"/>
        <w:ind w:firstLine="0"/>
        <w:jc w:val="center"/>
        <w:rPr>
          <w:b w:val="0"/>
        </w:rPr>
      </w:pPr>
      <w:r w:rsidRPr="00AE28CD">
        <w:t>Proposal for amendment</w:t>
      </w:r>
      <w:r w:rsidR="00361D95">
        <w:t>s</w:t>
      </w:r>
      <w:r w:rsidRPr="00AE28CD">
        <w:t xml:space="preserve"> to UN </w:t>
      </w:r>
      <w:r w:rsidR="001E762B" w:rsidRPr="00AE28CD">
        <w:t>R</w:t>
      </w:r>
      <w:r w:rsidRPr="00AE28CD">
        <w:t xml:space="preserve">egulation </w:t>
      </w:r>
      <w:r w:rsidR="007A5E0A">
        <w:t>N</w:t>
      </w:r>
      <w:r w:rsidRPr="00AE28CD">
        <w:t xml:space="preserve">o. </w:t>
      </w:r>
      <w:r w:rsidR="000720DF" w:rsidRPr="00AE28CD">
        <w:t>140</w:t>
      </w:r>
      <w:r w:rsidR="007A5E0A">
        <w:t xml:space="preserve"> </w:t>
      </w:r>
      <w:r w:rsidR="001F6B5A" w:rsidRPr="00AE28CD">
        <w:t>Electronic Stability Control (ESC) Systems</w:t>
      </w:r>
    </w:p>
    <w:p w14:paraId="5BBA21FD" w14:textId="2DE145C0" w:rsidR="005D1F0F" w:rsidRPr="000A7919" w:rsidRDefault="000A7919" w:rsidP="000A7919">
      <w:pPr>
        <w:pStyle w:val="SingleTxtG"/>
        <w:ind w:firstLine="567"/>
        <w:rPr>
          <w:rFonts w:asciiTheme="majorBidi" w:hAnsiTheme="majorBidi" w:cstheme="majorBidi"/>
          <w:sz w:val="20"/>
          <w:szCs w:val="20"/>
        </w:rPr>
      </w:pPr>
      <w:r w:rsidRPr="000A7919">
        <w:rPr>
          <w:rFonts w:asciiTheme="majorBidi" w:hAnsiTheme="majorBidi" w:cstheme="majorBidi"/>
          <w:sz w:val="20"/>
          <w:szCs w:val="20"/>
        </w:rPr>
        <w:t>The text below was prepared by the expert</w:t>
      </w:r>
      <w:r w:rsidR="00C242EA">
        <w:rPr>
          <w:rFonts w:asciiTheme="majorBidi" w:hAnsiTheme="majorBidi" w:cstheme="majorBidi"/>
          <w:sz w:val="20"/>
          <w:szCs w:val="20"/>
        </w:rPr>
        <w:t>s</w:t>
      </w:r>
      <w:r w:rsidRPr="000A7919">
        <w:rPr>
          <w:rFonts w:asciiTheme="majorBidi" w:hAnsiTheme="majorBidi" w:cstheme="majorBidi"/>
          <w:sz w:val="20"/>
          <w:szCs w:val="20"/>
        </w:rPr>
        <w:t xml:space="preserve"> from</w:t>
      </w:r>
      <w:r w:rsidR="00C242EA">
        <w:rPr>
          <w:rFonts w:asciiTheme="majorBidi" w:hAnsiTheme="majorBidi" w:cstheme="majorBidi"/>
          <w:sz w:val="20"/>
          <w:szCs w:val="20"/>
        </w:rPr>
        <w:t xml:space="preserve"> the </w:t>
      </w:r>
      <w:r w:rsidR="00C242EA" w:rsidRPr="00C242EA">
        <w:rPr>
          <w:rFonts w:asciiTheme="majorBidi" w:hAnsiTheme="majorBidi" w:cstheme="majorBidi"/>
          <w:sz w:val="20"/>
          <w:szCs w:val="20"/>
        </w:rPr>
        <w:t xml:space="preserve">European Association of Automotive Suppliers </w:t>
      </w:r>
      <w:r w:rsidR="00C242EA">
        <w:rPr>
          <w:rFonts w:asciiTheme="majorBidi" w:hAnsiTheme="majorBidi" w:cstheme="majorBidi"/>
          <w:sz w:val="20"/>
          <w:szCs w:val="20"/>
        </w:rPr>
        <w:t>(CLEPA) and</w:t>
      </w:r>
      <w:r w:rsidRPr="000A7919">
        <w:rPr>
          <w:rFonts w:asciiTheme="majorBidi" w:hAnsiTheme="majorBidi" w:cstheme="majorBidi"/>
          <w:sz w:val="20"/>
          <w:szCs w:val="20"/>
        </w:rPr>
        <w:t xml:space="preserve"> the International Organization of Motor Vehicle Manufacturers (OICA)</w:t>
      </w:r>
      <w:r w:rsidR="00E67684">
        <w:rPr>
          <w:rFonts w:asciiTheme="majorBidi" w:hAnsiTheme="majorBidi" w:cstheme="majorBidi"/>
          <w:sz w:val="20"/>
          <w:szCs w:val="20"/>
        </w:rPr>
        <w:t xml:space="preserve"> and </w:t>
      </w:r>
      <w:r w:rsidRPr="000A7919">
        <w:rPr>
          <w:rFonts w:asciiTheme="majorBidi" w:hAnsiTheme="majorBidi" w:cstheme="majorBidi"/>
          <w:sz w:val="20"/>
          <w:szCs w:val="20"/>
        </w:rPr>
        <w:t xml:space="preserve">is </w:t>
      </w:r>
      <w:r w:rsidR="008A4194">
        <w:rPr>
          <w:rFonts w:asciiTheme="majorBidi" w:hAnsiTheme="majorBidi" w:cstheme="majorBidi"/>
          <w:sz w:val="20"/>
          <w:szCs w:val="20"/>
        </w:rPr>
        <w:t>an amendment proposal to ECE/TRANS/WP.29/GRVA/2023/9</w:t>
      </w:r>
      <w:r w:rsidRPr="000A7919">
        <w:rPr>
          <w:rFonts w:asciiTheme="majorBidi" w:hAnsiTheme="majorBidi" w:cstheme="majorBidi"/>
          <w:sz w:val="20"/>
          <w:szCs w:val="20"/>
        </w:rPr>
        <w:t xml:space="preserve">. The modifications to the existing text of the Regulation are marked in </w:t>
      </w:r>
      <w:r w:rsidRPr="00D518DD">
        <w:rPr>
          <w:rFonts w:asciiTheme="majorBidi" w:hAnsiTheme="majorBidi" w:cstheme="majorBidi"/>
          <w:b/>
          <w:bCs/>
          <w:sz w:val="20"/>
          <w:szCs w:val="20"/>
        </w:rPr>
        <w:t>bold</w:t>
      </w:r>
      <w:r w:rsidRPr="000A7919">
        <w:rPr>
          <w:rFonts w:asciiTheme="majorBidi" w:hAnsiTheme="majorBidi" w:cstheme="majorBidi"/>
          <w:sz w:val="20"/>
          <w:szCs w:val="20"/>
        </w:rPr>
        <w:t xml:space="preserve"> for new or </w:t>
      </w:r>
      <w:r w:rsidRPr="00D518DD">
        <w:rPr>
          <w:rFonts w:asciiTheme="majorBidi" w:hAnsiTheme="majorBidi" w:cstheme="majorBidi"/>
          <w:strike/>
          <w:sz w:val="20"/>
          <w:szCs w:val="20"/>
        </w:rPr>
        <w:t>strikethrough</w:t>
      </w:r>
      <w:r w:rsidRPr="000A7919">
        <w:rPr>
          <w:rFonts w:asciiTheme="majorBidi" w:hAnsiTheme="majorBidi" w:cstheme="majorBidi"/>
          <w:sz w:val="20"/>
          <w:szCs w:val="20"/>
        </w:rPr>
        <w:t xml:space="preserve"> for deleted characters.</w:t>
      </w:r>
    </w:p>
    <w:p w14:paraId="45CB9BB3" w14:textId="06ED1294" w:rsidR="00773FAA" w:rsidRPr="00AE28CD" w:rsidRDefault="00727A17" w:rsidP="00BC03B4">
      <w:pPr>
        <w:pStyle w:val="HChG"/>
      </w:pPr>
      <w:r>
        <w:tab/>
        <w:t>I.</w:t>
      </w:r>
      <w:r>
        <w:tab/>
      </w:r>
      <w:r w:rsidR="00773FAA" w:rsidRPr="00AE28CD">
        <w:t>Proposal</w:t>
      </w:r>
    </w:p>
    <w:p w14:paraId="2F210D67" w14:textId="77777777" w:rsidR="00773FAA" w:rsidRPr="00AE28CD" w:rsidRDefault="00773FAA" w:rsidP="00727A17">
      <w:pPr>
        <w:spacing w:after="120" w:line="240" w:lineRule="auto"/>
        <w:ind w:left="1133"/>
      </w:pPr>
      <w:r w:rsidRPr="00AE28CD">
        <w:rPr>
          <w:i/>
        </w:rPr>
        <w:t>Paragraph 9.9.4.,</w:t>
      </w:r>
      <w:r w:rsidRPr="00AE28CD">
        <w:t xml:space="preserve"> amend to read: </w:t>
      </w:r>
    </w:p>
    <w:p w14:paraId="220BE70F" w14:textId="0A91C44F" w:rsidR="00773FAA" w:rsidRPr="00AE28CD" w:rsidRDefault="00773FAA" w:rsidP="00727A17">
      <w:pPr>
        <w:spacing w:after="120" w:line="240" w:lineRule="auto"/>
        <w:ind w:left="2254" w:right="1128" w:hanging="1136"/>
        <w:jc w:val="both"/>
      </w:pPr>
      <w:r w:rsidRPr="00AE28CD">
        <w:t>“9.9.4.</w:t>
      </w:r>
      <w:r w:rsidRPr="00AE28CD">
        <w:tab/>
        <w:t xml:space="preserve">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 </w:t>
      </w:r>
    </w:p>
    <w:p w14:paraId="3DABFE98" w14:textId="5555BDD4" w:rsidR="00773FAA" w:rsidRDefault="00773FAA" w:rsidP="00727A17">
      <w:pPr>
        <w:spacing w:after="120" w:line="240" w:lineRule="auto"/>
        <w:ind w:left="2279" w:right="1123" w:hanging="11"/>
        <w:jc w:val="both"/>
        <w:rPr>
          <w:bCs/>
        </w:rPr>
      </w:pPr>
      <w:r w:rsidRPr="00AE28CD">
        <w:rPr>
          <w:bCs/>
        </w:rPr>
        <w:t>If the above calculated steering amplitude of the final run is greater than the maximum operable steering wheel angle determined by design of the steering system, the final angle amplitude for the series test shall be greater than 98 per cent of the maximum operable angle.</w:t>
      </w:r>
    </w:p>
    <w:p w14:paraId="7CD40A19" w14:textId="77777777" w:rsidR="008B58EC" w:rsidRDefault="008B58EC" w:rsidP="008B58EC">
      <w:pPr>
        <w:pStyle w:val="xmsonormal"/>
        <w:spacing w:after="120"/>
        <w:ind w:left="2254" w:right="1128" w:hanging="1136"/>
        <w:jc w:val="both"/>
        <w:rPr>
          <w:lang w:val="en-GB"/>
        </w:rPr>
      </w:pPr>
      <w:r>
        <w:rPr>
          <w:rFonts w:ascii="Times New Roman" w:hAnsi="Times New Roman" w:cs="Times New Roman"/>
          <w:sz w:val="20"/>
          <w:szCs w:val="20"/>
          <w:lang w:val="en-GB"/>
        </w:rPr>
        <w:t xml:space="preserve">9.9.4.            The steering amplitude of the final run in each series is the greater of 6.5 A or 270 degrees, provided the calculated magnitude of 6.5 A is less than or equal to 300 degrees. If any 0.5 A increment, up to 6.5 A, is greater than 300 degrees, the steering amplitude of the final run shall be 300 degrees. </w:t>
      </w:r>
    </w:p>
    <w:p w14:paraId="6D946DDF" w14:textId="77777777" w:rsidR="008B58EC" w:rsidRDefault="008B58EC" w:rsidP="008B58EC">
      <w:pPr>
        <w:pStyle w:val="xmsonormal"/>
        <w:spacing w:after="120"/>
        <w:ind w:left="2279" w:right="1123" w:hanging="11"/>
        <w:jc w:val="both"/>
        <w:rPr>
          <w:rFonts w:ascii="Times New Roman" w:hAnsi="Times New Roman" w:cs="Times New Roman"/>
          <w:sz w:val="20"/>
          <w:szCs w:val="20"/>
          <w:lang w:val="en-GB"/>
        </w:rPr>
      </w:pPr>
      <w:r>
        <w:rPr>
          <w:rFonts w:ascii="Times New Roman" w:hAnsi="Times New Roman" w:cs="Times New Roman"/>
          <w:sz w:val="20"/>
          <w:szCs w:val="20"/>
          <w:lang w:val="en-GB"/>
        </w:rPr>
        <w:t>If the above calculated steering amplitude of the final run is greater than the maximum operable steering wheel angle determined by design of the steering system, the final angle amplitude for the series test shall be greater than 98 per cent of the maximum operable angle.</w:t>
      </w:r>
    </w:p>
    <w:p w14:paraId="3CAA3F4D" w14:textId="3D59D5ED" w:rsidR="009D3FE4" w:rsidRPr="009D3FE4" w:rsidRDefault="009D3FE4" w:rsidP="008B58EC">
      <w:pPr>
        <w:pStyle w:val="xmsonormal"/>
        <w:spacing w:after="120"/>
        <w:ind w:left="2279" w:right="1123" w:hanging="11"/>
        <w:jc w:val="both"/>
        <w:rPr>
          <w:rFonts w:ascii="Times New Roman" w:hAnsi="Times New Roman" w:cs="Times New Roman"/>
          <w:b/>
          <w:bCs/>
          <w:sz w:val="20"/>
          <w:szCs w:val="20"/>
          <w:lang w:val="en-GB"/>
        </w:rPr>
      </w:pPr>
      <w:r w:rsidRPr="00A05328">
        <w:rPr>
          <w:rFonts w:ascii="Times New Roman" w:hAnsi="Times New Roman" w:cs="Times New Roman"/>
          <w:b/>
          <w:bCs/>
          <w:strike/>
          <w:color w:val="000000" w:themeColor="text1"/>
          <w:sz w:val="20"/>
          <w:szCs w:val="20"/>
          <w:lang w:val="en-GB"/>
        </w:rPr>
        <w:t>In case</w:t>
      </w:r>
      <w:r w:rsidR="00987405" w:rsidRPr="00A05328">
        <w:rPr>
          <w:rFonts w:ascii="Times New Roman" w:hAnsi="Times New Roman" w:cs="Times New Roman"/>
          <w:b/>
          <w:bCs/>
          <w:color w:val="000000" w:themeColor="text1"/>
          <w:sz w:val="20"/>
          <w:szCs w:val="20"/>
          <w:lang w:val="en-GB"/>
        </w:rPr>
        <w:t xml:space="preserve"> </w:t>
      </w:r>
      <w:r w:rsidR="00987405">
        <w:rPr>
          <w:rFonts w:ascii="Times New Roman" w:hAnsi="Times New Roman" w:cs="Times New Roman"/>
          <w:b/>
          <w:bCs/>
          <w:sz w:val="20"/>
          <w:szCs w:val="20"/>
          <w:lang w:val="en-GB"/>
        </w:rPr>
        <w:t>If</w:t>
      </w:r>
      <w:r w:rsidRPr="009D3FE4">
        <w:rPr>
          <w:rFonts w:ascii="Times New Roman" w:hAnsi="Times New Roman" w:cs="Times New Roman"/>
          <w:b/>
          <w:bCs/>
          <w:sz w:val="20"/>
          <w:szCs w:val="20"/>
          <w:lang w:val="en-GB"/>
        </w:rPr>
        <w:t xml:space="preserve"> </w:t>
      </w:r>
      <w:r w:rsidRPr="00987405">
        <w:rPr>
          <w:rFonts w:ascii="Times New Roman" w:hAnsi="Times New Roman" w:cs="Times New Roman"/>
          <w:b/>
          <w:bCs/>
          <w:strike/>
          <w:sz w:val="20"/>
          <w:szCs w:val="20"/>
          <w:lang w:val="en-GB"/>
        </w:rPr>
        <w:t>that</w:t>
      </w:r>
      <w:r w:rsidRPr="00676EC8">
        <w:rPr>
          <w:rFonts w:ascii="Times New Roman" w:hAnsi="Times New Roman" w:cs="Times New Roman"/>
          <w:b/>
          <w:bCs/>
          <w:sz w:val="20"/>
          <w:szCs w:val="20"/>
          <w:lang w:val="en-GB"/>
        </w:rPr>
        <w:t xml:space="preserve"> </w:t>
      </w:r>
      <w:r w:rsidR="00987405">
        <w:rPr>
          <w:rFonts w:ascii="Times New Roman" w:hAnsi="Times New Roman" w:cs="Times New Roman"/>
          <w:b/>
          <w:bCs/>
          <w:sz w:val="20"/>
          <w:szCs w:val="20"/>
          <w:lang w:val="en-GB"/>
        </w:rPr>
        <w:t xml:space="preserve">tyre </w:t>
      </w:r>
      <w:r w:rsidRPr="009D3FE4">
        <w:rPr>
          <w:rFonts w:ascii="Times New Roman" w:hAnsi="Times New Roman" w:cs="Times New Roman"/>
          <w:b/>
          <w:bCs/>
          <w:sz w:val="20"/>
          <w:szCs w:val="20"/>
          <w:lang w:val="en-GB"/>
        </w:rPr>
        <w:t xml:space="preserve">saturation </w:t>
      </w:r>
      <w:r w:rsidRPr="00987405">
        <w:rPr>
          <w:rFonts w:ascii="Times New Roman" w:hAnsi="Times New Roman" w:cs="Times New Roman"/>
          <w:b/>
          <w:bCs/>
          <w:strike/>
          <w:sz w:val="20"/>
          <w:szCs w:val="20"/>
          <w:lang w:val="en-GB"/>
        </w:rPr>
        <w:t>of the front tyres happens</w:t>
      </w:r>
      <w:r w:rsidRPr="009D3FE4">
        <w:rPr>
          <w:rFonts w:ascii="Times New Roman" w:hAnsi="Times New Roman" w:cs="Times New Roman"/>
          <w:b/>
          <w:bCs/>
          <w:sz w:val="20"/>
          <w:szCs w:val="20"/>
          <w:lang w:val="en-GB"/>
        </w:rPr>
        <w:t xml:space="preserve"> </w:t>
      </w:r>
      <w:r w:rsidR="00987405">
        <w:rPr>
          <w:rFonts w:ascii="Times New Roman" w:hAnsi="Times New Roman" w:cs="Times New Roman"/>
          <w:b/>
          <w:bCs/>
          <w:sz w:val="20"/>
          <w:szCs w:val="20"/>
          <w:lang w:val="en-GB"/>
        </w:rPr>
        <w:t xml:space="preserve">occurs </w:t>
      </w:r>
      <w:r w:rsidRPr="009D3FE4">
        <w:rPr>
          <w:rFonts w:ascii="Times New Roman" w:hAnsi="Times New Roman" w:cs="Times New Roman"/>
          <w:b/>
          <w:bCs/>
          <w:sz w:val="20"/>
          <w:szCs w:val="20"/>
          <w:lang w:val="en-GB"/>
        </w:rPr>
        <w:t xml:space="preserve">before the above calculated magnitude angle, </w:t>
      </w:r>
      <w:r w:rsidRPr="00987405">
        <w:rPr>
          <w:rFonts w:ascii="Times New Roman" w:hAnsi="Times New Roman" w:cs="Times New Roman"/>
          <w:b/>
          <w:bCs/>
          <w:strike/>
          <w:sz w:val="20"/>
          <w:szCs w:val="20"/>
          <w:lang w:val="en-GB"/>
        </w:rPr>
        <w:t xml:space="preserve">this angle may </w:t>
      </w:r>
      <w:r w:rsidR="00987405">
        <w:rPr>
          <w:rFonts w:ascii="Times New Roman" w:hAnsi="Times New Roman" w:cs="Times New Roman"/>
          <w:b/>
          <w:bCs/>
          <w:sz w:val="20"/>
          <w:szCs w:val="20"/>
          <w:lang w:val="en-GB"/>
        </w:rPr>
        <w:t>then the amplitude</w:t>
      </w:r>
      <w:r w:rsidR="00987405" w:rsidRPr="00DA6F3C">
        <w:rPr>
          <w:rFonts w:ascii="Times New Roman" w:hAnsi="Times New Roman" w:cs="Times New Roman"/>
          <w:b/>
          <w:bCs/>
          <w:color w:val="FF0000"/>
          <w:sz w:val="20"/>
          <w:szCs w:val="20"/>
          <w:lang w:val="en-GB"/>
        </w:rPr>
        <w:t xml:space="preserve"> </w:t>
      </w:r>
      <w:r w:rsidR="00987405" w:rsidRPr="00DA6F3C">
        <w:rPr>
          <w:rFonts w:ascii="Times New Roman" w:hAnsi="Times New Roman" w:cs="Times New Roman"/>
          <w:b/>
          <w:bCs/>
          <w:color w:val="000000" w:themeColor="text1"/>
          <w:sz w:val="20"/>
          <w:szCs w:val="20"/>
          <w:lang w:val="en-GB"/>
        </w:rPr>
        <w:t>at which it occurs</w:t>
      </w:r>
      <w:r w:rsidR="00676EC8">
        <w:rPr>
          <w:rFonts w:ascii="Times New Roman" w:hAnsi="Times New Roman" w:cs="Times New Roman"/>
          <w:b/>
          <w:bCs/>
          <w:color w:val="000000" w:themeColor="text1"/>
          <w:sz w:val="20"/>
          <w:szCs w:val="20"/>
          <w:lang w:val="en-GB"/>
        </w:rPr>
        <w:t xml:space="preserve"> may</w:t>
      </w:r>
      <w:r w:rsidR="00987405" w:rsidRPr="009D3FE4">
        <w:rPr>
          <w:rFonts w:ascii="Times New Roman" w:hAnsi="Times New Roman" w:cs="Times New Roman"/>
          <w:b/>
          <w:bCs/>
          <w:sz w:val="20"/>
          <w:szCs w:val="20"/>
          <w:lang w:val="en-GB"/>
        </w:rPr>
        <w:t xml:space="preserve"> </w:t>
      </w:r>
      <w:r w:rsidRPr="009D3FE4">
        <w:rPr>
          <w:rFonts w:ascii="Times New Roman" w:hAnsi="Times New Roman" w:cs="Times New Roman"/>
          <w:b/>
          <w:bCs/>
          <w:sz w:val="20"/>
          <w:szCs w:val="20"/>
          <w:lang w:val="en-GB"/>
        </w:rPr>
        <w:t xml:space="preserve">be used as the final steering amplitude, but only if this angle is greater </w:t>
      </w:r>
      <w:r w:rsidR="00676EC8">
        <w:rPr>
          <w:rFonts w:ascii="Times New Roman" w:hAnsi="Times New Roman" w:cs="Times New Roman"/>
          <w:b/>
          <w:bCs/>
          <w:sz w:val="20"/>
          <w:szCs w:val="20"/>
          <w:lang w:val="en-GB"/>
        </w:rPr>
        <w:t>than</w:t>
      </w:r>
      <w:r w:rsidR="00676EC8" w:rsidRPr="009D3FE4">
        <w:rPr>
          <w:rFonts w:ascii="Times New Roman" w:hAnsi="Times New Roman" w:cs="Times New Roman"/>
          <w:b/>
          <w:bCs/>
          <w:sz w:val="20"/>
          <w:szCs w:val="20"/>
          <w:lang w:val="en-GB"/>
        </w:rPr>
        <w:t xml:space="preserve"> </w:t>
      </w:r>
      <w:r w:rsidRPr="009D3FE4">
        <w:rPr>
          <w:rFonts w:ascii="Times New Roman" w:hAnsi="Times New Roman" w:cs="Times New Roman"/>
          <w:b/>
          <w:bCs/>
          <w:sz w:val="20"/>
          <w:szCs w:val="20"/>
          <w:lang w:val="en-GB"/>
        </w:rPr>
        <w:t>or equal to 6.5 A.</w:t>
      </w:r>
    </w:p>
    <w:p w14:paraId="7247E989" w14:textId="7C2052F2" w:rsidR="008B58EC" w:rsidRPr="008B58EC" w:rsidRDefault="008B58EC" w:rsidP="008B58EC">
      <w:pPr>
        <w:pStyle w:val="xmsonormal"/>
        <w:spacing w:after="120"/>
        <w:ind w:left="2279" w:right="1123" w:hanging="11"/>
        <w:jc w:val="both"/>
        <w:rPr>
          <w:color w:val="000000" w:themeColor="text1"/>
          <w:lang w:val="en-GB"/>
        </w:rPr>
      </w:pPr>
      <w:r>
        <w:rPr>
          <w:rFonts w:ascii="Times New Roman" w:hAnsi="Times New Roman" w:cs="Times New Roman"/>
          <w:b/>
          <w:bCs/>
          <w:sz w:val="20"/>
          <w:szCs w:val="20"/>
          <w:lang w:val="en-GB"/>
        </w:rPr>
        <w:t xml:space="preserve">Tyre saturation </w:t>
      </w:r>
      <w:r w:rsidRPr="008B58EC">
        <w:rPr>
          <w:rFonts w:ascii="Times New Roman" w:hAnsi="Times New Roman" w:cs="Times New Roman"/>
          <w:b/>
          <w:bCs/>
          <w:color w:val="000000" w:themeColor="text1"/>
          <w:sz w:val="20"/>
          <w:szCs w:val="20"/>
          <w:lang w:val="en-GB"/>
        </w:rPr>
        <w:t xml:space="preserve">shall be </w:t>
      </w:r>
      <w:r>
        <w:rPr>
          <w:rFonts w:ascii="Times New Roman" w:hAnsi="Times New Roman" w:cs="Times New Roman"/>
          <w:b/>
          <w:bCs/>
          <w:sz w:val="20"/>
          <w:szCs w:val="20"/>
          <w:lang w:val="en-GB"/>
        </w:rPr>
        <w:t xml:space="preserve">considered to have occurred when all of the following parameters have reached their peak value (i.e. </w:t>
      </w:r>
      <w:r w:rsidRPr="008B58EC">
        <w:rPr>
          <w:rFonts w:ascii="Times New Roman" w:hAnsi="Times New Roman" w:cs="Times New Roman"/>
          <w:b/>
          <w:bCs/>
          <w:color w:val="000000" w:themeColor="text1"/>
          <w:sz w:val="20"/>
          <w:szCs w:val="20"/>
          <w:lang w:val="en-GB"/>
        </w:rPr>
        <w:t>these parameters have not increased between two successive increments of 0.5 A):</w:t>
      </w:r>
    </w:p>
    <w:p w14:paraId="4BD731C4" w14:textId="77777777" w:rsidR="008B58EC" w:rsidRPr="008B58EC" w:rsidRDefault="008B58EC" w:rsidP="008B58EC">
      <w:pPr>
        <w:pStyle w:val="xmsolistparagraph"/>
        <w:numPr>
          <w:ilvl w:val="0"/>
          <w:numId w:val="9"/>
        </w:numPr>
        <w:spacing w:after="120" w:line="240" w:lineRule="auto"/>
        <w:ind w:left="2988" w:right="1123"/>
        <w:jc w:val="both"/>
        <w:rPr>
          <w:color w:val="000000" w:themeColor="text1"/>
          <w:lang w:val="en-GB"/>
        </w:rPr>
      </w:pPr>
      <w:r w:rsidRPr="008B58EC">
        <w:rPr>
          <w:b/>
          <w:bCs/>
          <w:color w:val="000000" w:themeColor="text1"/>
          <w:lang w:val="en-GB"/>
        </w:rPr>
        <w:t>Peak lateral acceleration (see Paragraph 9.11.3)</w:t>
      </w:r>
    </w:p>
    <w:p w14:paraId="199D15EE" w14:textId="77777777" w:rsidR="008B58EC" w:rsidRPr="008B58EC" w:rsidRDefault="008B58EC" w:rsidP="008B58EC">
      <w:pPr>
        <w:pStyle w:val="xmsolistparagraph"/>
        <w:numPr>
          <w:ilvl w:val="0"/>
          <w:numId w:val="9"/>
        </w:numPr>
        <w:spacing w:after="120" w:line="240" w:lineRule="auto"/>
        <w:ind w:left="2988" w:right="1123"/>
        <w:jc w:val="both"/>
        <w:rPr>
          <w:color w:val="000000" w:themeColor="text1"/>
          <w:lang w:val="en-GB"/>
        </w:rPr>
      </w:pPr>
      <w:r w:rsidRPr="008B58EC">
        <w:rPr>
          <w:b/>
          <w:bCs/>
          <w:color w:val="000000" w:themeColor="text1"/>
          <w:lang w:val="en-GB"/>
        </w:rPr>
        <w:t>Second peak yaw rate (see Paragraph 9.11.8)</w:t>
      </w:r>
    </w:p>
    <w:p w14:paraId="3A5F0A40" w14:textId="77777777" w:rsidR="008B58EC" w:rsidRPr="008B58EC" w:rsidRDefault="008B58EC" w:rsidP="008B58EC">
      <w:pPr>
        <w:pStyle w:val="xmsolistparagraph"/>
        <w:numPr>
          <w:ilvl w:val="0"/>
          <w:numId w:val="9"/>
        </w:numPr>
        <w:spacing w:after="120" w:line="240" w:lineRule="auto"/>
        <w:ind w:left="2988" w:right="1123"/>
        <w:jc w:val="both"/>
        <w:rPr>
          <w:color w:val="000000" w:themeColor="text1"/>
          <w:lang w:val="en-GB"/>
        </w:rPr>
      </w:pPr>
      <w:r w:rsidRPr="008B58EC">
        <w:rPr>
          <w:b/>
          <w:bCs/>
          <w:color w:val="000000" w:themeColor="text1"/>
          <w:lang w:val="en-GB"/>
        </w:rPr>
        <w:t>Lateral displacement 1.07 seconds after BOS (see Paragraph 9.11.9)</w:t>
      </w:r>
    </w:p>
    <w:p w14:paraId="6B191B54" w14:textId="77777777" w:rsidR="008B58EC" w:rsidRDefault="008B58EC" w:rsidP="008B58EC">
      <w:pPr>
        <w:pStyle w:val="xmsolistparagraph"/>
        <w:spacing w:after="120"/>
        <w:ind w:left="2268" w:right="1123"/>
        <w:jc w:val="both"/>
        <w:rPr>
          <w:lang w:val="en-GB"/>
        </w:rPr>
      </w:pPr>
      <w:r>
        <w:rPr>
          <w:b/>
          <w:bCs/>
          <w:lang w:val="en-GB"/>
        </w:rPr>
        <w:t> It is not required for the peak values to occur in the same test run.”</w:t>
      </w:r>
    </w:p>
    <w:p w14:paraId="295D1D49" w14:textId="4C9F9BFA" w:rsidR="00773FAA" w:rsidRPr="00AE28CD" w:rsidRDefault="007802BB" w:rsidP="007802BB">
      <w:pPr>
        <w:pStyle w:val="HChG"/>
      </w:pPr>
      <w:r>
        <w:tab/>
        <w:t>II.</w:t>
      </w:r>
      <w:r>
        <w:tab/>
      </w:r>
      <w:r w:rsidR="00773FAA" w:rsidRPr="00AE28CD">
        <w:t>Justification</w:t>
      </w:r>
    </w:p>
    <w:p w14:paraId="70963F3E" w14:textId="73ED4671" w:rsidR="00541278" w:rsidRPr="00541278" w:rsidRDefault="00541278" w:rsidP="00541278">
      <w:pPr>
        <w:pStyle w:val="SingleTxtG"/>
        <w:rPr>
          <w:rFonts w:asciiTheme="majorBidi" w:hAnsiTheme="majorBidi" w:cstheme="majorBidi"/>
          <w:sz w:val="20"/>
          <w:szCs w:val="20"/>
        </w:rPr>
      </w:pPr>
      <w:r w:rsidRPr="00541278">
        <w:rPr>
          <w:rFonts w:asciiTheme="majorBidi" w:hAnsiTheme="majorBidi" w:cstheme="majorBidi"/>
          <w:sz w:val="20"/>
          <w:szCs w:val="20"/>
        </w:rPr>
        <w:t>1.</w:t>
      </w:r>
      <w:r w:rsidRPr="00541278">
        <w:rPr>
          <w:rFonts w:asciiTheme="majorBidi" w:hAnsiTheme="majorBidi" w:cstheme="majorBidi"/>
          <w:sz w:val="20"/>
          <w:szCs w:val="20"/>
        </w:rPr>
        <w:tab/>
        <w:t>Reaching fixed amplitude, i.e., fixed steering wheel angular speed due to given 0.7</w:t>
      </w:r>
      <w:r>
        <w:rPr>
          <w:rFonts w:asciiTheme="majorBidi" w:hAnsiTheme="majorBidi" w:cstheme="majorBidi"/>
          <w:sz w:val="20"/>
          <w:szCs w:val="20"/>
        </w:rPr>
        <w:t> </w:t>
      </w:r>
      <w:r w:rsidRPr="00541278">
        <w:rPr>
          <w:rFonts w:asciiTheme="majorBidi" w:hAnsiTheme="majorBidi" w:cstheme="majorBidi"/>
          <w:sz w:val="20"/>
          <w:szCs w:val="20"/>
        </w:rPr>
        <w:t xml:space="preserve">Hz sine frequency, </w:t>
      </w:r>
      <w:r>
        <w:rPr>
          <w:rFonts w:asciiTheme="majorBidi" w:hAnsiTheme="majorBidi" w:cstheme="majorBidi"/>
          <w:sz w:val="20"/>
          <w:szCs w:val="20"/>
        </w:rPr>
        <w:t>requires</w:t>
      </w:r>
      <w:r w:rsidRPr="00541278">
        <w:rPr>
          <w:rFonts w:asciiTheme="majorBidi" w:hAnsiTheme="majorBidi" w:cstheme="majorBidi"/>
          <w:sz w:val="20"/>
          <w:szCs w:val="20"/>
        </w:rPr>
        <w:t xml:space="preserve"> more torque with quick steering gear ratio systems than with slow steering gear ratio systems, and produces much more wheel steer. </w:t>
      </w:r>
    </w:p>
    <w:p w14:paraId="4F0521A9" w14:textId="77777777" w:rsidR="00541278" w:rsidRPr="00541278" w:rsidRDefault="00541278" w:rsidP="00541278">
      <w:pPr>
        <w:pStyle w:val="SingleTxtG"/>
        <w:rPr>
          <w:rFonts w:asciiTheme="majorBidi" w:hAnsiTheme="majorBidi" w:cstheme="majorBidi"/>
          <w:sz w:val="20"/>
          <w:szCs w:val="20"/>
        </w:rPr>
      </w:pPr>
      <w:r w:rsidRPr="00541278">
        <w:rPr>
          <w:rFonts w:asciiTheme="majorBidi" w:hAnsiTheme="majorBidi" w:cstheme="majorBidi"/>
          <w:sz w:val="20"/>
          <w:szCs w:val="20"/>
        </w:rPr>
        <w:t>2.</w:t>
      </w:r>
      <w:r w:rsidRPr="00541278">
        <w:rPr>
          <w:rFonts w:asciiTheme="majorBidi" w:hAnsiTheme="majorBidi" w:cstheme="majorBidi"/>
          <w:sz w:val="20"/>
          <w:szCs w:val="20"/>
        </w:rPr>
        <w:tab/>
        <w:t>The vehicle behaviour (yaw rate, lateral acceleration and thus trajectory) is similar for all amplitudes above approximately 7 to 8 A (i.e., more than 7 times the steering wheel angle corresponding to 0.3 g), because front tyres are “saturated”.</w:t>
      </w:r>
    </w:p>
    <w:p w14:paraId="12E93F37" w14:textId="77777777" w:rsidR="00541278" w:rsidRPr="00541278" w:rsidRDefault="00541278" w:rsidP="00541278">
      <w:pPr>
        <w:pStyle w:val="SingleTxtG"/>
        <w:rPr>
          <w:rFonts w:asciiTheme="majorBidi" w:hAnsiTheme="majorBidi" w:cstheme="majorBidi"/>
          <w:sz w:val="20"/>
          <w:szCs w:val="20"/>
        </w:rPr>
      </w:pPr>
      <w:r w:rsidRPr="00541278">
        <w:rPr>
          <w:rFonts w:asciiTheme="majorBidi" w:hAnsiTheme="majorBidi" w:cstheme="majorBidi"/>
          <w:sz w:val="20"/>
          <w:szCs w:val="20"/>
        </w:rPr>
        <w:lastRenderedPageBreak/>
        <w:t>3.</w:t>
      </w:r>
      <w:r w:rsidRPr="00541278">
        <w:rPr>
          <w:rFonts w:asciiTheme="majorBidi" w:hAnsiTheme="majorBidi" w:cstheme="majorBidi"/>
          <w:sz w:val="20"/>
          <w:szCs w:val="20"/>
        </w:rPr>
        <w:tab/>
        <w:t xml:space="preserve">Front tyres saturation occurs when there is no increase of yaw rate, lateral acceleration or deviation of the trajectory. </w:t>
      </w:r>
    </w:p>
    <w:p w14:paraId="192AED43" w14:textId="77777777" w:rsidR="00541278" w:rsidRPr="00541278" w:rsidRDefault="00541278" w:rsidP="00541278">
      <w:pPr>
        <w:pStyle w:val="SingleTxtG"/>
        <w:rPr>
          <w:rFonts w:asciiTheme="majorBidi" w:hAnsiTheme="majorBidi" w:cstheme="majorBidi"/>
          <w:sz w:val="20"/>
          <w:szCs w:val="20"/>
        </w:rPr>
      </w:pPr>
      <w:r w:rsidRPr="00541278">
        <w:rPr>
          <w:rFonts w:asciiTheme="majorBidi" w:hAnsiTheme="majorBidi" w:cstheme="majorBidi"/>
          <w:sz w:val="20"/>
          <w:szCs w:val="20"/>
        </w:rPr>
        <w:t>4.</w:t>
      </w:r>
      <w:r w:rsidRPr="00541278">
        <w:rPr>
          <w:rFonts w:asciiTheme="majorBidi" w:hAnsiTheme="majorBidi" w:cstheme="majorBidi"/>
          <w:sz w:val="20"/>
          <w:szCs w:val="20"/>
        </w:rPr>
        <w:tab/>
        <w:t>Above front tyres saturation, more steer of the front wheels doesn’t provide more lateral force, so yaw rate and lateral acceleration don’t increase. Continuing to increase steering wheel amplitude after front tyre saturation doesn’t give more information.</w:t>
      </w:r>
    </w:p>
    <w:p w14:paraId="1EDD4773" w14:textId="41EEEDBD" w:rsidR="00D15AE5" w:rsidRDefault="00541278" w:rsidP="00541278">
      <w:pPr>
        <w:pStyle w:val="SingleTxtG"/>
        <w:rPr>
          <w:rFonts w:asciiTheme="majorBidi" w:hAnsiTheme="majorBidi" w:cstheme="majorBidi"/>
          <w:sz w:val="20"/>
          <w:szCs w:val="20"/>
        </w:rPr>
      </w:pPr>
      <w:r w:rsidRPr="00541278">
        <w:rPr>
          <w:rFonts w:asciiTheme="majorBidi" w:hAnsiTheme="majorBidi" w:cstheme="majorBidi"/>
          <w:sz w:val="20"/>
          <w:szCs w:val="20"/>
        </w:rPr>
        <w:t>5.</w:t>
      </w:r>
      <w:r w:rsidRPr="00541278">
        <w:rPr>
          <w:rFonts w:asciiTheme="majorBidi" w:hAnsiTheme="majorBidi" w:cstheme="majorBidi"/>
          <w:sz w:val="20"/>
          <w:szCs w:val="20"/>
        </w:rPr>
        <w:tab/>
        <w:t>There might appear in the future some vehicles which have significantly low steering gear ratio (i.e., quick steering characteristics) and may need too much steering wheel torque to achieve the 270 degrees sine amplitude at 0.7 Hz (not reachable by conventional steering robots), then jeopardizing the easy approval of future beneficial steering equipment e.g. steer-by-wire (SBW) systems</w:t>
      </w:r>
      <w:r w:rsidR="00D15AE5" w:rsidRPr="00D15AE5">
        <w:rPr>
          <w:rFonts w:asciiTheme="majorBidi" w:hAnsiTheme="majorBidi" w:cstheme="majorBidi"/>
          <w:sz w:val="20"/>
          <w:szCs w:val="20"/>
        </w:rPr>
        <w:t>.</w:t>
      </w:r>
    </w:p>
    <w:p w14:paraId="467097B3" w14:textId="6130107A" w:rsidR="00CF3148" w:rsidRPr="00AF620E" w:rsidRDefault="00CF3148" w:rsidP="00AF620E">
      <w:pPr>
        <w:suppressAutoHyphens w:val="0"/>
        <w:spacing w:after="160" w:line="259" w:lineRule="auto"/>
        <w:rPr>
          <w:rFonts w:asciiTheme="majorBidi" w:eastAsiaTheme="minorHAnsi" w:hAnsiTheme="majorBidi" w:cstheme="majorBidi"/>
        </w:rPr>
      </w:pPr>
    </w:p>
    <w:p w14:paraId="1F171669" w14:textId="50D5384A" w:rsidR="00FA7145" w:rsidRPr="00FA7145" w:rsidRDefault="00FA7145" w:rsidP="00FA7145">
      <w:pPr>
        <w:pStyle w:val="ListParagraph"/>
        <w:tabs>
          <w:tab w:val="left" w:pos="1701"/>
        </w:tabs>
        <w:suppressAutoHyphens w:val="0"/>
        <w:spacing w:after="120" w:line="240" w:lineRule="auto"/>
        <w:ind w:left="1134" w:right="1128"/>
        <w:contextualSpacing w:val="0"/>
        <w:jc w:val="center"/>
        <w:rPr>
          <w:u w:val="single"/>
        </w:rPr>
      </w:pPr>
      <w:r>
        <w:rPr>
          <w:u w:val="single"/>
        </w:rPr>
        <w:tab/>
      </w:r>
      <w:r>
        <w:rPr>
          <w:u w:val="single"/>
        </w:rPr>
        <w:tab/>
      </w:r>
      <w:r>
        <w:rPr>
          <w:u w:val="single"/>
        </w:rPr>
        <w:tab/>
      </w:r>
    </w:p>
    <w:sectPr w:rsidR="00FA7145" w:rsidRPr="00FA7145" w:rsidSect="00AB3D9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1E95" w14:textId="77777777" w:rsidR="00123B66" w:rsidRDefault="00123B66" w:rsidP="002E0688">
      <w:pPr>
        <w:spacing w:line="240" w:lineRule="auto"/>
      </w:pPr>
      <w:r>
        <w:separator/>
      </w:r>
    </w:p>
  </w:endnote>
  <w:endnote w:type="continuationSeparator" w:id="0">
    <w:p w14:paraId="706E1075" w14:textId="77777777" w:rsidR="00123B66" w:rsidRDefault="00123B66" w:rsidP="002E0688">
      <w:pPr>
        <w:spacing w:line="240" w:lineRule="auto"/>
      </w:pPr>
      <w:r>
        <w:continuationSeparator/>
      </w:r>
    </w:p>
  </w:endnote>
  <w:endnote w:type="continuationNotice" w:id="1">
    <w:p w14:paraId="71151E43" w14:textId="77777777" w:rsidR="00123B66" w:rsidRDefault="00123B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4D010039" w:rsidR="00405E37" w:rsidRPr="0020417D" w:rsidRDefault="00C00D37">
    <w:pPr>
      <w:pStyle w:val="Footer"/>
      <w:tabs>
        <w:tab w:val="right" w:pos="9638"/>
      </w:tabs>
      <w:rPr>
        <w:sz w:val="18"/>
      </w:rPr>
    </w:pPr>
    <w:r w:rsidRPr="0020417D">
      <w:rPr>
        <w:b/>
        <w:sz w:val="18"/>
      </w:rPr>
      <w:fldChar w:fldCharType="begin"/>
    </w:r>
    <w:r w:rsidRPr="0020417D">
      <w:rPr>
        <w:b/>
        <w:sz w:val="18"/>
      </w:rPr>
      <w:instrText xml:space="preserve"> PAGE  \* MERGEFORMAT </w:instrText>
    </w:r>
    <w:r w:rsidRPr="0020417D">
      <w:rPr>
        <w:b/>
        <w:sz w:val="18"/>
      </w:rPr>
      <w:fldChar w:fldCharType="separate"/>
    </w:r>
    <w:r>
      <w:rPr>
        <w:b/>
        <w:noProof/>
        <w:sz w:val="18"/>
      </w:rPr>
      <w:t>56</w:t>
    </w:r>
    <w:r w:rsidRPr="0020417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3B711C97" w:rsidR="00405E37" w:rsidRPr="0020417D" w:rsidRDefault="00C00D37">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7220671D" w:rsidR="00405E37" w:rsidRPr="009C6390" w:rsidRDefault="00C00D37">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0AED" w14:textId="77777777" w:rsidR="00123B66" w:rsidRDefault="00123B66" w:rsidP="002E0688">
      <w:pPr>
        <w:spacing w:line="240" w:lineRule="auto"/>
      </w:pPr>
      <w:r>
        <w:separator/>
      </w:r>
    </w:p>
  </w:footnote>
  <w:footnote w:type="continuationSeparator" w:id="0">
    <w:p w14:paraId="6284BEA1" w14:textId="77777777" w:rsidR="00123B66" w:rsidRDefault="00123B66" w:rsidP="002E0688">
      <w:pPr>
        <w:spacing w:line="240" w:lineRule="auto"/>
      </w:pPr>
      <w:r>
        <w:continuationSeparator/>
      </w:r>
    </w:p>
  </w:footnote>
  <w:footnote w:type="continuationNotice" w:id="1">
    <w:p w14:paraId="131455CE" w14:textId="77777777" w:rsidR="00123B66" w:rsidRDefault="00123B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405E37"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B3D9D" w14:paraId="591B6A51" w14:textId="77777777" w:rsidTr="00AB3D9D">
      <w:tc>
        <w:tcPr>
          <w:tcW w:w="4814" w:type="dxa"/>
        </w:tcPr>
        <w:p w14:paraId="3262AFB4" w14:textId="58E00D04" w:rsidR="00AB3D9D" w:rsidRPr="008A4194" w:rsidRDefault="00AB3D9D" w:rsidP="007A5E0A">
          <w:pPr>
            <w:pStyle w:val="Header"/>
            <w:pBdr>
              <w:bottom w:val="none" w:sz="0" w:space="0" w:color="auto"/>
            </w:pBdr>
            <w:rPr>
              <w:b w:val="0"/>
              <w:bCs/>
              <w:sz w:val="20"/>
              <w:lang w:val="en-US"/>
            </w:rPr>
          </w:pPr>
          <w:r w:rsidRPr="008A4194">
            <w:rPr>
              <w:b w:val="0"/>
              <w:bCs/>
              <w:sz w:val="20"/>
              <w:lang w:val="en-US"/>
            </w:rPr>
            <w:t xml:space="preserve">Submitted by the experts </w:t>
          </w:r>
          <w:r w:rsidR="007A5E0A" w:rsidRPr="008A4194">
            <w:rPr>
              <w:b w:val="0"/>
              <w:bCs/>
              <w:sz w:val="20"/>
              <w:lang w:val="en-US"/>
            </w:rPr>
            <w:br/>
          </w:r>
          <w:r w:rsidRPr="008A4194">
            <w:rPr>
              <w:b w:val="0"/>
              <w:bCs/>
              <w:sz w:val="20"/>
              <w:lang w:val="en-US"/>
            </w:rPr>
            <w:t xml:space="preserve">from </w:t>
          </w:r>
          <w:r w:rsidR="00AE28CD" w:rsidRPr="008A4194">
            <w:rPr>
              <w:b w:val="0"/>
              <w:bCs/>
              <w:sz w:val="20"/>
              <w:lang w:val="en-US"/>
            </w:rPr>
            <w:t xml:space="preserve">CLEPA and </w:t>
          </w:r>
          <w:r w:rsidRPr="008A4194">
            <w:rPr>
              <w:b w:val="0"/>
              <w:bCs/>
              <w:sz w:val="20"/>
              <w:lang w:val="en-US"/>
            </w:rPr>
            <w:t>OICA</w:t>
          </w:r>
        </w:p>
      </w:tc>
      <w:tc>
        <w:tcPr>
          <w:tcW w:w="4815" w:type="dxa"/>
        </w:tcPr>
        <w:p w14:paraId="0EFB4890" w14:textId="48F3362F" w:rsidR="00AB3D9D" w:rsidRPr="008A4194" w:rsidRDefault="00AB3D9D" w:rsidP="007A5E0A">
          <w:pPr>
            <w:pStyle w:val="Header"/>
            <w:pBdr>
              <w:bottom w:val="none" w:sz="0" w:space="0" w:color="auto"/>
            </w:pBdr>
            <w:ind w:left="1175"/>
            <w:rPr>
              <w:b w:val="0"/>
              <w:bCs/>
              <w:sz w:val="20"/>
              <w:lang w:val="en-US"/>
            </w:rPr>
          </w:pPr>
          <w:r w:rsidRPr="008A4194">
            <w:rPr>
              <w:b w:val="0"/>
              <w:bCs/>
              <w:sz w:val="20"/>
              <w:u w:val="single"/>
              <w:lang w:val="en-US"/>
            </w:rPr>
            <w:t>Informal document</w:t>
          </w:r>
          <w:r w:rsidRPr="008A4194">
            <w:rPr>
              <w:b w:val="0"/>
              <w:bCs/>
              <w:sz w:val="20"/>
              <w:lang w:val="en-US"/>
            </w:rPr>
            <w:t xml:space="preserve"> </w:t>
          </w:r>
          <w:r w:rsidRPr="008A4194">
            <w:rPr>
              <w:sz w:val="20"/>
              <w:lang w:val="en-US"/>
            </w:rPr>
            <w:t>GRVA</w:t>
          </w:r>
          <w:r w:rsidR="00AE28CD" w:rsidRPr="008A4194">
            <w:rPr>
              <w:sz w:val="20"/>
              <w:lang w:val="en-US"/>
            </w:rPr>
            <w:t>-16-</w:t>
          </w:r>
          <w:r w:rsidR="00727A17" w:rsidRPr="008A4194">
            <w:rPr>
              <w:sz w:val="20"/>
              <w:lang w:val="en-US"/>
            </w:rPr>
            <w:t>23</w:t>
          </w:r>
          <w:r w:rsidR="005C5D67">
            <w:rPr>
              <w:sz w:val="20"/>
              <w:lang w:val="en-US"/>
            </w:rPr>
            <w:t>/R</w:t>
          </w:r>
          <w:r w:rsidR="0052588D">
            <w:rPr>
              <w:sz w:val="20"/>
              <w:lang w:val="en-US"/>
            </w:rPr>
            <w:t>ev</w:t>
          </w:r>
          <w:r w:rsidR="005C5D67">
            <w:rPr>
              <w:sz w:val="20"/>
              <w:lang w:val="en-US"/>
            </w:rPr>
            <w:t>.</w:t>
          </w:r>
          <w:r w:rsidR="0052588D">
            <w:rPr>
              <w:sz w:val="20"/>
              <w:lang w:val="en-US"/>
            </w:rPr>
            <w:t>1</w:t>
          </w:r>
          <w:r w:rsidRPr="008A4194">
            <w:rPr>
              <w:b w:val="0"/>
              <w:bCs/>
              <w:sz w:val="20"/>
              <w:lang w:val="en-US"/>
            </w:rPr>
            <w:br/>
          </w:r>
          <w:r w:rsidR="00773FAA" w:rsidRPr="008A4194">
            <w:rPr>
              <w:b w:val="0"/>
              <w:bCs/>
              <w:sz w:val="20"/>
              <w:lang w:val="en-US"/>
            </w:rPr>
            <w:t>1</w:t>
          </w:r>
          <w:r w:rsidR="00AE28CD" w:rsidRPr="008A4194">
            <w:rPr>
              <w:b w:val="0"/>
              <w:bCs/>
              <w:sz w:val="20"/>
              <w:lang w:val="en-US"/>
            </w:rPr>
            <w:t>6</w:t>
          </w:r>
          <w:r w:rsidR="004344AC" w:rsidRPr="008A4194">
            <w:rPr>
              <w:b w:val="0"/>
              <w:bCs/>
              <w:sz w:val="20"/>
              <w:vertAlign w:val="superscript"/>
              <w:lang w:val="en-US"/>
            </w:rPr>
            <w:t>th</w:t>
          </w:r>
          <w:r w:rsidR="000720DF" w:rsidRPr="008A4194">
            <w:rPr>
              <w:b w:val="0"/>
              <w:bCs/>
              <w:sz w:val="20"/>
              <w:lang w:val="en-US"/>
            </w:rPr>
            <w:t xml:space="preserve"> </w:t>
          </w:r>
          <w:r w:rsidR="004344AC" w:rsidRPr="008A4194">
            <w:rPr>
              <w:b w:val="0"/>
              <w:bCs/>
              <w:sz w:val="20"/>
              <w:lang w:val="en-US"/>
            </w:rPr>
            <w:t xml:space="preserve">GRVA, </w:t>
          </w:r>
          <w:r w:rsidR="00AE28CD" w:rsidRPr="008A4194">
            <w:rPr>
              <w:b w:val="0"/>
              <w:bCs/>
              <w:sz w:val="20"/>
              <w:lang w:val="en-US"/>
            </w:rPr>
            <w:t>22-26 May</w:t>
          </w:r>
          <w:r w:rsidR="00D54D0A" w:rsidRPr="008A4194">
            <w:rPr>
              <w:b w:val="0"/>
              <w:bCs/>
              <w:sz w:val="20"/>
              <w:lang w:val="en-US"/>
            </w:rPr>
            <w:t xml:space="preserve"> 2023</w:t>
          </w:r>
          <w:r w:rsidR="00727A17" w:rsidRPr="008A4194">
            <w:rPr>
              <w:b w:val="0"/>
              <w:bCs/>
              <w:sz w:val="20"/>
              <w:lang w:val="en-US"/>
            </w:rPr>
            <w:br/>
            <w:t>Provisional agenda item 8(a)</w:t>
          </w:r>
        </w:p>
      </w:tc>
    </w:tr>
  </w:tbl>
  <w:p w14:paraId="5D422E78" w14:textId="77777777"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4"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5" w15:restartNumberingAfterBreak="0">
    <w:nsid w:val="665E01E3"/>
    <w:multiLevelType w:val="multilevel"/>
    <w:tmpl w:val="06E0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B37D98"/>
    <w:multiLevelType w:val="hybridMultilevel"/>
    <w:tmpl w:val="36C446DE"/>
    <w:lvl w:ilvl="0" w:tplc="002278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0542543">
    <w:abstractNumId w:val="0"/>
  </w:num>
  <w:num w:numId="2" w16cid:durableId="208699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1363957">
    <w:abstractNumId w:val="2"/>
  </w:num>
  <w:num w:numId="4" w16cid:durableId="1731534288">
    <w:abstractNumId w:val="1"/>
  </w:num>
  <w:num w:numId="5" w16cid:durableId="897787506">
    <w:abstractNumId w:val="2"/>
    <w:lvlOverride w:ilvl="0">
      <w:startOverride w:val="1"/>
    </w:lvlOverride>
  </w:num>
  <w:num w:numId="6" w16cid:durableId="21982693">
    <w:abstractNumId w:val="3"/>
  </w:num>
  <w:num w:numId="7" w16cid:durableId="1188057397">
    <w:abstractNumId w:val="4"/>
  </w:num>
  <w:num w:numId="8" w16cid:durableId="682828874">
    <w:abstractNumId w:val="6"/>
  </w:num>
  <w:num w:numId="9" w16cid:durableId="113760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16355"/>
    <w:rsid w:val="000403ED"/>
    <w:rsid w:val="00057531"/>
    <w:rsid w:val="00066CBA"/>
    <w:rsid w:val="000720DF"/>
    <w:rsid w:val="00072632"/>
    <w:rsid w:val="00073D95"/>
    <w:rsid w:val="00082AC4"/>
    <w:rsid w:val="00091AB1"/>
    <w:rsid w:val="000933C3"/>
    <w:rsid w:val="0009413C"/>
    <w:rsid w:val="00094ADB"/>
    <w:rsid w:val="000A7919"/>
    <w:rsid w:val="000B360B"/>
    <w:rsid w:val="000B53E1"/>
    <w:rsid w:val="000D6538"/>
    <w:rsid w:val="000D689C"/>
    <w:rsid w:val="000E169C"/>
    <w:rsid w:val="000F229A"/>
    <w:rsid w:val="00113985"/>
    <w:rsid w:val="00113B9B"/>
    <w:rsid w:val="00121AD8"/>
    <w:rsid w:val="00123B66"/>
    <w:rsid w:val="0013108A"/>
    <w:rsid w:val="001543F3"/>
    <w:rsid w:val="00164686"/>
    <w:rsid w:val="00171456"/>
    <w:rsid w:val="00186DD0"/>
    <w:rsid w:val="00194900"/>
    <w:rsid w:val="001A410B"/>
    <w:rsid w:val="001B36E7"/>
    <w:rsid w:val="001D6968"/>
    <w:rsid w:val="001E762B"/>
    <w:rsid w:val="001F6B5A"/>
    <w:rsid w:val="00223BE9"/>
    <w:rsid w:val="0025562C"/>
    <w:rsid w:val="002629D3"/>
    <w:rsid w:val="00273BDC"/>
    <w:rsid w:val="00273D15"/>
    <w:rsid w:val="002A0936"/>
    <w:rsid w:val="002A3989"/>
    <w:rsid w:val="002C6C3A"/>
    <w:rsid w:val="002C76D5"/>
    <w:rsid w:val="002E0688"/>
    <w:rsid w:val="002E44C5"/>
    <w:rsid w:val="003010DA"/>
    <w:rsid w:val="00321184"/>
    <w:rsid w:val="00331E28"/>
    <w:rsid w:val="00350EA2"/>
    <w:rsid w:val="00361D95"/>
    <w:rsid w:val="00396853"/>
    <w:rsid w:val="003B73C4"/>
    <w:rsid w:val="003D1997"/>
    <w:rsid w:val="003E193D"/>
    <w:rsid w:val="00405E37"/>
    <w:rsid w:val="004140FA"/>
    <w:rsid w:val="00414779"/>
    <w:rsid w:val="004151D8"/>
    <w:rsid w:val="004344AC"/>
    <w:rsid w:val="004378FE"/>
    <w:rsid w:val="0044547E"/>
    <w:rsid w:val="00446AF1"/>
    <w:rsid w:val="0048732E"/>
    <w:rsid w:val="0049701A"/>
    <w:rsid w:val="004A544F"/>
    <w:rsid w:val="004C1DD5"/>
    <w:rsid w:val="004C2D83"/>
    <w:rsid w:val="004C5BFA"/>
    <w:rsid w:val="004D25C7"/>
    <w:rsid w:val="004D5A51"/>
    <w:rsid w:val="004D631E"/>
    <w:rsid w:val="004E4ACF"/>
    <w:rsid w:val="00511C65"/>
    <w:rsid w:val="00515042"/>
    <w:rsid w:val="005159FF"/>
    <w:rsid w:val="00523FB0"/>
    <w:rsid w:val="0052588D"/>
    <w:rsid w:val="00536B80"/>
    <w:rsid w:val="00536F27"/>
    <w:rsid w:val="00541278"/>
    <w:rsid w:val="00542759"/>
    <w:rsid w:val="005438B8"/>
    <w:rsid w:val="00550EC0"/>
    <w:rsid w:val="005510F1"/>
    <w:rsid w:val="00551B7F"/>
    <w:rsid w:val="00585A3B"/>
    <w:rsid w:val="005B07EA"/>
    <w:rsid w:val="005C5D67"/>
    <w:rsid w:val="005D1F0F"/>
    <w:rsid w:val="005F2072"/>
    <w:rsid w:val="00606DF2"/>
    <w:rsid w:val="006119E2"/>
    <w:rsid w:val="00616C9D"/>
    <w:rsid w:val="00656EAB"/>
    <w:rsid w:val="00675265"/>
    <w:rsid w:val="00676EC8"/>
    <w:rsid w:val="006A4549"/>
    <w:rsid w:val="006A6445"/>
    <w:rsid w:val="006B1E19"/>
    <w:rsid w:val="006C5EC6"/>
    <w:rsid w:val="006D4A52"/>
    <w:rsid w:val="006D6679"/>
    <w:rsid w:val="00715FFC"/>
    <w:rsid w:val="00727A17"/>
    <w:rsid w:val="007437E9"/>
    <w:rsid w:val="007650BA"/>
    <w:rsid w:val="00772E61"/>
    <w:rsid w:val="00773FAA"/>
    <w:rsid w:val="007802BB"/>
    <w:rsid w:val="007A5E0A"/>
    <w:rsid w:val="007A6AE6"/>
    <w:rsid w:val="007A7AD7"/>
    <w:rsid w:val="007D24A3"/>
    <w:rsid w:val="007D4F99"/>
    <w:rsid w:val="0080168F"/>
    <w:rsid w:val="00822E71"/>
    <w:rsid w:val="00856216"/>
    <w:rsid w:val="00875061"/>
    <w:rsid w:val="00892B8A"/>
    <w:rsid w:val="00893D9E"/>
    <w:rsid w:val="008A4194"/>
    <w:rsid w:val="008B58EC"/>
    <w:rsid w:val="008C0D2B"/>
    <w:rsid w:val="008C6847"/>
    <w:rsid w:val="008D39E1"/>
    <w:rsid w:val="00904280"/>
    <w:rsid w:val="00917747"/>
    <w:rsid w:val="009245A7"/>
    <w:rsid w:val="009278C1"/>
    <w:rsid w:val="00961056"/>
    <w:rsid w:val="00981F0F"/>
    <w:rsid w:val="00987405"/>
    <w:rsid w:val="00990F89"/>
    <w:rsid w:val="00992B68"/>
    <w:rsid w:val="009A6B3B"/>
    <w:rsid w:val="009B2178"/>
    <w:rsid w:val="009D3797"/>
    <w:rsid w:val="009D3FE4"/>
    <w:rsid w:val="009D7308"/>
    <w:rsid w:val="009F21E1"/>
    <w:rsid w:val="00A05328"/>
    <w:rsid w:val="00A11D0E"/>
    <w:rsid w:val="00A21BB5"/>
    <w:rsid w:val="00A51910"/>
    <w:rsid w:val="00A55E89"/>
    <w:rsid w:val="00A63F6A"/>
    <w:rsid w:val="00A65FCD"/>
    <w:rsid w:val="00A70DBE"/>
    <w:rsid w:val="00A7617C"/>
    <w:rsid w:val="00A770CF"/>
    <w:rsid w:val="00A80F2C"/>
    <w:rsid w:val="00A82537"/>
    <w:rsid w:val="00AB1E41"/>
    <w:rsid w:val="00AB3D9D"/>
    <w:rsid w:val="00AD71F1"/>
    <w:rsid w:val="00AE28CD"/>
    <w:rsid w:val="00AE41A0"/>
    <w:rsid w:val="00AE4464"/>
    <w:rsid w:val="00AE6719"/>
    <w:rsid w:val="00AF5D12"/>
    <w:rsid w:val="00AF620E"/>
    <w:rsid w:val="00AF7B2E"/>
    <w:rsid w:val="00B02A1D"/>
    <w:rsid w:val="00B10A63"/>
    <w:rsid w:val="00B10B70"/>
    <w:rsid w:val="00B122AA"/>
    <w:rsid w:val="00B23F67"/>
    <w:rsid w:val="00B725B6"/>
    <w:rsid w:val="00B74BE2"/>
    <w:rsid w:val="00B84096"/>
    <w:rsid w:val="00B9186F"/>
    <w:rsid w:val="00B95A5C"/>
    <w:rsid w:val="00BB2398"/>
    <w:rsid w:val="00BB35E1"/>
    <w:rsid w:val="00BC03B4"/>
    <w:rsid w:val="00C00D37"/>
    <w:rsid w:val="00C101CD"/>
    <w:rsid w:val="00C242EA"/>
    <w:rsid w:val="00C43FD1"/>
    <w:rsid w:val="00C61F86"/>
    <w:rsid w:val="00C73A0C"/>
    <w:rsid w:val="00C76EAD"/>
    <w:rsid w:val="00C85DCC"/>
    <w:rsid w:val="00C86BDE"/>
    <w:rsid w:val="00C93892"/>
    <w:rsid w:val="00C956BD"/>
    <w:rsid w:val="00CA505F"/>
    <w:rsid w:val="00CD72CE"/>
    <w:rsid w:val="00CD7A1A"/>
    <w:rsid w:val="00CF3148"/>
    <w:rsid w:val="00CF6A29"/>
    <w:rsid w:val="00D133B6"/>
    <w:rsid w:val="00D151A1"/>
    <w:rsid w:val="00D15AE5"/>
    <w:rsid w:val="00D518DD"/>
    <w:rsid w:val="00D54D0A"/>
    <w:rsid w:val="00D63892"/>
    <w:rsid w:val="00D80732"/>
    <w:rsid w:val="00D820D4"/>
    <w:rsid w:val="00D91742"/>
    <w:rsid w:val="00DA581C"/>
    <w:rsid w:val="00DA5E0D"/>
    <w:rsid w:val="00DA6F3C"/>
    <w:rsid w:val="00DC48B8"/>
    <w:rsid w:val="00DD7462"/>
    <w:rsid w:val="00DE09D9"/>
    <w:rsid w:val="00E042F5"/>
    <w:rsid w:val="00E257D7"/>
    <w:rsid w:val="00E27EEA"/>
    <w:rsid w:val="00E3406C"/>
    <w:rsid w:val="00E47966"/>
    <w:rsid w:val="00E56137"/>
    <w:rsid w:val="00E56C82"/>
    <w:rsid w:val="00E65604"/>
    <w:rsid w:val="00E67684"/>
    <w:rsid w:val="00E736B2"/>
    <w:rsid w:val="00E82BF7"/>
    <w:rsid w:val="00E84F01"/>
    <w:rsid w:val="00E85490"/>
    <w:rsid w:val="00E93A4E"/>
    <w:rsid w:val="00EB7B29"/>
    <w:rsid w:val="00ED1C89"/>
    <w:rsid w:val="00ED44E2"/>
    <w:rsid w:val="00EF50EF"/>
    <w:rsid w:val="00F00E78"/>
    <w:rsid w:val="00F034A5"/>
    <w:rsid w:val="00F14014"/>
    <w:rsid w:val="00F208FE"/>
    <w:rsid w:val="00F255F8"/>
    <w:rsid w:val="00F62131"/>
    <w:rsid w:val="00F62DE3"/>
    <w:rsid w:val="00F64C65"/>
    <w:rsid w:val="00FA7145"/>
    <w:rsid w:val="00FC0760"/>
    <w:rsid w:val="00FE2D07"/>
    <w:rsid w:val="00FF04C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8DF6ED8-0DC0-429F-988E-97A7FAFE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paragraph" w:styleId="Revision">
    <w:name w:val="Revision"/>
    <w:hidden/>
    <w:uiPriority w:val="99"/>
    <w:semiHidden/>
    <w:rsid w:val="00904280"/>
    <w:pPr>
      <w:spacing w:after="0" w:line="240" w:lineRule="auto"/>
    </w:pPr>
    <w:rPr>
      <w:rFonts w:ascii="Times New Roman" w:eastAsia="Times New Roman" w:hAnsi="Times New Roman" w:cs="Times New Roman"/>
      <w:sz w:val="20"/>
      <w:szCs w:val="20"/>
      <w:lang w:val="en-GB"/>
    </w:rPr>
  </w:style>
  <w:style w:type="paragraph" w:customStyle="1" w:styleId="xmsonormal">
    <w:name w:val="x_msonormal"/>
    <w:basedOn w:val="Normal"/>
    <w:rsid w:val="008B58EC"/>
    <w:pPr>
      <w:suppressAutoHyphens w:val="0"/>
      <w:spacing w:line="240" w:lineRule="auto"/>
    </w:pPr>
    <w:rPr>
      <w:rFonts w:ascii="Calibri" w:eastAsiaTheme="minorHAnsi" w:hAnsi="Calibri" w:cs="Calibri"/>
      <w:sz w:val="22"/>
      <w:szCs w:val="22"/>
      <w:lang w:val="fr-FR" w:eastAsia="fr-FR"/>
    </w:rPr>
  </w:style>
  <w:style w:type="paragraph" w:customStyle="1" w:styleId="xmsolistparagraph">
    <w:name w:val="x_msolistparagraph"/>
    <w:basedOn w:val="Normal"/>
    <w:rsid w:val="008B58EC"/>
    <w:pPr>
      <w:suppressAutoHyphens w:val="0"/>
      <w:ind w:left="720"/>
    </w:pPr>
    <w:rPr>
      <w:rFonts w:eastAsiaTheme="minorHAns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022">
      <w:bodyDiv w:val="1"/>
      <w:marLeft w:val="0"/>
      <w:marRight w:val="0"/>
      <w:marTop w:val="0"/>
      <w:marBottom w:val="0"/>
      <w:divBdr>
        <w:top w:val="none" w:sz="0" w:space="0" w:color="auto"/>
        <w:left w:val="none" w:sz="0" w:space="0" w:color="auto"/>
        <w:bottom w:val="none" w:sz="0" w:space="0" w:color="auto"/>
        <w:right w:val="none" w:sz="0" w:space="0" w:color="auto"/>
      </w:divBdr>
    </w:div>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495414346">
      <w:bodyDiv w:val="1"/>
      <w:marLeft w:val="0"/>
      <w:marRight w:val="0"/>
      <w:marTop w:val="0"/>
      <w:marBottom w:val="0"/>
      <w:divBdr>
        <w:top w:val="none" w:sz="0" w:space="0" w:color="auto"/>
        <w:left w:val="none" w:sz="0" w:space="0" w:color="auto"/>
        <w:bottom w:val="none" w:sz="0" w:space="0" w:color="auto"/>
        <w:right w:val="none" w:sz="0" w:space="0" w:color="auto"/>
      </w:divBdr>
    </w:div>
    <w:div w:id="63559926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1333945903">
      <w:bodyDiv w:val="1"/>
      <w:marLeft w:val="0"/>
      <w:marRight w:val="0"/>
      <w:marTop w:val="0"/>
      <w:marBottom w:val="0"/>
      <w:divBdr>
        <w:top w:val="none" w:sz="0" w:space="0" w:color="auto"/>
        <w:left w:val="none" w:sz="0" w:space="0" w:color="auto"/>
        <w:bottom w:val="none" w:sz="0" w:space="0" w:color="auto"/>
        <w:right w:val="none" w:sz="0" w:space="0" w:color="auto"/>
      </w:divBdr>
    </w:div>
    <w:div w:id="16403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E1524-89FC-4FE9-8700-52492B93813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CE7CF1E-95EC-45BB-B9A4-5542FEF6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1BAE5-266B-40B8-9C5D-2DE4B9FE5308}">
  <ds:schemaRefs>
    <ds:schemaRef ds:uri="http://schemas.microsoft.com/sharepoint/v3/contenttype/forms"/>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551</Words>
  <Characters>3141</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BOSCH Group</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Laura Mueller</cp:lastModifiedBy>
  <cp:revision>11</cp:revision>
  <cp:lastPrinted>2019-02-15T08:27:00Z</cp:lastPrinted>
  <dcterms:created xsi:type="dcterms:W3CDTF">2023-05-24T15:17:00Z</dcterms:created>
  <dcterms:modified xsi:type="dcterms:W3CDTF">2023-05-25T07:37:00Z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0x010100E7F47D3A739985428A23AAE2EAA3CCE5</vt:lpwstr>
  </property>
  <property fmtid="{D5CDD505-2E9C-101B-9397-08002B2CF9AE}" pid="3" name="MSIP_Label_fd1c0902-ed92-4fed-896d-2e7725de02d4_SetDate">
    <vt:lpwstr>2023-01-26T16:45:38Z</vt:lpwstr>
  </property>
  <property fmtid="{D5CDD505-2E9C-101B-9397-08002B2CF9AE}" pid="4" name="MSIP_Label_fd1c0902-ed92-4fed-896d-2e7725de02d4_Name">
    <vt:lpwstr>Anyone (not protected)</vt:lpwstr>
  </property>
  <property fmtid="{D5CDD505-2E9C-101B-9397-08002B2CF9AE}" pid="5" name="MSIP_Label_fd1c0902-ed92-4fed-896d-2e7725de02d4_ActionId">
    <vt:lpwstr>8a0d722e-6798-4b65-93b4-b017778df772</vt:lpwstr>
  </property>
  <property fmtid="{D5CDD505-2E9C-101B-9397-08002B2CF9AE}" pid="6" name="MSIP_Label_fd1c0902-ed92-4fed-896d-2e7725de02d4_ContentBits">
    <vt:lpwstr>2</vt:lpwstr>
  </property>
  <property fmtid="{D5CDD505-2E9C-101B-9397-08002B2CF9AE}" pid="7" name="MSIP_Label_7f30fc12-c89a-4829-a476-5bf9e2086332_Enabled">
    <vt:lpwstr>true</vt:lpwstr>
  </property>
  <property fmtid="{D5CDD505-2E9C-101B-9397-08002B2CF9AE}" pid="8" name="MSIP_Label_7f30fc12-c89a-4829-a476-5bf9e2086332_SetDate">
    <vt:lpwstr>2023-04-27T07:41:12Z</vt:lpwstr>
  </property>
  <property fmtid="{D5CDD505-2E9C-101B-9397-08002B2CF9AE}" pid="9" name="MSIP_Label_7f30fc12-c89a-4829-a476-5bf9e2086332_Method">
    <vt:lpwstr>Privileged</vt:lpwstr>
  </property>
  <property fmtid="{D5CDD505-2E9C-101B-9397-08002B2CF9AE}" pid="10" name="MSIP_Label_7f30fc12-c89a-4829-a476-5bf9e2086332_Name">
    <vt:lpwstr>Not protected (Anyone)_0</vt:lpwstr>
  </property>
  <property fmtid="{D5CDD505-2E9C-101B-9397-08002B2CF9AE}" pid="11" name="MSIP_Label_7f30fc12-c89a-4829-a476-5bf9e2086332_SiteId">
    <vt:lpwstr>d6b0bbee-7cd9-4d60-bce6-4a67b543e2ae</vt:lpwstr>
  </property>
  <property fmtid="{D5CDD505-2E9C-101B-9397-08002B2CF9AE}" pid="12" name="MSIP_Label_7f30fc12-c89a-4829-a476-5bf9e2086332_ActionId">
    <vt:lpwstr>25fa7afe-ac78-4845-a4ed-d7db9f07f9b5</vt:lpwstr>
  </property>
  <property fmtid="{D5CDD505-2E9C-101B-9397-08002B2CF9AE}" pid="13" name="MSIP_Label_7f30fc12-c89a-4829-a476-5bf9e2086332_ContentBits">
    <vt:lpwstr>0</vt:lpwstr>
  </property>
  <property fmtid="{D5CDD505-2E9C-101B-9397-08002B2CF9AE}" pid="14" name="MediaServiceImageTags">
    <vt:lpwstr/>
  </property>
  <property fmtid="{D5CDD505-2E9C-101B-9397-08002B2CF9AE}" pid="15" name="gba66df640194346a5267c50f24d4797">
    <vt:lpwstr/>
  </property>
  <property fmtid="{D5CDD505-2E9C-101B-9397-08002B2CF9AE}" pid="16" name="Office_x0020_of_x0020_Origin">
    <vt:lpwstr/>
  </property>
  <property fmtid="{D5CDD505-2E9C-101B-9397-08002B2CF9AE}" pid="17" name="Office of Origin">
    <vt:lpwstr/>
  </property>
</Properties>
</file>