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31ED" w14:textId="3E71DD1E" w:rsidR="00C46AB5" w:rsidRDefault="00C46AB5" w:rsidP="00C46AB5">
      <w:pPr>
        <w:pStyle w:val="HChG"/>
        <w:spacing w:before="0"/>
        <w:ind w:firstLine="0"/>
        <w:jc w:val="center"/>
        <w:rPr>
          <w:lang w:val="en-GB"/>
        </w:rPr>
      </w:pPr>
      <w:r w:rsidRPr="00C46AB5">
        <w:rPr>
          <w:lang w:val="en-GB"/>
        </w:rPr>
        <w:t xml:space="preserve">Assessment of UN Regulations under the purview of GRVA with regards to </w:t>
      </w:r>
      <w:r>
        <w:rPr>
          <w:lang w:val="en-GB"/>
        </w:rPr>
        <w:t xml:space="preserve">the use of the </w:t>
      </w:r>
      <w:r w:rsidRPr="000355BF">
        <w:t xml:space="preserve">Unique Identifier </w:t>
      </w:r>
      <w:r>
        <w:t>(</w:t>
      </w:r>
      <w:r w:rsidRPr="00C46AB5">
        <w:rPr>
          <w:lang w:val="en-GB"/>
        </w:rPr>
        <w:t>UI</w:t>
      </w:r>
      <w:r>
        <w:rPr>
          <w:lang w:val="en-GB"/>
        </w:rPr>
        <w:t>)</w:t>
      </w:r>
    </w:p>
    <w:p w14:paraId="313CA3FD" w14:textId="12C38AE6" w:rsidR="00C46AB5" w:rsidRPr="00C46AB5" w:rsidRDefault="00C46AB5" w:rsidP="00C46AB5">
      <w:pPr>
        <w:pStyle w:val="SingleTxtG"/>
        <w:ind w:right="567"/>
      </w:pPr>
      <w:r w:rsidRPr="00C46AB5">
        <w:rPr>
          <w:i/>
          <w:iCs/>
        </w:rPr>
        <w:t xml:space="preserve">Note: </w:t>
      </w:r>
      <w:r w:rsidRPr="00C46AB5">
        <w:t xml:space="preserve">This document </w:t>
      </w:r>
      <w:r w:rsidR="005E0518">
        <w:t>wa</w:t>
      </w:r>
      <w:r w:rsidRPr="00C46AB5">
        <w:t xml:space="preserve">s prepared </w:t>
      </w:r>
      <w:r w:rsidR="005E0518">
        <w:t xml:space="preserve">by the expert from the Russian Federation </w:t>
      </w:r>
      <w:proofErr w:type="gramStart"/>
      <w:r w:rsidR="005E0518">
        <w:t>as a result of</w:t>
      </w:r>
      <w:proofErr w:type="gramEnd"/>
      <w:r w:rsidR="005E0518">
        <w:t xml:space="preserve"> the consultations with the secretariat and experts of CITA, CLEPA and OICA, </w:t>
      </w:r>
      <w:r w:rsidR="005E0518" w:rsidRPr="00C46AB5">
        <w:t>following the invitation of the I</w:t>
      </w:r>
      <w:r w:rsidR="00257EC9">
        <w:t>nformal Working Group (I</w:t>
      </w:r>
      <w:r w:rsidR="005E0518" w:rsidRPr="00C46AB5">
        <w:t>WG</w:t>
      </w:r>
      <w:r w:rsidR="00257EC9">
        <w:t>)</w:t>
      </w:r>
      <w:r w:rsidR="005E0518" w:rsidRPr="00C46AB5">
        <w:t xml:space="preserve"> on</w:t>
      </w:r>
      <w:r w:rsidR="00B94C7B">
        <w:t xml:space="preserve"> the</w:t>
      </w:r>
      <w:r w:rsidR="00B94C7B" w:rsidRPr="00B94C7B">
        <w:t xml:space="preserve"> </w:t>
      </w:r>
      <w:r w:rsidR="00B94C7B" w:rsidRPr="00B94C7B">
        <w:t>Database for the Exchange of Type-Approval Documentation</w:t>
      </w:r>
      <w:r w:rsidR="005E0518" w:rsidRPr="00C46AB5">
        <w:t xml:space="preserve"> </w:t>
      </w:r>
      <w:r w:rsidR="00B94C7B">
        <w:t>(</w:t>
      </w:r>
      <w:r w:rsidR="005E0518" w:rsidRPr="00C46AB5">
        <w:t>DETA</w:t>
      </w:r>
      <w:r w:rsidR="00B94C7B">
        <w:t>)</w:t>
      </w:r>
      <w:r w:rsidR="005E0518" w:rsidRPr="00C46AB5">
        <w:t xml:space="preserve"> to the</w:t>
      </w:r>
      <w:r w:rsidR="00B94C7B">
        <w:t xml:space="preserve"> Working Parties (</w:t>
      </w:r>
      <w:r w:rsidR="005E0518" w:rsidRPr="00C46AB5">
        <w:t>GRs</w:t>
      </w:r>
      <w:r w:rsidR="00B94C7B">
        <w:t>)</w:t>
      </w:r>
      <w:r w:rsidR="005E0518" w:rsidRPr="00C46AB5">
        <w:t xml:space="preserve"> </w:t>
      </w:r>
      <w:r w:rsidR="005E0518">
        <w:t xml:space="preserve">to review the list of regulations under their purview. It is </w:t>
      </w:r>
      <w:r w:rsidRPr="00C46AB5">
        <w:t>based on GRVA-15-10 and GRVA 15-11</w:t>
      </w:r>
      <w:r w:rsidR="005E0518">
        <w:t>.</w:t>
      </w:r>
      <w:r w:rsidRPr="00C46AB5">
        <w:t xml:space="preserve"> </w:t>
      </w:r>
      <w:r w:rsidR="000C6F8E">
        <w:t>The layout of the table</w:t>
      </w:r>
      <w:r w:rsidR="00257EC9">
        <w:t xml:space="preserve"> is</w:t>
      </w:r>
      <w:r w:rsidR="000C6F8E">
        <w:t xml:space="preserve"> taken from DETA</w:t>
      </w:r>
      <w:r w:rsidR="00B94C7B">
        <w:noBreakHyphen/>
      </w:r>
      <w:r w:rsidR="000C6F8E">
        <w:t>45-07-rev.1.</w:t>
      </w:r>
    </w:p>
    <w:p w14:paraId="4BE22022" w14:textId="5FA5BF21" w:rsidR="00613D53" w:rsidRPr="00CC6CBD" w:rsidRDefault="009914B5" w:rsidP="00613D53">
      <w:pPr>
        <w:pStyle w:val="SingleTxtG"/>
        <w:jc w:val="left"/>
      </w:pPr>
      <w:r w:rsidRPr="00405791">
        <w:rPr>
          <w:lang w:val="en-GB"/>
        </w:rPr>
        <w:tab/>
      </w:r>
    </w:p>
    <w:tbl>
      <w:tblPr>
        <w:tblStyle w:val="TableGrid"/>
        <w:tblW w:w="9356" w:type="dxa"/>
        <w:tblLook w:val="04A0" w:firstRow="1" w:lastRow="0" w:firstColumn="1" w:lastColumn="0" w:noHBand="0" w:noVBand="1"/>
      </w:tblPr>
      <w:tblGrid>
        <w:gridCol w:w="1073"/>
        <w:gridCol w:w="806"/>
        <w:gridCol w:w="2108"/>
        <w:gridCol w:w="849"/>
        <w:gridCol w:w="2119"/>
        <w:gridCol w:w="2401"/>
      </w:tblGrid>
      <w:tr w:rsidR="00960092" w:rsidRPr="00613D53" w14:paraId="4668968B" w14:textId="77777777" w:rsidTr="000C6F8E">
        <w:trPr>
          <w:cantSplit/>
          <w:tblHeader/>
        </w:trPr>
        <w:tc>
          <w:tcPr>
            <w:tcW w:w="1073" w:type="dxa"/>
            <w:tcBorders>
              <w:top w:val="nil"/>
              <w:left w:val="nil"/>
              <w:bottom w:val="single" w:sz="4" w:space="0" w:color="auto"/>
              <w:right w:val="single" w:sz="4" w:space="0" w:color="auto"/>
            </w:tcBorders>
          </w:tcPr>
          <w:p w14:paraId="68F1712D" w14:textId="03941CCE" w:rsidR="00960092" w:rsidRPr="00613D53" w:rsidRDefault="00960092" w:rsidP="0076734F">
            <w:pPr>
              <w:pStyle w:val="Roman8pt"/>
              <w:spacing w:before="10" w:after="10"/>
              <w:jc w:val="center"/>
              <w:rPr>
                <w:i/>
              </w:rPr>
            </w:pPr>
          </w:p>
        </w:tc>
        <w:tc>
          <w:tcPr>
            <w:tcW w:w="806" w:type="dxa"/>
            <w:tcBorders>
              <w:left w:val="single" w:sz="4" w:space="0" w:color="auto"/>
              <w:bottom w:val="single" w:sz="4" w:space="0" w:color="auto"/>
              <w:right w:val="single" w:sz="4" w:space="0" w:color="auto"/>
            </w:tcBorders>
          </w:tcPr>
          <w:p w14:paraId="118FAEC8" w14:textId="30ED5F38" w:rsidR="00960092" w:rsidRPr="00613D53" w:rsidRDefault="00960092" w:rsidP="008264D0">
            <w:pPr>
              <w:pStyle w:val="Roman8pt"/>
              <w:spacing w:before="10" w:after="10"/>
              <w:ind w:left="-114"/>
              <w:jc w:val="center"/>
              <w:rPr>
                <w:i/>
              </w:rPr>
            </w:pPr>
            <w:r w:rsidRPr="00613D53">
              <w:rPr>
                <w:i/>
              </w:rPr>
              <w:t>Use of UI prohibited</w:t>
            </w:r>
          </w:p>
        </w:tc>
        <w:tc>
          <w:tcPr>
            <w:tcW w:w="5076" w:type="dxa"/>
            <w:gridSpan w:val="3"/>
            <w:tcBorders>
              <w:left w:val="single" w:sz="4" w:space="0" w:color="auto"/>
              <w:bottom w:val="single" w:sz="4" w:space="0" w:color="auto"/>
              <w:right w:val="single" w:sz="4" w:space="0" w:color="auto"/>
            </w:tcBorders>
          </w:tcPr>
          <w:p w14:paraId="73C10F7D" w14:textId="399AECD4" w:rsidR="00960092" w:rsidRDefault="00960092" w:rsidP="008B2423">
            <w:pPr>
              <w:pStyle w:val="Roman8pt"/>
              <w:spacing w:before="10" w:after="10"/>
              <w:ind w:left="2"/>
              <w:jc w:val="center"/>
              <w:rPr>
                <w:i/>
              </w:rPr>
            </w:pPr>
            <w:r>
              <w:rPr>
                <w:i/>
              </w:rPr>
              <w:t xml:space="preserve">Use of UI possible </w:t>
            </w:r>
            <w:r>
              <w:rPr>
                <w:i/>
              </w:rPr>
              <w:br/>
            </w:r>
          </w:p>
        </w:tc>
        <w:tc>
          <w:tcPr>
            <w:tcW w:w="2401" w:type="dxa"/>
            <w:tcBorders>
              <w:left w:val="single" w:sz="4" w:space="0" w:color="auto"/>
              <w:bottom w:val="single" w:sz="4" w:space="0" w:color="auto"/>
              <w:right w:val="nil"/>
            </w:tcBorders>
          </w:tcPr>
          <w:p w14:paraId="507C2A1E" w14:textId="390485CC" w:rsidR="00960092" w:rsidRDefault="00BE7215" w:rsidP="0076734F">
            <w:pPr>
              <w:pStyle w:val="Roman8pt"/>
              <w:spacing w:before="10" w:after="10"/>
              <w:ind w:left="-1"/>
              <w:jc w:val="center"/>
              <w:rPr>
                <w:i/>
              </w:rPr>
            </w:pPr>
            <w:r>
              <w:rPr>
                <w:i/>
              </w:rPr>
              <w:t>Remarks</w:t>
            </w:r>
          </w:p>
        </w:tc>
      </w:tr>
      <w:tr w:rsidR="000C6F8E" w:rsidRPr="00613D53" w14:paraId="0A9BFCE9" w14:textId="77777777" w:rsidTr="000C6F8E">
        <w:trPr>
          <w:cantSplit/>
          <w:tblHeader/>
        </w:trPr>
        <w:tc>
          <w:tcPr>
            <w:tcW w:w="1073" w:type="dxa"/>
            <w:tcBorders>
              <w:left w:val="nil"/>
              <w:bottom w:val="single" w:sz="12" w:space="0" w:color="auto"/>
              <w:right w:val="single" w:sz="4" w:space="0" w:color="auto"/>
            </w:tcBorders>
          </w:tcPr>
          <w:p w14:paraId="581BAFE0" w14:textId="675A8EC5" w:rsidR="000C6F8E" w:rsidRPr="00613D53" w:rsidRDefault="000C6F8E" w:rsidP="000C6F8E">
            <w:pPr>
              <w:pStyle w:val="Roman8pt"/>
              <w:spacing w:before="10" w:after="10"/>
              <w:jc w:val="center"/>
              <w:rPr>
                <w:i/>
              </w:rPr>
            </w:pPr>
            <w:r>
              <w:rPr>
                <w:i/>
              </w:rPr>
              <w:t>UN Regulations under the purview of GRVA</w:t>
            </w:r>
          </w:p>
        </w:tc>
        <w:tc>
          <w:tcPr>
            <w:tcW w:w="806" w:type="dxa"/>
            <w:tcBorders>
              <w:left w:val="single" w:sz="4" w:space="0" w:color="auto"/>
              <w:bottom w:val="single" w:sz="12" w:space="0" w:color="auto"/>
              <w:right w:val="single" w:sz="4" w:space="0" w:color="auto"/>
            </w:tcBorders>
          </w:tcPr>
          <w:p w14:paraId="393710A6" w14:textId="77777777" w:rsidR="000C6F8E" w:rsidRPr="00613D53" w:rsidRDefault="000C6F8E" w:rsidP="000C6F8E">
            <w:pPr>
              <w:pStyle w:val="Roman8pt"/>
              <w:spacing w:before="10" w:after="10"/>
              <w:ind w:left="-114"/>
              <w:jc w:val="center"/>
              <w:rPr>
                <w:i/>
              </w:rPr>
            </w:pPr>
          </w:p>
        </w:tc>
        <w:tc>
          <w:tcPr>
            <w:tcW w:w="2108" w:type="dxa"/>
            <w:tcBorders>
              <w:left w:val="single" w:sz="4" w:space="0" w:color="auto"/>
              <w:bottom w:val="single" w:sz="12" w:space="0" w:color="auto"/>
              <w:right w:val="single" w:sz="4" w:space="0" w:color="auto"/>
            </w:tcBorders>
          </w:tcPr>
          <w:p w14:paraId="108675D7" w14:textId="25278A5D" w:rsidR="000C6F8E" w:rsidRDefault="000C6F8E" w:rsidP="000C6F8E">
            <w:pPr>
              <w:pStyle w:val="Roman8pt"/>
              <w:spacing w:before="10" w:after="10"/>
              <w:ind w:left="-8"/>
              <w:jc w:val="center"/>
              <w:rPr>
                <w:i/>
              </w:rPr>
            </w:pPr>
            <w:r>
              <w:rPr>
                <w:i/>
              </w:rPr>
              <w:t>Is there additional information required in the approval mark</w:t>
            </w:r>
            <w:r>
              <w:rPr>
                <w:rStyle w:val="FootnoteReference"/>
                <w:i/>
              </w:rPr>
              <w:footnoteReference w:id="2"/>
            </w:r>
            <w:r>
              <w:rPr>
                <w:i/>
              </w:rPr>
              <w:br/>
              <w:t>(Yes/No)</w:t>
            </w:r>
          </w:p>
        </w:tc>
        <w:tc>
          <w:tcPr>
            <w:tcW w:w="849" w:type="dxa"/>
            <w:tcBorders>
              <w:left w:val="single" w:sz="4" w:space="0" w:color="auto"/>
              <w:bottom w:val="single" w:sz="12" w:space="0" w:color="auto"/>
              <w:right w:val="single" w:sz="4" w:space="0" w:color="auto"/>
            </w:tcBorders>
          </w:tcPr>
          <w:p w14:paraId="1163822A" w14:textId="52C92C6D" w:rsidR="000C6F8E" w:rsidRDefault="000C6F8E" w:rsidP="000C6F8E">
            <w:pPr>
              <w:pStyle w:val="Roman8pt"/>
              <w:spacing w:before="10" w:after="10"/>
              <w:ind w:left="-114"/>
              <w:jc w:val="center"/>
              <w:rPr>
                <w:i/>
              </w:rPr>
            </w:pPr>
            <w:r>
              <w:rPr>
                <w:i/>
              </w:rPr>
              <w:t>Summary document necessary (Yes/No)</w:t>
            </w:r>
          </w:p>
        </w:tc>
        <w:tc>
          <w:tcPr>
            <w:tcW w:w="2119" w:type="dxa"/>
            <w:tcBorders>
              <w:left w:val="single" w:sz="4" w:space="0" w:color="auto"/>
              <w:bottom w:val="single" w:sz="12" w:space="0" w:color="auto"/>
              <w:right w:val="single" w:sz="4" w:space="0" w:color="auto"/>
            </w:tcBorders>
          </w:tcPr>
          <w:p w14:paraId="1C45935D" w14:textId="77777777" w:rsidR="000C6F8E" w:rsidRPr="00175A1A" w:rsidRDefault="000C6F8E" w:rsidP="000C6F8E">
            <w:pPr>
              <w:pStyle w:val="Roman8pt"/>
              <w:spacing w:before="10" w:after="10"/>
              <w:ind w:left="2"/>
              <w:jc w:val="center"/>
              <w:rPr>
                <w:i/>
              </w:rPr>
            </w:pPr>
            <w:r w:rsidRPr="00175A1A">
              <w:rPr>
                <w:bCs/>
                <w:i/>
              </w:rPr>
              <w:t>Should additional</w:t>
            </w:r>
            <w:r w:rsidRPr="00175A1A">
              <w:rPr>
                <w:i/>
              </w:rPr>
              <w:t xml:space="preserve"> physical marking </w:t>
            </w:r>
            <w:r>
              <w:rPr>
                <w:i/>
              </w:rPr>
              <w:t xml:space="preserve">remain </w:t>
            </w:r>
            <w:r w:rsidRPr="00175A1A">
              <w:rPr>
                <w:i/>
              </w:rPr>
              <w:t>on the product (Yes/No)?</w:t>
            </w:r>
          </w:p>
          <w:p w14:paraId="31853C8E" w14:textId="49192DD2" w:rsidR="000C6F8E" w:rsidRPr="00B11D91" w:rsidRDefault="000C6F8E" w:rsidP="000C6F8E">
            <w:pPr>
              <w:pStyle w:val="Roman8pt"/>
              <w:spacing w:before="10" w:after="10"/>
              <w:ind w:left="2"/>
              <w:jc w:val="center"/>
              <w:rPr>
                <w:i/>
                <w:lang w:val="en-GB"/>
              </w:rPr>
            </w:pPr>
            <w:r w:rsidRPr="00175A1A">
              <w:rPr>
                <w:bCs/>
                <w:i/>
              </w:rPr>
              <w:t>In case of yes, which one(s</w:t>
            </w:r>
            <w:proofErr w:type="gramStart"/>
            <w:r w:rsidRPr="00175A1A">
              <w:rPr>
                <w:bCs/>
                <w:i/>
              </w:rPr>
              <w:t>)?</w:t>
            </w:r>
            <w:r>
              <w:rPr>
                <w:bCs/>
                <w:i/>
              </w:rPr>
              <w:t>*</w:t>
            </w:r>
            <w:proofErr w:type="gramEnd"/>
            <w:r>
              <w:rPr>
                <w:bCs/>
                <w:i/>
              </w:rPr>
              <w:t>*</w:t>
            </w:r>
          </w:p>
        </w:tc>
        <w:tc>
          <w:tcPr>
            <w:tcW w:w="2401" w:type="dxa"/>
            <w:tcBorders>
              <w:left w:val="single" w:sz="4" w:space="0" w:color="auto"/>
              <w:bottom w:val="single" w:sz="12" w:space="0" w:color="auto"/>
              <w:right w:val="nil"/>
            </w:tcBorders>
          </w:tcPr>
          <w:p w14:paraId="5F70EF5F" w14:textId="26624F66" w:rsidR="000C6F8E" w:rsidRDefault="000C6F8E" w:rsidP="000C6F8E">
            <w:pPr>
              <w:pStyle w:val="Roman8pt"/>
              <w:spacing w:before="10" w:after="10"/>
              <w:ind w:left="-1"/>
              <w:jc w:val="center"/>
              <w:rPr>
                <w:i/>
              </w:rPr>
            </w:pPr>
            <w:proofErr w:type="gramStart"/>
            <w:r w:rsidRPr="00175A1A">
              <w:rPr>
                <w:bCs/>
                <w:i/>
              </w:rPr>
              <w:t>E.g.</w:t>
            </w:r>
            <w:proofErr w:type="gramEnd"/>
            <w:r w:rsidRPr="00175A1A">
              <w:rPr>
                <w:bCs/>
                <w:i/>
              </w:rPr>
              <w:t xml:space="preserve"> justifications for additional physical markings that must remain on the product</w:t>
            </w:r>
          </w:p>
        </w:tc>
      </w:tr>
      <w:tr w:rsidR="00213F94" w:rsidRPr="00613D53" w14:paraId="629C1900" w14:textId="19E34EB4" w:rsidTr="00FF2507">
        <w:tc>
          <w:tcPr>
            <w:tcW w:w="1073" w:type="dxa"/>
            <w:tcBorders>
              <w:top w:val="single" w:sz="12" w:space="0" w:color="auto"/>
              <w:left w:val="nil"/>
              <w:bottom w:val="single" w:sz="4" w:space="0" w:color="auto"/>
              <w:right w:val="single" w:sz="4" w:space="0" w:color="auto"/>
            </w:tcBorders>
            <w:vAlign w:val="center"/>
          </w:tcPr>
          <w:p w14:paraId="3CE874E9" w14:textId="5F18B9A3" w:rsidR="00213F94" w:rsidRPr="00613D53" w:rsidRDefault="00213F94" w:rsidP="00A55E5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rPr>
              <w:t>UN R 13</w:t>
            </w:r>
          </w:p>
        </w:tc>
        <w:tc>
          <w:tcPr>
            <w:tcW w:w="806" w:type="dxa"/>
            <w:tcBorders>
              <w:top w:val="single" w:sz="12" w:space="0" w:color="auto"/>
              <w:left w:val="single" w:sz="4" w:space="0" w:color="auto"/>
              <w:bottom w:val="single" w:sz="4" w:space="0" w:color="auto"/>
              <w:right w:val="single" w:sz="4" w:space="0" w:color="auto"/>
            </w:tcBorders>
            <w:vAlign w:val="center"/>
          </w:tcPr>
          <w:p w14:paraId="3CD9D0A8" w14:textId="2809E7F9" w:rsidR="00213F94" w:rsidRPr="00613D53" w:rsidRDefault="009B495A" w:rsidP="00A55E5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12" w:space="0" w:color="auto"/>
              <w:left w:val="single" w:sz="4" w:space="0" w:color="auto"/>
              <w:bottom w:val="single" w:sz="4" w:space="0" w:color="auto"/>
              <w:right w:val="single" w:sz="4" w:space="0" w:color="auto"/>
            </w:tcBorders>
            <w:vAlign w:val="center"/>
          </w:tcPr>
          <w:p w14:paraId="0B2697D9" w14:textId="4D9DF00D" w:rsidR="00213F94" w:rsidRPr="00613D53" w:rsidRDefault="00A55C74" w:rsidP="00A55E5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r w:rsidR="004E7DEE" w:rsidRPr="004E7DEE">
              <w:rPr>
                <w:rFonts w:asciiTheme="majorBidi" w:hAnsiTheme="majorBidi" w:cstheme="majorBidi"/>
                <w:sz w:val="20"/>
                <w:szCs w:val="20"/>
                <w:vertAlign w:val="superscript"/>
              </w:rPr>
              <w:t>1)</w:t>
            </w:r>
          </w:p>
        </w:tc>
        <w:tc>
          <w:tcPr>
            <w:tcW w:w="849" w:type="dxa"/>
            <w:tcBorders>
              <w:top w:val="single" w:sz="12" w:space="0" w:color="auto"/>
              <w:left w:val="single" w:sz="4" w:space="0" w:color="auto"/>
              <w:bottom w:val="single" w:sz="4" w:space="0" w:color="auto"/>
              <w:right w:val="single" w:sz="4" w:space="0" w:color="auto"/>
            </w:tcBorders>
            <w:vAlign w:val="center"/>
          </w:tcPr>
          <w:p w14:paraId="0801E1B3" w14:textId="66B0DC92" w:rsidR="00213F94" w:rsidRPr="00613D53" w:rsidRDefault="00444F2B" w:rsidP="00A55E5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r w:rsidR="00FF2507">
              <w:rPr>
                <w:rFonts w:asciiTheme="majorBidi" w:hAnsiTheme="majorBidi" w:cstheme="majorBidi"/>
                <w:sz w:val="20"/>
                <w:szCs w:val="20"/>
              </w:rPr>
              <w:t>*</w:t>
            </w:r>
          </w:p>
        </w:tc>
        <w:tc>
          <w:tcPr>
            <w:tcW w:w="2119" w:type="dxa"/>
            <w:tcBorders>
              <w:top w:val="single" w:sz="12" w:space="0" w:color="auto"/>
              <w:left w:val="single" w:sz="4" w:space="0" w:color="auto"/>
              <w:bottom w:val="single" w:sz="4" w:space="0" w:color="auto"/>
              <w:right w:val="single" w:sz="4" w:space="0" w:color="auto"/>
            </w:tcBorders>
            <w:vAlign w:val="center"/>
          </w:tcPr>
          <w:p w14:paraId="5A1A927F" w14:textId="77777777" w:rsidR="00213F94" w:rsidRDefault="00FF2507" w:rsidP="000C6F8E">
            <w:pPr>
              <w:pStyle w:val="Roman8pt"/>
              <w:spacing w:before="10" w:after="10"/>
              <w:ind w:left="126" w:right="144"/>
              <w:jc w:val="center"/>
              <w:rPr>
                <w:sz w:val="20"/>
                <w:szCs w:val="32"/>
              </w:rPr>
            </w:pPr>
            <w:r>
              <w:rPr>
                <w:rFonts w:asciiTheme="majorBidi" w:hAnsiTheme="majorBidi" w:cstheme="majorBidi"/>
                <w:sz w:val="20"/>
                <w:szCs w:val="20"/>
              </w:rPr>
              <w:t>Yes</w:t>
            </w:r>
            <w:r w:rsidR="000C6F8E">
              <w:rPr>
                <w:rFonts w:asciiTheme="majorBidi" w:hAnsiTheme="majorBidi" w:cstheme="majorBidi"/>
                <w:sz w:val="20"/>
                <w:szCs w:val="20"/>
              </w:rPr>
              <w:t xml:space="preserve">, </w:t>
            </w:r>
            <w:r w:rsidR="000C6F8E" w:rsidRPr="000C6F8E">
              <w:rPr>
                <w:sz w:val="20"/>
                <w:szCs w:val="32"/>
              </w:rPr>
              <w:t xml:space="preserve">either </w:t>
            </w:r>
            <w:r w:rsidR="000C6F8E">
              <w:rPr>
                <w:sz w:val="20"/>
                <w:szCs w:val="32"/>
              </w:rPr>
              <w:br/>
            </w:r>
            <w:r w:rsidR="000C6F8E" w:rsidRPr="000C6F8E">
              <w:rPr>
                <w:sz w:val="20"/>
                <w:szCs w:val="32"/>
              </w:rPr>
              <w:t xml:space="preserve">the approval mark </w:t>
            </w:r>
            <w:r w:rsidR="000C6F8E">
              <w:rPr>
                <w:sz w:val="20"/>
                <w:szCs w:val="32"/>
              </w:rPr>
              <w:br/>
            </w:r>
            <w:r w:rsidR="000C6F8E" w:rsidRPr="000C6F8E">
              <w:rPr>
                <w:sz w:val="20"/>
                <w:szCs w:val="32"/>
              </w:rPr>
              <w:t>or the UI marking</w:t>
            </w:r>
          </w:p>
          <w:p w14:paraId="4FEFB3CE" w14:textId="05334D87" w:rsidR="00EA18AD" w:rsidRPr="00613D53" w:rsidRDefault="00EA18AD" w:rsidP="000C6F8E">
            <w:pPr>
              <w:pStyle w:val="Roman8pt"/>
              <w:spacing w:before="10" w:after="10"/>
              <w:ind w:left="126" w:right="144"/>
              <w:jc w:val="center"/>
              <w:rPr>
                <w:rFonts w:asciiTheme="majorBidi" w:hAnsiTheme="majorBidi" w:cstheme="majorBidi"/>
                <w:sz w:val="20"/>
                <w:szCs w:val="20"/>
              </w:rPr>
            </w:pPr>
            <w:r>
              <w:rPr>
                <w:rFonts w:asciiTheme="majorBidi" w:hAnsiTheme="majorBidi" w:cstheme="majorBidi"/>
                <w:sz w:val="20"/>
                <w:szCs w:val="32"/>
              </w:rPr>
              <w:t>plus marking per Annex X to UN R 13</w:t>
            </w:r>
            <w:r w:rsidRPr="00EA18AD">
              <w:rPr>
                <w:rFonts w:asciiTheme="majorBidi" w:hAnsiTheme="majorBidi" w:cstheme="majorBidi"/>
                <w:sz w:val="20"/>
                <w:szCs w:val="32"/>
                <w:vertAlign w:val="superscript"/>
              </w:rPr>
              <w:t>1)</w:t>
            </w:r>
          </w:p>
        </w:tc>
        <w:tc>
          <w:tcPr>
            <w:tcW w:w="2401" w:type="dxa"/>
            <w:tcBorders>
              <w:top w:val="single" w:sz="12" w:space="0" w:color="auto"/>
              <w:left w:val="single" w:sz="4" w:space="0" w:color="auto"/>
              <w:bottom w:val="single" w:sz="4" w:space="0" w:color="auto"/>
              <w:right w:val="nil"/>
            </w:tcBorders>
            <w:vAlign w:val="center"/>
          </w:tcPr>
          <w:p w14:paraId="404F04AA" w14:textId="3413761F" w:rsidR="00213F94" w:rsidRPr="00613D53" w:rsidRDefault="00213F94" w:rsidP="00A55E5F">
            <w:pPr>
              <w:pStyle w:val="Roman8pt"/>
              <w:spacing w:before="10" w:after="10"/>
              <w:ind w:left="57" w:right="57"/>
              <w:rPr>
                <w:rFonts w:asciiTheme="majorBidi" w:hAnsiTheme="majorBidi" w:cstheme="majorBidi"/>
                <w:sz w:val="20"/>
                <w:szCs w:val="20"/>
              </w:rPr>
            </w:pPr>
          </w:p>
        </w:tc>
      </w:tr>
      <w:tr w:rsidR="00FF2507" w:rsidRPr="00613D53" w14:paraId="5EA4CB3C" w14:textId="7937A08D" w:rsidTr="00FF2507">
        <w:tc>
          <w:tcPr>
            <w:tcW w:w="1073" w:type="dxa"/>
            <w:tcBorders>
              <w:top w:val="single" w:sz="4" w:space="0" w:color="auto"/>
              <w:left w:val="nil"/>
              <w:bottom w:val="single" w:sz="4" w:space="0" w:color="auto"/>
              <w:right w:val="single" w:sz="4" w:space="0" w:color="auto"/>
            </w:tcBorders>
            <w:vAlign w:val="center"/>
          </w:tcPr>
          <w:p w14:paraId="1DB43B1C" w14:textId="77777777" w:rsidR="00FF2507" w:rsidRDefault="00FF2507" w:rsidP="00FF2507">
            <w:pPr>
              <w:pStyle w:val="Roman8pt"/>
              <w:spacing w:before="10" w:after="10"/>
              <w:ind w:left="57"/>
              <w:rPr>
                <w:rFonts w:asciiTheme="majorBidi" w:hAnsiTheme="majorBidi" w:cstheme="majorBidi"/>
                <w:color w:val="000000"/>
                <w:sz w:val="20"/>
                <w:szCs w:val="20"/>
              </w:rPr>
            </w:pPr>
            <w:r w:rsidRPr="00613D53">
              <w:rPr>
                <w:rFonts w:asciiTheme="majorBidi" w:hAnsiTheme="majorBidi" w:cstheme="majorBidi"/>
                <w:color w:val="000000"/>
                <w:sz w:val="20"/>
                <w:szCs w:val="20"/>
              </w:rPr>
              <w:t>UN R 13-H</w:t>
            </w:r>
          </w:p>
          <w:p w14:paraId="1978058C" w14:textId="0420D647" w:rsidR="00FF2507" w:rsidRPr="00613D53" w:rsidRDefault="00FF2507" w:rsidP="00FF2507">
            <w:pPr>
              <w:pStyle w:val="Roman8pt"/>
              <w:spacing w:before="10" w:after="10"/>
              <w:ind w:left="57"/>
              <w:rPr>
                <w:rFonts w:asciiTheme="majorBidi" w:hAnsiTheme="majorBidi" w:cstheme="majorBidi"/>
                <w:sz w:val="20"/>
                <w:szCs w:val="20"/>
              </w:rPr>
            </w:pPr>
            <w:r>
              <w:rPr>
                <w:rFonts w:asciiTheme="majorBidi" w:hAnsiTheme="majorBidi" w:cstheme="majorBidi"/>
                <w:color w:val="000000"/>
                <w:sz w:val="20"/>
                <w:szCs w:val="20"/>
              </w:rPr>
              <w:t>00 series of amendments</w:t>
            </w:r>
          </w:p>
        </w:tc>
        <w:tc>
          <w:tcPr>
            <w:tcW w:w="806" w:type="dxa"/>
            <w:tcBorders>
              <w:top w:val="single" w:sz="4" w:space="0" w:color="auto"/>
              <w:left w:val="single" w:sz="4" w:space="0" w:color="auto"/>
              <w:bottom w:val="single" w:sz="4" w:space="0" w:color="auto"/>
              <w:right w:val="single" w:sz="4" w:space="0" w:color="auto"/>
            </w:tcBorders>
            <w:vAlign w:val="center"/>
          </w:tcPr>
          <w:p w14:paraId="2C797898" w14:textId="1F14FE98" w:rsidR="00FF2507" w:rsidRPr="00613D53" w:rsidRDefault="009B495A" w:rsidP="00FF2507">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4B14238E" w14:textId="769E121A" w:rsidR="00FF2507" w:rsidRPr="00613D53" w:rsidRDefault="00FF2507" w:rsidP="00FF2507">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r>
              <w:rPr>
                <w:rFonts w:asciiTheme="majorBidi" w:hAnsiTheme="majorBidi" w:cstheme="majorBidi"/>
                <w:sz w:val="20"/>
                <w:szCs w:val="20"/>
                <w:vertAlign w:val="superscript"/>
              </w:rPr>
              <w:t>2</w:t>
            </w:r>
            <w:r w:rsidRPr="004E7DEE">
              <w:rPr>
                <w:rFonts w:asciiTheme="majorBidi" w:hAnsiTheme="majorBidi" w:cstheme="majorBidi"/>
                <w:sz w:val="20"/>
                <w:szCs w:val="20"/>
                <w:vertAlign w:val="superscript"/>
              </w:rPr>
              <w:t>)</w:t>
            </w:r>
          </w:p>
        </w:tc>
        <w:tc>
          <w:tcPr>
            <w:tcW w:w="849" w:type="dxa"/>
            <w:tcBorders>
              <w:top w:val="single" w:sz="4" w:space="0" w:color="auto"/>
              <w:left w:val="single" w:sz="4" w:space="0" w:color="auto"/>
              <w:bottom w:val="single" w:sz="4" w:space="0" w:color="auto"/>
              <w:right w:val="single" w:sz="4" w:space="0" w:color="auto"/>
            </w:tcBorders>
            <w:vAlign w:val="center"/>
          </w:tcPr>
          <w:p w14:paraId="604750EF" w14:textId="54F27CE3" w:rsidR="00FF2507" w:rsidRPr="00613D53" w:rsidRDefault="00FF2507" w:rsidP="00FF2507">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181C130" w14:textId="7C1A4FC6" w:rsidR="00FF2507" w:rsidRPr="00613D53" w:rsidRDefault="000C6F8E" w:rsidP="00FF2507">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66173ECD" w14:textId="58D72264" w:rsidR="00FF2507" w:rsidRPr="00613D53" w:rsidRDefault="00D15C1B" w:rsidP="00FF2507">
            <w:pPr>
              <w:pStyle w:val="Roman8pt"/>
              <w:spacing w:before="10" w:after="10"/>
              <w:ind w:left="57" w:right="57"/>
              <w:rPr>
                <w:rFonts w:asciiTheme="majorBidi" w:hAnsiTheme="majorBidi" w:cstheme="majorBidi"/>
                <w:sz w:val="20"/>
                <w:szCs w:val="20"/>
              </w:rPr>
            </w:pPr>
            <w:r>
              <w:rPr>
                <w:rFonts w:asciiTheme="majorBidi" w:hAnsiTheme="majorBidi" w:cstheme="majorBidi"/>
                <w:sz w:val="20"/>
                <w:szCs w:val="20"/>
              </w:rPr>
              <w:t>No additional information is needed on the product in the case if UI is marked</w:t>
            </w:r>
            <w:r>
              <w:rPr>
                <w:rFonts w:asciiTheme="majorBidi" w:hAnsiTheme="majorBidi" w:cstheme="majorBidi"/>
                <w:sz w:val="20"/>
                <w:szCs w:val="20"/>
                <w:vertAlign w:val="superscript"/>
              </w:rPr>
              <w:t>2</w:t>
            </w:r>
            <w:r w:rsidRPr="004E7DEE">
              <w:rPr>
                <w:rFonts w:asciiTheme="majorBidi" w:hAnsiTheme="majorBidi" w:cstheme="majorBidi"/>
                <w:sz w:val="20"/>
                <w:szCs w:val="20"/>
                <w:vertAlign w:val="superscript"/>
              </w:rPr>
              <w:t>)</w:t>
            </w:r>
            <w:r>
              <w:rPr>
                <w:rFonts w:asciiTheme="majorBidi" w:hAnsiTheme="majorBidi" w:cstheme="majorBidi"/>
                <w:sz w:val="20"/>
                <w:szCs w:val="20"/>
              </w:rPr>
              <w:t>.</w:t>
            </w:r>
          </w:p>
        </w:tc>
      </w:tr>
      <w:tr w:rsidR="00C861AF" w:rsidRPr="00613D53" w14:paraId="58B7CC20" w14:textId="77777777" w:rsidTr="00FF2507">
        <w:tc>
          <w:tcPr>
            <w:tcW w:w="1073" w:type="dxa"/>
            <w:tcBorders>
              <w:top w:val="single" w:sz="4" w:space="0" w:color="auto"/>
              <w:left w:val="nil"/>
              <w:bottom w:val="single" w:sz="4" w:space="0" w:color="auto"/>
              <w:right w:val="single" w:sz="4" w:space="0" w:color="auto"/>
            </w:tcBorders>
            <w:vAlign w:val="center"/>
          </w:tcPr>
          <w:p w14:paraId="2E683126" w14:textId="77777777" w:rsidR="00C861AF" w:rsidRDefault="00C861AF" w:rsidP="00C861AF">
            <w:pPr>
              <w:pStyle w:val="Roman8pt"/>
              <w:spacing w:before="10" w:after="10"/>
              <w:ind w:left="57"/>
              <w:rPr>
                <w:rFonts w:asciiTheme="majorBidi" w:hAnsiTheme="majorBidi" w:cstheme="majorBidi"/>
                <w:color w:val="000000"/>
                <w:sz w:val="20"/>
                <w:szCs w:val="20"/>
              </w:rPr>
            </w:pPr>
            <w:r w:rsidRPr="00613D53">
              <w:rPr>
                <w:rFonts w:asciiTheme="majorBidi" w:hAnsiTheme="majorBidi" w:cstheme="majorBidi"/>
                <w:color w:val="000000"/>
                <w:sz w:val="20"/>
                <w:szCs w:val="20"/>
              </w:rPr>
              <w:t>UN R 13-H</w:t>
            </w:r>
          </w:p>
          <w:p w14:paraId="0BCC3717" w14:textId="766760FE" w:rsidR="00C861AF" w:rsidRPr="00613D53" w:rsidRDefault="00C861AF" w:rsidP="00C861AF">
            <w:pPr>
              <w:pStyle w:val="Roman8pt"/>
              <w:spacing w:before="10" w:after="10"/>
              <w:ind w:left="57"/>
              <w:rPr>
                <w:rFonts w:asciiTheme="majorBidi" w:hAnsiTheme="majorBidi" w:cstheme="majorBidi"/>
                <w:color w:val="000000"/>
                <w:sz w:val="20"/>
                <w:szCs w:val="20"/>
              </w:rPr>
            </w:pPr>
            <w:r>
              <w:rPr>
                <w:rFonts w:asciiTheme="majorBidi" w:hAnsiTheme="majorBidi" w:cstheme="majorBidi"/>
                <w:color w:val="000000"/>
                <w:sz w:val="20"/>
                <w:szCs w:val="20"/>
              </w:rPr>
              <w:t>01 and next series of amendments</w:t>
            </w:r>
          </w:p>
        </w:tc>
        <w:tc>
          <w:tcPr>
            <w:tcW w:w="806" w:type="dxa"/>
            <w:tcBorders>
              <w:top w:val="single" w:sz="4" w:space="0" w:color="auto"/>
              <w:left w:val="single" w:sz="4" w:space="0" w:color="auto"/>
              <w:bottom w:val="single" w:sz="4" w:space="0" w:color="auto"/>
              <w:right w:val="single" w:sz="4" w:space="0" w:color="auto"/>
            </w:tcBorders>
            <w:vAlign w:val="center"/>
          </w:tcPr>
          <w:p w14:paraId="346A1DAF" w14:textId="0377DD79" w:rsidR="00C861AF" w:rsidRPr="00613D53" w:rsidRDefault="009B495A"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6601A27B" w14:textId="5BC74192"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67C335B4" w14:textId="57342EB4"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6F01F3E" w14:textId="1C0A1934" w:rsidR="00C861AF" w:rsidRPr="00613D53" w:rsidRDefault="000C6F8E"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04EB7A19" w14:textId="77777777" w:rsidR="00C861AF" w:rsidRPr="00613D53" w:rsidRDefault="00C861AF" w:rsidP="00C861AF">
            <w:pPr>
              <w:pStyle w:val="Roman8pt"/>
              <w:spacing w:before="10" w:after="10"/>
              <w:ind w:left="57" w:right="57"/>
              <w:rPr>
                <w:rFonts w:asciiTheme="majorBidi" w:hAnsiTheme="majorBidi" w:cstheme="majorBidi"/>
                <w:sz w:val="20"/>
                <w:szCs w:val="20"/>
              </w:rPr>
            </w:pPr>
          </w:p>
        </w:tc>
      </w:tr>
      <w:tr w:rsidR="00C861AF" w:rsidRPr="00481133" w14:paraId="258BA99E" w14:textId="0716EA49" w:rsidTr="00FF2507">
        <w:tc>
          <w:tcPr>
            <w:tcW w:w="1073" w:type="dxa"/>
            <w:tcBorders>
              <w:top w:val="single" w:sz="4" w:space="0" w:color="auto"/>
              <w:left w:val="nil"/>
              <w:bottom w:val="single" w:sz="4" w:space="0" w:color="auto"/>
              <w:right w:val="single" w:sz="4" w:space="0" w:color="auto"/>
            </w:tcBorders>
            <w:vAlign w:val="center"/>
          </w:tcPr>
          <w:p w14:paraId="7315B607" w14:textId="72EB2DB4" w:rsidR="00C861AF" w:rsidRPr="00613D53" w:rsidRDefault="00C861AF" w:rsidP="00C861A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rPr>
              <w:t>UN R 78</w:t>
            </w:r>
          </w:p>
        </w:tc>
        <w:tc>
          <w:tcPr>
            <w:tcW w:w="806" w:type="dxa"/>
            <w:tcBorders>
              <w:top w:val="single" w:sz="4" w:space="0" w:color="auto"/>
              <w:left w:val="single" w:sz="4" w:space="0" w:color="auto"/>
              <w:bottom w:val="single" w:sz="4" w:space="0" w:color="auto"/>
              <w:right w:val="single" w:sz="4" w:space="0" w:color="auto"/>
            </w:tcBorders>
            <w:vAlign w:val="center"/>
          </w:tcPr>
          <w:p w14:paraId="22F526B4" w14:textId="28780CAD" w:rsidR="00C861AF" w:rsidRPr="00613D53" w:rsidRDefault="009B495A"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31DA7A1E" w14:textId="1A59287E"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23B356B5" w14:textId="6973379F"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252274AC" w14:textId="1D9A5831" w:rsidR="00C861AF" w:rsidRPr="00613D53" w:rsidRDefault="000C6F8E"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1526B3A3" w14:textId="19598FC6" w:rsidR="00C861AF" w:rsidRPr="00481133" w:rsidRDefault="00C861AF" w:rsidP="00C861AF">
            <w:pPr>
              <w:pStyle w:val="Roman8pt"/>
              <w:spacing w:before="10" w:after="10"/>
              <w:ind w:left="57" w:right="57"/>
              <w:rPr>
                <w:rFonts w:asciiTheme="majorBidi" w:hAnsiTheme="majorBidi" w:cstheme="majorBidi"/>
                <w:szCs w:val="16"/>
              </w:rPr>
            </w:pPr>
          </w:p>
        </w:tc>
      </w:tr>
      <w:tr w:rsidR="00C861AF" w:rsidRPr="00613D53" w14:paraId="03C5DF36" w14:textId="340A6D31" w:rsidTr="00FF2507">
        <w:tc>
          <w:tcPr>
            <w:tcW w:w="1073" w:type="dxa"/>
            <w:tcBorders>
              <w:top w:val="single" w:sz="4" w:space="0" w:color="auto"/>
              <w:left w:val="nil"/>
              <w:bottom w:val="single" w:sz="4" w:space="0" w:color="auto"/>
              <w:right w:val="single" w:sz="4" w:space="0" w:color="auto"/>
            </w:tcBorders>
            <w:vAlign w:val="center"/>
          </w:tcPr>
          <w:p w14:paraId="79F6C845" w14:textId="43453E36" w:rsidR="00C861AF" w:rsidRPr="00613D53" w:rsidRDefault="00C861AF" w:rsidP="00C861A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79</w:t>
            </w:r>
          </w:p>
        </w:tc>
        <w:tc>
          <w:tcPr>
            <w:tcW w:w="806" w:type="dxa"/>
            <w:tcBorders>
              <w:top w:val="single" w:sz="4" w:space="0" w:color="auto"/>
              <w:left w:val="single" w:sz="4" w:space="0" w:color="auto"/>
              <w:bottom w:val="single" w:sz="4" w:space="0" w:color="auto"/>
              <w:right w:val="single" w:sz="4" w:space="0" w:color="auto"/>
            </w:tcBorders>
            <w:vAlign w:val="center"/>
          </w:tcPr>
          <w:p w14:paraId="0B6DEFE9" w14:textId="208B18A6" w:rsidR="00C861AF" w:rsidRPr="00613D53" w:rsidRDefault="009B495A"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13998667" w14:textId="6E9FF9CF"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7C7BFB76" w14:textId="0A3F625A"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55C0CAC6" w14:textId="453F5FEC" w:rsidR="00C861AF" w:rsidRPr="00613D53" w:rsidRDefault="000C6F8E"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0F0BB67D" w14:textId="7B98E4C7" w:rsidR="00C861AF" w:rsidRDefault="00C861AF" w:rsidP="00C861AF">
            <w:pPr>
              <w:pStyle w:val="Roman8pt"/>
              <w:spacing w:before="10" w:after="10"/>
              <w:ind w:left="57" w:right="57"/>
              <w:rPr>
                <w:rFonts w:asciiTheme="majorBidi" w:hAnsiTheme="majorBidi" w:cstheme="majorBidi"/>
                <w:sz w:val="20"/>
                <w:szCs w:val="20"/>
              </w:rPr>
            </w:pPr>
          </w:p>
        </w:tc>
      </w:tr>
      <w:tr w:rsidR="00C861AF" w:rsidRPr="00613D53" w14:paraId="4500AC35" w14:textId="5F10770D" w:rsidTr="00FF2507">
        <w:tc>
          <w:tcPr>
            <w:tcW w:w="1073" w:type="dxa"/>
            <w:tcBorders>
              <w:top w:val="single" w:sz="4" w:space="0" w:color="auto"/>
              <w:left w:val="nil"/>
              <w:bottom w:val="single" w:sz="4" w:space="0" w:color="auto"/>
              <w:right w:val="single" w:sz="4" w:space="0" w:color="auto"/>
            </w:tcBorders>
            <w:vAlign w:val="center"/>
          </w:tcPr>
          <w:p w14:paraId="0F306D51" w14:textId="77777777" w:rsidR="00C861AF" w:rsidRDefault="00C861AF" w:rsidP="00C861AF">
            <w:pPr>
              <w:pStyle w:val="Roman8pt"/>
              <w:spacing w:before="10" w:after="10"/>
              <w:ind w:left="57"/>
              <w:rPr>
                <w:rFonts w:asciiTheme="majorBidi" w:hAnsiTheme="majorBidi" w:cstheme="majorBidi"/>
                <w:color w:val="000000"/>
                <w:sz w:val="20"/>
                <w:szCs w:val="20"/>
                <w:lang w:val="fr-CH"/>
              </w:rPr>
            </w:pPr>
            <w:r w:rsidRPr="00613D53">
              <w:rPr>
                <w:rFonts w:asciiTheme="majorBidi" w:hAnsiTheme="majorBidi" w:cstheme="majorBidi"/>
                <w:color w:val="000000"/>
                <w:sz w:val="20"/>
                <w:szCs w:val="20"/>
                <w:lang w:val="fr-CH"/>
              </w:rPr>
              <w:t>UN R 89</w:t>
            </w:r>
          </w:p>
          <w:p w14:paraId="5910BA29" w14:textId="3B9C504A" w:rsidR="00C861AF" w:rsidRPr="00613D53" w:rsidRDefault="00C861AF" w:rsidP="00C861AF">
            <w:pPr>
              <w:pStyle w:val="Roman8pt"/>
              <w:spacing w:before="10" w:after="10"/>
              <w:ind w:left="57"/>
              <w:rPr>
                <w:rFonts w:asciiTheme="majorBidi" w:hAnsiTheme="majorBidi" w:cstheme="majorBidi"/>
                <w:sz w:val="20"/>
                <w:szCs w:val="20"/>
              </w:rPr>
            </w:pPr>
            <w:proofErr w:type="gramStart"/>
            <w:r>
              <w:rPr>
                <w:rFonts w:asciiTheme="majorBidi" w:hAnsiTheme="majorBidi" w:cstheme="majorBidi"/>
                <w:color w:val="000000"/>
                <w:sz w:val="20"/>
                <w:szCs w:val="20"/>
                <w:lang w:val="fr-CH"/>
              </w:rPr>
              <w:t>component</w:t>
            </w:r>
            <w:proofErr w:type="gramEnd"/>
            <w:r>
              <w:rPr>
                <w:rFonts w:asciiTheme="majorBidi" w:hAnsiTheme="majorBidi" w:cstheme="majorBidi"/>
                <w:color w:val="000000"/>
                <w:sz w:val="20"/>
                <w:szCs w:val="20"/>
                <w:lang w:val="fr-CH"/>
              </w:rPr>
              <w:t xml:space="preserve"> </w:t>
            </w:r>
            <w:proofErr w:type="spellStart"/>
            <w:r>
              <w:rPr>
                <w:rFonts w:asciiTheme="majorBidi" w:hAnsiTheme="majorBidi" w:cstheme="majorBidi"/>
                <w:color w:val="000000"/>
                <w:sz w:val="20"/>
                <w:szCs w:val="20"/>
                <w:lang w:val="fr-CH"/>
              </w:rPr>
              <w:t>approval</w:t>
            </w:r>
            <w:proofErr w:type="spellEnd"/>
          </w:p>
        </w:tc>
        <w:tc>
          <w:tcPr>
            <w:tcW w:w="806" w:type="dxa"/>
            <w:tcBorders>
              <w:top w:val="single" w:sz="4" w:space="0" w:color="auto"/>
              <w:left w:val="single" w:sz="4" w:space="0" w:color="auto"/>
              <w:bottom w:val="single" w:sz="4" w:space="0" w:color="auto"/>
              <w:right w:val="single" w:sz="4" w:space="0" w:color="auto"/>
            </w:tcBorders>
            <w:vAlign w:val="center"/>
          </w:tcPr>
          <w:p w14:paraId="71C2A2CA" w14:textId="133D5CF1" w:rsidR="00C861AF" w:rsidRPr="00613D53" w:rsidRDefault="009B495A"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52EC0ECD" w14:textId="74486F1E"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0D07339A" w14:textId="19DBBBA0" w:rsidR="00C861AF" w:rsidRPr="00613D53" w:rsidRDefault="00C861AF"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2B1A2860" w14:textId="2A3A27A8" w:rsidR="00C861AF" w:rsidRPr="00613D53" w:rsidRDefault="000C6F8E" w:rsidP="00C861A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15B40A43" w14:textId="2B6753F5" w:rsidR="00C861AF" w:rsidRDefault="00C861AF" w:rsidP="00C861AF">
            <w:pPr>
              <w:pStyle w:val="Roman8pt"/>
              <w:spacing w:before="10" w:after="10"/>
              <w:ind w:left="57" w:right="57"/>
              <w:rPr>
                <w:rFonts w:asciiTheme="majorBidi" w:hAnsiTheme="majorBidi" w:cstheme="majorBidi"/>
                <w:sz w:val="20"/>
                <w:szCs w:val="20"/>
              </w:rPr>
            </w:pPr>
          </w:p>
        </w:tc>
      </w:tr>
      <w:tr w:rsidR="00756988" w:rsidRPr="00613D53" w14:paraId="6408BD09" w14:textId="77777777" w:rsidTr="00FF2507">
        <w:tc>
          <w:tcPr>
            <w:tcW w:w="1073" w:type="dxa"/>
            <w:tcBorders>
              <w:top w:val="single" w:sz="4" w:space="0" w:color="auto"/>
              <w:left w:val="nil"/>
              <w:bottom w:val="single" w:sz="4" w:space="0" w:color="auto"/>
              <w:right w:val="single" w:sz="4" w:space="0" w:color="auto"/>
            </w:tcBorders>
            <w:vAlign w:val="center"/>
          </w:tcPr>
          <w:p w14:paraId="72CF21B8" w14:textId="77777777" w:rsidR="00756988" w:rsidRDefault="00756988" w:rsidP="00756988">
            <w:pPr>
              <w:pStyle w:val="Roman8pt"/>
              <w:spacing w:before="10" w:after="10"/>
              <w:ind w:left="57"/>
              <w:rPr>
                <w:rFonts w:asciiTheme="majorBidi" w:hAnsiTheme="majorBidi" w:cstheme="majorBidi"/>
                <w:color w:val="000000"/>
                <w:sz w:val="20"/>
                <w:szCs w:val="20"/>
                <w:lang w:val="fr-CH"/>
              </w:rPr>
            </w:pPr>
            <w:r w:rsidRPr="00613D53">
              <w:rPr>
                <w:rFonts w:asciiTheme="majorBidi" w:hAnsiTheme="majorBidi" w:cstheme="majorBidi"/>
                <w:color w:val="000000"/>
                <w:sz w:val="20"/>
                <w:szCs w:val="20"/>
                <w:lang w:val="fr-CH"/>
              </w:rPr>
              <w:t>UN R 89</w:t>
            </w:r>
          </w:p>
          <w:p w14:paraId="7FAFDBF1" w14:textId="73DFD9B9" w:rsidR="00756988" w:rsidRPr="00C861AF" w:rsidRDefault="00756988" w:rsidP="00756988">
            <w:pPr>
              <w:pStyle w:val="Roman8pt"/>
              <w:spacing w:before="10" w:after="10"/>
              <w:ind w:left="57"/>
              <w:rPr>
                <w:rFonts w:asciiTheme="majorBidi" w:hAnsiTheme="majorBidi" w:cstheme="majorBidi"/>
                <w:color w:val="000000"/>
                <w:sz w:val="20"/>
                <w:szCs w:val="20"/>
              </w:rPr>
            </w:pPr>
            <w:proofErr w:type="spellStart"/>
            <w:proofErr w:type="gramStart"/>
            <w:r>
              <w:rPr>
                <w:rFonts w:asciiTheme="majorBidi" w:hAnsiTheme="majorBidi" w:cstheme="majorBidi"/>
                <w:color w:val="000000"/>
                <w:sz w:val="20"/>
                <w:szCs w:val="20"/>
                <w:lang w:val="fr-CH"/>
              </w:rPr>
              <w:t>vehicle</w:t>
            </w:r>
            <w:proofErr w:type="spellEnd"/>
            <w:proofErr w:type="gramEnd"/>
            <w:r>
              <w:rPr>
                <w:rFonts w:asciiTheme="majorBidi" w:hAnsiTheme="majorBidi" w:cstheme="majorBidi"/>
                <w:color w:val="000000"/>
                <w:sz w:val="20"/>
                <w:szCs w:val="20"/>
                <w:lang w:val="fr-CH"/>
              </w:rPr>
              <w:t xml:space="preserve"> </w:t>
            </w:r>
            <w:proofErr w:type="spellStart"/>
            <w:r>
              <w:rPr>
                <w:rFonts w:asciiTheme="majorBidi" w:hAnsiTheme="majorBidi" w:cstheme="majorBidi"/>
                <w:color w:val="000000"/>
                <w:sz w:val="20"/>
                <w:szCs w:val="20"/>
                <w:lang w:val="fr-CH"/>
              </w:rPr>
              <w:t>approval</w:t>
            </w:r>
            <w:proofErr w:type="spellEnd"/>
          </w:p>
        </w:tc>
        <w:tc>
          <w:tcPr>
            <w:tcW w:w="806" w:type="dxa"/>
            <w:tcBorders>
              <w:top w:val="single" w:sz="4" w:space="0" w:color="auto"/>
              <w:left w:val="single" w:sz="4" w:space="0" w:color="auto"/>
              <w:bottom w:val="single" w:sz="4" w:space="0" w:color="auto"/>
              <w:right w:val="single" w:sz="4" w:space="0" w:color="auto"/>
            </w:tcBorders>
            <w:vAlign w:val="center"/>
          </w:tcPr>
          <w:p w14:paraId="1895A7F6" w14:textId="34234BB7" w:rsidR="00756988" w:rsidRPr="00C861AF" w:rsidRDefault="009B495A" w:rsidP="00756988">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40594223" w14:textId="10E82995" w:rsidR="00756988" w:rsidRPr="00C861AF" w:rsidRDefault="00756988" w:rsidP="00756988">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r>
              <w:rPr>
                <w:rFonts w:asciiTheme="majorBidi" w:hAnsiTheme="majorBidi" w:cstheme="majorBidi"/>
                <w:sz w:val="20"/>
                <w:szCs w:val="20"/>
                <w:vertAlign w:val="superscript"/>
              </w:rPr>
              <w:t>3</w:t>
            </w:r>
            <w:r w:rsidRPr="004E7DEE">
              <w:rPr>
                <w:rFonts w:asciiTheme="majorBidi" w:hAnsiTheme="majorBidi" w:cstheme="majorBidi"/>
                <w:sz w:val="20"/>
                <w:szCs w:val="20"/>
                <w:vertAlign w:val="superscript"/>
              </w:rPr>
              <w:t>)</w:t>
            </w:r>
          </w:p>
        </w:tc>
        <w:tc>
          <w:tcPr>
            <w:tcW w:w="849" w:type="dxa"/>
            <w:tcBorders>
              <w:top w:val="single" w:sz="4" w:space="0" w:color="auto"/>
              <w:left w:val="single" w:sz="4" w:space="0" w:color="auto"/>
              <w:bottom w:val="single" w:sz="4" w:space="0" w:color="auto"/>
              <w:right w:val="single" w:sz="4" w:space="0" w:color="auto"/>
            </w:tcBorders>
            <w:vAlign w:val="center"/>
          </w:tcPr>
          <w:p w14:paraId="3B4B1447" w14:textId="2E1BABA5" w:rsidR="00756988" w:rsidRPr="00C861AF" w:rsidRDefault="00756988" w:rsidP="00756988">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A55C048" w14:textId="63CDF5D5" w:rsidR="00756988" w:rsidRPr="00C861AF" w:rsidRDefault="000C6F8E" w:rsidP="00756988">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r>
              <w:rPr>
                <w:sz w:val="20"/>
                <w:szCs w:val="32"/>
              </w:rPr>
              <w:br/>
            </w:r>
            <w:r>
              <w:rPr>
                <w:rFonts w:asciiTheme="majorBidi" w:hAnsiTheme="majorBidi" w:cstheme="majorBidi"/>
                <w:sz w:val="20"/>
                <w:szCs w:val="32"/>
              </w:rPr>
              <w:t>plus the set speed</w:t>
            </w:r>
            <w:r w:rsidRPr="000C6F8E">
              <w:rPr>
                <w:rFonts w:asciiTheme="majorBidi" w:hAnsiTheme="majorBidi" w:cstheme="majorBidi"/>
                <w:sz w:val="20"/>
                <w:szCs w:val="32"/>
                <w:vertAlign w:val="superscript"/>
              </w:rPr>
              <w:t>3</w:t>
            </w:r>
            <w:r>
              <w:rPr>
                <w:rFonts w:asciiTheme="majorBidi" w:hAnsiTheme="majorBidi" w:cstheme="majorBidi"/>
                <w:sz w:val="20"/>
                <w:szCs w:val="32"/>
                <w:vertAlign w:val="superscript"/>
              </w:rPr>
              <w:t>)</w:t>
            </w:r>
          </w:p>
        </w:tc>
        <w:tc>
          <w:tcPr>
            <w:tcW w:w="2401" w:type="dxa"/>
            <w:tcBorders>
              <w:top w:val="single" w:sz="4" w:space="0" w:color="auto"/>
              <w:left w:val="single" w:sz="4" w:space="0" w:color="auto"/>
              <w:bottom w:val="single" w:sz="4" w:space="0" w:color="auto"/>
              <w:right w:val="nil"/>
            </w:tcBorders>
            <w:vAlign w:val="center"/>
          </w:tcPr>
          <w:p w14:paraId="56BE77DA" w14:textId="6F5CE636" w:rsidR="00756988" w:rsidRPr="00C861AF" w:rsidRDefault="00756988" w:rsidP="00756988">
            <w:pPr>
              <w:pStyle w:val="Roman8pt"/>
              <w:spacing w:before="10" w:after="10"/>
              <w:ind w:left="57" w:right="57"/>
              <w:rPr>
                <w:rFonts w:asciiTheme="majorBidi" w:hAnsiTheme="majorBidi" w:cstheme="majorBidi"/>
                <w:sz w:val="20"/>
                <w:szCs w:val="20"/>
              </w:rPr>
            </w:pPr>
          </w:p>
        </w:tc>
      </w:tr>
      <w:tr w:rsidR="00444F2B" w:rsidRPr="00613D53" w14:paraId="4441A733" w14:textId="401AB100" w:rsidTr="00FF2507">
        <w:tc>
          <w:tcPr>
            <w:tcW w:w="1073" w:type="dxa"/>
            <w:tcBorders>
              <w:top w:val="single" w:sz="4" w:space="0" w:color="auto"/>
              <w:left w:val="nil"/>
              <w:bottom w:val="single" w:sz="4" w:space="0" w:color="auto"/>
              <w:right w:val="single" w:sz="4" w:space="0" w:color="auto"/>
            </w:tcBorders>
            <w:vAlign w:val="center"/>
          </w:tcPr>
          <w:p w14:paraId="45DB5002" w14:textId="41D6FBD4" w:rsidR="00444F2B" w:rsidRPr="00613D53" w:rsidRDefault="00444F2B" w:rsidP="00444F2B">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90</w:t>
            </w:r>
          </w:p>
        </w:tc>
        <w:tc>
          <w:tcPr>
            <w:tcW w:w="806" w:type="dxa"/>
            <w:tcBorders>
              <w:top w:val="single" w:sz="4" w:space="0" w:color="auto"/>
              <w:left w:val="single" w:sz="4" w:space="0" w:color="auto"/>
              <w:bottom w:val="single" w:sz="4" w:space="0" w:color="auto"/>
              <w:right w:val="single" w:sz="4" w:space="0" w:color="auto"/>
            </w:tcBorders>
            <w:vAlign w:val="center"/>
          </w:tcPr>
          <w:p w14:paraId="09994601" w14:textId="2D1F78B4" w:rsidR="00444F2B" w:rsidRPr="00613D53" w:rsidRDefault="00444F2B" w:rsidP="00444F2B">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08" w:type="dxa"/>
            <w:tcBorders>
              <w:top w:val="single" w:sz="4" w:space="0" w:color="auto"/>
              <w:left w:val="single" w:sz="4" w:space="0" w:color="auto"/>
              <w:bottom w:val="single" w:sz="4" w:space="0" w:color="auto"/>
              <w:right w:val="single" w:sz="4" w:space="0" w:color="auto"/>
            </w:tcBorders>
            <w:vAlign w:val="center"/>
          </w:tcPr>
          <w:p w14:paraId="581F4FB5" w14:textId="5718F488" w:rsidR="00444F2B" w:rsidRPr="00613D53" w:rsidRDefault="00444F2B" w:rsidP="00444F2B">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849" w:type="dxa"/>
            <w:tcBorders>
              <w:top w:val="single" w:sz="4" w:space="0" w:color="auto"/>
              <w:left w:val="single" w:sz="4" w:space="0" w:color="auto"/>
              <w:bottom w:val="single" w:sz="4" w:space="0" w:color="auto"/>
              <w:right w:val="single" w:sz="4" w:space="0" w:color="auto"/>
            </w:tcBorders>
            <w:vAlign w:val="center"/>
          </w:tcPr>
          <w:p w14:paraId="5E677D3E" w14:textId="6EBFD371" w:rsidR="00444F2B" w:rsidRPr="00613D53" w:rsidRDefault="00444F2B" w:rsidP="00444F2B">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19" w:type="dxa"/>
            <w:tcBorders>
              <w:top w:val="single" w:sz="4" w:space="0" w:color="auto"/>
              <w:left w:val="single" w:sz="4" w:space="0" w:color="auto"/>
              <w:bottom w:val="single" w:sz="4" w:space="0" w:color="auto"/>
              <w:right w:val="single" w:sz="4" w:space="0" w:color="auto"/>
            </w:tcBorders>
            <w:vAlign w:val="center"/>
          </w:tcPr>
          <w:p w14:paraId="7B2C52FF" w14:textId="0D125732" w:rsidR="00444F2B" w:rsidRPr="00613D53" w:rsidRDefault="00444F2B" w:rsidP="00444F2B">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401" w:type="dxa"/>
            <w:tcBorders>
              <w:top w:val="single" w:sz="4" w:space="0" w:color="auto"/>
              <w:left w:val="single" w:sz="4" w:space="0" w:color="auto"/>
              <w:bottom w:val="single" w:sz="4" w:space="0" w:color="auto"/>
              <w:right w:val="nil"/>
            </w:tcBorders>
            <w:vAlign w:val="center"/>
          </w:tcPr>
          <w:p w14:paraId="5B0528B6" w14:textId="5934796D" w:rsidR="00444F2B" w:rsidRPr="00613D53" w:rsidRDefault="00444F2B" w:rsidP="00444F2B">
            <w:pPr>
              <w:pStyle w:val="Roman8pt"/>
              <w:spacing w:before="10" w:after="10"/>
              <w:ind w:left="57" w:right="57"/>
              <w:rPr>
                <w:rFonts w:asciiTheme="majorBidi" w:hAnsiTheme="majorBidi" w:cstheme="majorBidi"/>
                <w:sz w:val="20"/>
                <w:szCs w:val="20"/>
              </w:rPr>
            </w:pPr>
          </w:p>
        </w:tc>
      </w:tr>
      <w:tr w:rsidR="00444F2B" w:rsidRPr="00613D53" w14:paraId="0826CC3A" w14:textId="0CD61DF4" w:rsidTr="00FF2507">
        <w:tc>
          <w:tcPr>
            <w:tcW w:w="1073" w:type="dxa"/>
            <w:tcBorders>
              <w:top w:val="single" w:sz="4" w:space="0" w:color="auto"/>
              <w:left w:val="nil"/>
              <w:bottom w:val="single" w:sz="4" w:space="0" w:color="auto"/>
              <w:right w:val="single" w:sz="4" w:space="0" w:color="auto"/>
            </w:tcBorders>
            <w:vAlign w:val="center"/>
          </w:tcPr>
          <w:p w14:paraId="25B81E34" w14:textId="57C8F4AC" w:rsidR="00444F2B" w:rsidRPr="00A12AA4" w:rsidRDefault="00444F2B" w:rsidP="00444F2B">
            <w:pPr>
              <w:pStyle w:val="Roman8pt"/>
              <w:spacing w:before="10" w:after="10"/>
              <w:ind w:left="57"/>
              <w:rPr>
                <w:rFonts w:asciiTheme="majorBidi" w:hAnsiTheme="majorBidi" w:cstheme="majorBidi"/>
                <w:strike/>
                <w:sz w:val="20"/>
                <w:szCs w:val="20"/>
              </w:rPr>
            </w:pPr>
            <w:r w:rsidRPr="00AE6696">
              <w:rPr>
                <w:rFonts w:asciiTheme="majorBidi" w:hAnsiTheme="majorBidi" w:cstheme="majorBidi"/>
                <w:strike/>
                <w:color w:val="A6A6A6" w:themeColor="background1" w:themeShade="A6"/>
                <w:sz w:val="20"/>
                <w:szCs w:val="20"/>
              </w:rPr>
              <w:t>UN R 102</w:t>
            </w:r>
          </w:p>
        </w:tc>
        <w:tc>
          <w:tcPr>
            <w:tcW w:w="806" w:type="dxa"/>
            <w:tcBorders>
              <w:top w:val="single" w:sz="4" w:space="0" w:color="auto"/>
              <w:left w:val="single" w:sz="4" w:space="0" w:color="auto"/>
              <w:bottom w:val="single" w:sz="4" w:space="0" w:color="auto"/>
              <w:right w:val="single" w:sz="4" w:space="0" w:color="auto"/>
            </w:tcBorders>
            <w:vAlign w:val="center"/>
          </w:tcPr>
          <w:p w14:paraId="236B8018" w14:textId="491C6DDE" w:rsidR="00444F2B" w:rsidRPr="00A12AA4" w:rsidRDefault="009B495A"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6E1DCBF8" w14:textId="2B061CFA"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849" w:type="dxa"/>
            <w:tcBorders>
              <w:top w:val="single" w:sz="4" w:space="0" w:color="auto"/>
              <w:left w:val="single" w:sz="4" w:space="0" w:color="auto"/>
              <w:bottom w:val="single" w:sz="4" w:space="0" w:color="auto"/>
              <w:right w:val="single" w:sz="4" w:space="0" w:color="auto"/>
            </w:tcBorders>
            <w:vAlign w:val="center"/>
          </w:tcPr>
          <w:p w14:paraId="067AC9C7" w14:textId="501F99A0"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119" w:type="dxa"/>
            <w:tcBorders>
              <w:top w:val="single" w:sz="4" w:space="0" w:color="auto"/>
              <w:left w:val="single" w:sz="4" w:space="0" w:color="auto"/>
              <w:bottom w:val="single" w:sz="4" w:space="0" w:color="auto"/>
              <w:right w:val="single" w:sz="4" w:space="0" w:color="auto"/>
            </w:tcBorders>
            <w:vAlign w:val="center"/>
          </w:tcPr>
          <w:p w14:paraId="34B477BF" w14:textId="13A7D928"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401" w:type="dxa"/>
            <w:tcBorders>
              <w:top w:val="single" w:sz="4" w:space="0" w:color="auto"/>
              <w:left w:val="single" w:sz="4" w:space="0" w:color="auto"/>
              <w:bottom w:val="single" w:sz="4" w:space="0" w:color="auto"/>
              <w:right w:val="nil"/>
            </w:tcBorders>
            <w:vAlign w:val="center"/>
          </w:tcPr>
          <w:p w14:paraId="0D47CB06" w14:textId="5EF6A3FD" w:rsidR="00444F2B" w:rsidRPr="00A12AA4" w:rsidRDefault="00444F2B" w:rsidP="00444F2B">
            <w:pPr>
              <w:pStyle w:val="Roman8pt"/>
              <w:spacing w:before="10" w:after="10"/>
              <w:ind w:left="57" w:right="57"/>
              <w:rPr>
                <w:rFonts w:asciiTheme="majorBidi" w:hAnsiTheme="majorBidi" w:cstheme="majorBidi"/>
                <w:strike/>
                <w:sz w:val="20"/>
                <w:szCs w:val="20"/>
              </w:rPr>
            </w:pPr>
            <w:r w:rsidRPr="00A55E5F">
              <w:rPr>
                <w:rFonts w:asciiTheme="majorBidi" w:hAnsiTheme="majorBidi" w:cstheme="majorBidi"/>
                <w:sz w:val="20"/>
                <w:szCs w:val="20"/>
              </w:rPr>
              <w:t>This UN Regulation is under the purview of GRSG</w:t>
            </w:r>
            <w:r>
              <w:rPr>
                <w:rFonts w:asciiTheme="majorBidi" w:hAnsiTheme="majorBidi" w:cstheme="majorBidi"/>
                <w:sz w:val="20"/>
                <w:szCs w:val="20"/>
              </w:rPr>
              <w:t>.</w:t>
            </w:r>
          </w:p>
        </w:tc>
      </w:tr>
      <w:tr w:rsidR="003F6D4F" w:rsidRPr="00613D53" w14:paraId="3D1389D0" w14:textId="55522A7D" w:rsidTr="00FF2507">
        <w:tc>
          <w:tcPr>
            <w:tcW w:w="1073" w:type="dxa"/>
            <w:tcBorders>
              <w:top w:val="single" w:sz="4" w:space="0" w:color="auto"/>
              <w:left w:val="nil"/>
              <w:bottom w:val="single" w:sz="4" w:space="0" w:color="auto"/>
              <w:right w:val="single" w:sz="4" w:space="0" w:color="auto"/>
            </w:tcBorders>
            <w:vAlign w:val="center"/>
          </w:tcPr>
          <w:p w14:paraId="1ECDE1ED" w14:textId="6F87CB4E"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130</w:t>
            </w:r>
          </w:p>
        </w:tc>
        <w:tc>
          <w:tcPr>
            <w:tcW w:w="806" w:type="dxa"/>
            <w:tcBorders>
              <w:top w:val="single" w:sz="4" w:space="0" w:color="auto"/>
              <w:left w:val="single" w:sz="4" w:space="0" w:color="auto"/>
              <w:bottom w:val="single" w:sz="4" w:space="0" w:color="auto"/>
              <w:right w:val="single" w:sz="4" w:space="0" w:color="auto"/>
            </w:tcBorders>
            <w:vAlign w:val="center"/>
          </w:tcPr>
          <w:p w14:paraId="5B60FC71" w14:textId="62AFB4F0"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32C14F7F" w14:textId="564D7C23"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7DE81092" w14:textId="75A02A3F"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086C5DF4" w14:textId="25D1E0C6"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4C34E782" w14:textId="18D8E156" w:rsidR="003F6D4F" w:rsidRPr="00613D53" w:rsidRDefault="003F6D4F" w:rsidP="003F6D4F">
            <w:pPr>
              <w:pStyle w:val="Roman8pt"/>
              <w:spacing w:before="10" w:after="10"/>
              <w:ind w:left="57" w:right="57"/>
              <w:rPr>
                <w:rFonts w:asciiTheme="majorBidi" w:hAnsiTheme="majorBidi" w:cstheme="majorBidi"/>
                <w:sz w:val="20"/>
                <w:szCs w:val="20"/>
              </w:rPr>
            </w:pPr>
          </w:p>
        </w:tc>
      </w:tr>
      <w:tr w:rsidR="003F6D4F" w:rsidRPr="00613D53" w14:paraId="0EE42AD3" w14:textId="00AB9067" w:rsidTr="00FF2507">
        <w:tc>
          <w:tcPr>
            <w:tcW w:w="1073" w:type="dxa"/>
            <w:tcBorders>
              <w:top w:val="single" w:sz="4" w:space="0" w:color="auto"/>
              <w:left w:val="nil"/>
              <w:bottom w:val="single" w:sz="4" w:space="0" w:color="auto"/>
              <w:right w:val="single" w:sz="4" w:space="0" w:color="auto"/>
            </w:tcBorders>
            <w:vAlign w:val="center"/>
          </w:tcPr>
          <w:p w14:paraId="319ABFC3" w14:textId="478F60A1"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131</w:t>
            </w:r>
          </w:p>
        </w:tc>
        <w:tc>
          <w:tcPr>
            <w:tcW w:w="806" w:type="dxa"/>
            <w:tcBorders>
              <w:top w:val="single" w:sz="4" w:space="0" w:color="auto"/>
              <w:left w:val="single" w:sz="4" w:space="0" w:color="auto"/>
              <w:bottom w:val="single" w:sz="4" w:space="0" w:color="auto"/>
              <w:right w:val="single" w:sz="4" w:space="0" w:color="auto"/>
            </w:tcBorders>
            <w:vAlign w:val="center"/>
          </w:tcPr>
          <w:p w14:paraId="18BB7575" w14:textId="09BD4C7C"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6A95C645" w14:textId="035ACB99"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41F8D709" w14:textId="4D415352"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AFB5E85" w14:textId="0A059076"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50CF6BDA" w14:textId="53494D59" w:rsidR="003F6D4F" w:rsidRDefault="003F6D4F" w:rsidP="003F6D4F">
            <w:pPr>
              <w:pStyle w:val="Roman8pt"/>
              <w:spacing w:before="10" w:after="10"/>
              <w:ind w:left="57" w:right="57"/>
              <w:rPr>
                <w:rFonts w:asciiTheme="majorBidi" w:hAnsiTheme="majorBidi" w:cstheme="majorBidi"/>
                <w:sz w:val="20"/>
                <w:szCs w:val="20"/>
              </w:rPr>
            </w:pPr>
          </w:p>
        </w:tc>
      </w:tr>
      <w:tr w:rsidR="003F6D4F" w:rsidRPr="00613D53" w14:paraId="3FE6A5C6" w14:textId="2488FD6B" w:rsidTr="00FF2507">
        <w:tc>
          <w:tcPr>
            <w:tcW w:w="1073" w:type="dxa"/>
            <w:tcBorders>
              <w:top w:val="single" w:sz="4" w:space="0" w:color="auto"/>
              <w:left w:val="nil"/>
              <w:bottom w:val="single" w:sz="4" w:space="0" w:color="auto"/>
              <w:right w:val="single" w:sz="4" w:space="0" w:color="auto"/>
            </w:tcBorders>
            <w:vAlign w:val="center"/>
          </w:tcPr>
          <w:p w14:paraId="624B8763" w14:textId="627ACC8A"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139</w:t>
            </w:r>
          </w:p>
        </w:tc>
        <w:tc>
          <w:tcPr>
            <w:tcW w:w="806" w:type="dxa"/>
            <w:tcBorders>
              <w:top w:val="single" w:sz="4" w:space="0" w:color="auto"/>
              <w:left w:val="single" w:sz="4" w:space="0" w:color="auto"/>
              <w:bottom w:val="single" w:sz="4" w:space="0" w:color="auto"/>
              <w:right w:val="single" w:sz="4" w:space="0" w:color="auto"/>
            </w:tcBorders>
            <w:vAlign w:val="center"/>
          </w:tcPr>
          <w:p w14:paraId="0695DDA6" w14:textId="3E2BD6BC"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3E64E65F" w14:textId="51D1D33C"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73ED9C1D" w14:textId="79A17B1C"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6BAD2C56" w14:textId="63A81142"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366EBB3A" w14:textId="3E293682" w:rsidR="003F6D4F" w:rsidRPr="00613D53" w:rsidRDefault="003F6D4F" w:rsidP="003F6D4F">
            <w:pPr>
              <w:pStyle w:val="Roman8pt"/>
              <w:spacing w:before="10" w:after="10"/>
              <w:ind w:left="57" w:right="57"/>
              <w:rPr>
                <w:rFonts w:asciiTheme="majorBidi" w:hAnsiTheme="majorBidi" w:cstheme="majorBidi"/>
                <w:sz w:val="20"/>
                <w:szCs w:val="20"/>
              </w:rPr>
            </w:pPr>
          </w:p>
        </w:tc>
      </w:tr>
      <w:tr w:rsidR="003F6D4F" w:rsidRPr="00613D53" w14:paraId="3DF0AE30" w14:textId="257EDCD4" w:rsidTr="00FF2507">
        <w:tc>
          <w:tcPr>
            <w:tcW w:w="1073" w:type="dxa"/>
            <w:tcBorders>
              <w:top w:val="single" w:sz="4" w:space="0" w:color="auto"/>
              <w:left w:val="nil"/>
              <w:bottom w:val="single" w:sz="4" w:space="0" w:color="auto"/>
              <w:right w:val="single" w:sz="4" w:space="0" w:color="auto"/>
            </w:tcBorders>
            <w:vAlign w:val="center"/>
          </w:tcPr>
          <w:p w14:paraId="0E727FEA" w14:textId="1C05B1FC"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140</w:t>
            </w:r>
          </w:p>
        </w:tc>
        <w:tc>
          <w:tcPr>
            <w:tcW w:w="806" w:type="dxa"/>
            <w:tcBorders>
              <w:top w:val="single" w:sz="4" w:space="0" w:color="auto"/>
              <w:left w:val="single" w:sz="4" w:space="0" w:color="auto"/>
              <w:bottom w:val="single" w:sz="4" w:space="0" w:color="auto"/>
              <w:right w:val="single" w:sz="4" w:space="0" w:color="auto"/>
            </w:tcBorders>
            <w:vAlign w:val="center"/>
          </w:tcPr>
          <w:p w14:paraId="59A1E576" w14:textId="32D9D226"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32ECB536" w14:textId="3C8A3A0E"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561FB37E" w14:textId="1DE201B5"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00D0CB04" w14:textId="556C60AF"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lastRenderedPageBreak/>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0EEA798D" w14:textId="4E1CF7A3" w:rsidR="003F6D4F" w:rsidRPr="00613D53" w:rsidRDefault="003F6D4F" w:rsidP="003F6D4F">
            <w:pPr>
              <w:pStyle w:val="Roman8pt"/>
              <w:spacing w:before="10" w:after="10"/>
              <w:ind w:left="57" w:right="57"/>
              <w:rPr>
                <w:rFonts w:asciiTheme="majorBidi" w:hAnsiTheme="majorBidi" w:cstheme="majorBidi"/>
                <w:sz w:val="20"/>
                <w:szCs w:val="20"/>
              </w:rPr>
            </w:pPr>
          </w:p>
        </w:tc>
      </w:tr>
      <w:tr w:rsidR="00444F2B" w:rsidRPr="00613D53" w14:paraId="10F31F30" w14:textId="135AB515" w:rsidTr="000C6F8E">
        <w:trPr>
          <w:cantSplit/>
        </w:trPr>
        <w:tc>
          <w:tcPr>
            <w:tcW w:w="1073" w:type="dxa"/>
            <w:tcBorders>
              <w:top w:val="single" w:sz="4" w:space="0" w:color="auto"/>
              <w:left w:val="nil"/>
              <w:bottom w:val="single" w:sz="4" w:space="0" w:color="auto"/>
              <w:right w:val="single" w:sz="4" w:space="0" w:color="auto"/>
            </w:tcBorders>
            <w:vAlign w:val="center"/>
          </w:tcPr>
          <w:p w14:paraId="55572B8C" w14:textId="43DCFB92" w:rsidR="00444F2B" w:rsidRPr="00A12AA4" w:rsidRDefault="00444F2B" w:rsidP="00444F2B">
            <w:pPr>
              <w:pStyle w:val="Roman8pt"/>
              <w:spacing w:before="10" w:after="10"/>
              <w:ind w:left="57"/>
              <w:rPr>
                <w:rFonts w:asciiTheme="majorBidi" w:hAnsiTheme="majorBidi" w:cstheme="majorBidi"/>
                <w:strike/>
                <w:sz w:val="20"/>
                <w:szCs w:val="20"/>
              </w:rPr>
            </w:pPr>
            <w:r w:rsidRPr="00AE6696">
              <w:rPr>
                <w:rFonts w:asciiTheme="majorBidi" w:hAnsiTheme="majorBidi" w:cstheme="majorBidi"/>
                <w:strike/>
                <w:color w:val="A6A6A6" w:themeColor="background1" w:themeShade="A6"/>
                <w:sz w:val="20"/>
                <w:szCs w:val="20"/>
              </w:rPr>
              <w:t>UN R 147</w:t>
            </w:r>
          </w:p>
        </w:tc>
        <w:tc>
          <w:tcPr>
            <w:tcW w:w="806" w:type="dxa"/>
            <w:tcBorders>
              <w:top w:val="single" w:sz="4" w:space="0" w:color="auto"/>
              <w:left w:val="single" w:sz="4" w:space="0" w:color="auto"/>
              <w:bottom w:val="single" w:sz="4" w:space="0" w:color="auto"/>
              <w:right w:val="single" w:sz="4" w:space="0" w:color="auto"/>
            </w:tcBorders>
            <w:vAlign w:val="center"/>
          </w:tcPr>
          <w:p w14:paraId="0C2E77F9" w14:textId="695FCC33" w:rsidR="00444F2B" w:rsidRPr="00A12AA4" w:rsidRDefault="009B495A"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6DBD4453" w14:textId="24926C8D"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849" w:type="dxa"/>
            <w:tcBorders>
              <w:top w:val="single" w:sz="4" w:space="0" w:color="auto"/>
              <w:left w:val="single" w:sz="4" w:space="0" w:color="auto"/>
              <w:bottom w:val="single" w:sz="4" w:space="0" w:color="auto"/>
              <w:right w:val="single" w:sz="4" w:space="0" w:color="auto"/>
            </w:tcBorders>
            <w:vAlign w:val="center"/>
          </w:tcPr>
          <w:p w14:paraId="3DEDD8EA" w14:textId="67556777"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119" w:type="dxa"/>
            <w:tcBorders>
              <w:top w:val="single" w:sz="4" w:space="0" w:color="auto"/>
              <w:left w:val="single" w:sz="4" w:space="0" w:color="auto"/>
              <w:bottom w:val="single" w:sz="4" w:space="0" w:color="auto"/>
              <w:right w:val="single" w:sz="4" w:space="0" w:color="auto"/>
            </w:tcBorders>
            <w:vAlign w:val="center"/>
          </w:tcPr>
          <w:p w14:paraId="23FC5F17" w14:textId="29428BA7" w:rsidR="00444F2B" w:rsidRPr="00A12AA4" w:rsidRDefault="00444F2B" w:rsidP="00444F2B">
            <w:pPr>
              <w:pStyle w:val="Roman8pt"/>
              <w:spacing w:before="10" w:after="10"/>
              <w:ind w:left="-114"/>
              <w:jc w:val="center"/>
              <w:rPr>
                <w:rFonts w:asciiTheme="majorBidi" w:hAnsiTheme="majorBidi" w:cstheme="majorBidi"/>
                <w:strike/>
                <w:sz w:val="20"/>
                <w:szCs w:val="20"/>
              </w:rPr>
            </w:pPr>
            <w:r>
              <w:rPr>
                <w:rFonts w:asciiTheme="majorBidi" w:hAnsiTheme="majorBidi" w:cstheme="majorBidi"/>
                <w:sz w:val="20"/>
                <w:szCs w:val="20"/>
              </w:rPr>
              <w:t>N/A</w:t>
            </w:r>
          </w:p>
        </w:tc>
        <w:tc>
          <w:tcPr>
            <w:tcW w:w="2401" w:type="dxa"/>
            <w:tcBorders>
              <w:top w:val="single" w:sz="4" w:space="0" w:color="auto"/>
              <w:left w:val="single" w:sz="4" w:space="0" w:color="auto"/>
              <w:bottom w:val="single" w:sz="4" w:space="0" w:color="auto"/>
              <w:right w:val="nil"/>
            </w:tcBorders>
            <w:vAlign w:val="center"/>
          </w:tcPr>
          <w:p w14:paraId="19E1AB0B" w14:textId="7395FCAA" w:rsidR="00444F2B" w:rsidRPr="00A12AA4" w:rsidRDefault="00444F2B" w:rsidP="00444F2B">
            <w:pPr>
              <w:pStyle w:val="Roman8pt"/>
              <w:spacing w:before="10" w:after="10"/>
              <w:ind w:left="57" w:right="57"/>
              <w:rPr>
                <w:rFonts w:asciiTheme="majorBidi" w:hAnsiTheme="majorBidi" w:cstheme="majorBidi"/>
                <w:strike/>
                <w:sz w:val="20"/>
                <w:szCs w:val="20"/>
              </w:rPr>
            </w:pPr>
            <w:r w:rsidRPr="00A55E5F">
              <w:rPr>
                <w:rFonts w:asciiTheme="majorBidi" w:hAnsiTheme="majorBidi" w:cstheme="majorBidi"/>
                <w:sz w:val="20"/>
                <w:szCs w:val="20"/>
              </w:rPr>
              <w:t>This UN Regulation is under the purview of GRSG</w:t>
            </w:r>
            <w:r>
              <w:rPr>
                <w:rFonts w:asciiTheme="majorBidi" w:hAnsiTheme="majorBidi" w:cstheme="majorBidi"/>
                <w:sz w:val="20"/>
                <w:szCs w:val="20"/>
              </w:rPr>
              <w:t>.</w:t>
            </w:r>
          </w:p>
        </w:tc>
      </w:tr>
      <w:tr w:rsidR="003F6D4F" w:rsidRPr="00613D53" w14:paraId="48942DEF" w14:textId="120AF65E" w:rsidTr="00FF2507">
        <w:tc>
          <w:tcPr>
            <w:tcW w:w="1073" w:type="dxa"/>
            <w:tcBorders>
              <w:top w:val="single" w:sz="4" w:space="0" w:color="auto"/>
              <w:left w:val="nil"/>
              <w:bottom w:val="single" w:sz="4" w:space="0" w:color="auto"/>
              <w:right w:val="single" w:sz="4" w:space="0" w:color="auto"/>
            </w:tcBorders>
            <w:vAlign w:val="center"/>
          </w:tcPr>
          <w:p w14:paraId="5A0031CD" w14:textId="418779EF"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152</w:t>
            </w:r>
          </w:p>
        </w:tc>
        <w:tc>
          <w:tcPr>
            <w:tcW w:w="806" w:type="dxa"/>
            <w:tcBorders>
              <w:top w:val="single" w:sz="4" w:space="0" w:color="auto"/>
              <w:left w:val="single" w:sz="4" w:space="0" w:color="auto"/>
              <w:bottom w:val="single" w:sz="4" w:space="0" w:color="auto"/>
              <w:right w:val="single" w:sz="4" w:space="0" w:color="auto"/>
            </w:tcBorders>
            <w:vAlign w:val="center"/>
          </w:tcPr>
          <w:p w14:paraId="54837C9C" w14:textId="1B29BCE9"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53503F2B" w14:textId="78409181" w:rsidR="003F6D4F" w:rsidRPr="00613D53" w:rsidRDefault="00D15C1B"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r>
              <w:rPr>
                <w:rFonts w:asciiTheme="majorBidi" w:hAnsiTheme="majorBidi" w:cstheme="majorBidi"/>
                <w:sz w:val="20"/>
                <w:szCs w:val="20"/>
                <w:vertAlign w:val="superscript"/>
              </w:rPr>
              <w:t>4</w:t>
            </w:r>
            <w:r w:rsidRPr="004E7DEE">
              <w:rPr>
                <w:rFonts w:asciiTheme="majorBidi" w:hAnsiTheme="majorBidi" w:cstheme="majorBidi"/>
                <w:sz w:val="20"/>
                <w:szCs w:val="20"/>
                <w:vertAlign w:val="superscript"/>
              </w:rPr>
              <w:t>)</w:t>
            </w:r>
          </w:p>
        </w:tc>
        <w:tc>
          <w:tcPr>
            <w:tcW w:w="849" w:type="dxa"/>
            <w:tcBorders>
              <w:top w:val="single" w:sz="4" w:space="0" w:color="auto"/>
              <w:left w:val="single" w:sz="4" w:space="0" w:color="auto"/>
              <w:bottom w:val="single" w:sz="4" w:space="0" w:color="auto"/>
              <w:right w:val="single" w:sz="4" w:space="0" w:color="auto"/>
            </w:tcBorders>
            <w:vAlign w:val="center"/>
          </w:tcPr>
          <w:p w14:paraId="795CA6EE" w14:textId="5161DA67"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AAF1B18" w14:textId="798E0162"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499A23F4" w14:textId="0033A0E4" w:rsidR="003F6D4F" w:rsidRDefault="00D15C1B" w:rsidP="003F6D4F">
            <w:pPr>
              <w:pStyle w:val="Roman8pt"/>
              <w:spacing w:before="10" w:after="10"/>
              <w:ind w:left="57" w:right="57"/>
              <w:rPr>
                <w:rFonts w:asciiTheme="majorBidi" w:hAnsiTheme="majorBidi" w:cstheme="majorBidi"/>
                <w:sz w:val="20"/>
                <w:szCs w:val="20"/>
              </w:rPr>
            </w:pPr>
            <w:r>
              <w:rPr>
                <w:rFonts w:asciiTheme="majorBidi" w:hAnsiTheme="majorBidi" w:cstheme="majorBidi"/>
                <w:sz w:val="20"/>
                <w:szCs w:val="20"/>
              </w:rPr>
              <w:t>No additional information is needed on the product in the case if UI is marked</w:t>
            </w:r>
            <w:r>
              <w:rPr>
                <w:rFonts w:asciiTheme="majorBidi" w:hAnsiTheme="majorBidi" w:cstheme="majorBidi"/>
                <w:sz w:val="20"/>
                <w:szCs w:val="20"/>
                <w:vertAlign w:val="superscript"/>
              </w:rPr>
              <w:t>4</w:t>
            </w:r>
            <w:r w:rsidRPr="004E7DEE">
              <w:rPr>
                <w:rFonts w:asciiTheme="majorBidi" w:hAnsiTheme="majorBidi" w:cstheme="majorBidi"/>
                <w:sz w:val="20"/>
                <w:szCs w:val="20"/>
                <w:vertAlign w:val="superscript"/>
              </w:rPr>
              <w:t>)</w:t>
            </w:r>
            <w:r>
              <w:rPr>
                <w:rFonts w:asciiTheme="majorBidi" w:hAnsiTheme="majorBidi" w:cstheme="majorBidi"/>
                <w:sz w:val="20"/>
                <w:szCs w:val="20"/>
              </w:rPr>
              <w:t>.</w:t>
            </w:r>
          </w:p>
        </w:tc>
      </w:tr>
      <w:tr w:rsidR="003F6D4F" w:rsidRPr="00613D53" w14:paraId="6B5F9331" w14:textId="05BDC10C" w:rsidTr="00FF2507">
        <w:tc>
          <w:tcPr>
            <w:tcW w:w="1073" w:type="dxa"/>
            <w:tcBorders>
              <w:top w:val="single" w:sz="4" w:space="0" w:color="auto"/>
              <w:left w:val="nil"/>
              <w:bottom w:val="single" w:sz="4" w:space="0" w:color="auto"/>
              <w:right w:val="single" w:sz="4" w:space="0" w:color="auto"/>
            </w:tcBorders>
            <w:vAlign w:val="center"/>
          </w:tcPr>
          <w:p w14:paraId="77B31771" w14:textId="055D8D62"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155</w:t>
            </w:r>
          </w:p>
        </w:tc>
        <w:tc>
          <w:tcPr>
            <w:tcW w:w="806" w:type="dxa"/>
            <w:tcBorders>
              <w:top w:val="single" w:sz="4" w:space="0" w:color="auto"/>
              <w:left w:val="single" w:sz="4" w:space="0" w:color="auto"/>
              <w:bottom w:val="single" w:sz="4" w:space="0" w:color="auto"/>
              <w:right w:val="single" w:sz="4" w:space="0" w:color="auto"/>
            </w:tcBorders>
            <w:vAlign w:val="center"/>
          </w:tcPr>
          <w:p w14:paraId="2C97404A" w14:textId="2B40FE34"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418A22A3" w14:textId="13820A05"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3F95E0EB" w14:textId="7EC710CB"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6ED20F5F" w14:textId="1744C304"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5BA395F1" w14:textId="7F792D8C" w:rsidR="003F6D4F" w:rsidRPr="00613D53" w:rsidRDefault="003F6D4F" w:rsidP="003F6D4F">
            <w:pPr>
              <w:pStyle w:val="Roman8pt"/>
              <w:spacing w:before="10" w:after="10"/>
              <w:ind w:left="57" w:right="57"/>
              <w:rPr>
                <w:rFonts w:asciiTheme="majorBidi" w:hAnsiTheme="majorBidi" w:cstheme="majorBidi"/>
                <w:sz w:val="20"/>
                <w:szCs w:val="20"/>
              </w:rPr>
            </w:pPr>
          </w:p>
        </w:tc>
      </w:tr>
      <w:tr w:rsidR="003F6D4F" w:rsidRPr="00613D53" w14:paraId="7A8E01AF" w14:textId="2470A0F5" w:rsidTr="00FF2507">
        <w:tc>
          <w:tcPr>
            <w:tcW w:w="1073" w:type="dxa"/>
            <w:tcBorders>
              <w:top w:val="single" w:sz="4" w:space="0" w:color="auto"/>
              <w:left w:val="nil"/>
              <w:bottom w:val="single" w:sz="4" w:space="0" w:color="auto"/>
              <w:right w:val="single" w:sz="4" w:space="0" w:color="auto"/>
            </w:tcBorders>
            <w:vAlign w:val="center"/>
          </w:tcPr>
          <w:p w14:paraId="5FFE33C1" w14:textId="7105ADFC"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156</w:t>
            </w:r>
          </w:p>
        </w:tc>
        <w:tc>
          <w:tcPr>
            <w:tcW w:w="806" w:type="dxa"/>
            <w:tcBorders>
              <w:top w:val="single" w:sz="4" w:space="0" w:color="auto"/>
              <w:left w:val="single" w:sz="4" w:space="0" w:color="auto"/>
              <w:bottom w:val="single" w:sz="4" w:space="0" w:color="auto"/>
              <w:right w:val="single" w:sz="4" w:space="0" w:color="auto"/>
            </w:tcBorders>
            <w:vAlign w:val="center"/>
          </w:tcPr>
          <w:p w14:paraId="36144D7A" w14:textId="7764D645"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4" w:space="0" w:color="auto"/>
              <w:right w:val="single" w:sz="4" w:space="0" w:color="auto"/>
            </w:tcBorders>
            <w:vAlign w:val="center"/>
          </w:tcPr>
          <w:p w14:paraId="43ED1D68" w14:textId="56ECB20A"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4" w:space="0" w:color="auto"/>
              <w:right w:val="single" w:sz="4" w:space="0" w:color="auto"/>
            </w:tcBorders>
            <w:vAlign w:val="center"/>
          </w:tcPr>
          <w:p w14:paraId="514074BD" w14:textId="51770FFD"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4" w:space="0" w:color="auto"/>
              <w:right w:val="single" w:sz="4" w:space="0" w:color="auto"/>
            </w:tcBorders>
            <w:vAlign w:val="center"/>
          </w:tcPr>
          <w:p w14:paraId="4574CDFE" w14:textId="6F860484"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4" w:space="0" w:color="auto"/>
              <w:right w:val="nil"/>
            </w:tcBorders>
            <w:vAlign w:val="center"/>
          </w:tcPr>
          <w:p w14:paraId="0FDBA921" w14:textId="66D55F4D" w:rsidR="003F6D4F" w:rsidRPr="00613D53" w:rsidRDefault="003F6D4F" w:rsidP="003F6D4F">
            <w:pPr>
              <w:pStyle w:val="Roman8pt"/>
              <w:spacing w:before="10" w:after="10"/>
              <w:ind w:left="57" w:right="57"/>
              <w:rPr>
                <w:rFonts w:asciiTheme="majorBidi" w:hAnsiTheme="majorBidi" w:cstheme="majorBidi"/>
                <w:sz w:val="20"/>
                <w:szCs w:val="20"/>
              </w:rPr>
            </w:pPr>
          </w:p>
        </w:tc>
      </w:tr>
      <w:tr w:rsidR="003F6D4F" w:rsidRPr="00613D53" w14:paraId="28F0770C" w14:textId="45B543BB" w:rsidTr="00FF2507">
        <w:tc>
          <w:tcPr>
            <w:tcW w:w="1073" w:type="dxa"/>
            <w:tcBorders>
              <w:top w:val="single" w:sz="4" w:space="0" w:color="auto"/>
              <w:left w:val="nil"/>
              <w:bottom w:val="single" w:sz="12" w:space="0" w:color="auto"/>
              <w:right w:val="single" w:sz="4" w:space="0" w:color="auto"/>
            </w:tcBorders>
            <w:vAlign w:val="center"/>
          </w:tcPr>
          <w:p w14:paraId="34E38DC9" w14:textId="01F07E08" w:rsidR="003F6D4F" w:rsidRPr="00613D53" w:rsidRDefault="003F6D4F" w:rsidP="003F6D4F">
            <w:pPr>
              <w:pStyle w:val="Roman8pt"/>
              <w:spacing w:before="10" w:after="10"/>
              <w:ind w:left="57"/>
              <w:rPr>
                <w:rFonts w:asciiTheme="majorBidi" w:hAnsiTheme="majorBidi" w:cstheme="majorBidi"/>
                <w:sz w:val="20"/>
                <w:szCs w:val="20"/>
              </w:rPr>
            </w:pPr>
            <w:r w:rsidRPr="00613D53">
              <w:rPr>
                <w:rFonts w:asciiTheme="majorBidi" w:hAnsiTheme="majorBidi" w:cstheme="majorBidi"/>
                <w:color w:val="000000"/>
                <w:sz w:val="20"/>
                <w:szCs w:val="20"/>
                <w:lang w:val="fr-CH"/>
              </w:rPr>
              <w:t>UN R 157</w:t>
            </w:r>
          </w:p>
        </w:tc>
        <w:tc>
          <w:tcPr>
            <w:tcW w:w="806" w:type="dxa"/>
            <w:tcBorders>
              <w:top w:val="single" w:sz="4" w:space="0" w:color="auto"/>
              <w:left w:val="single" w:sz="4" w:space="0" w:color="auto"/>
              <w:bottom w:val="single" w:sz="12" w:space="0" w:color="auto"/>
              <w:right w:val="single" w:sz="4" w:space="0" w:color="auto"/>
            </w:tcBorders>
            <w:vAlign w:val="center"/>
          </w:tcPr>
          <w:p w14:paraId="18C33190" w14:textId="727D1CE9"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N/A</w:t>
            </w:r>
          </w:p>
        </w:tc>
        <w:tc>
          <w:tcPr>
            <w:tcW w:w="2108" w:type="dxa"/>
            <w:tcBorders>
              <w:top w:val="single" w:sz="4" w:space="0" w:color="auto"/>
              <w:left w:val="single" w:sz="4" w:space="0" w:color="auto"/>
              <w:bottom w:val="single" w:sz="12" w:space="0" w:color="auto"/>
              <w:right w:val="single" w:sz="4" w:space="0" w:color="auto"/>
            </w:tcBorders>
            <w:vAlign w:val="center"/>
          </w:tcPr>
          <w:p w14:paraId="1351171D" w14:textId="2A4D4523"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No</w:t>
            </w:r>
          </w:p>
        </w:tc>
        <w:tc>
          <w:tcPr>
            <w:tcW w:w="849" w:type="dxa"/>
            <w:tcBorders>
              <w:top w:val="single" w:sz="4" w:space="0" w:color="auto"/>
              <w:left w:val="single" w:sz="4" w:space="0" w:color="auto"/>
              <w:bottom w:val="single" w:sz="12" w:space="0" w:color="auto"/>
              <w:right w:val="single" w:sz="4" w:space="0" w:color="auto"/>
            </w:tcBorders>
            <w:vAlign w:val="center"/>
          </w:tcPr>
          <w:p w14:paraId="012723D5" w14:textId="71620AFB" w:rsidR="003F6D4F" w:rsidRPr="00613D53" w:rsidRDefault="003F6D4F"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Yes*</w:t>
            </w:r>
          </w:p>
        </w:tc>
        <w:tc>
          <w:tcPr>
            <w:tcW w:w="2119" w:type="dxa"/>
            <w:tcBorders>
              <w:top w:val="single" w:sz="4" w:space="0" w:color="auto"/>
              <w:left w:val="single" w:sz="4" w:space="0" w:color="auto"/>
              <w:bottom w:val="single" w:sz="12" w:space="0" w:color="auto"/>
              <w:right w:val="single" w:sz="4" w:space="0" w:color="auto"/>
            </w:tcBorders>
            <w:vAlign w:val="center"/>
          </w:tcPr>
          <w:p w14:paraId="4206C4F5" w14:textId="4FFB464F" w:rsidR="003F6D4F" w:rsidRPr="00613D53" w:rsidRDefault="000C6F8E" w:rsidP="003F6D4F">
            <w:pPr>
              <w:pStyle w:val="Roman8pt"/>
              <w:spacing w:before="10" w:after="10"/>
              <w:ind w:left="-114"/>
              <w:jc w:val="center"/>
              <w:rPr>
                <w:rFonts w:asciiTheme="majorBidi" w:hAnsiTheme="majorBidi" w:cstheme="majorBidi"/>
                <w:sz w:val="20"/>
                <w:szCs w:val="20"/>
              </w:rPr>
            </w:pPr>
            <w:r>
              <w:rPr>
                <w:rFonts w:asciiTheme="majorBidi" w:hAnsiTheme="majorBidi" w:cstheme="majorBidi"/>
                <w:sz w:val="20"/>
                <w:szCs w:val="20"/>
              </w:rPr>
              <w:t xml:space="preserve">Yes, </w:t>
            </w:r>
            <w:r w:rsidRPr="000C6F8E">
              <w:rPr>
                <w:sz w:val="20"/>
                <w:szCs w:val="32"/>
              </w:rPr>
              <w:t xml:space="preserve">either </w:t>
            </w:r>
            <w:r>
              <w:rPr>
                <w:sz w:val="20"/>
                <w:szCs w:val="32"/>
              </w:rPr>
              <w:br/>
            </w:r>
            <w:r w:rsidRPr="000C6F8E">
              <w:rPr>
                <w:sz w:val="20"/>
                <w:szCs w:val="32"/>
              </w:rPr>
              <w:t xml:space="preserve">the approval mark </w:t>
            </w:r>
            <w:r>
              <w:rPr>
                <w:sz w:val="20"/>
                <w:szCs w:val="32"/>
              </w:rPr>
              <w:br/>
            </w:r>
            <w:r w:rsidRPr="000C6F8E">
              <w:rPr>
                <w:sz w:val="20"/>
                <w:szCs w:val="32"/>
              </w:rPr>
              <w:t>or the UI marking</w:t>
            </w:r>
          </w:p>
        </w:tc>
        <w:tc>
          <w:tcPr>
            <w:tcW w:w="2401" w:type="dxa"/>
            <w:tcBorders>
              <w:top w:val="single" w:sz="4" w:space="0" w:color="auto"/>
              <w:left w:val="single" w:sz="4" w:space="0" w:color="auto"/>
              <w:bottom w:val="single" w:sz="12" w:space="0" w:color="auto"/>
              <w:right w:val="nil"/>
            </w:tcBorders>
            <w:vAlign w:val="center"/>
          </w:tcPr>
          <w:p w14:paraId="55F42B15" w14:textId="22B5E82A" w:rsidR="003F6D4F" w:rsidRPr="00613D53" w:rsidRDefault="003F6D4F" w:rsidP="003F6D4F">
            <w:pPr>
              <w:pStyle w:val="Roman8pt"/>
              <w:spacing w:before="10" w:after="10"/>
              <w:ind w:left="57" w:right="57"/>
              <w:rPr>
                <w:rFonts w:asciiTheme="majorBidi" w:hAnsiTheme="majorBidi" w:cstheme="majorBidi"/>
                <w:sz w:val="20"/>
                <w:szCs w:val="20"/>
              </w:rPr>
            </w:pPr>
          </w:p>
        </w:tc>
      </w:tr>
    </w:tbl>
    <w:p w14:paraId="3EBC5DCF" w14:textId="77777777" w:rsidR="004E7DEE" w:rsidRDefault="004E7DEE" w:rsidP="004E7DEE">
      <w:pPr>
        <w:pStyle w:val="SingleTxtG"/>
        <w:ind w:right="567"/>
      </w:pPr>
    </w:p>
    <w:p w14:paraId="42CF29D9" w14:textId="77777777" w:rsidR="004E7DEE" w:rsidRDefault="004E7DEE" w:rsidP="004E7DEE">
      <w:pPr>
        <w:pStyle w:val="SingleTxtG"/>
        <w:ind w:right="567"/>
      </w:pPr>
      <w:r>
        <w:t>Notes to the table:</w:t>
      </w:r>
    </w:p>
    <w:p w14:paraId="710B3DE3" w14:textId="2CC6F7FC" w:rsidR="00EA18AD" w:rsidRDefault="00EA18AD" w:rsidP="00EA18AD">
      <w:pPr>
        <w:pStyle w:val="SingleTxtG"/>
        <w:ind w:right="567"/>
      </w:pPr>
      <w:r>
        <w:t xml:space="preserve">* Based on the discussions at GRVA, </w:t>
      </w:r>
      <w:proofErr w:type="gramStart"/>
      <w:r>
        <w:t>in order to</w:t>
      </w:r>
      <w:proofErr w:type="gramEnd"/>
      <w:r>
        <w:t xml:space="preserve"> provide an access to DETA for general users, </w:t>
      </w:r>
      <w:r w:rsidRPr="008E497D">
        <w:rPr>
          <w:b/>
          <w:bCs/>
        </w:rPr>
        <w:t>each set of approval documentation pursuant to each UN Regulation sh</w:t>
      </w:r>
      <w:r>
        <w:rPr>
          <w:b/>
          <w:bCs/>
        </w:rPr>
        <w:t>all</w:t>
      </w:r>
      <w:r w:rsidRPr="008E497D">
        <w:rPr>
          <w:b/>
          <w:bCs/>
        </w:rPr>
        <w:t xml:space="preserve"> include the summary document available for the access of general users of the DETA database. </w:t>
      </w:r>
      <w:r>
        <w:t xml:space="preserve">The category of general users should be specified, and </w:t>
      </w:r>
      <w:r w:rsidR="004D1C8A">
        <w:t xml:space="preserve">may </w:t>
      </w:r>
      <w:r>
        <w:t xml:space="preserve">include, e.g., local offices of the roadworthiness inspection and market surveillance authorities. The summary document can be based on the form of communication on type approval with the addition of other relevant information, e.g., type of the test undergone from the note </w:t>
      </w:r>
      <w:r w:rsidRPr="002614AD">
        <w:rPr>
          <w:vertAlign w:val="superscript"/>
        </w:rPr>
        <w:t>1)</w:t>
      </w:r>
      <w:r>
        <w:t xml:space="preserve"> above.    </w:t>
      </w:r>
    </w:p>
    <w:p w14:paraId="57521251" w14:textId="77777777" w:rsidR="00EA18AD" w:rsidRPr="008E497D" w:rsidRDefault="00EA18AD" w:rsidP="00EA18AD">
      <w:pPr>
        <w:pStyle w:val="SingleTxtG"/>
        <w:ind w:right="567"/>
      </w:pPr>
      <w:r>
        <w:t xml:space="preserve">** According to the explanation of the secretary of the IWG on DETA, the header of this column refers to any type of marking: </w:t>
      </w:r>
      <w:r w:rsidRPr="008E497D">
        <w:t>e</w:t>
      </w:r>
      <w:r w:rsidRPr="008E497D">
        <w:rPr>
          <w:lang w:eastAsia="en-US"/>
        </w:rPr>
        <w:t>ither the approval mark or the UI marking. Besides that, additional information may need to be marked on the product (e.g.</w:t>
      </w:r>
      <w:r w:rsidRPr="008E497D">
        <w:t>,</w:t>
      </w:r>
      <w:r w:rsidRPr="008E497D">
        <w:rPr>
          <w:lang w:eastAsia="en-US"/>
        </w:rPr>
        <w:t xml:space="preserve"> related to installation or functionalities). That needs to be identified by all GRs for each UN regulation under its purview.</w:t>
      </w:r>
    </w:p>
    <w:p w14:paraId="22521CAF" w14:textId="0B947CBB" w:rsidR="00F803BA" w:rsidRPr="00EA18AD" w:rsidRDefault="004E7DEE" w:rsidP="00F803BA">
      <w:pPr>
        <w:pStyle w:val="SingleTxtG"/>
        <w:ind w:right="567"/>
      </w:pPr>
      <w:r w:rsidRPr="00F803BA">
        <w:rPr>
          <w:vertAlign w:val="superscript"/>
        </w:rPr>
        <w:t>1)</w:t>
      </w:r>
      <w:r>
        <w:t xml:space="preserve"> If a vehicle of categories M2 or M3 has been approved pursuant to the provisions of Annex 4, paragraph 1.8. to this Regulation, the number of the Regulation shall be followed by the letter M (UN R 13, para. 4.5.)</w:t>
      </w:r>
      <w:r w:rsidR="00931DF1">
        <w:tab/>
      </w:r>
      <w:r>
        <w:t>.</w:t>
      </w:r>
      <w:r w:rsidR="00F803BA">
        <w:t xml:space="preserve"> For vehicles of categories M2 and M3, the letter M in the approval mark means that the type of vehicle has undergone the Type-IIA test instead of Type-II test. It is assumed that this additional information is not needed for general users of the approval marking and the UI can substitute the “traditional” approval mark</w:t>
      </w:r>
      <w:r w:rsidR="00444F2B">
        <w:t xml:space="preserve"> without any additions</w:t>
      </w:r>
      <w:r w:rsidR="00FF2507">
        <w:t>, bearing in mind that the information related to the letter M could be provided</w:t>
      </w:r>
      <w:r w:rsidR="00C861AF">
        <w:t xml:space="preserve"> in the Summary Document</w:t>
      </w:r>
      <w:r w:rsidR="00444F2B">
        <w:t>.</w:t>
      </w:r>
      <w:r w:rsidR="00EA18AD">
        <w:t xml:space="preserve"> However, </w:t>
      </w:r>
      <w:r w:rsidR="00EA18AD">
        <w:rPr>
          <w:lang w:val="en-GB"/>
        </w:rPr>
        <w:t>Annex X</w:t>
      </w:r>
      <w:r w:rsidR="003C7892">
        <w:rPr>
          <w:lang w:val="en-GB"/>
        </w:rPr>
        <w:t xml:space="preserve"> to this Regulation</w:t>
      </w:r>
      <w:r w:rsidR="00EA18AD">
        <w:rPr>
          <w:lang w:val="en-GB"/>
        </w:rPr>
        <w:t xml:space="preserve"> stipulates an additional marking for trailers showing the brake forces based on the load of the vehicle. </w:t>
      </w:r>
      <w:r w:rsidR="003C7892">
        <w:rPr>
          <w:lang w:val="en-GB"/>
        </w:rPr>
        <w:t>T</w:t>
      </w:r>
      <w:r w:rsidR="00EA18AD">
        <w:rPr>
          <w:lang w:val="en-GB"/>
        </w:rPr>
        <w:t>his is quite critical</w:t>
      </w:r>
      <w:r w:rsidR="003C7892">
        <w:rPr>
          <w:lang w:val="en-GB"/>
        </w:rPr>
        <w:t xml:space="preserve"> marking</w:t>
      </w:r>
      <w:r w:rsidR="00EA18AD">
        <w:rPr>
          <w:lang w:val="en-GB"/>
        </w:rPr>
        <w:t xml:space="preserve">, so that it cannot be removed. </w:t>
      </w:r>
      <w:r w:rsidR="00EA18AD" w:rsidRPr="00EA18AD">
        <w:t xml:space="preserve">This marking is </w:t>
      </w:r>
      <w:r w:rsidR="003C7892">
        <w:t xml:space="preserve">considered </w:t>
      </w:r>
      <w:r w:rsidR="00EA18AD" w:rsidRPr="00EA18AD">
        <w:t xml:space="preserve">not </w:t>
      </w:r>
      <w:r w:rsidR="003C7892">
        <w:t xml:space="preserve">to be </w:t>
      </w:r>
      <w:r w:rsidR="00EA18AD" w:rsidRPr="00EA18AD">
        <w:t xml:space="preserve">the approval marking and not substituted by the UI. </w:t>
      </w:r>
      <w:r w:rsidR="003C7892">
        <w:t>So, the marking per Annex X</w:t>
      </w:r>
      <w:r w:rsidR="00EA18AD" w:rsidRPr="00EA18AD">
        <w:t xml:space="preserve"> </w:t>
      </w:r>
      <w:r w:rsidR="003C7892">
        <w:t xml:space="preserve">shall </w:t>
      </w:r>
      <w:r w:rsidR="00EA18AD" w:rsidRPr="00EA18AD">
        <w:t>remain as it is</w:t>
      </w:r>
      <w:r w:rsidR="003C7892">
        <w:t>.</w:t>
      </w:r>
      <w:r w:rsidR="00444F2B" w:rsidRPr="00EA18AD">
        <w:t xml:space="preserve"> </w:t>
      </w:r>
    </w:p>
    <w:p w14:paraId="5248ACAA" w14:textId="44CA1613" w:rsidR="00A55C74" w:rsidRDefault="00FF2507" w:rsidP="004E7DEE">
      <w:pPr>
        <w:pStyle w:val="SingleTxtG"/>
        <w:ind w:right="567"/>
      </w:pPr>
      <w:r w:rsidRPr="00FF2507">
        <w:rPr>
          <w:vertAlign w:val="superscript"/>
        </w:rPr>
        <w:t>2)</w:t>
      </w:r>
      <w:r>
        <w:t xml:space="preserve"> In the case of a vehicle complying with the Electronic Stability Control and Brake Assist System requirements of Annex 9 to this Regulation, the additional letters "ESC" shall be placed immediately to the right of the letter 'R' (UN R 13-H, para. 4.4.3.). In the case of vehicles complying with the Vehicle Stability Function requirements of Annex 21 to Regulation No. 13 and the Brake Assist System requirements of Annex 9 to this Regulation, the additional letters "VSF" shall be placed immediately to the right of the letter 'R' (UN R 13-H, para. 4.4.4.). It is assumed that this additional information can be skipped</w:t>
      </w:r>
      <w:r w:rsidR="00C861AF">
        <w:t>,</w:t>
      </w:r>
      <w:r w:rsidR="00C861AF" w:rsidRPr="00C861AF">
        <w:t xml:space="preserve"> </w:t>
      </w:r>
      <w:r w:rsidR="00C861AF">
        <w:t>bearing in mind that it could be provided in the Summary Document.</w:t>
      </w:r>
      <w:r w:rsidR="009B495A">
        <w:t xml:space="preserve"> The UI can substitute the “traditional” approval mark without any additions.</w:t>
      </w:r>
      <w:r w:rsidR="00C861AF">
        <w:t xml:space="preserve"> </w:t>
      </w:r>
    </w:p>
    <w:p w14:paraId="402D5E14" w14:textId="6D0A1043" w:rsidR="00A55C74" w:rsidRDefault="00756988" w:rsidP="004E7DEE">
      <w:pPr>
        <w:pStyle w:val="SingleTxtG"/>
        <w:ind w:right="567"/>
      </w:pPr>
      <w:r w:rsidRPr="00756988">
        <w:rPr>
          <w:vertAlign w:val="superscript"/>
        </w:rPr>
        <w:t>3)</w:t>
      </w:r>
      <w:r>
        <w:t xml:space="preserve"> A rectangle surrounding a figure (</w:t>
      </w:r>
      <w:r w:rsidR="009B495A">
        <w:t xml:space="preserve">or </w:t>
      </w:r>
      <w:proofErr w:type="gramStart"/>
      <w:r w:rsidR="009B495A">
        <w:t>a number of</w:t>
      </w:r>
      <w:proofErr w:type="gramEnd"/>
      <w:r w:rsidR="009B495A">
        <w:t xml:space="preserve"> figures), </w:t>
      </w:r>
      <w:r>
        <w:t>expressing the set speed (or range of set speeds</w:t>
      </w:r>
      <w:r w:rsidR="009B495A">
        <w:t>) in km/h (and mile/h if requested by the applicant) follows the “</w:t>
      </w:r>
      <w:r w:rsidR="000B1240">
        <w:t>general</w:t>
      </w:r>
      <w:r w:rsidR="009B495A">
        <w:t xml:space="preserve">” approval mark. This rectangle shall be placed next to the UI. </w:t>
      </w:r>
    </w:p>
    <w:p w14:paraId="4473FDF7" w14:textId="61EFC890" w:rsidR="00193672" w:rsidRDefault="00193672" w:rsidP="00B65133">
      <w:pPr>
        <w:pStyle w:val="SingleTxtG"/>
        <w:keepLines/>
        <w:ind w:right="567"/>
      </w:pPr>
      <w:r w:rsidRPr="008E497D">
        <w:rPr>
          <w:vertAlign w:val="superscript"/>
        </w:rPr>
        <w:lastRenderedPageBreak/>
        <w:t>4)</w:t>
      </w:r>
      <w:r>
        <w:t xml:space="preserve"> </w:t>
      </w:r>
      <w:r w:rsidR="008E497D">
        <w:t>A combination of letters C, P and B follows the “</w:t>
      </w:r>
      <w:r w:rsidR="000B1240">
        <w:t>general</w:t>
      </w:r>
      <w:r w:rsidR="008E497D">
        <w:t>” approval mark and identifies the tests had performed, respectively, car to Car, car to Pedestrian, car to Bicycle. It is assumed that this additional information is not needed for general users of the approval marking and the UI can substitute the “traditional” approval mark without any additions, bearing in mind that the information related to the letters C, P and B could be provided in the Summary Document.</w:t>
      </w:r>
    </w:p>
    <w:p w14:paraId="21827F54" w14:textId="65117F75" w:rsidR="00931DF1" w:rsidRDefault="00377EA1" w:rsidP="008264D0">
      <w:pPr>
        <w:pStyle w:val="H1G"/>
        <w:ind w:right="567"/>
      </w:pPr>
      <w:r>
        <w:tab/>
      </w:r>
      <w:r>
        <w:tab/>
      </w:r>
      <w:r w:rsidR="00931DF1">
        <w:t>Reflect</w:t>
      </w:r>
      <w:r w:rsidR="0076734F">
        <w:t>ion</w:t>
      </w:r>
      <w:r w:rsidR="00931DF1">
        <w:t xml:space="preserve"> on the combined use (for several approvals) of one UI</w:t>
      </w:r>
    </w:p>
    <w:p w14:paraId="382E5497" w14:textId="6DA84355" w:rsidR="00931DF1" w:rsidRDefault="00931DF1" w:rsidP="008264D0">
      <w:pPr>
        <w:pStyle w:val="SingleTxtG"/>
        <w:ind w:right="567"/>
      </w:pPr>
      <w:r>
        <w:t xml:space="preserve">The GRs </w:t>
      </w:r>
      <w:r w:rsidR="00420564">
        <w:t>were</w:t>
      </w:r>
      <w:r w:rsidR="0076734F">
        <w:t xml:space="preserve"> invited to</w:t>
      </w:r>
      <w:r>
        <w:t xml:space="preserve"> reflect on the possibility to combine several markings with one Unique </w:t>
      </w:r>
      <w:r w:rsidR="00420564">
        <w:t>I</w:t>
      </w:r>
      <w:r w:rsidR="008264D0">
        <w:t>dentifier and</w:t>
      </w:r>
      <w:r w:rsidR="004645B5">
        <w:t xml:space="preserve"> </w:t>
      </w:r>
      <w:r w:rsidR="008264D0">
        <w:t>discuss</w:t>
      </w:r>
      <w:r w:rsidR="00ED367E">
        <w:t xml:space="preserve"> if details should be added to the UN Regulations</w:t>
      </w:r>
      <w:r>
        <w:t>.</w:t>
      </w:r>
    </w:p>
    <w:p w14:paraId="24436223" w14:textId="2435D076" w:rsidR="00420564" w:rsidRDefault="00420564" w:rsidP="008264D0">
      <w:pPr>
        <w:pStyle w:val="SingleTxtG"/>
        <w:ind w:right="567"/>
      </w:pPr>
      <w:r>
        <w:t>The allocation of one UI to several approvals sh</w:t>
      </w:r>
      <w:r w:rsidR="004D1C8A">
        <w:t>ould</w:t>
      </w:r>
      <w:r>
        <w:t xml:space="preserve"> be possible for the product of the same type (according to the</w:t>
      </w:r>
      <w:r w:rsidR="00F526D4">
        <w:t xml:space="preserve"> product</w:t>
      </w:r>
      <w:r>
        <w:t xml:space="preserve"> type definition).</w:t>
      </w:r>
    </w:p>
    <w:p w14:paraId="37118260" w14:textId="22F894A8" w:rsidR="00420564" w:rsidRDefault="00420564" w:rsidP="008264D0">
      <w:pPr>
        <w:pStyle w:val="SingleTxtG"/>
        <w:ind w:right="567"/>
      </w:pPr>
      <w:r>
        <w:t xml:space="preserve">Considering the UN Regulations under the purview of GRVA, the same vehicle type could have the approvals granted pursuant to </w:t>
      </w:r>
      <w:r w:rsidR="00373C2A">
        <w:t>UN</w:t>
      </w:r>
      <w:r>
        <w:t xml:space="preserve"> Regulations Nos. 13, 79, </w:t>
      </w:r>
      <w:r w:rsidR="00373C2A">
        <w:t>130, 131, 155, 156.</w:t>
      </w:r>
      <w:r>
        <w:t xml:space="preserve"> </w:t>
      </w:r>
      <w:r w:rsidR="00373C2A">
        <w:t>Another combination of approvals under the same UI could include UN Regulations Nos. 13-H-01, 79, 139, 140, 152, 155, 156.</w:t>
      </w:r>
      <w:r w:rsidR="00270656">
        <w:t xml:space="preserve"> </w:t>
      </w:r>
      <w:r w:rsidR="00270656" w:rsidRPr="00270656">
        <w:t>Approvals pursuant to other UN Regulations under purview of other GRs could be added to the same UI, as well</w:t>
      </w:r>
      <w:r w:rsidR="00270656">
        <w:t>.</w:t>
      </w:r>
    </w:p>
    <w:p w14:paraId="7F6D2B8E" w14:textId="5E2BD27D" w:rsidR="00270656" w:rsidRDefault="00270656" w:rsidP="008264D0">
      <w:pPr>
        <w:pStyle w:val="SingleTxtG"/>
        <w:ind w:right="567"/>
      </w:pPr>
      <w:r w:rsidRPr="00270656">
        <w:t>The updates of the specific approvals (e.g., extensions) should change the UI according to the guidelines established by the IWG on DETA.</w:t>
      </w:r>
      <w:r>
        <w:t xml:space="preserve"> </w:t>
      </w:r>
      <w:r w:rsidRPr="00270656">
        <w:t>Referring to the specific UI should open an access to the actual set of approvals</w:t>
      </w:r>
      <w:r>
        <w:t>.</w:t>
      </w:r>
    </w:p>
    <w:p w14:paraId="0C219CF5" w14:textId="0AA23309" w:rsidR="00B941F3" w:rsidRPr="008264D0" w:rsidRDefault="00373C2A" w:rsidP="004C109B">
      <w:pPr>
        <w:pStyle w:val="SingleTxtG"/>
        <w:ind w:right="567"/>
        <w:jc w:val="center"/>
      </w:pPr>
      <w:r>
        <w:t>_______________</w:t>
      </w:r>
    </w:p>
    <w:sectPr w:rsidR="00B941F3" w:rsidRPr="008264D0" w:rsidSect="00213F94">
      <w:footerReference w:type="even" r:id="rId11"/>
      <w:footerReference w:type="default" r:id="rId12"/>
      <w:headerReference w:type="first" r:id="rId13"/>
      <w:footerReference w:type="first" r:id="rId14"/>
      <w:endnotePr>
        <w:numFmt w:val="decimal"/>
      </w:endnotePr>
      <w:pgSz w:w="11907" w:h="16840" w:code="9"/>
      <w:pgMar w:top="1418" w:right="1134" w:bottom="568"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6A6E" w14:textId="77777777" w:rsidR="00666CAA" w:rsidRDefault="00666CAA"/>
  </w:endnote>
  <w:endnote w:type="continuationSeparator" w:id="0">
    <w:p w14:paraId="2BFCFF75" w14:textId="77777777" w:rsidR="00666CAA" w:rsidRDefault="00666CAA"/>
  </w:endnote>
  <w:endnote w:type="continuationNotice" w:id="1">
    <w:p w14:paraId="09747FB5" w14:textId="77777777" w:rsidR="00666CAA" w:rsidRDefault="0066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40BFAE3E"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780E65">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0B2D" w14:textId="5099F2F1" w:rsidR="004F07B1" w:rsidRDefault="004F07B1" w:rsidP="00BF79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1BFA" w14:textId="77777777" w:rsidR="00666CAA" w:rsidRPr="000B175B" w:rsidRDefault="00666CAA" w:rsidP="000B175B">
      <w:pPr>
        <w:tabs>
          <w:tab w:val="right" w:pos="2155"/>
        </w:tabs>
        <w:spacing w:after="80"/>
        <w:ind w:left="680"/>
        <w:rPr>
          <w:u w:val="single"/>
        </w:rPr>
      </w:pPr>
      <w:r>
        <w:rPr>
          <w:u w:val="single"/>
        </w:rPr>
        <w:tab/>
      </w:r>
    </w:p>
  </w:footnote>
  <w:footnote w:type="continuationSeparator" w:id="0">
    <w:p w14:paraId="626110EE" w14:textId="77777777" w:rsidR="00666CAA" w:rsidRPr="00FC68B7" w:rsidRDefault="00666CAA" w:rsidP="00FC68B7">
      <w:pPr>
        <w:tabs>
          <w:tab w:val="left" w:pos="2155"/>
        </w:tabs>
        <w:spacing w:after="80"/>
        <w:ind w:left="680"/>
        <w:rPr>
          <w:u w:val="single"/>
        </w:rPr>
      </w:pPr>
      <w:r>
        <w:rPr>
          <w:u w:val="single"/>
        </w:rPr>
        <w:tab/>
      </w:r>
    </w:p>
  </w:footnote>
  <w:footnote w:type="continuationNotice" w:id="1">
    <w:p w14:paraId="0BB9A192" w14:textId="77777777" w:rsidR="00666CAA" w:rsidRDefault="00666CAA"/>
  </w:footnote>
  <w:footnote w:id="2">
    <w:p w14:paraId="6BCA3182" w14:textId="0334A413" w:rsidR="000C6F8E" w:rsidRDefault="000C6F8E" w:rsidP="005467AB">
      <w:r>
        <w:rPr>
          <w:rStyle w:val="FootnoteReference"/>
        </w:rPr>
        <w:footnoteRef/>
      </w:r>
      <w:r>
        <w:t xml:space="preserve"> A circle surrounding the letter "E" followed by the distinguishing number of the country which has granted approval and the approval number: the number of this UN Regulation followed by the letter 'R' and the first two digits indicating the series of amendments to this UN Regulation in force at the time of issue of the approval.</w:t>
      </w:r>
    </w:p>
    <w:p w14:paraId="582A2376" w14:textId="46DA28E2" w:rsidR="000C6F8E" w:rsidRPr="00B11D91" w:rsidRDefault="000C6F8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882B34" w14:paraId="57BA8FB1" w14:textId="77777777" w:rsidTr="009704EF">
      <w:tc>
        <w:tcPr>
          <w:tcW w:w="5103" w:type="dxa"/>
        </w:tcPr>
        <w:p w14:paraId="7824D4D2" w14:textId="459274CF" w:rsidR="00882B34" w:rsidRDefault="00B70304" w:rsidP="00882B34">
          <w:pPr>
            <w:pStyle w:val="Header"/>
            <w:pBdr>
              <w:bottom w:val="none" w:sz="0" w:space="0" w:color="auto"/>
            </w:pBdr>
            <w:rPr>
              <w:b w:val="0"/>
              <w:bCs/>
            </w:rPr>
          </w:pPr>
          <w:r>
            <w:rPr>
              <w:b w:val="0"/>
              <w:bCs/>
            </w:rPr>
            <w:t xml:space="preserve">Transmitted by the </w:t>
          </w:r>
          <w:r w:rsidR="00C46AB5">
            <w:rPr>
              <w:b w:val="0"/>
              <w:bCs/>
            </w:rPr>
            <w:t>expert from the Russian Federation</w:t>
          </w:r>
        </w:p>
        <w:p w14:paraId="64E4A3A5" w14:textId="3266CDC7" w:rsidR="00C46AB5" w:rsidRDefault="00C46AB5" w:rsidP="00882B34">
          <w:pPr>
            <w:pStyle w:val="Header"/>
            <w:pBdr>
              <w:bottom w:val="none" w:sz="0" w:space="0" w:color="auto"/>
            </w:pBdr>
            <w:rPr>
              <w:b w:val="0"/>
              <w:bCs/>
            </w:rPr>
          </w:pPr>
        </w:p>
        <w:p w14:paraId="5B98146A" w14:textId="79027B7A" w:rsidR="00A6489F" w:rsidRPr="00A6489F" w:rsidRDefault="00A6489F" w:rsidP="005E0518">
          <w:pPr>
            <w:pStyle w:val="Header"/>
            <w:pBdr>
              <w:bottom w:val="none" w:sz="0" w:space="0" w:color="auto"/>
            </w:pBdr>
            <w:rPr>
              <w:b w:val="0"/>
              <w:bCs/>
              <w:color w:val="0070C0"/>
            </w:rPr>
          </w:pPr>
        </w:p>
      </w:tc>
      <w:tc>
        <w:tcPr>
          <w:tcW w:w="4962" w:type="dxa"/>
        </w:tcPr>
        <w:p w14:paraId="74540E6E" w14:textId="70C3861C" w:rsidR="00882B34" w:rsidRPr="00A6489F" w:rsidRDefault="00882B34" w:rsidP="00B70304">
          <w:pPr>
            <w:pStyle w:val="Header"/>
            <w:pBdr>
              <w:bottom w:val="none" w:sz="0" w:space="0" w:color="auto"/>
            </w:pBdr>
            <w:ind w:left="2131"/>
            <w:rPr>
              <w:b w:val="0"/>
              <w:bCs/>
            </w:rPr>
          </w:pPr>
          <w:r w:rsidRPr="00882B34">
            <w:rPr>
              <w:b w:val="0"/>
              <w:bCs/>
              <w:u w:val="single"/>
            </w:rPr>
            <w:t>Informal document</w:t>
          </w:r>
          <w:r w:rsidR="00A6489F">
            <w:rPr>
              <w:b w:val="0"/>
              <w:bCs/>
              <w:u w:val="single"/>
            </w:rPr>
            <w:t xml:space="preserve">: </w:t>
          </w:r>
          <w:r w:rsidR="00A6489F">
            <w:t>GRVA-1</w:t>
          </w:r>
          <w:r w:rsidR="00C46AB5">
            <w:t>6</w:t>
          </w:r>
          <w:r w:rsidR="00A6489F">
            <w:t>-</w:t>
          </w:r>
          <w:r w:rsidR="004C109B">
            <w:t>19</w:t>
          </w:r>
          <w:r w:rsidR="00A6489F">
            <w:br/>
          </w:r>
          <w:r w:rsidR="00A6489F">
            <w:rPr>
              <w:b w:val="0"/>
              <w:bCs/>
            </w:rPr>
            <w:t>1</w:t>
          </w:r>
          <w:r w:rsidR="00C46AB5">
            <w:rPr>
              <w:b w:val="0"/>
              <w:bCs/>
            </w:rPr>
            <w:t>6</w:t>
          </w:r>
          <w:r w:rsidR="00A6489F" w:rsidRPr="00A6489F">
            <w:rPr>
              <w:b w:val="0"/>
              <w:bCs/>
              <w:vertAlign w:val="superscript"/>
            </w:rPr>
            <w:t>th</w:t>
          </w:r>
          <w:r w:rsidR="00A6489F">
            <w:rPr>
              <w:b w:val="0"/>
              <w:bCs/>
            </w:rPr>
            <w:t xml:space="preserve"> GRVA, 2</w:t>
          </w:r>
          <w:r w:rsidR="00C46AB5">
            <w:rPr>
              <w:b w:val="0"/>
              <w:bCs/>
            </w:rPr>
            <w:t>2</w:t>
          </w:r>
          <w:r w:rsidR="00A6489F">
            <w:rPr>
              <w:b w:val="0"/>
              <w:bCs/>
            </w:rPr>
            <w:t>-2</w:t>
          </w:r>
          <w:r w:rsidR="00C46AB5">
            <w:rPr>
              <w:b w:val="0"/>
              <w:bCs/>
            </w:rPr>
            <w:t>6</w:t>
          </w:r>
          <w:r w:rsidR="00A6489F">
            <w:rPr>
              <w:b w:val="0"/>
              <w:bCs/>
            </w:rPr>
            <w:t xml:space="preserve"> </w:t>
          </w:r>
          <w:r w:rsidR="00C46AB5">
            <w:rPr>
              <w:b w:val="0"/>
              <w:bCs/>
            </w:rPr>
            <w:t>May</w:t>
          </w:r>
          <w:r w:rsidR="00A6489F">
            <w:rPr>
              <w:b w:val="0"/>
              <w:bCs/>
            </w:rPr>
            <w:t xml:space="preserve"> 2023</w:t>
          </w:r>
          <w:r w:rsidR="00A6489F">
            <w:rPr>
              <w:b w:val="0"/>
              <w:bCs/>
            </w:rPr>
            <w:br/>
            <w:t xml:space="preserve">Provisional agenda item </w:t>
          </w:r>
          <w:r w:rsidR="00BF1E3E">
            <w:rPr>
              <w:b w:val="0"/>
              <w:bCs/>
            </w:rPr>
            <w:t>12(a)</w:t>
          </w:r>
        </w:p>
      </w:tc>
    </w:tr>
  </w:tbl>
  <w:p w14:paraId="7A99AB05" w14:textId="302561D9" w:rsidR="00882B34" w:rsidRDefault="00882B34" w:rsidP="00882B3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1093119">
    <w:abstractNumId w:val="1"/>
  </w:num>
  <w:num w:numId="2" w16cid:durableId="1271813365">
    <w:abstractNumId w:val="0"/>
  </w:num>
  <w:num w:numId="3" w16cid:durableId="1278757713">
    <w:abstractNumId w:val="2"/>
  </w:num>
  <w:num w:numId="4" w16cid:durableId="1810514249">
    <w:abstractNumId w:val="3"/>
  </w:num>
  <w:num w:numId="5" w16cid:durableId="69548157">
    <w:abstractNumId w:val="8"/>
  </w:num>
  <w:num w:numId="6" w16cid:durableId="1768647813">
    <w:abstractNumId w:val="9"/>
  </w:num>
  <w:num w:numId="7" w16cid:durableId="543642093">
    <w:abstractNumId w:val="7"/>
  </w:num>
  <w:num w:numId="8" w16cid:durableId="1652364904">
    <w:abstractNumId w:val="6"/>
  </w:num>
  <w:num w:numId="9" w16cid:durableId="1242177656">
    <w:abstractNumId w:val="5"/>
  </w:num>
  <w:num w:numId="10" w16cid:durableId="40713981">
    <w:abstractNumId w:val="4"/>
  </w:num>
  <w:num w:numId="11" w16cid:durableId="1602646643">
    <w:abstractNumId w:val="15"/>
  </w:num>
  <w:num w:numId="12" w16cid:durableId="1863587430">
    <w:abstractNumId w:val="14"/>
  </w:num>
  <w:num w:numId="13" w16cid:durableId="1535071552">
    <w:abstractNumId w:val="10"/>
  </w:num>
  <w:num w:numId="14" w16cid:durableId="1219249164">
    <w:abstractNumId w:val="12"/>
  </w:num>
  <w:num w:numId="15" w16cid:durableId="862128934">
    <w:abstractNumId w:val="16"/>
  </w:num>
  <w:num w:numId="16" w16cid:durableId="2029017924">
    <w:abstractNumId w:val="13"/>
  </w:num>
  <w:num w:numId="17" w16cid:durableId="11348665">
    <w:abstractNumId w:val="17"/>
  </w:num>
  <w:num w:numId="18" w16cid:durableId="366878551">
    <w:abstractNumId w:val="18"/>
  </w:num>
  <w:num w:numId="19" w16cid:durableId="98901601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7A1"/>
    <w:rsid w:val="00002A7D"/>
    <w:rsid w:val="000038A8"/>
    <w:rsid w:val="00003FD5"/>
    <w:rsid w:val="00005DF3"/>
    <w:rsid w:val="00006790"/>
    <w:rsid w:val="00010D6E"/>
    <w:rsid w:val="000116A7"/>
    <w:rsid w:val="00015A71"/>
    <w:rsid w:val="00015C3D"/>
    <w:rsid w:val="0001737C"/>
    <w:rsid w:val="00027624"/>
    <w:rsid w:val="0003374E"/>
    <w:rsid w:val="000355BF"/>
    <w:rsid w:val="00036F89"/>
    <w:rsid w:val="000415EA"/>
    <w:rsid w:val="00044517"/>
    <w:rsid w:val="00045282"/>
    <w:rsid w:val="00050F6B"/>
    <w:rsid w:val="00066E83"/>
    <w:rsid w:val="000678CD"/>
    <w:rsid w:val="00072C8C"/>
    <w:rsid w:val="00076C2A"/>
    <w:rsid w:val="00077936"/>
    <w:rsid w:val="00081CE0"/>
    <w:rsid w:val="00084D30"/>
    <w:rsid w:val="00085AEF"/>
    <w:rsid w:val="00090320"/>
    <w:rsid w:val="000931C0"/>
    <w:rsid w:val="00097003"/>
    <w:rsid w:val="000A23E9"/>
    <w:rsid w:val="000A2E09"/>
    <w:rsid w:val="000A324D"/>
    <w:rsid w:val="000B1240"/>
    <w:rsid w:val="000B151F"/>
    <w:rsid w:val="000B175B"/>
    <w:rsid w:val="000B2958"/>
    <w:rsid w:val="000B3A0F"/>
    <w:rsid w:val="000B4329"/>
    <w:rsid w:val="000B5E62"/>
    <w:rsid w:val="000C46D4"/>
    <w:rsid w:val="000C621A"/>
    <w:rsid w:val="000C6F8E"/>
    <w:rsid w:val="000D269E"/>
    <w:rsid w:val="000E0415"/>
    <w:rsid w:val="000E776C"/>
    <w:rsid w:val="000F3F73"/>
    <w:rsid w:val="000F4C5C"/>
    <w:rsid w:val="000F6971"/>
    <w:rsid w:val="000F7715"/>
    <w:rsid w:val="00100096"/>
    <w:rsid w:val="00102F76"/>
    <w:rsid w:val="00103A52"/>
    <w:rsid w:val="00110D5B"/>
    <w:rsid w:val="001135E1"/>
    <w:rsid w:val="0012188C"/>
    <w:rsid w:val="0012379B"/>
    <w:rsid w:val="00144BCB"/>
    <w:rsid w:val="00146675"/>
    <w:rsid w:val="00150077"/>
    <w:rsid w:val="00156B99"/>
    <w:rsid w:val="00160919"/>
    <w:rsid w:val="00161F0D"/>
    <w:rsid w:val="00166124"/>
    <w:rsid w:val="00172FD1"/>
    <w:rsid w:val="0017331A"/>
    <w:rsid w:val="00175259"/>
    <w:rsid w:val="0018492C"/>
    <w:rsid w:val="00184DDA"/>
    <w:rsid w:val="0018704E"/>
    <w:rsid w:val="001900CD"/>
    <w:rsid w:val="00193672"/>
    <w:rsid w:val="001A0452"/>
    <w:rsid w:val="001A0AFD"/>
    <w:rsid w:val="001B4B04"/>
    <w:rsid w:val="001B5875"/>
    <w:rsid w:val="001C2B0D"/>
    <w:rsid w:val="001C4B9C"/>
    <w:rsid w:val="001C6663"/>
    <w:rsid w:val="001C6808"/>
    <w:rsid w:val="001C7895"/>
    <w:rsid w:val="001D26DF"/>
    <w:rsid w:val="001D70CA"/>
    <w:rsid w:val="001E30B1"/>
    <w:rsid w:val="001E36E0"/>
    <w:rsid w:val="001F1599"/>
    <w:rsid w:val="001F19C4"/>
    <w:rsid w:val="001F4B29"/>
    <w:rsid w:val="002019A5"/>
    <w:rsid w:val="00203547"/>
    <w:rsid w:val="002043F0"/>
    <w:rsid w:val="002052BA"/>
    <w:rsid w:val="00211E0B"/>
    <w:rsid w:val="0021365A"/>
    <w:rsid w:val="00213ACC"/>
    <w:rsid w:val="00213F94"/>
    <w:rsid w:val="00214877"/>
    <w:rsid w:val="00232575"/>
    <w:rsid w:val="00246DF3"/>
    <w:rsid w:val="00247258"/>
    <w:rsid w:val="00251F3F"/>
    <w:rsid w:val="00255F74"/>
    <w:rsid w:val="00257CAC"/>
    <w:rsid w:val="00257EC9"/>
    <w:rsid w:val="002614AD"/>
    <w:rsid w:val="00267159"/>
    <w:rsid w:val="00270656"/>
    <w:rsid w:val="0027237A"/>
    <w:rsid w:val="00272635"/>
    <w:rsid w:val="002734FC"/>
    <w:rsid w:val="002920F0"/>
    <w:rsid w:val="002974E9"/>
    <w:rsid w:val="002A306B"/>
    <w:rsid w:val="002A3DEF"/>
    <w:rsid w:val="002A4540"/>
    <w:rsid w:val="002A4C6D"/>
    <w:rsid w:val="002A5995"/>
    <w:rsid w:val="002A7F94"/>
    <w:rsid w:val="002B109A"/>
    <w:rsid w:val="002B410B"/>
    <w:rsid w:val="002B6E5C"/>
    <w:rsid w:val="002C6D45"/>
    <w:rsid w:val="002C7F3D"/>
    <w:rsid w:val="002D6E53"/>
    <w:rsid w:val="002D785E"/>
    <w:rsid w:val="002F046D"/>
    <w:rsid w:val="002F293E"/>
    <w:rsid w:val="002F3023"/>
    <w:rsid w:val="002F7D7B"/>
    <w:rsid w:val="00301764"/>
    <w:rsid w:val="003044E9"/>
    <w:rsid w:val="00304539"/>
    <w:rsid w:val="0031128C"/>
    <w:rsid w:val="0031725D"/>
    <w:rsid w:val="003229D8"/>
    <w:rsid w:val="0032599F"/>
    <w:rsid w:val="00326649"/>
    <w:rsid w:val="00326D7A"/>
    <w:rsid w:val="003330B4"/>
    <w:rsid w:val="00336C97"/>
    <w:rsid w:val="00337F88"/>
    <w:rsid w:val="0034112A"/>
    <w:rsid w:val="00342432"/>
    <w:rsid w:val="0035223F"/>
    <w:rsid w:val="00352D4B"/>
    <w:rsid w:val="00354EA5"/>
    <w:rsid w:val="0035638C"/>
    <w:rsid w:val="00366AE5"/>
    <w:rsid w:val="00373C2A"/>
    <w:rsid w:val="00377EA1"/>
    <w:rsid w:val="00380301"/>
    <w:rsid w:val="00380D3E"/>
    <w:rsid w:val="00382277"/>
    <w:rsid w:val="00382420"/>
    <w:rsid w:val="00385455"/>
    <w:rsid w:val="00387564"/>
    <w:rsid w:val="00396602"/>
    <w:rsid w:val="003A035D"/>
    <w:rsid w:val="003A379F"/>
    <w:rsid w:val="003A3B5D"/>
    <w:rsid w:val="003A46BB"/>
    <w:rsid w:val="003A4EC7"/>
    <w:rsid w:val="003A7295"/>
    <w:rsid w:val="003B09D0"/>
    <w:rsid w:val="003B1F60"/>
    <w:rsid w:val="003C04AC"/>
    <w:rsid w:val="003C089E"/>
    <w:rsid w:val="003C0FCF"/>
    <w:rsid w:val="003C16CA"/>
    <w:rsid w:val="003C2CC4"/>
    <w:rsid w:val="003C3530"/>
    <w:rsid w:val="003C7892"/>
    <w:rsid w:val="003D2080"/>
    <w:rsid w:val="003D4B23"/>
    <w:rsid w:val="003D5CD7"/>
    <w:rsid w:val="003E1120"/>
    <w:rsid w:val="003E1388"/>
    <w:rsid w:val="003E278A"/>
    <w:rsid w:val="003E30CC"/>
    <w:rsid w:val="003E57BD"/>
    <w:rsid w:val="003F6D4F"/>
    <w:rsid w:val="0040473B"/>
    <w:rsid w:val="00405791"/>
    <w:rsid w:val="004110C7"/>
    <w:rsid w:val="00411717"/>
    <w:rsid w:val="00413520"/>
    <w:rsid w:val="00414F4A"/>
    <w:rsid w:val="00420564"/>
    <w:rsid w:val="004325CB"/>
    <w:rsid w:val="00433CD5"/>
    <w:rsid w:val="00440A07"/>
    <w:rsid w:val="00441082"/>
    <w:rsid w:val="00441A5E"/>
    <w:rsid w:val="00443DC4"/>
    <w:rsid w:val="00444F2B"/>
    <w:rsid w:val="00450E08"/>
    <w:rsid w:val="00451912"/>
    <w:rsid w:val="004530E5"/>
    <w:rsid w:val="00460328"/>
    <w:rsid w:val="00462880"/>
    <w:rsid w:val="004645B5"/>
    <w:rsid w:val="00470754"/>
    <w:rsid w:val="00476F24"/>
    <w:rsid w:val="00477DB9"/>
    <w:rsid w:val="00481133"/>
    <w:rsid w:val="00491419"/>
    <w:rsid w:val="00491735"/>
    <w:rsid w:val="00496B51"/>
    <w:rsid w:val="004A5D33"/>
    <w:rsid w:val="004B5D06"/>
    <w:rsid w:val="004B62B7"/>
    <w:rsid w:val="004B62D8"/>
    <w:rsid w:val="004C109B"/>
    <w:rsid w:val="004C55B0"/>
    <w:rsid w:val="004D1C8A"/>
    <w:rsid w:val="004D3E88"/>
    <w:rsid w:val="004E4776"/>
    <w:rsid w:val="004E7DEE"/>
    <w:rsid w:val="004F07B1"/>
    <w:rsid w:val="004F6BA0"/>
    <w:rsid w:val="00503B9A"/>
    <w:rsid w:val="00503BEA"/>
    <w:rsid w:val="00510903"/>
    <w:rsid w:val="0051184A"/>
    <w:rsid w:val="00511F2B"/>
    <w:rsid w:val="005140A4"/>
    <w:rsid w:val="00517328"/>
    <w:rsid w:val="00522ECC"/>
    <w:rsid w:val="00530CFC"/>
    <w:rsid w:val="00533616"/>
    <w:rsid w:val="00535ABA"/>
    <w:rsid w:val="0053768B"/>
    <w:rsid w:val="0054096B"/>
    <w:rsid w:val="005418C9"/>
    <w:rsid w:val="005420F2"/>
    <w:rsid w:val="005425F1"/>
    <w:rsid w:val="0054285C"/>
    <w:rsid w:val="00542B47"/>
    <w:rsid w:val="00542CD4"/>
    <w:rsid w:val="00544400"/>
    <w:rsid w:val="005467AB"/>
    <w:rsid w:val="00546AA6"/>
    <w:rsid w:val="00551147"/>
    <w:rsid w:val="0055170C"/>
    <w:rsid w:val="00552EE6"/>
    <w:rsid w:val="00554773"/>
    <w:rsid w:val="00556F05"/>
    <w:rsid w:val="005601B6"/>
    <w:rsid w:val="0056229B"/>
    <w:rsid w:val="00562B9E"/>
    <w:rsid w:val="005635C9"/>
    <w:rsid w:val="0056378B"/>
    <w:rsid w:val="00584173"/>
    <w:rsid w:val="00595520"/>
    <w:rsid w:val="00595D46"/>
    <w:rsid w:val="005A29F8"/>
    <w:rsid w:val="005A44B9"/>
    <w:rsid w:val="005A6CC2"/>
    <w:rsid w:val="005B1BA0"/>
    <w:rsid w:val="005B3DB3"/>
    <w:rsid w:val="005B4496"/>
    <w:rsid w:val="005B6570"/>
    <w:rsid w:val="005B692A"/>
    <w:rsid w:val="005C0268"/>
    <w:rsid w:val="005C7A23"/>
    <w:rsid w:val="005D15CA"/>
    <w:rsid w:val="005D3389"/>
    <w:rsid w:val="005D67B0"/>
    <w:rsid w:val="005E0518"/>
    <w:rsid w:val="005E1BDF"/>
    <w:rsid w:val="005E49EB"/>
    <w:rsid w:val="005E5D0F"/>
    <w:rsid w:val="005F08DF"/>
    <w:rsid w:val="005F28CB"/>
    <w:rsid w:val="005F3066"/>
    <w:rsid w:val="005F3E61"/>
    <w:rsid w:val="006005BA"/>
    <w:rsid w:val="0060132D"/>
    <w:rsid w:val="00604DDD"/>
    <w:rsid w:val="006115CC"/>
    <w:rsid w:val="00611FC4"/>
    <w:rsid w:val="0061237A"/>
    <w:rsid w:val="00612C3E"/>
    <w:rsid w:val="00613D53"/>
    <w:rsid w:val="00615D97"/>
    <w:rsid w:val="006176FB"/>
    <w:rsid w:val="00621CA3"/>
    <w:rsid w:val="006266B3"/>
    <w:rsid w:val="00630FCB"/>
    <w:rsid w:val="00631715"/>
    <w:rsid w:val="00640B26"/>
    <w:rsid w:val="006415B9"/>
    <w:rsid w:val="0064384A"/>
    <w:rsid w:val="00650002"/>
    <w:rsid w:val="00650978"/>
    <w:rsid w:val="00651068"/>
    <w:rsid w:val="00651438"/>
    <w:rsid w:val="00651831"/>
    <w:rsid w:val="00653C83"/>
    <w:rsid w:val="00655986"/>
    <w:rsid w:val="0065766B"/>
    <w:rsid w:val="00664478"/>
    <w:rsid w:val="00666CAA"/>
    <w:rsid w:val="0067293C"/>
    <w:rsid w:val="0067346C"/>
    <w:rsid w:val="006770B2"/>
    <w:rsid w:val="00682ABD"/>
    <w:rsid w:val="00686A48"/>
    <w:rsid w:val="0068743A"/>
    <w:rsid w:val="0068763C"/>
    <w:rsid w:val="006940E1"/>
    <w:rsid w:val="006959A8"/>
    <w:rsid w:val="006A067F"/>
    <w:rsid w:val="006A3C72"/>
    <w:rsid w:val="006A7392"/>
    <w:rsid w:val="006B03A1"/>
    <w:rsid w:val="006B2C0E"/>
    <w:rsid w:val="006B4D1A"/>
    <w:rsid w:val="006B67D9"/>
    <w:rsid w:val="006C0057"/>
    <w:rsid w:val="006C4C21"/>
    <w:rsid w:val="006C5535"/>
    <w:rsid w:val="006C6D10"/>
    <w:rsid w:val="006D0589"/>
    <w:rsid w:val="006E276A"/>
    <w:rsid w:val="006E2C81"/>
    <w:rsid w:val="006E564B"/>
    <w:rsid w:val="006E7154"/>
    <w:rsid w:val="006F07D3"/>
    <w:rsid w:val="007003CD"/>
    <w:rsid w:val="00703843"/>
    <w:rsid w:val="00706177"/>
    <w:rsid w:val="00706870"/>
    <w:rsid w:val="0070701E"/>
    <w:rsid w:val="00715D62"/>
    <w:rsid w:val="00722F9B"/>
    <w:rsid w:val="0072632A"/>
    <w:rsid w:val="00735273"/>
    <w:rsid w:val="007358E8"/>
    <w:rsid w:val="00736ECE"/>
    <w:rsid w:val="00743AEF"/>
    <w:rsid w:val="0074533B"/>
    <w:rsid w:val="00752CD7"/>
    <w:rsid w:val="007554D9"/>
    <w:rsid w:val="00756988"/>
    <w:rsid w:val="007643BC"/>
    <w:rsid w:val="0076734F"/>
    <w:rsid w:val="007775C4"/>
    <w:rsid w:val="00780C68"/>
    <w:rsid w:val="00780E65"/>
    <w:rsid w:val="007959FE"/>
    <w:rsid w:val="00797DE2"/>
    <w:rsid w:val="007A0CF1"/>
    <w:rsid w:val="007A6378"/>
    <w:rsid w:val="007B5346"/>
    <w:rsid w:val="007B6BA5"/>
    <w:rsid w:val="007C3390"/>
    <w:rsid w:val="007C42D8"/>
    <w:rsid w:val="007C4F4B"/>
    <w:rsid w:val="007C794D"/>
    <w:rsid w:val="007D3C61"/>
    <w:rsid w:val="007D6F65"/>
    <w:rsid w:val="007D7362"/>
    <w:rsid w:val="007E471A"/>
    <w:rsid w:val="007F16B4"/>
    <w:rsid w:val="007F2BAA"/>
    <w:rsid w:val="007F4D67"/>
    <w:rsid w:val="007F581A"/>
    <w:rsid w:val="007F5CE2"/>
    <w:rsid w:val="007F6611"/>
    <w:rsid w:val="008042BE"/>
    <w:rsid w:val="0080524A"/>
    <w:rsid w:val="00810BAC"/>
    <w:rsid w:val="008155D1"/>
    <w:rsid w:val="008175E9"/>
    <w:rsid w:val="00820688"/>
    <w:rsid w:val="00822B14"/>
    <w:rsid w:val="008242D7"/>
    <w:rsid w:val="00825336"/>
    <w:rsid w:val="0082577B"/>
    <w:rsid w:val="00825CB5"/>
    <w:rsid w:val="008264D0"/>
    <w:rsid w:val="008420D7"/>
    <w:rsid w:val="00853778"/>
    <w:rsid w:val="008631CA"/>
    <w:rsid w:val="00863F41"/>
    <w:rsid w:val="00866893"/>
    <w:rsid w:val="00866F02"/>
    <w:rsid w:val="00867D18"/>
    <w:rsid w:val="00871F9A"/>
    <w:rsid w:val="00871FD5"/>
    <w:rsid w:val="0087294D"/>
    <w:rsid w:val="008770B4"/>
    <w:rsid w:val="0088172E"/>
    <w:rsid w:val="00881C11"/>
    <w:rsid w:val="00881EFA"/>
    <w:rsid w:val="00881F81"/>
    <w:rsid w:val="00882B34"/>
    <w:rsid w:val="008833D8"/>
    <w:rsid w:val="00884B0A"/>
    <w:rsid w:val="00884B81"/>
    <w:rsid w:val="008879CB"/>
    <w:rsid w:val="00890FC0"/>
    <w:rsid w:val="008963EE"/>
    <w:rsid w:val="008979B1"/>
    <w:rsid w:val="008A097F"/>
    <w:rsid w:val="008A6B25"/>
    <w:rsid w:val="008A6C4F"/>
    <w:rsid w:val="008B2423"/>
    <w:rsid w:val="008B305F"/>
    <w:rsid w:val="008B389E"/>
    <w:rsid w:val="008B3912"/>
    <w:rsid w:val="008C0064"/>
    <w:rsid w:val="008C00E9"/>
    <w:rsid w:val="008D045E"/>
    <w:rsid w:val="008D3F25"/>
    <w:rsid w:val="008D4D82"/>
    <w:rsid w:val="008E0E46"/>
    <w:rsid w:val="008E39BB"/>
    <w:rsid w:val="008E497D"/>
    <w:rsid w:val="008E7116"/>
    <w:rsid w:val="008E72C2"/>
    <w:rsid w:val="008E72D4"/>
    <w:rsid w:val="008E75B6"/>
    <w:rsid w:val="008F143B"/>
    <w:rsid w:val="008F2222"/>
    <w:rsid w:val="008F32C6"/>
    <w:rsid w:val="008F3882"/>
    <w:rsid w:val="008F4997"/>
    <w:rsid w:val="008F4B7C"/>
    <w:rsid w:val="0090028B"/>
    <w:rsid w:val="00905DA3"/>
    <w:rsid w:val="00906226"/>
    <w:rsid w:val="00911045"/>
    <w:rsid w:val="0091388C"/>
    <w:rsid w:val="009237BC"/>
    <w:rsid w:val="00926E47"/>
    <w:rsid w:val="00931DF1"/>
    <w:rsid w:val="009326BB"/>
    <w:rsid w:val="009329EE"/>
    <w:rsid w:val="009348A7"/>
    <w:rsid w:val="009369F0"/>
    <w:rsid w:val="00940A9D"/>
    <w:rsid w:val="00943FFC"/>
    <w:rsid w:val="00947162"/>
    <w:rsid w:val="0094753F"/>
    <w:rsid w:val="00951F43"/>
    <w:rsid w:val="009529FA"/>
    <w:rsid w:val="009544BF"/>
    <w:rsid w:val="00954CCB"/>
    <w:rsid w:val="009560C1"/>
    <w:rsid w:val="00960092"/>
    <w:rsid w:val="00960B45"/>
    <w:rsid w:val="009610D0"/>
    <w:rsid w:val="00961845"/>
    <w:rsid w:val="0096375C"/>
    <w:rsid w:val="009662E6"/>
    <w:rsid w:val="009704EF"/>
    <w:rsid w:val="0097095E"/>
    <w:rsid w:val="009767A9"/>
    <w:rsid w:val="00977AE5"/>
    <w:rsid w:val="0098506D"/>
    <w:rsid w:val="0098592B"/>
    <w:rsid w:val="00985FC4"/>
    <w:rsid w:val="00990766"/>
    <w:rsid w:val="00991261"/>
    <w:rsid w:val="009914B5"/>
    <w:rsid w:val="00993483"/>
    <w:rsid w:val="009961ED"/>
    <w:rsid w:val="009964C4"/>
    <w:rsid w:val="009A1A1E"/>
    <w:rsid w:val="009A1FC3"/>
    <w:rsid w:val="009A7B81"/>
    <w:rsid w:val="009B4156"/>
    <w:rsid w:val="009B495A"/>
    <w:rsid w:val="009B4993"/>
    <w:rsid w:val="009B7EB7"/>
    <w:rsid w:val="009C109C"/>
    <w:rsid w:val="009C2BB3"/>
    <w:rsid w:val="009C2CEF"/>
    <w:rsid w:val="009C35C2"/>
    <w:rsid w:val="009C3BE2"/>
    <w:rsid w:val="009C437C"/>
    <w:rsid w:val="009C53A2"/>
    <w:rsid w:val="009C69E9"/>
    <w:rsid w:val="009D01C0"/>
    <w:rsid w:val="009D60B6"/>
    <w:rsid w:val="009D6A08"/>
    <w:rsid w:val="009E0A16"/>
    <w:rsid w:val="009E28B4"/>
    <w:rsid w:val="009E6CB7"/>
    <w:rsid w:val="009E7970"/>
    <w:rsid w:val="009E7FE3"/>
    <w:rsid w:val="009F2EAC"/>
    <w:rsid w:val="009F50B0"/>
    <w:rsid w:val="009F57E3"/>
    <w:rsid w:val="00A10F4F"/>
    <w:rsid w:val="00A11067"/>
    <w:rsid w:val="00A12808"/>
    <w:rsid w:val="00A12AA4"/>
    <w:rsid w:val="00A1704A"/>
    <w:rsid w:val="00A175FA"/>
    <w:rsid w:val="00A220EE"/>
    <w:rsid w:val="00A249E3"/>
    <w:rsid w:val="00A31107"/>
    <w:rsid w:val="00A33011"/>
    <w:rsid w:val="00A344E6"/>
    <w:rsid w:val="00A36951"/>
    <w:rsid w:val="00A36AC2"/>
    <w:rsid w:val="00A421A8"/>
    <w:rsid w:val="00A425EB"/>
    <w:rsid w:val="00A4738C"/>
    <w:rsid w:val="00A50002"/>
    <w:rsid w:val="00A52D93"/>
    <w:rsid w:val="00A5528A"/>
    <w:rsid w:val="00A5533B"/>
    <w:rsid w:val="00A55C74"/>
    <w:rsid w:val="00A55E5F"/>
    <w:rsid w:val="00A56859"/>
    <w:rsid w:val="00A57B83"/>
    <w:rsid w:val="00A60732"/>
    <w:rsid w:val="00A61094"/>
    <w:rsid w:val="00A6331C"/>
    <w:rsid w:val="00A6489F"/>
    <w:rsid w:val="00A66220"/>
    <w:rsid w:val="00A66541"/>
    <w:rsid w:val="00A72F22"/>
    <w:rsid w:val="00A733BC"/>
    <w:rsid w:val="00A748A6"/>
    <w:rsid w:val="00A76A69"/>
    <w:rsid w:val="00A85C25"/>
    <w:rsid w:val="00A879A4"/>
    <w:rsid w:val="00AA0FF8"/>
    <w:rsid w:val="00AA216D"/>
    <w:rsid w:val="00AA39C7"/>
    <w:rsid w:val="00AB09C6"/>
    <w:rsid w:val="00AC0F2C"/>
    <w:rsid w:val="00AC502A"/>
    <w:rsid w:val="00AD19B0"/>
    <w:rsid w:val="00AD4252"/>
    <w:rsid w:val="00AE1E26"/>
    <w:rsid w:val="00AE2645"/>
    <w:rsid w:val="00AE6696"/>
    <w:rsid w:val="00AF58C1"/>
    <w:rsid w:val="00AF75BD"/>
    <w:rsid w:val="00B04213"/>
    <w:rsid w:val="00B04A3F"/>
    <w:rsid w:val="00B06643"/>
    <w:rsid w:val="00B06904"/>
    <w:rsid w:val="00B10A32"/>
    <w:rsid w:val="00B11D91"/>
    <w:rsid w:val="00B143D5"/>
    <w:rsid w:val="00B15055"/>
    <w:rsid w:val="00B20551"/>
    <w:rsid w:val="00B235CA"/>
    <w:rsid w:val="00B30179"/>
    <w:rsid w:val="00B31E0B"/>
    <w:rsid w:val="00B33FC7"/>
    <w:rsid w:val="00B35051"/>
    <w:rsid w:val="00B36FA8"/>
    <w:rsid w:val="00B37B15"/>
    <w:rsid w:val="00B4162A"/>
    <w:rsid w:val="00B45C02"/>
    <w:rsid w:val="00B47345"/>
    <w:rsid w:val="00B53AD4"/>
    <w:rsid w:val="00B5445D"/>
    <w:rsid w:val="00B616DC"/>
    <w:rsid w:val="00B65133"/>
    <w:rsid w:val="00B70304"/>
    <w:rsid w:val="00B70B63"/>
    <w:rsid w:val="00B72A1E"/>
    <w:rsid w:val="00B779C3"/>
    <w:rsid w:val="00B81E12"/>
    <w:rsid w:val="00B83124"/>
    <w:rsid w:val="00B832DD"/>
    <w:rsid w:val="00B83386"/>
    <w:rsid w:val="00B941F3"/>
    <w:rsid w:val="00B94C7B"/>
    <w:rsid w:val="00B97FCB"/>
    <w:rsid w:val="00BA03A5"/>
    <w:rsid w:val="00BA0C97"/>
    <w:rsid w:val="00BA1342"/>
    <w:rsid w:val="00BA249C"/>
    <w:rsid w:val="00BA339B"/>
    <w:rsid w:val="00BB0625"/>
    <w:rsid w:val="00BB23CC"/>
    <w:rsid w:val="00BB3AA2"/>
    <w:rsid w:val="00BB7583"/>
    <w:rsid w:val="00BC02BF"/>
    <w:rsid w:val="00BC1E7E"/>
    <w:rsid w:val="00BC2AE1"/>
    <w:rsid w:val="00BC74E9"/>
    <w:rsid w:val="00BD6966"/>
    <w:rsid w:val="00BE36A9"/>
    <w:rsid w:val="00BE55E5"/>
    <w:rsid w:val="00BE618E"/>
    <w:rsid w:val="00BE7215"/>
    <w:rsid w:val="00BE7BEC"/>
    <w:rsid w:val="00BF0A5A"/>
    <w:rsid w:val="00BF0E63"/>
    <w:rsid w:val="00BF0F38"/>
    <w:rsid w:val="00BF12A3"/>
    <w:rsid w:val="00BF16D7"/>
    <w:rsid w:val="00BF1E3E"/>
    <w:rsid w:val="00BF2373"/>
    <w:rsid w:val="00BF279B"/>
    <w:rsid w:val="00BF79DD"/>
    <w:rsid w:val="00C044E2"/>
    <w:rsid w:val="00C048CB"/>
    <w:rsid w:val="00C066F3"/>
    <w:rsid w:val="00C07DE6"/>
    <w:rsid w:val="00C10C4A"/>
    <w:rsid w:val="00C159C5"/>
    <w:rsid w:val="00C277E1"/>
    <w:rsid w:val="00C326D9"/>
    <w:rsid w:val="00C3757A"/>
    <w:rsid w:val="00C40A40"/>
    <w:rsid w:val="00C463DD"/>
    <w:rsid w:val="00C46AB5"/>
    <w:rsid w:val="00C71A9E"/>
    <w:rsid w:val="00C72982"/>
    <w:rsid w:val="00C745C3"/>
    <w:rsid w:val="00C76CEA"/>
    <w:rsid w:val="00C82326"/>
    <w:rsid w:val="00C861AF"/>
    <w:rsid w:val="00C978F5"/>
    <w:rsid w:val="00CA24A4"/>
    <w:rsid w:val="00CA2510"/>
    <w:rsid w:val="00CA7FF4"/>
    <w:rsid w:val="00CB348D"/>
    <w:rsid w:val="00CC1BE1"/>
    <w:rsid w:val="00CC2321"/>
    <w:rsid w:val="00CC6CBD"/>
    <w:rsid w:val="00CD46F5"/>
    <w:rsid w:val="00CE2323"/>
    <w:rsid w:val="00CE4A8F"/>
    <w:rsid w:val="00CF071D"/>
    <w:rsid w:val="00D00464"/>
    <w:rsid w:val="00D0123D"/>
    <w:rsid w:val="00D134CC"/>
    <w:rsid w:val="00D15B04"/>
    <w:rsid w:val="00D15C1B"/>
    <w:rsid w:val="00D2031B"/>
    <w:rsid w:val="00D23237"/>
    <w:rsid w:val="00D248ED"/>
    <w:rsid w:val="00D25FE2"/>
    <w:rsid w:val="00D37DA9"/>
    <w:rsid w:val="00D406A7"/>
    <w:rsid w:val="00D43252"/>
    <w:rsid w:val="00D44D86"/>
    <w:rsid w:val="00D45707"/>
    <w:rsid w:val="00D50B7D"/>
    <w:rsid w:val="00D52012"/>
    <w:rsid w:val="00D52A7B"/>
    <w:rsid w:val="00D569B3"/>
    <w:rsid w:val="00D57E2A"/>
    <w:rsid w:val="00D61BFE"/>
    <w:rsid w:val="00D62BDF"/>
    <w:rsid w:val="00D704E5"/>
    <w:rsid w:val="00D72727"/>
    <w:rsid w:val="00D81CE3"/>
    <w:rsid w:val="00D97702"/>
    <w:rsid w:val="00D978C6"/>
    <w:rsid w:val="00DA0956"/>
    <w:rsid w:val="00DA0BF9"/>
    <w:rsid w:val="00DA2139"/>
    <w:rsid w:val="00DA2690"/>
    <w:rsid w:val="00DA357F"/>
    <w:rsid w:val="00DA3E12"/>
    <w:rsid w:val="00DB1AEB"/>
    <w:rsid w:val="00DB1B4A"/>
    <w:rsid w:val="00DB7324"/>
    <w:rsid w:val="00DC1647"/>
    <w:rsid w:val="00DC18AD"/>
    <w:rsid w:val="00DC1CD1"/>
    <w:rsid w:val="00DC6354"/>
    <w:rsid w:val="00DC7B00"/>
    <w:rsid w:val="00DD2C90"/>
    <w:rsid w:val="00DE5B0B"/>
    <w:rsid w:val="00DF53E1"/>
    <w:rsid w:val="00DF5DC5"/>
    <w:rsid w:val="00DF7CAE"/>
    <w:rsid w:val="00E03DD1"/>
    <w:rsid w:val="00E060C3"/>
    <w:rsid w:val="00E1172E"/>
    <w:rsid w:val="00E12356"/>
    <w:rsid w:val="00E16A35"/>
    <w:rsid w:val="00E2155B"/>
    <w:rsid w:val="00E21EA2"/>
    <w:rsid w:val="00E3365D"/>
    <w:rsid w:val="00E3393B"/>
    <w:rsid w:val="00E36189"/>
    <w:rsid w:val="00E423C0"/>
    <w:rsid w:val="00E50060"/>
    <w:rsid w:val="00E603EE"/>
    <w:rsid w:val="00E63B5F"/>
    <w:rsid w:val="00E64085"/>
    <w:rsid w:val="00E6414C"/>
    <w:rsid w:val="00E724E0"/>
    <w:rsid w:val="00E7260F"/>
    <w:rsid w:val="00E769DD"/>
    <w:rsid w:val="00E82FDF"/>
    <w:rsid w:val="00E8702D"/>
    <w:rsid w:val="00E905F4"/>
    <w:rsid w:val="00E916A9"/>
    <w:rsid w:val="00E916DE"/>
    <w:rsid w:val="00E925AD"/>
    <w:rsid w:val="00E93204"/>
    <w:rsid w:val="00E96630"/>
    <w:rsid w:val="00EA18AD"/>
    <w:rsid w:val="00EB189F"/>
    <w:rsid w:val="00EB3AA3"/>
    <w:rsid w:val="00EC03D4"/>
    <w:rsid w:val="00EC0B08"/>
    <w:rsid w:val="00EC42B7"/>
    <w:rsid w:val="00EC599F"/>
    <w:rsid w:val="00EC5C0B"/>
    <w:rsid w:val="00EC6D60"/>
    <w:rsid w:val="00ED18DC"/>
    <w:rsid w:val="00ED22F2"/>
    <w:rsid w:val="00ED367E"/>
    <w:rsid w:val="00ED6201"/>
    <w:rsid w:val="00ED7A2A"/>
    <w:rsid w:val="00EE6AC0"/>
    <w:rsid w:val="00EF1644"/>
    <w:rsid w:val="00EF1D7F"/>
    <w:rsid w:val="00EF25C4"/>
    <w:rsid w:val="00EF300F"/>
    <w:rsid w:val="00EF6069"/>
    <w:rsid w:val="00EF7A95"/>
    <w:rsid w:val="00F0137E"/>
    <w:rsid w:val="00F039BE"/>
    <w:rsid w:val="00F04E44"/>
    <w:rsid w:val="00F068C0"/>
    <w:rsid w:val="00F13ED1"/>
    <w:rsid w:val="00F1631D"/>
    <w:rsid w:val="00F16ECB"/>
    <w:rsid w:val="00F21786"/>
    <w:rsid w:val="00F23EAD"/>
    <w:rsid w:val="00F25D06"/>
    <w:rsid w:val="00F26542"/>
    <w:rsid w:val="00F30936"/>
    <w:rsid w:val="00F31CFF"/>
    <w:rsid w:val="00F3421B"/>
    <w:rsid w:val="00F3742B"/>
    <w:rsid w:val="00F37BF8"/>
    <w:rsid w:val="00F40A2D"/>
    <w:rsid w:val="00F419CE"/>
    <w:rsid w:val="00F41FDB"/>
    <w:rsid w:val="00F44B9E"/>
    <w:rsid w:val="00F47B50"/>
    <w:rsid w:val="00F50597"/>
    <w:rsid w:val="00F526D4"/>
    <w:rsid w:val="00F56D63"/>
    <w:rsid w:val="00F609A9"/>
    <w:rsid w:val="00F623E9"/>
    <w:rsid w:val="00F800C1"/>
    <w:rsid w:val="00F803BA"/>
    <w:rsid w:val="00F80C99"/>
    <w:rsid w:val="00F827B2"/>
    <w:rsid w:val="00F8479C"/>
    <w:rsid w:val="00F85E4B"/>
    <w:rsid w:val="00F867EC"/>
    <w:rsid w:val="00F86E07"/>
    <w:rsid w:val="00F91B2B"/>
    <w:rsid w:val="00FB4C77"/>
    <w:rsid w:val="00FC03CD"/>
    <w:rsid w:val="00FC0646"/>
    <w:rsid w:val="00FC61B7"/>
    <w:rsid w:val="00FC68B7"/>
    <w:rsid w:val="00FD111E"/>
    <w:rsid w:val="00FD706E"/>
    <w:rsid w:val="00FE6985"/>
    <w:rsid w:val="00FF2507"/>
    <w:rsid w:val="00FF5E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AE17"/>
  <w15:docId w15:val="{5BD3FAB8-B044-4603-B385-F7E7D42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paragraph" w:customStyle="1" w:styleId="Roman8pt">
    <w:name w:val="Roman 8pt"/>
    <w:basedOn w:val="Normal"/>
    <w:rsid w:val="00613D53"/>
    <w:pPr>
      <w:widowControl w:val="0"/>
      <w:suppressAutoHyphens w:val="0"/>
      <w:autoSpaceDE w:val="0"/>
      <w:autoSpaceDN w:val="0"/>
      <w:adjustRightInd w:val="0"/>
      <w:spacing w:line="240" w:lineRule="auto"/>
    </w:pPr>
    <w:rPr>
      <w:sz w:val="16"/>
      <w:szCs w:val="24"/>
      <w:lang w:eastAsia="en-US"/>
    </w:rPr>
  </w:style>
  <w:style w:type="character" w:styleId="CommentReference">
    <w:name w:val="annotation reference"/>
    <w:basedOn w:val="DefaultParagraphFont"/>
    <w:semiHidden/>
    <w:unhideWhenUsed/>
    <w:rsid w:val="00931DF1"/>
    <w:rPr>
      <w:sz w:val="16"/>
      <w:szCs w:val="16"/>
    </w:rPr>
  </w:style>
  <w:style w:type="paragraph" w:styleId="CommentText">
    <w:name w:val="annotation text"/>
    <w:basedOn w:val="Normal"/>
    <w:link w:val="CommentTextChar"/>
    <w:semiHidden/>
    <w:unhideWhenUsed/>
    <w:rsid w:val="00931DF1"/>
    <w:pPr>
      <w:spacing w:line="240" w:lineRule="auto"/>
    </w:pPr>
  </w:style>
  <w:style w:type="character" w:customStyle="1" w:styleId="CommentTextChar">
    <w:name w:val="Comment Text Char"/>
    <w:basedOn w:val="DefaultParagraphFont"/>
    <w:link w:val="CommentText"/>
    <w:semiHidden/>
    <w:rsid w:val="00931DF1"/>
    <w:rPr>
      <w:lang w:val="en-US"/>
    </w:rPr>
  </w:style>
  <w:style w:type="paragraph" w:styleId="CommentSubject">
    <w:name w:val="annotation subject"/>
    <w:basedOn w:val="CommentText"/>
    <w:next w:val="CommentText"/>
    <w:link w:val="CommentSubjectChar"/>
    <w:semiHidden/>
    <w:unhideWhenUsed/>
    <w:rsid w:val="00931DF1"/>
    <w:rPr>
      <w:b/>
      <w:bCs/>
    </w:rPr>
  </w:style>
  <w:style w:type="character" w:customStyle="1" w:styleId="CommentSubjectChar">
    <w:name w:val="Comment Subject Char"/>
    <w:basedOn w:val="CommentTextChar"/>
    <w:link w:val="CommentSubject"/>
    <w:semiHidden/>
    <w:rsid w:val="00931DF1"/>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15A1824-B346-4395-A8C1-72447B38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FD252-A8EC-4871-A970-79BC75B5EE65}">
  <ds:schemaRefs>
    <ds:schemaRef ds:uri="http://schemas.openxmlformats.org/officeDocument/2006/bibliography"/>
  </ds:schemaRefs>
</ds:datastoreItem>
</file>

<file path=customXml/itemProps4.xml><?xml version="1.0" encoding="utf-8"?>
<ds:datastoreItem xmlns:ds="http://schemas.openxmlformats.org/officeDocument/2006/customXml" ds:itemID="{077832C3-5497-4AD2-BC80-5B9A9F064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3</Pages>
  <Words>1059</Words>
  <Characters>6039</Characters>
  <Application>Microsoft Office Word</Application>
  <DocSecurity>0</DocSecurity>
  <Lines>50</Lines>
  <Paragraphs>14</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Titre</vt:lpstr>
      </vt:variant>
      <vt:variant>
        <vt:i4>1</vt:i4>
      </vt:variant>
    </vt:vector>
  </HeadingPairs>
  <TitlesOfParts>
    <vt:vector size="4" baseType="lpstr">
      <vt:lpstr>ECE/TRANS/WP.29/GRVA/2022/1</vt:lpstr>
      <vt:lpstr>ECE/TRANS/WP.29/GRVA/2022/1</vt:lpstr>
      <vt:lpstr>ECE/TRANS/WP.29/GRVA/2022/1</vt:lpstr>
      <vt:lpstr/>
    </vt:vector>
  </TitlesOfParts>
  <Company>CSD</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GRVA-16-19</dc:title>
  <dc:subject>2116363</dc:subject>
  <dc:creator>Francois Guichard</dc:creator>
  <cp:keywords/>
  <dc:description/>
  <cp:lastModifiedBy>Laura Mueller</cp:lastModifiedBy>
  <cp:revision>15</cp:revision>
  <cp:lastPrinted>2023-02-02T07:48:00Z</cp:lastPrinted>
  <dcterms:created xsi:type="dcterms:W3CDTF">2023-05-15T08:53:00Z</dcterms:created>
  <dcterms:modified xsi:type="dcterms:W3CDTF">2023-05-17T09:56:00Z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