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FC8E" w14:textId="4388E93A" w:rsidR="00E01C76" w:rsidRDefault="00E01C76" w:rsidP="00CD057F">
      <w:pPr>
        <w:rPr>
          <w:rFonts w:cstheme="minorHAnsi"/>
        </w:rPr>
      </w:pPr>
    </w:p>
    <w:p w14:paraId="76683DB1" w14:textId="1813B786" w:rsidR="0030094E" w:rsidRDefault="0030094E" w:rsidP="00CD057F">
      <w:pPr>
        <w:rPr>
          <w:rFonts w:cstheme="minorHAnsi"/>
        </w:rPr>
      </w:pPr>
    </w:p>
    <w:p w14:paraId="2AE2D4A9" w14:textId="07D4455A" w:rsidR="0030094E" w:rsidRPr="0030094E" w:rsidRDefault="0030094E" w:rsidP="00DE1C7F">
      <w:pPr>
        <w:keepNext/>
        <w:keepLines/>
        <w:tabs>
          <w:tab w:val="right" w:pos="851"/>
        </w:tabs>
        <w:suppressAutoHyphens/>
        <w:spacing w:before="360" w:after="240" w:line="300" w:lineRule="exact"/>
        <w:ind w:right="185"/>
        <w:rPr>
          <w:rFonts w:eastAsia="Times New Roman" w:cs="Times New Roman"/>
          <w:b/>
          <w:kern w:val="0"/>
          <w:sz w:val="28"/>
          <w:szCs w:val="28"/>
          <w:lang w:val="en-GB" w:eastAsia="fr-FR"/>
        </w:rPr>
      </w:pPr>
      <w:r w:rsidRPr="0030094E">
        <w:rPr>
          <w:rFonts w:eastAsia="Times New Roman" w:cs="Times New Roman"/>
          <w:b/>
          <w:kern w:val="0"/>
          <w:sz w:val="28"/>
          <w:szCs w:val="20"/>
          <w:lang w:val="en-GB" w:eastAsia="fr-FR"/>
        </w:rPr>
        <w:t xml:space="preserve">Proposal for </w:t>
      </w:r>
      <w:r>
        <w:rPr>
          <w:rFonts w:eastAsia="Times New Roman" w:cs="Times New Roman"/>
          <w:b/>
          <w:kern w:val="0"/>
          <w:sz w:val="28"/>
          <w:szCs w:val="20"/>
          <w:lang w:val="en-GB" w:eastAsia="fr-FR"/>
        </w:rPr>
        <w:t xml:space="preserve">fundamental restructuring UN R-16 to enhance on the readability and applicability of the different parts of the document </w:t>
      </w:r>
    </w:p>
    <w:p w14:paraId="5B051369" w14:textId="77777777" w:rsidR="0030094E" w:rsidRPr="0030094E" w:rsidRDefault="0030094E" w:rsidP="00586A9D">
      <w:pPr>
        <w:rPr>
          <w:lang w:val="en-GB" w:eastAsia="fr-FR"/>
        </w:rPr>
      </w:pPr>
    </w:p>
    <w:p w14:paraId="3631958C" w14:textId="77777777" w:rsidR="0030094E" w:rsidRDefault="0030094E" w:rsidP="00586A9D">
      <w:pPr>
        <w:rPr>
          <w:lang w:val="en-GB" w:eastAsia="fr-FR"/>
        </w:rPr>
      </w:pPr>
      <w:r w:rsidRPr="0030094E">
        <w:rPr>
          <w:lang w:val="en-GB" w:eastAsia="fr-FR"/>
        </w:rPr>
        <w:t xml:space="preserve">The </w:t>
      </w:r>
      <w:r w:rsidRPr="0030094E">
        <w:rPr>
          <w:snapToGrid w:val="0"/>
          <w:lang w:val="en-GB" w:eastAsia="fr-FR"/>
        </w:rPr>
        <w:t xml:space="preserve">text reproduced below </w:t>
      </w:r>
      <w:r w:rsidRPr="0030094E">
        <w:rPr>
          <w:lang w:val="en-GB" w:eastAsia="fr-FR"/>
        </w:rPr>
        <w:t xml:space="preserve">was </w:t>
      </w:r>
      <w:bookmarkStart w:id="0" w:name="_Hlk32495709"/>
      <w:r w:rsidRPr="0030094E">
        <w:rPr>
          <w:lang w:val="en-GB" w:eastAsia="fr-FR"/>
        </w:rPr>
        <w:t xml:space="preserve">prepared by the expert from </w:t>
      </w:r>
      <w:r>
        <w:rPr>
          <w:lang w:val="en-GB" w:eastAsia="fr-FR"/>
        </w:rPr>
        <w:t xml:space="preserve">CLEPA to propose a fundamental restructuring of the document of UN R-16 </w:t>
      </w:r>
      <w:bookmarkEnd w:id="0"/>
      <w:r>
        <w:rPr>
          <w:lang w:val="en-GB" w:eastAsia="fr-FR"/>
        </w:rPr>
        <w:t xml:space="preserve">on Uniform Provisions concerning the approval </w:t>
      </w:r>
      <w:proofErr w:type="gramStart"/>
      <w:r>
        <w:rPr>
          <w:lang w:val="en-GB" w:eastAsia="fr-FR"/>
        </w:rPr>
        <w:t>of :</w:t>
      </w:r>
      <w:proofErr w:type="gramEnd"/>
    </w:p>
    <w:p w14:paraId="0DD0940F" w14:textId="28C74CE4" w:rsidR="0030094E" w:rsidRPr="00681B48" w:rsidRDefault="0030094E" w:rsidP="00681B48">
      <w:pPr>
        <w:pStyle w:val="ListParagraph"/>
        <w:numPr>
          <w:ilvl w:val="0"/>
          <w:numId w:val="4"/>
        </w:numPr>
        <w:rPr>
          <w:lang w:val="en-GB" w:eastAsia="fr-FR"/>
        </w:rPr>
      </w:pPr>
      <w:r w:rsidRPr="00681B48">
        <w:rPr>
          <w:lang w:val="en-GB" w:eastAsia="fr-FR"/>
        </w:rPr>
        <w:t>Safety-</w:t>
      </w:r>
      <w:r w:rsidR="0042414B" w:rsidRPr="00681B48">
        <w:rPr>
          <w:lang w:val="en-GB" w:eastAsia="fr-FR"/>
        </w:rPr>
        <w:t>b</w:t>
      </w:r>
      <w:r w:rsidRPr="00681B48">
        <w:rPr>
          <w:lang w:val="en-GB" w:eastAsia="fr-FR"/>
        </w:rPr>
        <w:t>elts</w:t>
      </w:r>
      <w:r w:rsidR="0042414B" w:rsidRPr="00681B48">
        <w:rPr>
          <w:lang w:val="en-GB" w:eastAsia="fr-FR"/>
        </w:rPr>
        <w:t xml:space="preserve">, restraint systems, child restraints systems and </w:t>
      </w:r>
      <w:proofErr w:type="spellStart"/>
      <w:r w:rsidR="0042414B" w:rsidRPr="00681B48">
        <w:rPr>
          <w:lang w:val="en-GB" w:eastAsia="fr-FR"/>
        </w:rPr>
        <w:t>isofix</w:t>
      </w:r>
      <w:proofErr w:type="spellEnd"/>
      <w:r w:rsidR="0042414B" w:rsidRPr="00681B48">
        <w:rPr>
          <w:lang w:val="en-GB" w:eastAsia="fr-FR"/>
        </w:rPr>
        <w:t xml:space="preserve"> child restraint systems for occupants of power- driven vehicles</w:t>
      </w:r>
    </w:p>
    <w:p w14:paraId="47F789BF" w14:textId="77777777" w:rsidR="0042414B" w:rsidRPr="00681B48" w:rsidRDefault="0042414B" w:rsidP="00681B48">
      <w:pPr>
        <w:pStyle w:val="ListParagraph"/>
        <w:numPr>
          <w:ilvl w:val="0"/>
          <w:numId w:val="4"/>
        </w:numPr>
        <w:rPr>
          <w:lang w:val="en-GB" w:eastAsia="fr-FR"/>
        </w:rPr>
      </w:pPr>
      <w:r w:rsidRPr="00681B48">
        <w:rPr>
          <w:lang w:val="en-GB" w:eastAsia="fr-FR"/>
        </w:rPr>
        <w:t xml:space="preserve">Vehicles equipped with safety-belts, safety-belt reminder, restraint systems, child restraint systems, </w:t>
      </w:r>
      <w:proofErr w:type="spellStart"/>
      <w:r w:rsidRPr="00681B48">
        <w:rPr>
          <w:lang w:val="en-GB" w:eastAsia="fr-FR"/>
        </w:rPr>
        <w:t>isofix</w:t>
      </w:r>
      <w:proofErr w:type="spellEnd"/>
      <w:r w:rsidRPr="00681B48">
        <w:rPr>
          <w:lang w:val="en-GB" w:eastAsia="fr-FR"/>
        </w:rPr>
        <w:t xml:space="preserve"> child restraint systems and </w:t>
      </w:r>
      <w:proofErr w:type="spellStart"/>
      <w:r w:rsidRPr="00681B48">
        <w:rPr>
          <w:lang w:val="en-GB" w:eastAsia="fr-FR"/>
        </w:rPr>
        <w:t>i</w:t>
      </w:r>
      <w:proofErr w:type="spellEnd"/>
      <w:r w:rsidRPr="00681B48">
        <w:rPr>
          <w:lang w:val="en-GB" w:eastAsia="fr-FR"/>
        </w:rPr>
        <w:t>-size child restraint systems</w:t>
      </w:r>
    </w:p>
    <w:p w14:paraId="7DBFB1F0" w14:textId="77777777" w:rsidR="00DE1C7F" w:rsidRDefault="0042414B" w:rsidP="00586A9D">
      <w:pPr>
        <w:rPr>
          <w:rFonts w:cstheme="minorHAnsi"/>
        </w:rPr>
      </w:pPr>
      <w:proofErr w:type="gramStart"/>
      <w:r>
        <w:rPr>
          <w:rFonts w:cstheme="minorHAnsi"/>
        </w:rPr>
        <w:t xml:space="preserve">The </w:t>
      </w:r>
      <w:r w:rsidRPr="0042414B">
        <w:rPr>
          <w:rFonts w:cstheme="minorHAnsi"/>
        </w:rPr>
        <w:t xml:space="preserve"> </w:t>
      </w:r>
      <w:r>
        <w:rPr>
          <w:rFonts w:cstheme="minorHAnsi"/>
        </w:rPr>
        <w:t>proposal</w:t>
      </w:r>
      <w:proofErr w:type="gramEnd"/>
      <w:r>
        <w:rPr>
          <w:rFonts w:cstheme="minorHAnsi"/>
        </w:rPr>
        <w:t xml:space="preserve"> seeks for administrative support and advice how to ideally separate the historically grown content and complexity. The idea is to establish one or two new regulations to improve the applicability and readability of the different parts. </w:t>
      </w:r>
    </w:p>
    <w:p w14:paraId="1A507A2A" w14:textId="1B35793C" w:rsidR="0042414B" w:rsidRDefault="00DE1C7F" w:rsidP="00586A9D">
      <w:pPr>
        <w:rPr>
          <w:rFonts w:cstheme="minorHAnsi"/>
        </w:rPr>
      </w:pPr>
      <w:r w:rsidRPr="00DE1C7F">
        <w:rPr>
          <w:rFonts w:cstheme="minorHAnsi"/>
          <w:b/>
          <w:bCs/>
        </w:rPr>
        <w:t>Introduction</w:t>
      </w:r>
      <w:r w:rsidR="0042414B">
        <w:rPr>
          <w:rFonts w:cstheme="minorHAnsi"/>
        </w:rPr>
        <w:br/>
        <w:t xml:space="preserve">Amendments being introduced </w:t>
      </w:r>
      <w:proofErr w:type="gramStart"/>
      <w:r w:rsidR="0042414B">
        <w:rPr>
          <w:rFonts w:cstheme="minorHAnsi"/>
        </w:rPr>
        <w:t>in particular parts</w:t>
      </w:r>
      <w:proofErr w:type="gramEnd"/>
      <w:r>
        <w:rPr>
          <w:rFonts w:cstheme="minorHAnsi"/>
        </w:rPr>
        <w:t xml:space="preserve"> or functions</w:t>
      </w:r>
      <w:r w:rsidR="0042414B">
        <w:rPr>
          <w:rFonts w:cstheme="minorHAnsi"/>
        </w:rPr>
        <w:t xml:space="preserve"> only, results often in administrative extra burden to the other parts and respective owners to </w:t>
      </w:r>
      <w:r>
        <w:rPr>
          <w:rFonts w:cstheme="minorHAnsi"/>
        </w:rPr>
        <w:t>change the revisions</w:t>
      </w:r>
      <w:r w:rsidR="008C733A">
        <w:rPr>
          <w:rFonts w:cstheme="minorHAnsi"/>
        </w:rPr>
        <w:t xml:space="preserve">. </w:t>
      </w:r>
      <w:r w:rsidR="008C733A">
        <w:rPr>
          <w:rStyle w:val="ui-provider"/>
        </w:rPr>
        <w:t>In the worst case this means a re-homologation even if the new amendment has no impact on the original approval.</w:t>
      </w:r>
    </w:p>
    <w:p w14:paraId="155BEA63" w14:textId="27DE274E" w:rsidR="00DE1C7F" w:rsidRPr="00DE1C7F" w:rsidRDefault="00DE1C7F" w:rsidP="00586A9D">
      <w:pPr>
        <w:rPr>
          <w:rFonts w:cstheme="minorHAnsi"/>
          <w:b/>
          <w:bCs/>
        </w:rPr>
      </w:pPr>
      <w:r w:rsidRPr="00DE1C7F">
        <w:rPr>
          <w:rFonts w:cstheme="minorHAnsi"/>
          <w:b/>
          <w:bCs/>
        </w:rPr>
        <w:t>Proposal and Request for Advice</w:t>
      </w:r>
    </w:p>
    <w:p w14:paraId="1FB8A13D" w14:textId="0FFDC42F" w:rsidR="00DE1C7F" w:rsidRDefault="0042414B" w:rsidP="00586A9D">
      <w:pPr>
        <w:rPr>
          <w:rFonts w:cstheme="minorHAnsi"/>
        </w:rPr>
      </w:pPr>
      <w:r>
        <w:rPr>
          <w:rFonts w:cstheme="minorHAnsi"/>
        </w:rPr>
        <w:t xml:space="preserve">A first attempt to describe a possible definition of parts being transposed </w:t>
      </w:r>
      <w:r w:rsidR="00DE1C7F">
        <w:rPr>
          <w:rFonts w:cstheme="minorHAnsi"/>
        </w:rPr>
        <w:t>could be to define three parts:</w:t>
      </w:r>
    </w:p>
    <w:p w14:paraId="5947F48F" w14:textId="327401A4" w:rsidR="00DE1C7F" w:rsidRPr="00681B48" w:rsidRDefault="00DE1C7F" w:rsidP="00681B48">
      <w:pPr>
        <w:pStyle w:val="ListParagraph"/>
        <w:numPr>
          <w:ilvl w:val="0"/>
          <w:numId w:val="5"/>
        </w:numPr>
        <w:rPr>
          <w:lang w:val="en-GB" w:eastAsia="fr-FR"/>
        </w:rPr>
      </w:pPr>
      <w:r w:rsidRPr="00681B48">
        <w:rPr>
          <w:rFonts w:cstheme="minorHAnsi"/>
        </w:rPr>
        <w:t>Safety-belts, restraint systems for occupants of power-driven vehicles</w:t>
      </w:r>
    </w:p>
    <w:p w14:paraId="47744BD9" w14:textId="48F80A31" w:rsidR="0030094E" w:rsidRPr="00681B48" w:rsidRDefault="00DE1C7F" w:rsidP="00681B48">
      <w:pPr>
        <w:pStyle w:val="ListParagraph"/>
        <w:numPr>
          <w:ilvl w:val="0"/>
          <w:numId w:val="5"/>
        </w:numPr>
        <w:rPr>
          <w:lang w:val="en-GB" w:eastAsia="fr-FR"/>
        </w:rPr>
      </w:pPr>
      <w:r w:rsidRPr="00681B48">
        <w:rPr>
          <w:rFonts w:cstheme="minorHAnsi"/>
        </w:rPr>
        <w:t xml:space="preserve">Child restraint systems, </w:t>
      </w:r>
      <w:proofErr w:type="spellStart"/>
      <w:r w:rsidRPr="00681B48">
        <w:rPr>
          <w:rFonts w:cstheme="minorHAnsi"/>
        </w:rPr>
        <w:t>isofix</w:t>
      </w:r>
      <w:proofErr w:type="spellEnd"/>
      <w:r w:rsidRPr="00681B48">
        <w:rPr>
          <w:rFonts w:cstheme="minorHAnsi"/>
        </w:rPr>
        <w:t xml:space="preserve"> child restraint systems and </w:t>
      </w:r>
      <w:proofErr w:type="spellStart"/>
      <w:r w:rsidRPr="00681B48">
        <w:rPr>
          <w:rFonts w:cstheme="minorHAnsi"/>
        </w:rPr>
        <w:t>i</w:t>
      </w:r>
      <w:proofErr w:type="spellEnd"/>
      <w:r w:rsidRPr="00681B48">
        <w:rPr>
          <w:rFonts w:cstheme="minorHAnsi"/>
        </w:rPr>
        <w:t>-size child restraint systems for child occupants of power-driven vehicles</w:t>
      </w:r>
    </w:p>
    <w:p w14:paraId="6EABD7AF" w14:textId="199600AA" w:rsidR="00DE1C7F" w:rsidRPr="00681B48" w:rsidRDefault="00DE1C7F" w:rsidP="00681B48">
      <w:pPr>
        <w:pStyle w:val="ListParagraph"/>
        <w:numPr>
          <w:ilvl w:val="0"/>
          <w:numId w:val="5"/>
        </w:numPr>
        <w:rPr>
          <w:lang w:val="en-GB" w:eastAsia="fr-FR"/>
        </w:rPr>
      </w:pPr>
      <w:r w:rsidRPr="00681B48">
        <w:rPr>
          <w:rFonts w:cstheme="minorHAnsi"/>
        </w:rPr>
        <w:t xml:space="preserve">Vehicles equipped with safety-belts, safety-belt reminder, restraint </w:t>
      </w:r>
      <w:proofErr w:type="spellStart"/>
      <w:r w:rsidRPr="00681B48">
        <w:rPr>
          <w:rFonts w:cstheme="minorHAnsi"/>
        </w:rPr>
        <w:t>sytems</w:t>
      </w:r>
      <w:proofErr w:type="spellEnd"/>
      <w:r w:rsidRPr="00681B48">
        <w:rPr>
          <w:rFonts w:cstheme="minorHAnsi"/>
        </w:rPr>
        <w:t xml:space="preserve">, child restraint systems, </w:t>
      </w:r>
      <w:proofErr w:type="spellStart"/>
      <w:r w:rsidRPr="00681B48">
        <w:rPr>
          <w:rFonts w:cstheme="minorHAnsi"/>
        </w:rPr>
        <w:t>isofix</w:t>
      </w:r>
      <w:proofErr w:type="spellEnd"/>
      <w:r w:rsidRPr="00681B48">
        <w:rPr>
          <w:rFonts w:cstheme="minorHAnsi"/>
        </w:rPr>
        <w:t xml:space="preserve"> child restraint systems and </w:t>
      </w:r>
      <w:proofErr w:type="spellStart"/>
      <w:r w:rsidRPr="00681B48">
        <w:rPr>
          <w:rFonts w:cstheme="minorHAnsi"/>
        </w:rPr>
        <w:t>i</w:t>
      </w:r>
      <w:proofErr w:type="spellEnd"/>
      <w:r w:rsidRPr="00681B48">
        <w:rPr>
          <w:rFonts w:cstheme="minorHAnsi"/>
        </w:rPr>
        <w:t>-size child restraint systems</w:t>
      </w:r>
    </w:p>
    <w:p w14:paraId="5101389E" w14:textId="00B15106" w:rsidR="00DE1C7F" w:rsidRDefault="00DE1C7F" w:rsidP="00586A9D">
      <w:pPr>
        <w:rPr>
          <w:lang w:val="en-GB" w:eastAsia="fr-FR"/>
        </w:rPr>
      </w:pPr>
      <w:r>
        <w:rPr>
          <w:lang w:val="en-GB" w:eastAsia="fr-FR"/>
        </w:rPr>
        <w:t xml:space="preserve">Each of the described parts could become a new regulation, where two needs to receive a new number. </w:t>
      </w:r>
    </w:p>
    <w:p w14:paraId="2D7E0635" w14:textId="10B2139B" w:rsidR="00DE1C7F" w:rsidRPr="00DE1C7F" w:rsidRDefault="00DE1C7F" w:rsidP="00586A9D">
      <w:pPr>
        <w:rPr>
          <w:lang w:val="en-GB" w:eastAsia="fr-FR"/>
        </w:rPr>
      </w:pPr>
      <w:r>
        <w:rPr>
          <w:lang w:val="en-GB" w:eastAsia="fr-FR"/>
        </w:rPr>
        <w:t xml:space="preserve">CLEPA is in the position to strongly support the drafting </w:t>
      </w:r>
      <w:proofErr w:type="gramStart"/>
      <w:r>
        <w:rPr>
          <w:lang w:val="en-GB" w:eastAsia="fr-FR"/>
        </w:rPr>
        <w:t>work, but</w:t>
      </w:r>
      <w:proofErr w:type="gramEnd"/>
      <w:r>
        <w:rPr>
          <w:lang w:val="en-GB" w:eastAsia="fr-FR"/>
        </w:rPr>
        <w:t xml:space="preserve"> seeks for support of contracting parties and OICA.</w:t>
      </w:r>
    </w:p>
    <w:sectPr w:rsidR="00DE1C7F" w:rsidRPr="00DE1C7F" w:rsidSect="0030094E">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FD84" w14:textId="77777777" w:rsidR="00AE3894" w:rsidRDefault="00AE3894" w:rsidP="00DB7D7B">
      <w:r>
        <w:separator/>
      </w:r>
    </w:p>
  </w:endnote>
  <w:endnote w:type="continuationSeparator" w:id="0">
    <w:p w14:paraId="5E3B9B6C" w14:textId="77777777" w:rsidR="00AE3894" w:rsidRDefault="00AE3894" w:rsidP="00DB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DF7C" w14:textId="77777777" w:rsidR="009D5590" w:rsidRDefault="009D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DA8" w14:textId="77777777" w:rsidR="009D5590" w:rsidRDefault="009D5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D4AC" w14:textId="77777777" w:rsidR="009D5590" w:rsidRDefault="009D5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4843" w14:textId="77777777" w:rsidR="00AE3894" w:rsidRDefault="00AE3894" w:rsidP="00DB7D7B">
      <w:r>
        <w:separator/>
      </w:r>
    </w:p>
  </w:footnote>
  <w:footnote w:type="continuationSeparator" w:id="0">
    <w:p w14:paraId="1E6CADCD" w14:textId="77777777" w:rsidR="00AE3894" w:rsidRDefault="00AE3894" w:rsidP="00DB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AF0" w14:textId="77777777" w:rsidR="009D5590" w:rsidRDefault="009D5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5099" w14:textId="4615BB2E" w:rsidR="0030094E" w:rsidRDefault="0030094E">
    <w:pPr>
      <w:pStyle w:val="Header"/>
    </w:pPr>
  </w:p>
  <w:tbl>
    <w:tblPr>
      <w:tblW w:w="9389" w:type="dxa"/>
      <w:tblInd w:w="108" w:type="dxa"/>
      <w:tblLook w:val="0000" w:firstRow="0" w:lastRow="0" w:firstColumn="0" w:lastColumn="0" w:noHBand="0" w:noVBand="0"/>
    </w:tblPr>
    <w:tblGrid>
      <w:gridCol w:w="4428"/>
      <w:gridCol w:w="4961"/>
    </w:tblGrid>
    <w:tr w:rsidR="0030094E" w:rsidRPr="00E27568" w14:paraId="2690BF5F" w14:textId="77777777" w:rsidTr="0030094E">
      <w:tc>
        <w:tcPr>
          <w:tcW w:w="4428" w:type="dxa"/>
        </w:tcPr>
        <w:p w14:paraId="42B6F7B7" w14:textId="5B384D99" w:rsidR="0030094E" w:rsidRPr="00FD5357" w:rsidRDefault="0030094E" w:rsidP="0030094E">
          <w:pPr>
            <w:pStyle w:val="Header"/>
            <w:rPr>
              <w:b/>
              <w:sz w:val="20"/>
            </w:rPr>
          </w:pPr>
          <w:r w:rsidRPr="00FD5357">
            <w:rPr>
              <w:sz w:val="20"/>
            </w:rPr>
            <w:t xml:space="preserve">Submitted by the </w:t>
          </w:r>
          <w:r>
            <w:rPr>
              <w:sz w:val="20"/>
            </w:rPr>
            <w:t>experts from CLEPA</w:t>
          </w:r>
        </w:p>
        <w:p w14:paraId="004A042C" w14:textId="77777777" w:rsidR="0030094E" w:rsidRPr="00FD5357" w:rsidRDefault="0030094E" w:rsidP="0030094E">
          <w:pPr>
            <w:pStyle w:val="Header"/>
            <w:rPr>
              <w:b/>
              <w:sz w:val="20"/>
            </w:rPr>
          </w:pPr>
        </w:p>
        <w:p w14:paraId="328EB38C" w14:textId="77777777" w:rsidR="0030094E" w:rsidRPr="00FD5357" w:rsidRDefault="0030094E" w:rsidP="0030094E">
          <w:pPr>
            <w:pStyle w:val="Header"/>
            <w:rPr>
              <w:b/>
              <w:sz w:val="16"/>
              <w:szCs w:val="16"/>
            </w:rPr>
          </w:pPr>
        </w:p>
      </w:tc>
      <w:tc>
        <w:tcPr>
          <w:tcW w:w="4961" w:type="dxa"/>
        </w:tcPr>
        <w:p w14:paraId="278AD81B" w14:textId="099A804C" w:rsidR="0030094E" w:rsidRPr="0086358D" w:rsidRDefault="0030094E" w:rsidP="0030094E">
          <w:pPr>
            <w:pStyle w:val="Header"/>
            <w:ind w:left="770" w:right="716"/>
            <w:jc w:val="right"/>
            <w:rPr>
              <w:u w:val="single"/>
            </w:rPr>
          </w:pPr>
          <w:r w:rsidRPr="0086358D">
            <w:rPr>
              <w:bCs/>
              <w:sz w:val="20"/>
              <w:u w:val="single"/>
            </w:rPr>
            <w:t>Informal document</w:t>
          </w:r>
          <w:r w:rsidRPr="00FC6C10">
            <w:rPr>
              <w:sz w:val="20"/>
            </w:rPr>
            <w:t xml:space="preserve"> </w:t>
          </w:r>
          <w:fldSimple w:instr=" TITLE  \* MERGEFORMAT ">
            <w:r>
              <w:t>GRSP-73-</w:t>
            </w:r>
          </w:fldSimple>
          <w:r w:rsidR="009D5590">
            <w:t>56</w:t>
          </w:r>
        </w:p>
        <w:p w14:paraId="1491484C" w14:textId="77777777" w:rsidR="0030094E" w:rsidRPr="00985586" w:rsidRDefault="0030094E" w:rsidP="0030094E">
          <w:pPr>
            <w:pStyle w:val="Header"/>
            <w:ind w:left="742" w:right="716"/>
            <w:jc w:val="right"/>
            <w:rPr>
              <w:b/>
              <w:sz w:val="20"/>
              <w:lang w:eastAsia="ja-JP"/>
            </w:rPr>
          </w:pPr>
          <w:r w:rsidRPr="00985586">
            <w:rPr>
              <w:sz w:val="20"/>
            </w:rPr>
            <w:t>(</w:t>
          </w:r>
          <w:r>
            <w:rPr>
              <w:sz w:val="20"/>
            </w:rPr>
            <w:t>73</w:t>
          </w:r>
          <w:r w:rsidRPr="008D7BAC">
            <w:rPr>
              <w:sz w:val="20"/>
              <w:vertAlign w:val="superscript"/>
            </w:rPr>
            <w:t>rd</w:t>
          </w:r>
          <w:r>
            <w:rPr>
              <w:sz w:val="20"/>
            </w:rPr>
            <w:t xml:space="preserve"> </w:t>
          </w:r>
          <w:r w:rsidRPr="00985586">
            <w:rPr>
              <w:sz w:val="20"/>
            </w:rPr>
            <w:t>GRS</w:t>
          </w:r>
          <w:r>
            <w:rPr>
              <w:sz w:val="20"/>
            </w:rPr>
            <w:t>P</w:t>
          </w:r>
          <w:r w:rsidRPr="00985586">
            <w:rPr>
              <w:sz w:val="20"/>
            </w:rPr>
            <w:t xml:space="preserve">, </w:t>
          </w:r>
          <w:r w:rsidRPr="00985586">
            <w:rPr>
              <w:sz w:val="20"/>
              <w:lang w:eastAsia="ja-JP"/>
            </w:rPr>
            <w:t>1</w:t>
          </w:r>
          <w:r>
            <w:rPr>
              <w:sz w:val="20"/>
              <w:lang w:eastAsia="ja-JP"/>
            </w:rPr>
            <w:t>5</w:t>
          </w:r>
          <w:r w:rsidRPr="00985586">
            <w:rPr>
              <w:sz w:val="20"/>
              <w:lang w:eastAsia="ja-JP"/>
            </w:rPr>
            <w:t xml:space="preserve"> – 1</w:t>
          </w:r>
          <w:r>
            <w:rPr>
              <w:sz w:val="20"/>
              <w:lang w:eastAsia="ja-JP"/>
            </w:rPr>
            <w:t xml:space="preserve">9 May </w:t>
          </w:r>
          <w:r>
            <w:rPr>
              <w:sz w:val="20"/>
            </w:rPr>
            <w:t>2023</w:t>
          </w:r>
        </w:p>
        <w:p w14:paraId="248F3FD6" w14:textId="1624EAD0" w:rsidR="0030094E" w:rsidRPr="00E27568" w:rsidRDefault="0030094E" w:rsidP="0030094E">
          <w:pPr>
            <w:pStyle w:val="Header"/>
            <w:ind w:left="742" w:right="716"/>
            <w:jc w:val="right"/>
            <w:rPr>
              <w:sz w:val="20"/>
            </w:rPr>
          </w:pPr>
          <w:r w:rsidRPr="00985586">
            <w:rPr>
              <w:sz w:val="20"/>
            </w:rPr>
            <w:t xml:space="preserve">agenda item </w:t>
          </w:r>
          <w:r>
            <w:rPr>
              <w:sz w:val="20"/>
            </w:rPr>
            <w:t>6</w:t>
          </w:r>
          <w:r w:rsidRPr="00985586">
            <w:rPr>
              <w:sz w:val="20"/>
            </w:rPr>
            <w:t>)</w:t>
          </w:r>
        </w:p>
      </w:tc>
    </w:tr>
  </w:tbl>
  <w:p w14:paraId="4ECD0817" w14:textId="01D43C30" w:rsidR="0030094E" w:rsidRDefault="0030094E">
    <w:pPr>
      <w:pStyle w:val="Header"/>
    </w:pPr>
  </w:p>
  <w:p w14:paraId="4B910DAF" w14:textId="2F41B9F0" w:rsidR="0030094E" w:rsidRPr="0030094E" w:rsidRDefault="0030094E">
    <w:pPr>
      <w:pStyle w:val="Header"/>
      <w:rPr>
        <w:u w:val="single"/>
      </w:rPr>
    </w:pPr>
    <w:r>
      <w:rPr>
        <w:u w:val="single"/>
      </w:rPr>
      <w:t xml:space="preserve">                                                                                                                             </w:t>
    </w:r>
    <w:r w:rsidR="00DE1C7F">
      <w:rPr>
        <w:u w:val="single"/>
      </w:rPr>
      <w:t xml:space="preserve">                    </w:t>
    </w: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CBD2" w14:textId="77777777" w:rsidR="009D5590" w:rsidRDefault="009D5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085"/>
    <w:multiLevelType w:val="hybridMultilevel"/>
    <w:tmpl w:val="1C228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507751"/>
    <w:multiLevelType w:val="hybridMultilevel"/>
    <w:tmpl w:val="53045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55628C"/>
    <w:multiLevelType w:val="hybridMultilevel"/>
    <w:tmpl w:val="C1520F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213C44"/>
    <w:multiLevelType w:val="hybridMultilevel"/>
    <w:tmpl w:val="0A7A5868"/>
    <w:lvl w:ilvl="0" w:tplc="9936303E">
      <w:start w:val="1"/>
      <w:numFmt w:val="bullet"/>
      <w:lvlText w:val="-"/>
      <w:lvlJc w:val="left"/>
      <w:pPr>
        <w:ind w:left="720" w:hanging="360"/>
      </w:pPr>
      <w:rPr>
        <w:rFonts w:ascii="Times New Roman" w:eastAsiaTheme="minorHAnsi"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4F33E2"/>
    <w:multiLevelType w:val="hybridMultilevel"/>
    <w:tmpl w:val="A4BC688E"/>
    <w:lvl w:ilvl="0" w:tplc="0407000F">
      <w:start w:val="1"/>
      <w:numFmt w:val="decimal"/>
      <w:lvlText w:val="%1."/>
      <w:lvlJc w:val="left"/>
      <w:pPr>
        <w:ind w:left="720" w:hanging="360"/>
      </w:pPr>
      <w:rPr>
        <w:rFont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098375">
    <w:abstractNumId w:val="0"/>
  </w:num>
  <w:num w:numId="2" w16cid:durableId="786236537">
    <w:abstractNumId w:val="3"/>
  </w:num>
  <w:num w:numId="3" w16cid:durableId="665060013">
    <w:abstractNumId w:val="4"/>
  </w:num>
  <w:num w:numId="4" w16cid:durableId="1701516339">
    <w:abstractNumId w:val="2"/>
  </w:num>
  <w:num w:numId="5" w16cid:durableId="783571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4E"/>
    <w:rsid w:val="002D6A37"/>
    <w:rsid w:val="0030094E"/>
    <w:rsid w:val="0036420C"/>
    <w:rsid w:val="0042414B"/>
    <w:rsid w:val="004B3E3F"/>
    <w:rsid w:val="00586A9D"/>
    <w:rsid w:val="00681B48"/>
    <w:rsid w:val="00772990"/>
    <w:rsid w:val="00807B7B"/>
    <w:rsid w:val="008C733A"/>
    <w:rsid w:val="009D5590"/>
    <w:rsid w:val="00A60DD5"/>
    <w:rsid w:val="00AE3894"/>
    <w:rsid w:val="00B30A2E"/>
    <w:rsid w:val="00CD057F"/>
    <w:rsid w:val="00D16DE0"/>
    <w:rsid w:val="00DB7D7B"/>
    <w:rsid w:val="00DE1C7F"/>
    <w:rsid w:val="00DF7DDF"/>
    <w:rsid w:val="00E01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F495"/>
  <w15:chartTrackingRefBased/>
  <w15:docId w15:val="{51A72758-543B-4E02-B073-8923DE99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7F"/>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qFormat/>
    <w:rsid w:val="0030094E"/>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30094E"/>
  </w:style>
  <w:style w:type="paragraph" w:styleId="Footer">
    <w:name w:val="footer"/>
    <w:basedOn w:val="Normal"/>
    <w:link w:val="FooterChar"/>
    <w:uiPriority w:val="99"/>
    <w:unhideWhenUsed/>
    <w:rsid w:val="003009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94E"/>
  </w:style>
  <w:style w:type="paragraph" w:styleId="ListParagraph">
    <w:name w:val="List Paragraph"/>
    <w:basedOn w:val="Normal"/>
    <w:uiPriority w:val="34"/>
    <w:qFormat/>
    <w:rsid w:val="0042414B"/>
    <w:pPr>
      <w:ind w:left="720"/>
      <w:contextualSpacing/>
    </w:pPr>
  </w:style>
  <w:style w:type="character" w:customStyle="1" w:styleId="ui-provider">
    <w:name w:val="ui-provider"/>
    <w:basedOn w:val="DefaultParagraphFont"/>
    <w:rsid w:val="008C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ZF">
  <a:themeElements>
    <a:clrScheme name="ZF CD">
      <a:dk1>
        <a:srgbClr val="000000"/>
      </a:dk1>
      <a:lt1>
        <a:srgbClr val="FFFFFF"/>
      </a:lt1>
      <a:dk2>
        <a:srgbClr val="00ABE7"/>
      </a:dk2>
      <a:lt2>
        <a:srgbClr val="BFBFBF"/>
      </a:lt2>
      <a:accent1>
        <a:srgbClr val="7FD5F3"/>
      </a:accent1>
      <a:accent2>
        <a:srgbClr val="BFEAF9"/>
      </a:accent2>
      <a:accent3>
        <a:srgbClr val="1179BF"/>
      </a:accent3>
      <a:accent4>
        <a:srgbClr val="004D7A"/>
      </a:accent4>
      <a:accent5>
        <a:srgbClr val="7FA5BC"/>
      </a:accent5>
      <a:accent6>
        <a:srgbClr val="DD0C29"/>
      </a:accent6>
      <a:hlink>
        <a:srgbClr val="00ABE7"/>
      </a:hlink>
      <a:folHlink>
        <a:srgbClr val="1179BF"/>
      </a:folHlink>
    </a:clrScheme>
    <a:fontScheme name="© ZF Friedrichshafen AG">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FD5F3"/>
        </a:solidFill>
        <a:ln w="12700" cap="flat" cmpd="sng" algn="ctr">
          <a:noFill/>
          <a:prstDash val="solid"/>
        </a:ln>
        <a:effectLst/>
      </a:spPr>
      <a:bodyPr rot="0" spcFirstLastPara="0" vertOverflow="overflow" horzOverflow="overflow" vert="horz" wrap="square" lIns="90000" tIns="90000" rIns="90000" bIns="90000" numCol="1" spcCol="0" rtlCol="0" fromWordArt="0" anchor="ctr" anchorCtr="0" forceAA="0" compatLnSpc="1">
        <a:prstTxWarp prst="textNoShape">
          <a:avLst/>
        </a:prstTxWarp>
        <a:noAutofit/>
      </a:bodyPr>
      <a:lstStyle>
        <a:defPPr marL="0" marR="0" indent="0" algn="ctr" defTabSz="914400" eaLnBrk="1" fontAlgn="base" latinLnBrk="0" hangingPunct="1">
          <a:lnSpc>
            <a:spcPct val="100000"/>
          </a:lnSpc>
          <a:spcBef>
            <a:spcPts val="0"/>
          </a:spcBef>
          <a:spcAft>
            <a:spcPct val="0"/>
          </a:spcAft>
          <a:buClrTx/>
          <a:buSzTx/>
          <a:buFontTx/>
          <a:buNone/>
          <a:tabLst/>
          <a:defRPr kumimoji="0" sz="1200" b="0" i="0" u="none" strike="noStrike" kern="0" cap="none" spc="0" normalizeH="0" baseline="0" noProof="0" dirty="0" err="1" smtClean="0">
            <a:ln>
              <a:noFill/>
            </a:ln>
            <a:solidFill>
              <a:srgbClr val="000000"/>
            </a:solidFill>
            <a:effectLst/>
            <a:uLnTx/>
            <a:uFillTx/>
            <a:latin typeface="Tahoma"/>
            <a:ea typeface="+mn-ea"/>
            <a:cs typeface="Tahoma" pitchFamily="34" charset="0"/>
          </a:defRPr>
        </a:defPPr>
      </a:lstStyle>
    </a:spDef>
    <a:lnDef>
      <a:spPr>
        <a:noFill/>
        <a:ln w="28575" cap="rnd" cmpd="sng" algn="ctr">
          <a:solidFill>
            <a:srgbClr val="00ABE7"/>
          </a:solidFill>
          <a:prstDash val="sysDot"/>
          <a:round/>
        </a:ln>
        <a:effectLst/>
      </a:spPr>
      <a:bodyPr/>
      <a:lstStyle/>
    </a:lnDef>
    <a:txDef>
      <a:spPr>
        <a:noFill/>
      </a:spPr>
      <a:bodyPr wrap="square" lIns="0" tIns="0" rIns="0" bIns="0" rtlCol="0">
        <a:spAutoFit/>
      </a:bodyPr>
      <a:lstStyle>
        <a:defPPr marL="0" marR="0" indent="0" defTabSz="914400" eaLnBrk="1" fontAlgn="base" latinLnBrk="0" hangingPunct="1">
          <a:lnSpc>
            <a:spcPct val="100000"/>
          </a:lnSpc>
          <a:spcBef>
            <a:spcPts val="0"/>
          </a:spcBef>
          <a:spcAft>
            <a:spcPct val="0"/>
          </a:spcAft>
          <a:buClrTx/>
          <a:buSzTx/>
          <a:buFontTx/>
          <a:buNone/>
          <a:tabLst/>
          <a:defRPr kumimoji="0" sz="1200" b="0" i="0" u="none" strike="noStrike" kern="0" cap="none" spc="0" normalizeH="0" baseline="0" noProof="0" dirty="0" smtClean="0">
            <a:ln>
              <a:noFill/>
            </a:ln>
            <a:solidFill>
              <a:srgbClr val="000000"/>
            </a:solidFill>
            <a:effectLst/>
            <a:uLnTx/>
            <a:uFillTx/>
          </a:defRPr>
        </a:defPPr>
      </a:lstStyle>
    </a:txDef>
  </a:objectDefaults>
  <a:extraClrSchemeLst/>
  <a:custClrLst>
    <a:custClr name="ZF Cyan 100%">
      <a:srgbClr val="00ABE7"/>
    </a:custClr>
    <a:custClr name="ZF Cyan 50%">
      <a:srgbClr val="7FD5F3"/>
    </a:custClr>
    <a:custClr name="ZF Cyan 25%">
      <a:srgbClr val="BFEAF9"/>
    </a:custClr>
    <a:custClr>
      <a:srgbClr val="FFFFFF"/>
    </a:custClr>
    <a:custClr name="ZF Blue 100%">
      <a:srgbClr val="1179BF"/>
    </a:custClr>
    <a:custClr name="ZF Blue 50%">
      <a:srgbClr val="81BCDF"/>
    </a:custClr>
    <a:custClr>
      <a:srgbClr val="FFFFFF"/>
    </a:custClr>
    <a:custClr name="Middle Blue 100%">
      <a:srgbClr val="004D7A"/>
    </a:custClr>
    <a:custClr name="Middle Blue 50%">
      <a:srgbClr val="7FA5BC"/>
    </a:custClr>
    <a:custClr>
      <a:srgbClr val="FFFFFF"/>
    </a:custClr>
    <a:custClr name="Black 100%">
      <a:srgbClr val="000000"/>
    </a:custClr>
    <a:custClr name="Black 50%">
      <a:srgbClr val="7F7F7F"/>
    </a:custClr>
    <a:custClr name="Black 25%">
      <a:srgbClr val="BFBFBF"/>
    </a:custClr>
    <a:custClr>
      <a:srgbClr val="FFFFFF"/>
    </a:custClr>
    <a:custClr name="1. Step color gradient">
      <a:srgbClr val="1179BF"/>
    </a:custClr>
    <a:custClr name="2. Step color gradient">
      <a:srgbClr val="004D7A"/>
    </a:custClr>
    <a:custClr name="3. Step color gradient">
      <a:srgbClr val="001024"/>
    </a:custClr>
    <a:custClr>
      <a:srgbClr val="FFFFFF"/>
    </a:custClr>
    <a:custClr name="ZF Red - Only highlight color">
      <a:srgbClr val="DD0C29"/>
    </a:custClr>
  </a:custClrLst>
  <a:extLst>
    <a:ext uri="{05A4C25C-085E-4340-85A3-A5531E510DB2}">
      <thm15:themeFamily xmlns:thm15="http://schemas.microsoft.com/office/thememl/2012/main" name="ZF" id="{D9DB4961-03D2-4AB0-A5F8-B5056FD3896F}" vid="{CBC2B03A-44DE-495B-B9A3-848BC87019E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1619</Characters>
  <Application>Microsoft Office Word</Application>
  <DocSecurity>4</DocSecurity>
  <Lines>26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Herpich Thomas ALD RDSV</dc:creator>
  <cp:keywords/>
  <dc:description/>
  <cp:lastModifiedBy>E/ECE/324/Rev.2/Add.109/Rev.7</cp:lastModifiedBy>
  <cp:revision>2</cp:revision>
  <dcterms:created xsi:type="dcterms:W3CDTF">2023-05-16T16:03:00Z</dcterms:created>
  <dcterms:modified xsi:type="dcterms:W3CDTF">2023-05-16T16:03:00Z</dcterms:modified>
</cp:coreProperties>
</file>