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75A1" w14:textId="67BAAA2D" w:rsidR="00D14683" w:rsidRDefault="00C667A8" w:rsidP="00C750B3">
      <w:pPr>
        <w:pStyle w:val="HChG"/>
        <w:jc w:val="both"/>
      </w:pPr>
      <w:r>
        <w:tab/>
      </w:r>
      <w:r>
        <w:tab/>
      </w:r>
      <w:r w:rsidR="006149AC" w:rsidRPr="00FA214E">
        <w:t xml:space="preserve">Proposal for the Supplement </w:t>
      </w:r>
      <w:r w:rsidR="00352D26" w:rsidRPr="00352D26">
        <w:rPr>
          <w:rFonts w:hint="eastAsia"/>
          <w:color w:val="FF0000"/>
          <w:lang w:eastAsia="ja-JP"/>
        </w:rPr>
        <w:t>4</w:t>
      </w:r>
      <w:r w:rsidR="006149AC" w:rsidRPr="00352D26">
        <w:rPr>
          <w:strike/>
          <w:color w:val="FF0000"/>
        </w:rPr>
        <w:t>3</w:t>
      </w:r>
      <w:r w:rsidR="006149AC" w:rsidRPr="00FA214E">
        <w:t xml:space="preserve"> to the </w:t>
      </w:r>
      <w:r w:rsidR="006149AC">
        <w:t>O</w:t>
      </w:r>
      <w:r w:rsidR="006149AC" w:rsidRPr="00FA214E">
        <w:t xml:space="preserve">riginal </w:t>
      </w:r>
      <w:r w:rsidR="006149AC">
        <w:t>V</w:t>
      </w:r>
      <w:r w:rsidR="006149AC" w:rsidRPr="00FA214E">
        <w:t>ersion of UN Regulation No. 153 (Fuel system integrity and electric power train safety at rear-end collision)</w:t>
      </w:r>
    </w:p>
    <w:p w14:paraId="76E5546A" w14:textId="77777777" w:rsidR="002F4232" w:rsidRPr="004D3A1C" w:rsidRDefault="002F4232" w:rsidP="002F4232">
      <w:pPr>
        <w:pStyle w:val="H1G"/>
        <w:ind w:firstLine="0"/>
      </w:pPr>
      <w:r>
        <w:t xml:space="preserve">Submitted by </w:t>
      </w:r>
      <w:r w:rsidRPr="00C94EE1">
        <w:t xml:space="preserve">the expert from </w:t>
      </w:r>
      <w:r>
        <w:t>OICA</w:t>
      </w:r>
    </w:p>
    <w:p w14:paraId="56E46630" w14:textId="1DBC82C5" w:rsidR="002F4232" w:rsidRDefault="002F4232" w:rsidP="002F4232">
      <w:pPr>
        <w:pStyle w:val="SingleTxtG"/>
        <w:ind w:firstLine="567"/>
        <w:rPr>
          <w:szCs w:val="23"/>
        </w:rPr>
      </w:pPr>
      <w:r w:rsidRPr="00703E5A">
        <w:rPr>
          <w:szCs w:val="23"/>
        </w:rPr>
        <w:t xml:space="preserve">The text reproduced below was prepared by the expert from the International Organization of Motor Vehicle Manufacturers (OICA). </w:t>
      </w:r>
      <w:r>
        <w:rPr>
          <w:szCs w:val="23"/>
        </w:rPr>
        <w:t xml:space="preserve">It replaces </w:t>
      </w:r>
      <w:bookmarkStart w:id="0" w:name="_Hlk130465049"/>
      <w:r w:rsidRPr="00703E5A">
        <w:rPr>
          <w:szCs w:val="23"/>
        </w:rPr>
        <w:t>ECE/TRANS/WP.29/GRSP/2023/</w:t>
      </w:r>
      <w:bookmarkEnd w:id="0"/>
      <w:r w:rsidR="006149AC">
        <w:rPr>
          <w:szCs w:val="23"/>
        </w:rPr>
        <w:t>21</w:t>
      </w:r>
      <w:r>
        <w:rPr>
          <w:szCs w:val="23"/>
        </w:rPr>
        <w:t xml:space="preserve"> to resolve editorial issues. </w:t>
      </w:r>
      <w:r w:rsidRPr="00703E5A">
        <w:rPr>
          <w:szCs w:val="23"/>
        </w:rPr>
        <w:t>The proposal aims to introduce requirements for the post-crash safety of hydrogen-fuelled vehicles based on the Amendment 1 to UN GTR No. 13 (Hydrogen and Fuel Cells Vehicles).</w:t>
      </w:r>
      <w:r>
        <w:rPr>
          <w:szCs w:val="23"/>
        </w:rPr>
        <w:t xml:space="preserve"> </w:t>
      </w:r>
      <w:r w:rsidRPr="00703E5A">
        <w:rPr>
          <w:szCs w:val="23"/>
        </w:rPr>
        <w:t>The modifications to the current text of the UN Regulation are marked in bold for new characters</w:t>
      </w:r>
      <w:r>
        <w:rPr>
          <w:szCs w:val="23"/>
        </w:rPr>
        <w:t xml:space="preserve"> and the modifications from </w:t>
      </w:r>
      <w:r w:rsidRPr="00703E5A">
        <w:rPr>
          <w:szCs w:val="23"/>
        </w:rPr>
        <w:t>ECE/TRANS/WP.29/GRSP/2023/</w:t>
      </w:r>
      <w:r w:rsidR="006149AC">
        <w:rPr>
          <w:szCs w:val="23"/>
        </w:rPr>
        <w:t>21</w:t>
      </w:r>
      <w:r>
        <w:rPr>
          <w:szCs w:val="23"/>
        </w:rPr>
        <w:t xml:space="preserve"> are given in red fonts.</w:t>
      </w:r>
    </w:p>
    <w:p w14:paraId="2D4D445F" w14:textId="77777777" w:rsidR="001A63A2" w:rsidRPr="002F4232" w:rsidRDefault="001A63A2" w:rsidP="00D14683">
      <w:pPr>
        <w:pStyle w:val="SingleTxtG"/>
        <w:ind w:firstLine="567"/>
      </w:pPr>
    </w:p>
    <w:p w14:paraId="44FB99B8" w14:textId="77777777" w:rsidR="006149AC" w:rsidRPr="00FA214E" w:rsidRDefault="006149AC" w:rsidP="006149AC">
      <w:pPr>
        <w:pStyle w:val="HChG"/>
        <w:numPr>
          <w:ilvl w:val="0"/>
          <w:numId w:val="23"/>
        </w:numPr>
      </w:pPr>
      <w:r w:rsidRPr="00FA214E">
        <w:t>Proposal</w:t>
      </w:r>
    </w:p>
    <w:p w14:paraId="54C1BF09" w14:textId="1DFDA9E2" w:rsidR="008E3C50" w:rsidRDefault="008E3C50" w:rsidP="008E3C50">
      <w:pPr>
        <w:spacing w:after="120"/>
        <w:ind w:left="2268" w:right="1134" w:hanging="1134"/>
        <w:jc w:val="both"/>
        <w:rPr>
          <w:i/>
          <w:color w:val="FF0000"/>
          <w:lang w:eastAsia="ja-JP"/>
        </w:rPr>
      </w:pPr>
      <w:r>
        <w:rPr>
          <w:rFonts w:hint="eastAsia"/>
          <w:i/>
          <w:color w:val="FF0000"/>
          <w:lang w:eastAsia="ja-JP"/>
        </w:rPr>
        <w:t>P</w:t>
      </w:r>
      <w:r>
        <w:rPr>
          <w:i/>
          <w:color w:val="FF0000"/>
          <w:lang w:eastAsia="ja-JP"/>
        </w:rPr>
        <w:t>aragraphs 2.</w:t>
      </w:r>
      <w:r w:rsidR="00755916">
        <w:rPr>
          <w:i/>
          <w:color w:val="FF0000"/>
          <w:lang w:eastAsia="ja-JP"/>
        </w:rPr>
        <w:t>1</w:t>
      </w:r>
      <w:r>
        <w:rPr>
          <w:i/>
          <w:color w:val="FF0000"/>
          <w:lang w:eastAsia="ja-JP"/>
        </w:rPr>
        <w:t>. to 2.</w:t>
      </w:r>
      <w:r w:rsidR="00092985">
        <w:rPr>
          <w:i/>
          <w:color w:val="FF0000"/>
          <w:lang w:eastAsia="ja-JP"/>
        </w:rPr>
        <w:t>1</w:t>
      </w:r>
      <w:r>
        <w:rPr>
          <w:i/>
          <w:color w:val="FF0000"/>
          <w:lang w:eastAsia="ja-JP"/>
        </w:rPr>
        <w:t>.</w:t>
      </w:r>
      <w:r w:rsidR="00092985">
        <w:rPr>
          <w:i/>
          <w:color w:val="FF0000"/>
          <w:lang w:eastAsia="ja-JP"/>
        </w:rPr>
        <w:t>9</w:t>
      </w:r>
      <w:r>
        <w:rPr>
          <w:i/>
          <w:color w:val="FF0000"/>
          <w:lang w:eastAsia="ja-JP"/>
        </w:rPr>
        <w:t xml:space="preserve">., </w:t>
      </w:r>
      <w:r w:rsidRPr="00D44718">
        <w:rPr>
          <w:iCs/>
          <w:color w:val="FF0000"/>
          <w:lang w:eastAsia="ja-JP"/>
        </w:rPr>
        <w:t>amend to read:</w:t>
      </w:r>
    </w:p>
    <w:p w14:paraId="27CA8F4B" w14:textId="536EF000" w:rsidR="008E3C50" w:rsidRPr="005E00E9" w:rsidRDefault="008E3C50" w:rsidP="008E3C50">
      <w:pPr>
        <w:widowControl w:val="0"/>
        <w:tabs>
          <w:tab w:val="left" w:pos="2268"/>
        </w:tabs>
        <w:suppressAutoHyphens w:val="0"/>
        <w:spacing w:after="120"/>
        <w:ind w:left="2268" w:right="1133" w:hanging="1134"/>
        <w:jc w:val="both"/>
      </w:pPr>
      <w:r w:rsidRPr="00EC13A0">
        <w:rPr>
          <w:iCs/>
          <w:color w:val="FF0000"/>
          <w:lang w:eastAsia="ja-JP"/>
        </w:rPr>
        <w:t>"</w:t>
      </w:r>
      <w:r w:rsidRPr="005E00E9">
        <w:t>2.</w:t>
      </w:r>
      <w:r>
        <w:t>1</w:t>
      </w:r>
      <w:r w:rsidRPr="005E00E9">
        <w:t>.</w:t>
      </w:r>
      <w:r w:rsidRPr="005E00E9">
        <w:tab/>
        <w:t>"</w:t>
      </w:r>
      <w:r w:rsidRPr="005E00E9">
        <w:rPr>
          <w:i/>
        </w:rPr>
        <w:t>Vehicle type</w:t>
      </w:r>
      <w:r w:rsidRPr="005E00E9">
        <w:t>" means a category of power-driven vehicles which do not differ</w:t>
      </w:r>
      <w:r w:rsidR="003E55A9">
        <w:t xml:space="preserve"> </w:t>
      </w:r>
      <w:r w:rsidR="003E55A9" w:rsidRPr="005E00E9">
        <w:t>in such essential respects</w:t>
      </w:r>
      <w:r w:rsidR="00481754" w:rsidRPr="009073C6">
        <w:rPr>
          <w:b/>
          <w:bCs/>
          <w:color w:val="FF0000"/>
        </w:rPr>
        <w:t>,</w:t>
      </w:r>
      <w:r w:rsidR="00481754">
        <w:t xml:space="preserve"> </w:t>
      </w:r>
      <w:r w:rsidR="00481754" w:rsidRPr="0028672E">
        <w:rPr>
          <w:b/>
          <w:bCs/>
          <w:color w:val="FF0000"/>
        </w:rPr>
        <w:t>in so far as they have an adverse effect on the result of the impact test prescribed in this Regulation</w:t>
      </w:r>
      <w:r w:rsidR="00481754">
        <w:rPr>
          <w:b/>
          <w:bCs/>
          <w:color w:val="FF0000"/>
        </w:rPr>
        <w:t>,</w:t>
      </w:r>
      <w:r w:rsidR="00481754" w:rsidRPr="005E00E9">
        <w:t xml:space="preserve"> </w:t>
      </w:r>
      <w:r w:rsidRPr="005E00E9">
        <w:t>as:</w:t>
      </w:r>
    </w:p>
    <w:p w14:paraId="20E7ED9D" w14:textId="20BD4955" w:rsidR="008E3C50" w:rsidRPr="005E00E9" w:rsidRDefault="008E3C50" w:rsidP="008E3C50">
      <w:pPr>
        <w:widowControl w:val="0"/>
        <w:tabs>
          <w:tab w:val="left" w:pos="2268"/>
        </w:tabs>
        <w:suppressAutoHyphens w:val="0"/>
        <w:spacing w:after="120"/>
        <w:ind w:left="2268" w:right="1133" w:hanging="1134"/>
        <w:jc w:val="both"/>
      </w:pPr>
      <w:r w:rsidRPr="00D44718">
        <w:rPr>
          <w:strike/>
          <w:color w:val="FF0000"/>
        </w:rPr>
        <w:t>2.</w:t>
      </w:r>
      <w:r>
        <w:rPr>
          <w:strike/>
          <w:color w:val="FF0000"/>
        </w:rPr>
        <w:t>1</w:t>
      </w:r>
      <w:r w:rsidRPr="00D44718">
        <w:rPr>
          <w:strike/>
          <w:color w:val="FF0000"/>
        </w:rPr>
        <w:t>.1.</w:t>
      </w:r>
      <w:r w:rsidRPr="005E00E9">
        <w:tab/>
      </w:r>
      <w:r w:rsidRPr="00D44718">
        <w:rPr>
          <w:b/>
          <w:bCs/>
          <w:color w:val="FF0000"/>
        </w:rPr>
        <w:t>(a)</w:t>
      </w:r>
      <w:r w:rsidRPr="00D44718">
        <w:rPr>
          <w:b/>
          <w:bCs/>
          <w:color w:val="FF0000"/>
        </w:rPr>
        <w:tab/>
      </w:r>
      <w:r w:rsidRPr="005E00E9">
        <w:t>The length and width of the vehicle</w:t>
      </w:r>
      <w:r w:rsidRPr="00D44718">
        <w:rPr>
          <w:strike/>
          <w:color w:val="FF0000"/>
        </w:rPr>
        <w:t xml:space="preserve">, in so far as they have </w:t>
      </w:r>
      <w:r w:rsidR="00ED1B52">
        <w:rPr>
          <w:strike/>
          <w:color w:val="FF0000"/>
        </w:rPr>
        <w:t>an</w:t>
      </w:r>
      <w:r w:rsidRPr="00D44718">
        <w:rPr>
          <w:strike/>
          <w:color w:val="FF0000"/>
        </w:rPr>
        <w:t xml:space="preserve"> effect on the results of the impact test prescribed in this </w:t>
      </w:r>
      <w:proofErr w:type="gramStart"/>
      <w:r w:rsidRPr="00D44718">
        <w:rPr>
          <w:strike/>
          <w:color w:val="FF0000"/>
        </w:rPr>
        <w:t>Regulation</w:t>
      </w:r>
      <w:r w:rsidRPr="005E00E9">
        <w:t>;</w:t>
      </w:r>
      <w:proofErr w:type="gramEnd"/>
    </w:p>
    <w:p w14:paraId="7C9370CE" w14:textId="227176C6" w:rsidR="008E3C50" w:rsidRPr="005E00E9" w:rsidRDefault="008E3C50" w:rsidP="008E3C50">
      <w:pPr>
        <w:keepNext/>
        <w:keepLines/>
        <w:widowControl w:val="0"/>
        <w:tabs>
          <w:tab w:val="left" w:pos="2268"/>
        </w:tabs>
        <w:suppressAutoHyphens w:val="0"/>
        <w:spacing w:after="120"/>
        <w:ind w:left="2268" w:right="1133" w:hanging="1134"/>
        <w:jc w:val="both"/>
      </w:pPr>
      <w:r w:rsidRPr="00D44718">
        <w:rPr>
          <w:strike/>
          <w:color w:val="FF0000"/>
        </w:rPr>
        <w:t>2.</w:t>
      </w:r>
      <w:r>
        <w:rPr>
          <w:strike/>
          <w:color w:val="FF0000"/>
        </w:rPr>
        <w:t>1</w:t>
      </w:r>
      <w:r w:rsidRPr="00D44718">
        <w:rPr>
          <w:strike/>
          <w:color w:val="FF0000"/>
        </w:rPr>
        <w:t>.2.</w:t>
      </w:r>
      <w:r w:rsidRPr="005E00E9">
        <w:tab/>
      </w:r>
      <w:r w:rsidRPr="00D44718">
        <w:rPr>
          <w:b/>
          <w:bCs/>
          <w:color w:val="FF0000"/>
        </w:rPr>
        <w:t>(b)</w:t>
      </w:r>
      <w:r>
        <w:tab/>
      </w:r>
      <w:r w:rsidRPr="005E00E9">
        <w:t xml:space="preserve">The structure, dimensions, lines and materials of the part of the vehicle </w:t>
      </w:r>
      <w:r w:rsidR="00FC6286">
        <w:t>rear</w:t>
      </w:r>
      <w:r w:rsidRPr="005E00E9">
        <w:t xml:space="preserve">ward of the transverse plane through the "R" point of the </w:t>
      </w:r>
      <w:r w:rsidR="00FC6286">
        <w:t>rearmost se</w:t>
      </w:r>
      <w:r w:rsidR="00FC6286" w:rsidRPr="00A275FA">
        <w:t>at</w:t>
      </w:r>
      <w:r w:rsidR="00264550" w:rsidRPr="00A275FA">
        <w:t>.</w:t>
      </w:r>
    </w:p>
    <w:p w14:paraId="3F5B87B2" w14:textId="7F9E9023" w:rsidR="008E3C50" w:rsidRPr="005E00E9" w:rsidRDefault="008E3C50" w:rsidP="008E3C50">
      <w:pPr>
        <w:widowControl w:val="0"/>
        <w:tabs>
          <w:tab w:val="left" w:pos="2268"/>
        </w:tabs>
        <w:suppressAutoHyphens w:val="0"/>
        <w:spacing w:after="120"/>
        <w:ind w:left="2268" w:right="1133" w:hanging="1134"/>
        <w:jc w:val="both"/>
      </w:pPr>
      <w:r w:rsidRPr="00D44718">
        <w:rPr>
          <w:strike/>
          <w:color w:val="FF0000"/>
        </w:rPr>
        <w:t>2.</w:t>
      </w:r>
      <w:r>
        <w:rPr>
          <w:strike/>
          <w:color w:val="FF0000"/>
        </w:rPr>
        <w:t>1</w:t>
      </w:r>
      <w:r w:rsidRPr="00D44718">
        <w:rPr>
          <w:strike/>
          <w:color w:val="FF0000"/>
        </w:rPr>
        <w:t>.3.</w:t>
      </w:r>
      <w:r w:rsidRPr="005E00E9">
        <w:tab/>
      </w:r>
      <w:r w:rsidRPr="00D44718">
        <w:rPr>
          <w:b/>
          <w:bCs/>
          <w:color w:val="FF0000"/>
        </w:rPr>
        <w:t>(c)</w:t>
      </w:r>
      <w:r>
        <w:tab/>
      </w:r>
      <w:r w:rsidRPr="005E00E9">
        <w:t>The lines and inside dimensions of the passenger compartment</w:t>
      </w:r>
      <w:r w:rsidRPr="00D44718">
        <w:rPr>
          <w:strike/>
          <w:color w:val="FF0000"/>
        </w:rPr>
        <w:t>, in so far as they have a</w:t>
      </w:r>
      <w:r w:rsidR="00A275FA">
        <w:rPr>
          <w:strike/>
          <w:color w:val="FF0000"/>
        </w:rPr>
        <w:t xml:space="preserve">n </w:t>
      </w:r>
      <w:r w:rsidRPr="00D44718">
        <w:rPr>
          <w:strike/>
          <w:color w:val="FF0000"/>
        </w:rPr>
        <w:t xml:space="preserve">effect on the results of the impact test prescribed in this </w:t>
      </w:r>
      <w:proofErr w:type="gramStart"/>
      <w:r w:rsidRPr="00D44718">
        <w:rPr>
          <w:strike/>
          <w:color w:val="FF0000"/>
        </w:rPr>
        <w:t>Regulation</w:t>
      </w:r>
      <w:r w:rsidRPr="005E00E9">
        <w:t>;</w:t>
      </w:r>
      <w:proofErr w:type="gramEnd"/>
    </w:p>
    <w:p w14:paraId="3571910E" w14:textId="1B8A06B9" w:rsidR="008E3C50" w:rsidRPr="005E00E9" w:rsidRDefault="008E3C50" w:rsidP="008E3C50">
      <w:pPr>
        <w:keepNext/>
        <w:keepLines/>
        <w:widowControl w:val="0"/>
        <w:tabs>
          <w:tab w:val="left" w:pos="2268"/>
        </w:tabs>
        <w:suppressAutoHyphens w:val="0"/>
        <w:spacing w:after="120"/>
        <w:ind w:left="2268" w:right="1134" w:hanging="1134"/>
        <w:jc w:val="both"/>
      </w:pPr>
      <w:r w:rsidRPr="00D44718">
        <w:rPr>
          <w:strike/>
          <w:color w:val="FF0000"/>
        </w:rPr>
        <w:t>2.</w:t>
      </w:r>
      <w:r>
        <w:rPr>
          <w:strike/>
          <w:color w:val="FF0000"/>
        </w:rPr>
        <w:t>1</w:t>
      </w:r>
      <w:r w:rsidRPr="00D44718">
        <w:rPr>
          <w:strike/>
          <w:color w:val="FF0000"/>
        </w:rPr>
        <w:t>.4.</w:t>
      </w:r>
      <w:r w:rsidRPr="005E00E9">
        <w:tab/>
      </w:r>
      <w:r w:rsidRPr="00D44718">
        <w:rPr>
          <w:b/>
          <w:bCs/>
          <w:color w:val="FF0000"/>
        </w:rPr>
        <w:t>(d)</w:t>
      </w:r>
      <w:r>
        <w:tab/>
      </w:r>
      <w:r w:rsidRPr="005E00E9">
        <w:t>The siting (front, rear or centre) and the orientation (transversal or longitudinal) of the engine</w:t>
      </w:r>
      <w:r w:rsidRPr="00D44718">
        <w:rPr>
          <w:strike/>
          <w:color w:val="FF0000"/>
        </w:rPr>
        <w:t xml:space="preserve">, in so far as they have a negative effect on the result of the impact test procedure as prescribed in this </w:t>
      </w:r>
      <w:proofErr w:type="gramStart"/>
      <w:r w:rsidRPr="00D44718">
        <w:rPr>
          <w:strike/>
          <w:color w:val="FF0000"/>
        </w:rPr>
        <w:t>Regulation</w:t>
      </w:r>
      <w:r w:rsidRPr="005E00E9">
        <w:t>;</w:t>
      </w:r>
      <w:proofErr w:type="gramEnd"/>
    </w:p>
    <w:p w14:paraId="60D6944F" w14:textId="7932172A" w:rsidR="008E3C50" w:rsidRPr="005E00E9" w:rsidRDefault="008E3C50" w:rsidP="008E3C50">
      <w:pPr>
        <w:widowControl w:val="0"/>
        <w:tabs>
          <w:tab w:val="left" w:pos="2268"/>
        </w:tabs>
        <w:suppressAutoHyphens w:val="0"/>
        <w:spacing w:after="120"/>
        <w:ind w:left="2268" w:right="1133" w:hanging="1134"/>
        <w:jc w:val="both"/>
      </w:pPr>
      <w:r w:rsidRPr="00D44718">
        <w:rPr>
          <w:strike/>
          <w:color w:val="FF0000"/>
        </w:rPr>
        <w:t>2.</w:t>
      </w:r>
      <w:r>
        <w:rPr>
          <w:strike/>
          <w:color w:val="FF0000"/>
        </w:rPr>
        <w:t>1</w:t>
      </w:r>
      <w:r w:rsidRPr="00D44718">
        <w:rPr>
          <w:strike/>
          <w:color w:val="FF0000"/>
        </w:rPr>
        <w:t>.5.</w:t>
      </w:r>
      <w:r w:rsidRPr="005E00E9">
        <w:tab/>
      </w:r>
      <w:r w:rsidRPr="00D44718">
        <w:rPr>
          <w:b/>
          <w:bCs/>
          <w:color w:val="FF0000"/>
        </w:rPr>
        <w:t>(e)</w:t>
      </w:r>
      <w:r>
        <w:tab/>
      </w:r>
      <w:r w:rsidRPr="005E00E9">
        <w:t>The unladen mass</w:t>
      </w:r>
      <w:r w:rsidRPr="00D44718">
        <w:rPr>
          <w:strike/>
          <w:color w:val="FF0000"/>
        </w:rPr>
        <w:t xml:space="preserve">, in so far as there is a negative effect on the result of the impact test prescribed in this </w:t>
      </w:r>
      <w:proofErr w:type="gramStart"/>
      <w:r w:rsidRPr="00D44718">
        <w:rPr>
          <w:strike/>
          <w:color w:val="FF0000"/>
        </w:rPr>
        <w:t>Regulation</w:t>
      </w:r>
      <w:r w:rsidRPr="005E00E9">
        <w:rPr>
          <w:lang w:val="en-US"/>
        </w:rPr>
        <w:t>;</w:t>
      </w:r>
      <w:proofErr w:type="gramEnd"/>
    </w:p>
    <w:p w14:paraId="23048CD1" w14:textId="49ECBF39" w:rsidR="008E3C50" w:rsidRPr="005E00E9" w:rsidRDefault="008E3C50" w:rsidP="008E3C50">
      <w:pPr>
        <w:widowControl w:val="0"/>
        <w:tabs>
          <w:tab w:val="left" w:pos="2268"/>
        </w:tabs>
        <w:suppressAutoHyphens w:val="0"/>
        <w:spacing w:after="120"/>
        <w:ind w:left="2268" w:right="1133" w:hanging="1134"/>
        <w:jc w:val="both"/>
      </w:pPr>
      <w:r w:rsidRPr="0028672E">
        <w:rPr>
          <w:strike/>
          <w:color w:val="FF0000"/>
        </w:rPr>
        <w:t>2.</w:t>
      </w:r>
      <w:r>
        <w:rPr>
          <w:strike/>
          <w:color w:val="FF0000"/>
        </w:rPr>
        <w:t>1</w:t>
      </w:r>
      <w:r w:rsidRPr="0028672E">
        <w:rPr>
          <w:strike/>
          <w:color w:val="FF0000"/>
        </w:rPr>
        <w:t>.6.</w:t>
      </w:r>
      <w:r w:rsidRPr="005E00E9">
        <w:tab/>
      </w:r>
      <w:r w:rsidRPr="0028672E">
        <w:rPr>
          <w:b/>
          <w:bCs/>
          <w:color w:val="FF0000"/>
        </w:rPr>
        <w:t>(f)</w:t>
      </w:r>
      <w:r>
        <w:tab/>
      </w:r>
      <w:r w:rsidR="00474D4F" w:rsidRPr="005E00E9">
        <w:rPr>
          <w:lang w:val="en-US"/>
        </w:rPr>
        <w:t>The locations of the REESS</w:t>
      </w:r>
      <w:r w:rsidR="00474D4F" w:rsidRPr="0028672E">
        <w:rPr>
          <w:strike/>
          <w:color w:val="FF0000"/>
          <w:lang w:val="en-US"/>
        </w:rPr>
        <w:t>, in so far as they have a negative effect on the result of the impact test prescribed in this Regulation</w:t>
      </w:r>
      <w:proofErr w:type="gramStart"/>
      <w:r w:rsidR="00474D4F" w:rsidRPr="0028672E">
        <w:rPr>
          <w:strike/>
          <w:color w:val="FF0000"/>
          <w:lang w:val="en-US"/>
        </w:rPr>
        <w:t>.</w:t>
      </w:r>
      <w:r w:rsidR="00474D4F" w:rsidRPr="0028672E">
        <w:rPr>
          <w:b/>
          <w:bCs/>
          <w:color w:val="FF0000"/>
          <w:lang w:val="en-US"/>
        </w:rPr>
        <w:t>;</w:t>
      </w:r>
      <w:proofErr w:type="gramEnd"/>
    </w:p>
    <w:p w14:paraId="009AF9E8" w14:textId="62292F70" w:rsidR="008E3C50" w:rsidRDefault="008E3C50" w:rsidP="008E3C50">
      <w:pPr>
        <w:widowControl w:val="0"/>
        <w:tabs>
          <w:tab w:val="left" w:pos="2268"/>
        </w:tabs>
        <w:suppressAutoHyphens w:val="0"/>
        <w:spacing w:after="120"/>
        <w:ind w:left="2268" w:right="1133" w:hanging="1134"/>
        <w:jc w:val="both"/>
        <w:rPr>
          <w:b/>
          <w:bCs/>
          <w:color w:val="FF0000"/>
          <w:lang w:val="en-US"/>
        </w:rPr>
      </w:pPr>
      <w:r w:rsidRPr="0028672E">
        <w:rPr>
          <w:strike/>
          <w:color w:val="FF0000"/>
          <w:lang w:val="en-US"/>
        </w:rPr>
        <w:t>2.</w:t>
      </w:r>
      <w:r>
        <w:rPr>
          <w:strike/>
          <w:color w:val="FF0000"/>
          <w:lang w:val="en-US"/>
        </w:rPr>
        <w:t>1</w:t>
      </w:r>
      <w:r w:rsidRPr="0028672E">
        <w:rPr>
          <w:strike/>
          <w:color w:val="FF0000"/>
          <w:lang w:val="en-US"/>
        </w:rPr>
        <w:t>.7.</w:t>
      </w:r>
      <w:r w:rsidRPr="005E00E9">
        <w:rPr>
          <w:lang w:val="en-US"/>
        </w:rPr>
        <w:tab/>
      </w:r>
      <w:r w:rsidRPr="0028672E">
        <w:rPr>
          <w:b/>
          <w:bCs/>
          <w:color w:val="FF0000"/>
          <w:lang w:val="en-US"/>
        </w:rPr>
        <w:t>(g)</w:t>
      </w:r>
      <w:r>
        <w:rPr>
          <w:lang w:val="en-US"/>
        </w:rPr>
        <w:tab/>
      </w:r>
      <w:r w:rsidRPr="005E00E9">
        <w:rPr>
          <w:lang w:val="en-US"/>
        </w:rPr>
        <w:t xml:space="preserve">The </w:t>
      </w:r>
      <w:r w:rsidR="00AE4DCD">
        <w:rPr>
          <w:lang w:val="en-US"/>
        </w:rPr>
        <w:t>structure, shape, dimensions and materials (metal/plastic</w:t>
      </w:r>
      <w:r w:rsidR="00790AEE">
        <w:rPr>
          <w:lang w:val="en-US"/>
        </w:rPr>
        <w:t>) of the tank(s)</w:t>
      </w:r>
      <w:r w:rsidRPr="0028672E">
        <w:rPr>
          <w:strike/>
          <w:color w:val="FF0000"/>
          <w:lang w:val="en-US"/>
        </w:rPr>
        <w:t>, in so far as they have a negative effect on the result of the impact test prescribed in this Regulation</w:t>
      </w:r>
      <w:proofErr w:type="gramStart"/>
      <w:r w:rsidRPr="0028672E">
        <w:rPr>
          <w:strike/>
          <w:color w:val="FF0000"/>
          <w:lang w:val="en-US"/>
        </w:rPr>
        <w:t>.</w:t>
      </w:r>
      <w:r w:rsidRPr="0028672E">
        <w:rPr>
          <w:b/>
          <w:bCs/>
          <w:color w:val="FF0000"/>
          <w:lang w:val="en-US"/>
        </w:rPr>
        <w:t>;</w:t>
      </w:r>
      <w:proofErr w:type="gramEnd"/>
    </w:p>
    <w:p w14:paraId="7FC269D1" w14:textId="64E20F3C" w:rsidR="00466D69" w:rsidRDefault="00466D69" w:rsidP="00DE24AD">
      <w:pPr>
        <w:pStyle w:val="SingleTxtG"/>
        <w:ind w:leftChars="567" w:left="2268" w:hangingChars="567" w:hanging="1134"/>
        <w:rPr>
          <w:iCs/>
        </w:rPr>
      </w:pPr>
      <w:r w:rsidRPr="00DE24AD">
        <w:rPr>
          <w:iCs/>
          <w:strike/>
          <w:color w:val="FF0000"/>
        </w:rPr>
        <w:t>2.1.8.</w:t>
      </w:r>
      <w:r w:rsidRPr="00466D69">
        <w:rPr>
          <w:iCs/>
          <w:color w:val="FF0000"/>
        </w:rPr>
        <w:tab/>
      </w:r>
      <w:r w:rsidR="00190569" w:rsidRPr="008521DB">
        <w:rPr>
          <w:b/>
          <w:bCs/>
          <w:iCs/>
          <w:color w:val="FF0000"/>
        </w:rPr>
        <w:t>(h)</w:t>
      </w:r>
      <w:r w:rsidR="00190569">
        <w:rPr>
          <w:iCs/>
          <w:color w:val="FF0000"/>
        </w:rPr>
        <w:tab/>
      </w:r>
      <w:r w:rsidRPr="00DE24AD">
        <w:rPr>
          <w:iCs/>
        </w:rPr>
        <w:t>The position of the tank(s)</w:t>
      </w:r>
      <w:r w:rsidRPr="00DE24AD">
        <w:rPr>
          <w:b/>
          <w:bCs/>
          <w:iCs/>
        </w:rPr>
        <w:t xml:space="preserve"> </w:t>
      </w:r>
      <w:r w:rsidRPr="00DE24AD">
        <w:rPr>
          <w:iCs/>
        </w:rPr>
        <w:t xml:space="preserve">in the vehicle in so far as </w:t>
      </w:r>
      <w:r w:rsidR="00411C2C" w:rsidRPr="00DE24AD">
        <w:rPr>
          <w:iCs/>
        </w:rPr>
        <w:t>it has a negative effect on the requirements of paragraph</w:t>
      </w:r>
      <w:r w:rsidR="00DE24AD" w:rsidRPr="00DE24AD">
        <w:rPr>
          <w:iCs/>
        </w:rPr>
        <w:t xml:space="preserve"> 5.2.1</w:t>
      </w:r>
    </w:p>
    <w:p w14:paraId="5305696F" w14:textId="6F13437F" w:rsidR="00E23673" w:rsidRPr="00DE24AD" w:rsidRDefault="00E23673" w:rsidP="00DE24AD">
      <w:pPr>
        <w:pStyle w:val="SingleTxtG"/>
        <w:ind w:leftChars="567" w:left="2268" w:hangingChars="567" w:hanging="1134"/>
        <w:rPr>
          <w:color w:val="FF0000"/>
        </w:rPr>
      </w:pPr>
      <w:r w:rsidRPr="000C5754">
        <w:rPr>
          <w:iCs/>
          <w:strike/>
          <w:color w:val="FF0000"/>
        </w:rPr>
        <w:t>2.1</w:t>
      </w:r>
      <w:r w:rsidR="000C5754" w:rsidRPr="000C5754">
        <w:rPr>
          <w:iCs/>
          <w:strike/>
          <w:color w:val="FF0000"/>
        </w:rPr>
        <w:t>.</w:t>
      </w:r>
      <w:r w:rsidRPr="000C5754">
        <w:rPr>
          <w:iCs/>
          <w:strike/>
          <w:color w:val="FF0000"/>
        </w:rPr>
        <w:t>9</w:t>
      </w:r>
      <w:r>
        <w:rPr>
          <w:iCs/>
        </w:rPr>
        <w:tab/>
      </w:r>
      <w:r w:rsidR="000C5754" w:rsidRPr="008521DB">
        <w:rPr>
          <w:b/>
          <w:bCs/>
          <w:iCs/>
          <w:color w:val="FF0000"/>
        </w:rPr>
        <w:t>(</w:t>
      </w:r>
      <w:proofErr w:type="spellStart"/>
      <w:r w:rsidR="000C5754" w:rsidRPr="008521DB">
        <w:rPr>
          <w:b/>
          <w:bCs/>
          <w:iCs/>
          <w:color w:val="FF0000"/>
        </w:rPr>
        <w:t>i</w:t>
      </w:r>
      <w:proofErr w:type="spellEnd"/>
      <w:r w:rsidR="000C5754" w:rsidRPr="008521DB">
        <w:rPr>
          <w:b/>
          <w:bCs/>
          <w:iCs/>
          <w:color w:val="FF0000"/>
        </w:rPr>
        <w:t>)</w:t>
      </w:r>
      <w:r w:rsidR="000C5754" w:rsidRPr="008521DB">
        <w:rPr>
          <w:iCs/>
          <w:color w:val="FF0000"/>
        </w:rPr>
        <w:t xml:space="preserve"> </w:t>
      </w:r>
      <w:r w:rsidR="00A83EC3">
        <w:rPr>
          <w:iCs/>
        </w:rPr>
        <w:t>The characteristics and location of the fuel feed system (pump, filters, etc</w:t>
      </w:r>
      <w:r w:rsidR="005507DC">
        <w:rPr>
          <w:iCs/>
        </w:rPr>
        <w:t>.)</w:t>
      </w:r>
    </w:p>
    <w:p w14:paraId="0BF7B1AD" w14:textId="6BFDDF2E" w:rsidR="008E3C50" w:rsidRPr="00062F2C" w:rsidRDefault="008E3C50" w:rsidP="00062F2C">
      <w:pPr>
        <w:widowControl w:val="0"/>
        <w:tabs>
          <w:tab w:val="left" w:pos="2268"/>
        </w:tabs>
        <w:suppressAutoHyphens w:val="0"/>
        <w:spacing w:after="120"/>
        <w:ind w:left="2268" w:right="1133" w:hanging="1134"/>
        <w:jc w:val="both"/>
        <w:rPr>
          <w:b/>
          <w:bCs/>
          <w:lang w:val="en-US" w:eastAsia="ja-JP"/>
        </w:rPr>
      </w:pPr>
      <w:r w:rsidRPr="0028672E">
        <w:rPr>
          <w:color w:val="FF0000"/>
          <w:lang w:val="en-US"/>
        </w:rPr>
        <w:lastRenderedPageBreak/>
        <w:tab/>
      </w:r>
      <w:r w:rsidRPr="00724E2E">
        <w:rPr>
          <w:rFonts w:hint="eastAsia"/>
          <w:b/>
          <w:bCs/>
          <w:color w:val="FF0000"/>
          <w:lang w:val="en-US" w:eastAsia="ja-JP"/>
        </w:rPr>
        <w:t>(</w:t>
      </w:r>
      <w:r w:rsidR="000C5754">
        <w:rPr>
          <w:b/>
          <w:bCs/>
          <w:color w:val="FF0000"/>
          <w:lang w:val="en-US" w:eastAsia="ja-JP"/>
        </w:rPr>
        <w:t>j</w:t>
      </w:r>
      <w:r w:rsidRPr="00724E2E">
        <w:rPr>
          <w:b/>
          <w:bCs/>
          <w:color w:val="FF0000"/>
          <w:lang w:val="en-US" w:eastAsia="ja-JP"/>
        </w:rPr>
        <w:t>)</w:t>
      </w:r>
      <w:r w:rsidRPr="00724E2E">
        <w:rPr>
          <w:b/>
          <w:bCs/>
          <w:color w:val="FF0000"/>
          <w:lang w:val="en-US" w:eastAsia="ja-JP"/>
        </w:rPr>
        <w:tab/>
        <w:t>The basic configuration and main characteristics of the compressed hydrogen storage system</w:t>
      </w:r>
      <w:r w:rsidR="00795C24">
        <w:rPr>
          <w:b/>
          <w:bCs/>
          <w:color w:val="FF0000"/>
          <w:lang w:val="en-US" w:eastAsia="ja-JP"/>
        </w:rPr>
        <w:t>.</w:t>
      </w:r>
      <w:r w:rsidRPr="00EC13A0">
        <w:rPr>
          <w:iCs/>
          <w:color w:val="FF0000"/>
          <w:lang w:eastAsia="ja-JP"/>
        </w:rPr>
        <w:t>"</w:t>
      </w:r>
    </w:p>
    <w:p w14:paraId="04A96231" w14:textId="5B52A74E" w:rsidR="006149AC" w:rsidRPr="00062F2C" w:rsidRDefault="006149AC" w:rsidP="006149AC">
      <w:pPr>
        <w:pStyle w:val="SingleTxtG"/>
        <w:rPr>
          <w:color w:val="FF0000"/>
        </w:rPr>
      </w:pPr>
      <w:r w:rsidRPr="00062F2C">
        <w:rPr>
          <w:i/>
          <w:color w:val="FF0000"/>
        </w:rPr>
        <w:t>Paragraph 2.2.</w:t>
      </w:r>
      <w:r w:rsidRPr="00062F2C">
        <w:rPr>
          <w:color w:val="FF0000"/>
        </w:rPr>
        <w:t>,</w:t>
      </w:r>
      <w:r w:rsidRPr="00062F2C">
        <w:rPr>
          <w:i/>
          <w:color w:val="FF0000"/>
        </w:rPr>
        <w:t xml:space="preserve"> </w:t>
      </w:r>
      <w:r w:rsidRPr="00062F2C">
        <w:rPr>
          <w:iCs/>
          <w:color w:val="FF0000"/>
        </w:rPr>
        <w:t xml:space="preserve">amend </w:t>
      </w:r>
      <w:r w:rsidRPr="00062F2C">
        <w:rPr>
          <w:color w:val="FF0000"/>
        </w:rPr>
        <w:t>to read:</w:t>
      </w:r>
    </w:p>
    <w:p w14:paraId="71289444" w14:textId="7D0561FD" w:rsidR="006149AC" w:rsidRPr="007048FF" w:rsidRDefault="006149AC" w:rsidP="006149AC">
      <w:pPr>
        <w:spacing w:after="120"/>
        <w:ind w:left="2268" w:right="1134" w:hanging="1134"/>
        <w:jc w:val="both"/>
        <w:rPr>
          <w:strike/>
        </w:rPr>
      </w:pPr>
      <w:r w:rsidRPr="003F1307">
        <w:rPr>
          <w:color w:val="FF0000"/>
        </w:rPr>
        <w:t>"2.2.</w:t>
      </w:r>
      <w:r w:rsidRPr="003F1307">
        <w:rPr>
          <w:color w:val="FF0000"/>
        </w:rPr>
        <w:tab/>
      </w:r>
      <w:r w:rsidR="003F1307" w:rsidRPr="001D1BC5">
        <w:rPr>
          <w:iCs/>
          <w:color w:val="FF0000"/>
          <w:lang w:eastAsia="ja-JP"/>
        </w:rPr>
        <w:t>"</w:t>
      </w:r>
      <w:r w:rsidR="003F1307" w:rsidRPr="00736935">
        <w:rPr>
          <w:iCs/>
          <w:lang w:eastAsia="ja-JP"/>
        </w:rPr>
        <w:t xml:space="preserve">Passenger compartment </w:t>
      </w:r>
      <w:r w:rsidR="003F1307" w:rsidRPr="003651FB">
        <w:rPr>
          <w:b/>
          <w:bCs/>
          <w:iCs/>
          <w:color w:val="FF0000"/>
          <w:lang w:eastAsia="ja-JP"/>
        </w:rPr>
        <w:t>for electric safety</w:t>
      </w:r>
      <w:r w:rsidR="003F1307" w:rsidRPr="001D1BC5">
        <w:rPr>
          <w:iCs/>
          <w:color w:val="FF0000"/>
          <w:lang w:eastAsia="ja-JP"/>
        </w:rPr>
        <w:t xml:space="preserve"> </w:t>
      </w:r>
      <w:r w:rsidR="003F1307" w:rsidRPr="0022233B">
        <w:rPr>
          <w:b/>
          <w:bCs/>
          <w:iCs/>
          <w:color w:val="FF0000"/>
          <w:lang w:eastAsia="ja-JP"/>
        </w:rPr>
        <w:t>and/or hydrogen safety</w:t>
      </w:r>
      <w:r w:rsidR="003F1307">
        <w:rPr>
          <w:iCs/>
          <w:color w:val="FF0000"/>
          <w:lang w:eastAsia="ja-JP"/>
        </w:rPr>
        <w:t xml:space="preserve"> </w:t>
      </w:r>
      <w:r w:rsidR="003F1307" w:rsidRPr="003651FB">
        <w:rPr>
          <w:b/>
          <w:bCs/>
          <w:iCs/>
          <w:color w:val="FF0000"/>
          <w:lang w:eastAsia="ja-JP"/>
        </w:rPr>
        <w:t>assessment</w:t>
      </w:r>
      <w:r w:rsidR="003F1307" w:rsidRPr="001D1BC5">
        <w:rPr>
          <w:iCs/>
          <w:color w:val="FF0000"/>
          <w:lang w:eastAsia="ja-JP"/>
        </w:rPr>
        <w:t xml:space="preserve">" </w:t>
      </w:r>
      <w:r w:rsidR="003F1307" w:rsidRPr="007048FF">
        <w:rPr>
          <w:iCs/>
          <w:lang w:eastAsia="ja-JP"/>
        </w:rPr>
        <w:t>means the space for occupant accommodation, bounded by the roof, floor, side walls, doors, outside glazing, front bulkhead and rear bulkhead, or</w:t>
      </w:r>
      <w:r w:rsidR="003F1307">
        <w:rPr>
          <w:iCs/>
          <w:color w:val="FF0000"/>
          <w:lang w:eastAsia="ja-JP"/>
        </w:rPr>
        <w:t xml:space="preserve"> </w:t>
      </w:r>
      <w:r w:rsidR="003F1307" w:rsidRPr="00A97C2B">
        <w:rPr>
          <w:b/>
          <w:bCs/>
          <w:iCs/>
          <w:color w:val="FF0000"/>
          <w:lang w:eastAsia="ja-JP"/>
        </w:rPr>
        <w:t>back door</w:t>
      </w:r>
      <w:r w:rsidR="003F1307" w:rsidRPr="001D1BC5">
        <w:rPr>
          <w:iCs/>
          <w:color w:val="FF0000"/>
          <w:lang w:eastAsia="ja-JP"/>
        </w:rPr>
        <w:t xml:space="preserve"> </w:t>
      </w:r>
      <w:r w:rsidR="003F1307" w:rsidRPr="00A97C2B">
        <w:rPr>
          <w:iCs/>
          <w:strike/>
          <w:color w:val="FF0000"/>
          <w:lang w:eastAsia="ja-JP"/>
        </w:rPr>
        <w:t>rear gate</w:t>
      </w:r>
      <w:r w:rsidR="003F1307" w:rsidRPr="001D1BC5">
        <w:rPr>
          <w:iCs/>
          <w:color w:val="FF0000"/>
          <w:lang w:eastAsia="ja-JP"/>
        </w:rPr>
        <w:t xml:space="preserve">, </w:t>
      </w:r>
      <w:r w:rsidR="003F1307" w:rsidRPr="007048FF">
        <w:rPr>
          <w:iCs/>
          <w:lang w:eastAsia="ja-JP"/>
        </w:rPr>
        <w:t>as well as by the electrical protection barriers and enclosures provided for protecting the occupants from direct contact with high voltage live parts. "</w:t>
      </w:r>
    </w:p>
    <w:p w14:paraId="0344F28D" w14:textId="3CCCE3D3" w:rsidR="006149AC" w:rsidRPr="00FA214E" w:rsidRDefault="006149AC" w:rsidP="006149AC">
      <w:pPr>
        <w:pStyle w:val="SingleTxtG"/>
      </w:pPr>
      <w:r w:rsidRPr="00FA214E">
        <w:rPr>
          <w:i/>
        </w:rPr>
        <w:t>Paragraph 2.4.</w:t>
      </w:r>
      <w:r w:rsidRPr="00FA214E">
        <w:t>,</w:t>
      </w:r>
      <w:r w:rsidRPr="00FA214E">
        <w:rPr>
          <w:i/>
        </w:rPr>
        <w:t xml:space="preserve"> </w:t>
      </w:r>
      <w:r w:rsidRPr="00FA214E">
        <w:rPr>
          <w:iCs/>
        </w:rPr>
        <w:t xml:space="preserve">amend </w:t>
      </w:r>
      <w:r w:rsidRPr="00FA214E">
        <w:t>to read:</w:t>
      </w:r>
    </w:p>
    <w:p w14:paraId="0719C260" w14:textId="77777777" w:rsidR="006149AC" w:rsidRPr="00FA214E" w:rsidRDefault="006149AC" w:rsidP="006149AC">
      <w:pPr>
        <w:spacing w:after="120"/>
        <w:ind w:left="2268" w:right="1134" w:hanging="1134"/>
        <w:jc w:val="both"/>
      </w:pPr>
      <w:r w:rsidRPr="00FA214E">
        <w:t>"2.4.</w:t>
      </w:r>
      <w:r w:rsidRPr="00FA214E">
        <w:tab/>
        <w:t>"Tank" means the tank(s) designed to contain the liquid fuel, as defined in paragraph 2.6</w:t>
      </w:r>
      <w:r w:rsidRPr="00FA214E">
        <w:rPr>
          <w:strike/>
        </w:rPr>
        <w:t>. or compressed hydrogen gas</w:t>
      </w:r>
      <w:r w:rsidRPr="00FA214E">
        <w:t>, used primarily for the propulsion of the vehicle excluding its accessories (filler pipe, if it is a separate element, filler hole, cap, gauge, connections to the engine or to compensate interior excess pressure, etc.);"</w:t>
      </w:r>
    </w:p>
    <w:p w14:paraId="0242845E" w14:textId="77777777" w:rsidR="006149AC" w:rsidRPr="00FA214E" w:rsidRDefault="006149AC" w:rsidP="006149AC">
      <w:pPr>
        <w:spacing w:after="120"/>
        <w:ind w:left="2268" w:right="1134" w:hanging="1134"/>
        <w:jc w:val="both"/>
      </w:pPr>
      <w:r w:rsidRPr="00FA214E">
        <w:rPr>
          <w:i/>
        </w:rPr>
        <w:t>Insert new paragraphs 2.32. to 2.36</w:t>
      </w:r>
      <w:r w:rsidRPr="00FA214E">
        <w:t>, to read:</w:t>
      </w:r>
    </w:p>
    <w:p w14:paraId="4CDCCA0D" w14:textId="77777777" w:rsidR="006149AC" w:rsidRPr="00FA214E" w:rsidRDefault="006149AC" w:rsidP="006149AC">
      <w:pPr>
        <w:pStyle w:val="SingleTxtG"/>
        <w:ind w:left="2268" w:hanging="1134"/>
        <w:rPr>
          <w:b/>
        </w:rPr>
      </w:pPr>
      <w:r w:rsidRPr="00FA214E">
        <w:rPr>
          <w:b/>
        </w:rPr>
        <w:t>"2.32.</w:t>
      </w:r>
      <w:r w:rsidRPr="00FA214E">
        <w:rPr>
          <w:b/>
        </w:rPr>
        <w:tab/>
      </w:r>
      <w:r w:rsidRPr="00FA214E">
        <w:rPr>
          <w:b/>
          <w:bCs/>
        </w:rPr>
        <w:t>"</w:t>
      </w:r>
      <w:r w:rsidRPr="00FA214E">
        <w:rPr>
          <w:b/>
          <w:bCs/>
          <w:i/>
          <w:lang w:eastAsia="ja-JP"/>
        </w:rPr>
        <w:t>Compressed h</w:t>
      </w:r>
      <w:r w:rsidRPr="00FA214E">
        <w:rPr>
          <w:b/>
          <w:bCs/>
          <w:i/>
        </w:rPr>
        <w:t>ydrogen storage system</w:t>
      </w:r>
      <w:r w:rsidRPr="00FA214E">
        <w:rPr>
          <w:b/>
          <w:bCs/>
          <w:i/>
          <w:lang w:eastAsia="ja-JP"/>
        </w:rPr>
        <w:t xml:space="preserve"> (CHSS)</w:t>
      </w:r>
      <w:r w:rsidRPr="00FA214E">
        <w:rPr>
          <w:b/>
          <w:bCs/>
          <w:i/>
        </w:rPr>
        <w:t>"</w:t>
      </w:r>
      <w:r w:rsidRPr="00FA214E">
        <w:rPr>
          <w:b/>
          <w:bCs/>
        </w:rPr>
        <w:t xml:space="preserve"> </w:t>
      </w:r>
      <w:r w:rsidRPr="00FA214E">
        <w:rPr>
          <w:b/>
          <w:bCs/>
          <w:lang w:eastAsia="ja-JP"/>
        </w:rPr>
        <w:t>means</w:t>
      </w:r>
      <w:r w:rsidRPr="00FA214E">
        <w:rPr>
          <w:b/>
          <w:bCs/>
        </w:rPr>
        <w:t xml:space="preserve"> </w:t>
      </w:r>
      <w:r w:rsidRPr="00FA214E">
        <w:rPr>
          <w:b/>
          <w:bCs/>
          <w:lang w:eastAsia="ja-JP"/>
        </w:rPr>
        <w:t xml:space="preserve">a system designed to store </w:t>
      </w:r>
      <w:r w:rsidRPr="00FA214E">
        <w:rPr>
          <w:b/>
          <w:bCs/>
        </w:rPr>
        <w:t xml:space="preserve">compressed </w:t>
      </w:r>
      <w:r w:rsidRPr="00FA214E">
        <w:rPr>
          <w:b/>
          <w:bCs/>
          <w:lang w:eastAsia="ja-JP"/>
        </w:rPr>
        <w:t xml:space="preserve">hydrogen fuel for a hydrogen-fuelled vehicle and composed of </w:t>
      </w:r>
      <w:r w:rsidRPr="00FA214E">
        <w:rPr>
          <w:b/>
          <w:bCs/>
        </w:rPr>
        <w:t>a container, container attachments (if any), and all primary closure devices required to isolate the stored hydrogen from the remainder of the fuel system and the environment</w:t>
      </w:r>
      <w:r>
        <w:rPr>
          <w:b/>
          <w:bCs/>
        </w:rPr>
        <w:t>.</w:t>
      </w:r>
    </w:p>
    <w:p w14:paraId="4D404359" w14:textId="77777777" w:rsidR="006149AC" w:rsidRPr="00FA214E" w:rsidRDefault="006149AC" w:rsidP="006149AC">
      <w:pPr>
        <w:pStyle w:val="SingleTxtG"/>
        <w:ind w:left="2268" w:hanging="1134"/>
        <w:rPr>
          <w:b/>
          <w:bCs/>
        </w:rPr>
      </w:pPr>
      <w:r w:rsidRPr="00FA214E">
        <w:rPr>
          <w:b/>
        </w:rPr>
        <w:t>2.33.</w:t>
      </w:r>
      <w:r w:rsidRPr="00FA214E">
        <w:rPr>
          <w:b/>
        </w:rPr>
        <w:tab/>
      </w:r>
      <w:r w:rsidRPr="00FA214E">
        <w:rPr>
          <w:b/>
          <w:bCs/>
        </w:rPr>
        <w:t>"</w:t>
      </w:r>
      <w:r w:rsidRPr="00FA214E">
        <w:rPr>
          <w:b/>
          <w:bCs/>
          <w:i/>
        </w:rPr>
        <w:t>Container</w:t>
      </w:r>
      <w:r w:rsidRPr="00FA214E">
        <w:rPr>
          <w:b/>
          <w:bCs/>
        </w:rPr>
        <w:t xml:space="preserve">" (for hydrogen storage) </w:t>
      </w:r>
      <w:r w:rsidRPr="00FA214E">
        <w:rPr>
          <w:b/>
          <w:bCs/>
          <w:lang w:eastAsia="ja-JP"/>
        </w:rPr>
        <w:t>means</w:t>
      </w:r>
      <w:r w:rsidRPr="00FA214E">
        <w:rPr>
          <w:b/>
          <w:bCs/>
        </w:rPr>
        <w:t xml:space="preserve"> the pressure-bearing component on the vehicle that stores the primary volume of hydrogen fuel in a single chamber or in multiple permanently interconnected chambers.</w:t>
      </w:r>
    </w:p>
    <w:p w14:paraId="35648320" w14:textId="77777777" w:rsidR="006149AC" w:rsidRPr="00FA214E" w:rsidRDefault="006149AC" w:rsidP="006149AC">
      <w:pPr>
        <w:pStyle w:val="SingleTxtG"/>
        <w:ind w:left="2268" w:hanging="1134"/>
        <w:rPr>
          <w:b/>
        </w:rPr>
      </w:pPr>
      <w:r w:rsidRPr="00FA214E">
        <w:rPr>
          <w:b/>
        </w:rPr>
        <w:t>2.34.</w:t>
      </w:r>
      <w:r w:rsidRPr="00FA214E">
        <w:rPr>
          <w:b/>
        </w:rPr>
        <w:tab/>
      </w:r>
      <w:r w:rsidRPr="00FA214E">
        <w:rPr>
          <w:b/>
          <w:bCs/>
        </w:rPr>
        <w:t>"</w:t>
      </w:r>
      <w:r w:rsidRPr="007E28BC">
        <w:rPr>
          <w:b/>
          <w:bCs/>
          <w:i/>
          <w:iCs/>
          <w:lang w:eastAsia="ja-JP"/>
        </w:rPr>
        <w:t>Container Attachments</w:t>
      </w:r>
      <w:r w:rsidRPr="00FA214E">
        <w:rPr>
          <w:b/>
          <w:bCs/>
        </w:rPr>
        <w:t>"</w:t>
      </w:r>
      <w:r w:rsidRPr="00FA214E">
        <w:rPr>
          <w:b/>
          <w:bCs/>
          <w:lang w:eastAsia="ja-JP"/>
        </w:rPr>
        <w:t xml:space="preserve"> mean non-pressure bearing parts attached to the container that provide additional support and/or protection to the container</w:t>
      </w:r>
      <w:r w:rsidRPr="00FA214E">
        <w:rPr>
          <w:rFonts w:cs="Arial"/>
          <w:b/>
          <w:bCs/>
          <w:color w:val="000000"/>
        </w:rPr>
        <w:t xml:space="preserve"> and that may be only temporarily removed for maintenance and/or inspection only with the use of tools</w:t>
      </w:r>
      <w:r w:rsidRPr="00FA214E">
        <w:rPr>
          <w:b/>
          <w:bCs/>
          <w:color w:val="000000"/>
        </w:rPr>
        <w:t>.</w:t>
      </w:r>
    </w:p>
    <w:p w14:paraId="6C073BA3" w14:textId="77777777" w:rsidR="006149AC" w:rsidRPr="00FA214E" w:rsidRDefault="006149AC" w:rsidP="006149AC">
      <w:pPr>
        <w:pStyle w:val="SingleTxtG"/>
        <w:ind w:left="2268" w:hanging="1134"/>
        <w:rPr>
          <w:b/>
        </w:rPr>
      </w:pPr>
      <w:r w:rsidRPr="00FA214E">
        <w:rPr>
          <w:b/>
        </w:rPr>
        <w:t>2.35.</w:t>
      </w:r>
      <w:r w:rsidRPr="00FA214E">
        <w:rPr>
          <w:b/>
        </w:rPr>
        <w:tab/>
        <w:t>"</w:t>
      </w:r>
      <w:r w:rsidRPr="007E28BC">
        <w:rPr>
          <w:b/>
          <w:i/>
          <w:iCs/>
        </w:rPr>
        <w:t>Hydrogen-fuelled vehicle</w:t>
      </w:r>
      <w:r w:rsidRPr="00FA214E">
        <w:rPr>
          <w:b/>
        </w:rPr>
        <w:t>" means any motor vehicle that uses compressed gaseous hydrogen as a fuel to propel the vehicle, including fuel cell and internal combustion engine vehicles. Hydrogen fuel for the vehicles is specified in ISO 14687:2019 and SAE J2719_202003</w:t>
      </w:r>
      <w:r>
        <w:rPr>
          <w:b/>
        </w:rPr>
        <w:t>.</w:t>
      </w:r>
    </w:p>
    <w:p w14:paraId="6C87D453" w14:textId="249AEEED" w:rsidR="006149AC" w:rsidRPr="00FA214E" w:rsidRDefault="006149AC" w:rsidP="006149AC">
      <w:pPr>
        <w:pStyle w:val="SingleTxtG"/>
        <w:ind w:left="2268" w:hanging="1134"/>
        <w:rPr>
          <w:b/>
        </w:rPr>
      </w:pPr>
      <w:r w:rsidRPr="00FA214E">
        <w:rPr>
          <w:b/>
        </w:rPr>
        <w:t>2.36.</w:t>
      </w:r>
      <w:r w:rsidRPr="00FA214E">
        <w:rPr>
          <w:b/>
        </w:rPr>
        <w:tab/>
        <w:t>"</w:t>
      </w:r>
      <w:r w:rsidRPr="007E28BC">
        <w:rPr>
          <w:b/>
          <w:i/>
          <w:iCs/>
        </w:rPr>
        <w:t>Shut-off valve (for hydrogen-fuelled vehicles)</w:t>
      </w:r>
      <w:r w:rsidRPr="00FA214E">
        <w:rPr>
          <w:b/>
        </w:rPr>
        <w:t xml:space="preserve">" means a valve between the </w:t>
      </w:r>
      <w:r w:rsidRPr="006149AC">
        <w:rPr>
          <w:b/>
          <w:strike/>
          <w:color w:val="FF0000"/>
        </w:rPr>
        <w:t xml:space="preserve">storage </w:t>
      </w:r>
      <w:r w:rsidRPr="00FA214E">
        <w:rPr>
          <w:b/>
        </w:rPr>
        <w:t xml:space="preserve">container and the vehicle fuel system that </w:t>
      </w:r>
      <w:r w:rsidRPr="006149AC">
        <w:rPr>
          <w:b/>
          <w:color w:val="FF0000"/>
        </w:rPr>
        <w:t xml:space="preserve">must default </w:t>
      </w:r>
      <w:r w:rsidRPr="006149AC">
        <w:rPr>
          <w:b/>
          <w:strike/>
          <w:color w:val="FF0000"/>
        </w:rPr>
        <w:t xml:space="preserve">can be automatically </w:t>
      </w:r>
      <w:proofErr w:type="gramStart"/>
      <w:r w:rsidRPr="006149AC">
        <w:rPr>
          <w:b/>
          <w:strike/>
          <w:color w:val="FF0000"/>
        </w:rPr>
        <w:t>activated;</w:t>
      </w:r>
      <w:proofErr w:type="gramEnd"/>
      <w:r w:rsidRPr="006149AC">
        <w:rPr>
          <w:b/>
          <w:strike/>
          <w:color w:val="FF0000"/>
        </w:rPr>
        <w:t xml:space="preserve"> which defaults </w:t>
      </w:r>
      <w:r w:rsidRPr="00FA214E">
        <w:rPr>
          <w:b/>
        </w:rPr>
        <w:t>to the "closed" position when not connected to a power source."</w:t>
      </w:r>
    </w:p>
    <w:p w14:paraId="31E95496" w14:textId="77777777" w:rsidR="006149AC" w:rsidRPr="00FA214E" w:rsidRDefault="006149AC" w:rsidP="006149AC">
      <w:pPr>
        <w:pStyle w:val="SingleTxtG"/>
        <w:ind w:left="2268" w:hanging="1134"/>
        <w:rPr>
          <w:bCs/>
          <w:lang w:eastAsia="ja-JP"/>
        </w:rPr>
      </w:pPr>
      <w:r w:rsidRPr="00FA214E">
        <w:rPr>
          <w:bCs/>
          <w:i/>
          <w:iCs/>
          <w:lang w:eastAsia="ja-JP"/>
        </w:rPr>
        <w:t>Annex 4,</w:t>
      </w:r>
      <w:r w:rsidRPr="00FA214E">
        <w:rPr>
          <w:bCs/>
          <w:lang w:eastAsia="ja-JP"/>
        </w:rPr>
        <w:t xml:space="preserve"> </w:t>
      </w:r>
      <w:r w:rsidRPr="00FA214E">
        <w:rPr>
          <w:bCs/>
          <w:i/>
          <w:iCs/>
          <w:lang w:eastAsia="ja-JP"/>
        </w:rPr>
        <w:t>paragraph 2.1</w:t>
      </w:r>
      <w:r w:rsidRPr="00FA214E">
        <w:rPr>
          <w:bCs/>
          <w:lang w:eastAsia="ja-JP"/>
        </w:rPr>
        <w:t>., amend to read:</w:t>
      </w:r>
    </w:p>
    <w:p w14:paraId="5F5ECFA3" w14:textId="77777777" w:rsidR="006149AC" w:rsidRPr="00FA214E" w:rsidRDefault="006149AC" w:rsidP="006149AC">
      <w:pPr>
        <w:spacing w:after="120"/>
        <w:ind w:left="2268" w:right="1134" w:hanging="1134"/>
        <w:jc w:val="both"/>
      </w:pPr>
      <w:r w:rsidRPr="00FA214E">
        <w:t>"</w:t>
      </w:r>
      <w:r w:rsidRPr="00FA214E">
        <w:rPr>
          <w:bCs/>
        </w:rPr>
        <w:t>2.1.</w:t>
      </w:r>
      <w:r w:rsidRPr="00FA214E">
        <w:rPr>
          <w:b/>
        </w:rPr>
        <w:tab/>
      </w:r>
      <w:r w:rsidRPr="00FA214E">
        <w:rPr>
          <w:bCs/>
        </w:rPr>
        <w:t>"</w:t>
      </w:r>
      <w:r w:rsidRPr="00FA214E">
        <w:rPr>
          <w:bCs/>
          <w:i/>
          <w:iCs/>
        </w:rPr>
        <w:t>Enclosed spaces</w:t>
      </w:r>
      <w:r w:rsidRPr="00FA214E">
        <w:rPr>
          <w:bCs/>
        </w:rPr>
        <w:t xml:space="preserve">" </w:t>
      </w:r>
      <w:r w:rsidRPr="00FA214E">
        <w:rPr>
          <w:b/>
          <w:lang w:eastAsia="ja-JP"/>
        </w:rPr>
        <w:t xml:space="preserve">means </w:t>
      </w:r>
      <w:r w:rsidRPr="00FA214E">
        <w:rPr>
          <w:bCs/>
          <w:strike/>
        </w:rPr>
        <w:t xml:space="preserve">indicates </w:t>
      </w:r>
      <w:r w:rsidRPr="00FA214E">
        <w:rPr>
          <w:bCs/>
        </w:rPr>
        <w:t>the special volumes within the vehicle (or the vehicle outline across openings) that are external to the hydrogen system (storage system, fuel cell system</w:t>
      </w:r>
      <w:r w:rsidRPr="00FA214E">
        <w:rPr>
          <w:b/>
          <w:iCs/>
        </w:rPr>
        <w:t>, internal combustion engine (ICE)</w:t>
      </w:r>
      <w:r w:rsidRPr="00FA214E">
        <w:rPr>
          <w:bCs/>
        </w:rPr>
        <w:t xml:space="preserve"> and fuel flow management system)</w:t>
      </w:r>
      <w:r w:rsidRPr="00FA214E">
        <w:rPr>
          <w:bCs/>
          <w:strike/>
        </w:rPr>
        <w:t xml:space="preserve"> and its housings (if any) where hydrogen may accumulate (and thereby pose a hazard), such as the passenger compartment, luggage compartment and space under the hood</w:t>
      </w:r>
      <w:r w:rsidRPr="00FA214E">
        <w:rPr>
          <w:bCs/>
        </w:rPr>
        <w:t>.</w:t>
      </w:r>
      <w:r w:rsidRPr="00FA214E">
        <w:t>"</w:t>
      </w:r>
    </w:p>
    <w:p w14:paraId="5350958D" w14:textId="77777777" w:rsidR="006149AC" w:rsidRPr="00FA214E" w:rsidRDefault="006149AC" w:rsidP="006149AC">
      <w:pPr>
        <w:pStyle w:val="SingleTxtG"/>
        <w:ind w:left="2268" w:hanging="1134"/>
        <w:rPr>
          <w:bCs/>
          <w:lang w:eastAsia="ja-JP"/>
        </w:rPr>
      </w:pPr>
      <w:r w:rsidRPr="00FA214E">
        <w:rPr>
          <w:bCs/>
          <w:i/>
          <w:iCs/>
          <w:lang w:eastAsia="ja-JP"/>
        </w:rPr>
        <w:t>Annex 4,</w:t>
      </w:r>
      <w:r w:rsidRPr="00FA214E">
        <w:rPr>
          <w:bCs/>
          <w:lang w:eastAsia="ja-JP"/>
        </w:rPr>
        <w:t xml:space="preserve"> </w:t>
      </w:r>
      <w:r w:rsidRPr="00FA214E">
        <w:rPr>
          <w:bCs/>
          <w:i/>
          <w:iCs/>
          <w:lang w:eastAsia="ja-JP"/>
        </w:rPr>
        <w:t>paragraph 3.1.4</w:t>
      </w:r>
      <w:r w:rsidRPr="00FA214E">
        <w:rPr>
          <w:bCs/>
          <w:lang w:eastAsia="ja-JP"/>
        </w:rPr>
        <w:t>., amend to read:</w:t>
      </w:r>
    </w:p>
    <w:p w14:paraId="55862D4B" w14:textId="77777777" w:rsidR="006149AC" w:rsidRPr="00FA214E" w:rsidRDefault="006149AC" w:rsidP="006149AC">
      <w:pPr>
        <w:pStyle w:val="SingleTxtG"/>
        <w:ind w:left="2268" w:hanging="1134"/>
        <w:rPr>
          <w:bCs/>
          <w:lang w:eastAsia="ja-JP"/>
        </w:rPr>
      </w:pPr>
      <w:r w:rsidRPr="00FA214E">
        <w:rPr>
          <w:bCs/>
          <w:lang w:eastAsia="ja-JP"/>
        </w:rPr>
        <w:lastRenderedPageBreak/>
        <w:t xml:space="preserve">"3.1.4. </w:t>
      </w:r>
      <w:r w:rsidRPr="00FA214E">
        <w:rPr>
          <w:bCs/>
          <w:lang w:eastAsia="ja-JP"/>
        </w:rPr>
        <w:tab/>
        <w:t xml:space="preserve">The main stop valve and shut-off valves for hydrogen gas, located in the downstream hydrogen gas piping, are in </w:t>
      </w:r>
      <w:r w:rsidRPr="00FA214E">
        <w:rPr>
          <w:b/>
          <w:lang w:eastAsia="ja-JP"/>
        </w:rPr>
        <w:t xml:space="preserve">the </w:t>
      </w:r>
      <w:r w:rsidRPr="00FA214E">
        <w:rPr>
          <w:bCs/>
          <w:lang w:eastAsia="ja-JP"/>
        </w:rPr>
        <w:t xml:space="preserve">normal driving condition </w:t>
      </w:r>
      <w:r w:rsidRPr="00FA214E">
        <w:rPr>
          <w:b/>
          <w:lang w:eastAsia="ja-JP"/>
        </w:rPr>
        <w:t>kept open</w:t>
      </w:r>
      <w:r w:rsidRPr="00FA214E">
        <w:rPr>
          <w:bCs/>
          <w:lang w:eastAsia="ja-JP"/>
        </w:rPr>
        <w:t xml:space="preserve"> immediately prior to the impact."</w:t>
      </w:r>
    </w:p>
    <w:p w14:paraId="178485BE" w14:textId="77777777" w:rsidR="006149AC" w:rsidRPr="00FA214E" w:rsidRDefault="006149AC" w:rsidP="006149AC">
      <w:pPr>
        <w:pStyle w:val="SingleTxtG"/>
        <w:ind w:left="2268" w:hanging="1134"/>
        <w:rPr>
          <w:bCs/>
          <w:lang w:eastAsia="ja-JP"/>
        </w:rPr>
      </w:pPr>
      <w:r w:rsidRPr="00FA214E">
        <w:rPr>
          <w:bCs/>
          <w:i/>
          <w:iCs/>
          <w:lang w:eastAsia="ja-JP"/>
        </w:rPr>
        <w:t>Annex 6,</w:t>
      </w:r>
      <w:r w:rsidRPr="00FA214E">
        <w:rPr>
          <w:bCs/>
          <w:lang w:eastAsia="ja-JP"/>
        </w:rPr>
        <w:t xml:space="preserve"> </w:t>
      </w:r>
      <w:r w:rsidRPr="00FA214E">
        <w:rPr>
          <w:bCs/>
          <w:i/>
          <w:iCs/>
          <w:lang w:eastAsia="ja-JP"/>
        </w:rPr>
        <w:t>paragraph2 4.2. and 4.3</w:t>
      </w:r>
      <w:r w:rsidRPr="00FA214E">
        <w:rPr>
          <w:bCs/>
          <w:lang w:eastAsia="ja-JP"/>
        </w:rPr>
        <w:t>., amend to read:</w:t>
      </w:r>
    </w:p>
    <w:p w14:paraId="520B884A" w14:textId="77777777" w:rsidR="006149AC" w:rsidRPr="00FA214E" w:rsidRDefault="006149AC" w:rsidP="006149AC">
      <w:pPr>
        <w:spacing w:after="100" w:line="200" w:lineRule="atLeast"/>
        <w:ind w:left="2268" w:right="1134" w:hanging="1134"/>
        <w:jc w:val="both"/>
      </w:pPr>
      <w:r w:rsidRPr="00FA214E">
        <w:t>"4.2.</w:t>
      </w:r>
      <w:r w:rsidRPr="00FA214E">
        <w:tab/>
        <w:t>The initial mass of hydrogen in the storage system can be calculated as follows:</w:t>
      </w:r>
    </w:p>
    <w:p w14:paraId="1F78568D" w14:textId="77777777" w:rsidR="006149AC" w:rsidRPr="00464636" w:rsidRDefault="006149AC" w:rsidP="006149AC">
      <w:pPr>
        <w:spacing w:after="100" w:line="200" w:lineRule="atLeast"/>
        <w:ind w:left="3402" w:right="1134" w:hanging="1134"/>
        <w:jc w:val="both"/>
      </w:pPr>
      <w:r w:rsidRPr="00464636">
        <w:t>P</w:t>
      </w:r>
      <w:r w:rsidRPr="00464636">
        <w:rPr>
          <w:vertAlign w:val="subscript"/>
        </w:rPr>
        <w:t>o</w:t>
      </w:r>
      <w:r w:rsidRPr="00464636">
        <w:t>' = P</w:t>
      </w:r>
      <w:r w:rsidRPr="00464636">
        <w:rPr>
          <w:vertAlign w:val="subscript"/>
        </w:rPr>
        <w:t xml:space="preserve">o </w:t>
      </w:r>
      <w:r w:rsidRPr="00464636">
        <w:t>x 288 / (273 + T</w:t>
      </w:r>
      <w:r w:rsidRPr="00464636">
        <w:rPr>
          <w:vertAlign w:val="subscript"/>
        </w:rPr>
        <w:t>0</w:t>
      </w:r>
      <w:r w:rsidRPr="00464636">
        <w:t>)</w:t>
      </w:r>
    </w:p>
    <w:p w14:paraId="669D26A1" w14:textId="77777777" w:rsidR="006149AC" w:rsidRPr="00464636" w:rsidRDefault="006149AC" w:rsidP="006149AC">
      <w:pPr>
        <w:spacing w:after="100" w:line="200" w:lineRule="atLeast"/>
        <w:ind w:left="3402" w:right="1134" w:hanging="1134"/>
        <w:jc w:val="both"/>
      </w:pPr>
      <w:r w:rsidRPr="00FA214E">
        <w:t>ρ</w:t>
      </w:r>
      <w:r w:rsidRPr="00464636">
        <w:rPr>
          <w:vertAlign w:val="subscript"/>
        </w:rPr>
        <w:t>o</w:t>
      </w:r>
      <w:r w:rsidRPr="00464636">
        <w:t>'</w:t>
      </w:r>
      <w:r w:rsidRPr="00464636">
        <w:rPr>
          <w:vertAlign w:val="subscript"/>
        </w:rPr>
        <w:t xml:space="preserve"> </w:t>
      </w:r>
      <w:r w:rsidRPr="00464636">
        <w:t>= –0.0027 x (P</w:t>
      </w:r>
      <w:r w:rsidRPr="00464636">
        <w:rPr>
          <w:vertAlign w:val="subscript"/>
        </w:rPr>
        <w:t>0</w:t>
      </w:r>
      <w:r w:rsidRPr="00464636">
        <w:t>')</w:t>
      </w:r>
      <w:r w:rsidRPr="00464636">
        <w:rPr>
          <w:vertAlign w:val="superscript"/>
        </w:rPr>
        <w:t xml:space="preserve">2 </w:t>
      </w:r>
      <w:r w:rsidRPr="00464636">
        <w:t>+ 0.75 x P</w:t>
      </w:r>
      <w:r w:rsidRPr="00464636">
        <w:rPr>
          <w:vertAlign w:val="subscript"/>
        </w:rPr>
        <w:t>0</w:t>
      </w:r>
      <w:r w:rsidRPr="00464636">
        <w:t xml:space="preserve">' + </w:t>
      </w:r>
      <w:r w:rsidRPr="00464636">
        <w:rPr>
          <w:b/>
          <w:bCs/>
        </w:rPr>
        <w:t>1.07</w:t>
      </w:r>
      <w:r w:rsidRPr="00464636">
        <w:rPr>
          <w:strike/>
        </w:rPr>
        <w:t>0.5789</w:t>
      </w:r>
    </w:p>
    <w:p w14:paraId="35DFCC4D" w14:textId="77777777" w:rsidR="006149AC" w:rsidRPr="00FA214E" w:rsidRDefault="006149AC" w:rsidP="006149AC">
      <w:pPr>
        <w:spacing w:after="100" w:line="200" w:lineRule="atLeast"/>
        <w:ind w:left="3402" w:right="1134" w:hanging="1134"/>
        <w:jc w:val="both"/>
      </w:pPr>
      <w:r w:rsidRPr="00FA214E">
        <w:t>M</w:t>
      </w:r>
      <w:r w:rsidRPr="00FA214E">
        <w:rPr>
          <w:vertAlign w:val="subscript"/>
        </w:rPr>
        <w:t>o</w:t>
      </w:r>
      <w:r w:rsidRPr="00FA214E">
        <w:t xml:space="preserve"> = </w:t>
      </w:r>
      <w:proofErr w:type="spellStart"/>
      <w:r w:rsidRPr="00FA214E">
        <w:t>ρ</w:t>
      </w:r>
      <w:r w:rsidRPr="00FA214E">
        <w:rPr>
          <w:vertAlign w:val="subscript"/>
        </w:rPr>
        <w:t>o</w:t>
      </w:r>
      <w:proofErr w:type="spellEnd"/>
      <w:r w:rsidRPr="00FA214E">
        <w:t>' x V</w:t>
      </w:r>
      <w:r w:rsidRPr="00FA214E">
        <w:rPr>
          <w:vertAlign w:val="subscript"/>
        </w:rPr>
        <w:t>CHSS</w:t>
      </w:r>
    </w:p>
    <w:p w14:paraId="65AD6955" w14:textId="77777777" w:rsidR="006149AC" w:rsidRPr="00FA214E" w:rsidRDefault="006149AC" w:rsidP="006149AC">
      <w:pPr>
        <w:spacing w:after="120" w:line="200" w:lineRule="atLeast"/>
        <w:ind w:left="2268" w:right="1134" w:hanging="1134"/>
        <w:jc w:val="both"/>
      </w:pPr>
      <w:r w:rsidRPr="00FA214E">
        <w:t>4.3.</w:t>
      </w:r>
      <w:r w:rsidRPr="00FA214E">
        <w:tab/>
        <w:t xml:space="preserve">Correspondingly, the final mass of hydrogen in the storage system, </w:t>
      </w:r>
      <w:proofErr w:type="spellStart"/>
      <w:r w:rsidRPr="00FA214E">
        <w:t>M</w:t>
      </w:r>
      <w:r w:rsidRPr="00FA214E">
        <w:rPr>
          <w:vertAlign w:val="subscript"/>
        </w:rPr>
        <w:t>f</w:t>
      </w:r>
      <w:proofErr w:type="spellEnd"/>
      <w:r w:rsidRPr="00FA214E">
        <w:t>, at the end of the time inter</w:t>
      </w:r>
      <w:r w:rsidRPr="00FA214E">
        <w:rPr>
          <w:lang w:eastAsia="ja-JP"/>
        </w:rPr>
        <w:t>v</w:t>
      </w:r>
      <w:r w:rsidRPr="00FA214E">
        <w:t xml:space="preserve">al, </w:t>
      </w:r>
      <w:proofErr w:type="spellStart"/>
      <w:r w:rsidRPr="00FA214E">
        <w:t>Δt</w:t>
      </w:r>
      <w:proofErr w:type="spellEnd"/>
      <w:r w:rsidRPr="00FA214E">
        <w:t>, can be calculated as follows:</w:t>
      </w:r>
    </w:p>
    <w:p w14:paraId="48AEC708" w14:textId="77777777" w:rsidR="006149AC" w:rsidRPr="00FA214E" w:rsidRDefault="006149AC" w:rsidP="006149AC">
      <w:pPr>
        <w:spacing w:after="120" w:line="200" w:lineRule="atLeast"/>
        <w:ind w:left="3402" w:right="1134" w:hanging="1134"/>
        <w:jc w:val="both"/>
      </w:pPr>
      <w:proofErr w:type="spellStart"/>
      <w:r w:rsidRPr="00FA214E">
        <w:t>P</w:t>
      </w:r>
      <w:r w:rsidRPr="00FA214E">
        <w:rPr>
          <w:vertAlign w:val="subscript"/>
        </w:rPr>
        <w:t>f</w:t>
      </w:r>
      <w:proofErr w:type="spellEnd"/>
      <w:r w:rsidRPr="00FA214E">
        <w:t xml:space="preserve">' = </w:t>
      </w:r>
      <w:proofErr w:type="spellStart"/>
      <w:r w:rsidRPr="00FA214E">
        <w:t>P</w:t>
      </w:r>
      <w:r w:rsidRPr="00FA214E">
        <w:rPr>
          <w:vertAlign w:val="subscript"/>
        </w:rPr>
        <w:t>f</w:t>
      </w:r>
      <w:proofErr w:type="spellEnd"/>
      <w:r w:rsidRPr="00FA214E">
        <w:rPr>
          <w:vertAlign w:val="subscript"/>
        </w:rPr>
        <w:t xml:space="preserve"> </w:t>
      </w:r>
      <w:r w:rsidRPr="00FA214E">
        <w:t xml:space="preserve">x 288 / (273 + </w:t>
      </w:r>
      <w:proofErr w:type="spellStart"/>
      <w:r w:rsidRPr="00FA214E">
        <w:t>T</w:t>
      </w:r>
      <w:r w:rsidRPr="00FA214E">
        <w:rPr>
          <w:vertAlign w:val="subscript"/>
        </w:rPr>
        <w:t>f</w:t>
      </w:r>
      <w:proofErr w:type="spellEnd"/>
      <w:r w:rsidRPr="00FA214E">
        <w:t>)</w:t>
      </w:r>
    </w:p>
    <w:p w14:paraId="74165FFC" w14:textId="77777777" w:rsidR="006149AC" w:rsidRPr="00FA214E" w:rsidRDefault="006149AC" w:rsidP="006149AC">
      <w:pPr>
        <w:spacing w:after="120" w:line="200" w:lineRule="atLeast"/>
        <w:ind w:left="3402" w:right="1134" w:hanging="1134"/>
        <w:jc w:val="both"/>
      </w:pPr>
      <w:proofErr w:type="spellStart"/>
      <w:r w:rsidRPr="00FA214E">
        <w:t>ρ</w:t>
      </w:r>
      <w:r w:rsidRPr="00FA214E">
        <w:rPr>
          <w:vertAlign w:val="subscript"/>
        </w:rPr>
        <w:t>f</w:t>
      </w:r>
      <w:proofErr w:type="spellEnd"/>
      <w:r w:rsidRPr="00FA214E">
        <w:t>'</w:t>
      </w:r>
      <w:r w:rsidRPr="00FA214E">
        <w:rPr>
          <w:vertAlign w:val="subscript"/>
        </w:rPr>
        <w:t xml:space="preserve"> </w:t>
      </w:r>
      <w:r w:rsidRPr="00FA214E">
        <w:t>= –0.0027 x (</w:t>
      </w:r>
      <w:proofErr w:type="spellStart"/>
      <w:r w:rsidRPr="00FA214E">
        <w:t>P</w:t>
      </w:r>
      <w:r w:rsidRPr="00FA214E">
        <w:rPr>
          <w:vertAlign w:val="subscript"/>
        </w:rPr>
        <w:t>f</w:t>
      </w:r>
      <w:proofErr w:type="spellEnd"/>
      <w:r w:rsidRPr="00FA214E">
        <w:t>')</w:t>
      </w:r>
      <w:r w:rsidRPr="00FA214E">
        <w:rPr>
          <w:vertAlign w:val="superscript"/>
        </w:rPr>
        <w:t xml:space="preserve">2 </w:t>
      </w:r>
      <w:r w:rsidRPr="00FA214E">
        <w:t xml:space="preserve">+ 0.75 x </w:t>
      </w:r>
      <w:proofErr w:type="spellStart"/>
      <w:r w:rsidRPr="00FA214E">
        <w:t>P</w:t>
      </w:r>
      <w:r w:rsidRPr="00FA214E">
        <w:rPr>
          <w:vertAlign w:val="subscript"/>
        </w:rPr>
        <w:t>f</w:t>
      </w:r>
      <w:proofErr w:type="spellEnd"/>
      <w:r w:rsidRPr="00FA214E">
        <w:t xml:space="preserve">' + </w:t>
      </w:r>
      <w:r w:rsidRPr="00FA214E">
        <w:rPr>
          <w:b/>
          <w:bCs/>
        </w:rPr>
        <w:t>1.07</w:t>
      </w:r>
      <w:r w:rsidRPr="00FA214E">
        <w:rPr>
          <w:strike/>
        </w:rPr>
        <w:t>0.5789</w:t>
      </w:r>
    </w:p>
    <w:p w14:paraId="196D3DD6" w14:textId="77777777" w:rsidR="006149AC" w:rsidRPr="00FA214E" w:rsidRDefault="006149AC" w:rsidP="006149AC">
      <w:pPr>
        <w:spacing w:after="120" w:line="200" w:lineRule="atLeast"/>
        <w:ind w:left="3402" w:right="1134" w:hanging="1134"/>
        <w:jc w:val="both"/>
      </w:pPr>
      <w:proofErr w:type="spellStart"/>
      <w:r w:rsidRPr="00FA214E">
        <w:t>M</w:t>
      </w:r>
      <w:r w:rsidRPr="00FA214E">
        <w:rPr>
          <w:vertAlign w:val="subscript"/>
        </w:rPr>
        <w:t>f</w:t>
      </w:r>
      <w:proofErr w:type="spellEnd"/>
      <w:r w:rsidRPr="00FA214E">
        <w:t xml:space="preserve"> = </w:t>
      </w:r>
      <w:proofErr w:type="spellStart"/>
      <w:r w:rsidRPr="00FA214E">
        <w:t>ρ</w:t>
      </w:r>
      <w:r w:rsidRPr="00FA214E">
        <w:rPr>
          <w:vertAlign w:val="subscript"/>
        </w:rPr>
        <w:t>f</w:t>
      </w:r>
      <w:proofErr w:type="spellEnd"/>
      <w:r w:rsidRPr="00FA214E">
        <w:t>' x V</w:t>
      </w:r>
      <w:r w:rsidRPr="00FA214E">
        <w:rPr>
          <w:vertAlign w:val="subscript"/>
        </w:rPr>
        <w:t>CHSS</w:t>
      </w:r>
    </w:p>
    <w:p w14:paraId="0EE9F4D1" w14:textId="77777777" w:rsidR="006149AC" w:rsidRPr="00FA214E" w:rsidRDefault="006149AC" w:rsidP="006149AC">
      <w:pPr>
        <w:spacing w:after="120" w:line="200" w:lineRule="atLeast"/>
        <w:ind w:left="2268" w:right="1134"/>
        <w:jc w:val="both"/>
      </w:pPr>
      <w:r w:rsidRPr="00FA214E">
        <w:t xml:space="preserve">where </w:t>
      </w:r>
      <w:proofErr w:type="spellStart"/>
      <w:r w:rsidRPr="00FA214E">
        <w:t>P</w:t>
      </w:r>
      <w:r w:rsidRPr="00FA214E">
        <w:rPr>
          <w:vertAlign w:val="subscript"/>
        </w:rPr>
        <w:t>f</w:t>
      </w:r>
      <w:proofErr w:type="spellEnd"/>
      <w:r w:rsidRPr="00FA214E">
        <w:t xml:space="preserve"> is the measured final pressure (MPa) at the end of the time interval, and </w:t>
      </w:r>
      <w:proofErr w:type="spellStart"/>
      <w:r w:rsidRPr="00FA214E">
        <w:t>T</w:t>
      </w:r>
      <w:r w:rsidRPr="00FA214E">
        <w:rPr>
          <w:vertAlign w:val="subscript"/>
        </w:rPr>
        <w:t>f</w:t>
      </w:r>
      <w:proofErr w:type="spellEnd"/>
      <w:r w:rsidRPr="00FA214E">
        <w:t xml:space="preserve"> is the measured final temperature (°C)."</w:t>
      </w:r>
    </w:p>
    <w:p w14:paraId="4061A0A3" w14:textId="77777777" w:rsidR="006149AC" w:rsidRPr="00FA214E" w:rsidRDefault="006149AC" w:rsidP="006149AC">
      <w:pPr>
        <w:pStyle w:val="HChG"/>
      </w:pPr>
      <w:r w:rsidRPr="00FA214E">
        <w:tab/>
        <w:t>II.</w:t>
      </w:r>
      <w:r w:rsidRPr="00FA214E">
        <w:tab/>
        <w:t>Justification</w:t>
      </w:r>
    </w:p>
    <w:p w14:paraId="7C5C5538" w14:textId="77777777" w:rsidR="006149AC" w:rsidRPr="00FA214E" w:rsidRDefault="006149AC" w:rsidP="006149AC">
      <w:pPr>
        <w:pStyle w:val="SingleTxtG"/>
        <w:ind w:hanging="426"/>
      </w:pPr>
      <w:r w:rsidRPr="00FA214E">
        <w:tab/>
        <w:t>1.</w:t>
      </w:r>
      <w:r w:rsidRPr="00FA214E">
        <w:tab/>
        <w:t>The post-crash safety requirements for hydrogen powered vehicles specified in UN Regulation No. 153 (fuel system integrity and electric power train safety at rear-end collision) are based on UN GTR No. 13 where certain definitions were not included without any specific reasons.</w:t>
      </w:r>
    </w:p>
    <w:p w14:paraId="7D3E3489" w14:textId="77777777" w:rsidR="006149AC" w:rsidRPr="00917A33" w:rsidRDefault="006149AC" w:rsidP="006149AC">
      <w:pPr>
        <w:pStyle w:val="SingleTxtG"/>
      </w:pPr>
      <w:r w:rsidRPr="00FA214E">
        <w:t>2.</w:t>
      </w:r>
      <w:r w:rsidRPr="00FA214E">
        <w:tab/>
        <w:t>During the development of UN GTR No. 13, Amendment 1 (GTR13</w:t>
      </w:r>
      <w:r>
        <w:t>,</w:t>
      </w:r>
      <w:r w:rsidRPr="00FA214E">
        <w:t xml:space="preserve"> Phase 2), several clarifications and corrections are made on the existing part of UN GTR No. 13 that are transposed into UN regulation No.153</w:t>
      </w:r>
      <w:r w:rsidRPr="00917A33">
        <w:t xml:space="preserve">. </w:t>
      </w:r>
    </w:p>
    <w:p w14:paraId="56725AE3" w14:textId="77777777" w:rsidR="006149AC" w:rsidRPr="00FA214E" w:rsidRDefault="006149AC" w:rsidP="006149AC">
      <w:pPr>
        <w:pStyle w:val="SingleTxtG"/>
      </w:pPr>
      <w:r>
        <w:t>3</w:t>
      </w:r>
      <w:r w:rsidRPr="00FA214E">
        <w:t>.</w:t>
      </w:r>
      <w:r w:rsidRPr="00FA214E">
        <w:tab/>
        <w:t>Such amendments for clarifications and corrections should be applied to existing versions of UN Regulation No.153 as early as possible, while those amendments do not affect the validity of existing approvals.</w:t>
      </w:r>
    </w:p>
    <w:p w14:paraId="7C159EB0" w14:textId="77777777" w:rsidR="006149AC" w:rsidRPr="00FA214E" w:rsidRDefault="006149AC" w:rsidP="006149AC">
      <w:pPr>
        <w:spacing w:before="240"/>
        <w:jc w:val="center"/>
        <w:rPr>
          <w:u w:val="single"/>
        </w:rPr>
      </w:pPr>
      <w:r w:rsidRPr="00FA214E">
        <w:rPr>
          <w:u w:val="single"/>
        </w:rPr>
        <w:tab/>
      </w:r>
      <w:r w:rsidRPr="00FA214E">
        <w:rPr>
          <w:u w:val="single"/>
        </w:rPr>
        <w:tab/>
      </w:r>
      <w:r w:rsidRPr="00FA214E">
        <w:rPr>
          <w:u w:val="single"/>
        </w:rPr>
        <w:tab/>
      </w:r>
    </w:p>
    <w:p w14:paraId="369A000E" w14:textId="289B97F6" w:rsidR="00915EF6" w:rsidRPr="00CC263F" w:rsidRDefault="00915EF6" w:rsidP="001A63A2">
      <w:pPr>
        <w:pStyle w:val="SingleTxtG"/>
        <w:jc w:val="center"/>
        <w:rPr>
          <w:u w:val="single"/>
        </w:rPr>
      </w:pPr>
    </w:p>
    <w:sectPr w:rsidR="00915EF6" w:rsidRPr="00CC263F" w:rsidSect="00D1468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DE51" w14:textId="77777777" w:rsidR="00F37AF8" w:rsidRDefault="00F37AF8"/>
  </w:endnote>
  <w:endnote w:type="continuationSeparator" w:id="0">
    <w:p w14:paraId="73F02AB8" w14:textId="77777777" w:rsidR="00F37AF8" w:rsidRDefault="00F37AF8"/>
  </w:endnote>
  <w:endnote w:type="continuationNotice" w:id="1">
    <w:p w14:paraId="28A75C56" w14:textId="77777777" w:rsidR="00F37AF8" w:rsidRDefault="00F37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8D1E" w14:textId="77EBAED7" w:rsidR="00D14683" w:rsidRPr="00D14683" w:rsidRDefault="00D14683" w:rsidP="00D14683">
    <w:pPr>
      <w:pStyle w:val="Footer"/>
      <w:tabs>
        <w:tab w:val="right" w:pos="9638"/>
      </w:tabs>
      <w:rPr>
        <w:sz w:val="18"/>
      </w:rPr>
    </w:pPr>
    <w:r w:rsidRPr="00D14683">
      <w:rPr>
        <w:b/>
        <w:sz w:val="18"/>
      </w:rPr>
      <w:fldChar w:fldCharType="begin"/>
    </w:r>
    <w:r w:rsidRPr="00D14683">
      <w:rPr>
        <w:b/>
        <w:sz w:val="18"/>
      </w:rPr>
      <w:instrText xml:space="preserve"> PAGE  \* MERGEFORMAT </w:instrText>
    </w:r>
    <w:r w:rsidRPr="00D14683">
      <w:rPr>
        <w:b/>
        <w:sz w:val="18"/>
      </w:rPr>
      <w:fldChar w:fldCharType="separate"/>
    </w:r>
    <w:r w:rsidR="00AE4FAA">
      <w:rPr>
        <w:b/>
        <w:noProof/>
        <w:sz w:val="18"/>
      </w:rPr>
      <w:t>2</w:t>
    </w:r>
    <w:r w:rsidRPr="00D1468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E99" w14:textId="33469D46" w:rsidR="00D14683" w:rsidRPr="00D14683" w:rsidRDefault="00D14683" w:rsidP="00D14683">
    <w:pPr>
      <w:pStyle w:val="Footer"/>
      <w:tabs>
        <w:tab w:val="right" w:pos="9638"/>
      </w:tabs>
      <w:rPr>
        <w:b/>
        <w:sz w:val="18"/>
      </w:rPr>
    </w:pPr>
    <w:r>
      <w:tab/>
    </w:r>
    <w:r w:rsidRPr="00D14683">
      <w:rPr>
        <w:b/>
        <w:sz w:val="18"/>
      </w:rPr>
      <w:fldChar w:fldCharType="begin"/>
    </w:r>
    <w:r w:rsidRPr="00D14683">
      <w:rPr>
        <w:b/>
        <w:sz w:val="18"/>
      </w:rPr>
      <w:instrText xml:space="preserve"> PAGE  \* MERGEFORMAT </w:instrText>
    </w:r>
    <w:r w:rsidRPr="00D14683">
      <w:rPr>
        <w:b/>
        <w:sz w:val="18"/>
      </w:rPr>
      <w:fldChar w:fldCharType="separate"/>
    </w:r>
    <w:r w:rsidR="00123B30">
      <w:rPr>
        <w:b/>
        <w:noProof/>
        <w:sz w:val="18"/>
      </w:rPr>
      <w:t>3</w:t>
    </w:r>
    <w:r w:rsidRPr="00D1468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2869" w14:textId="05D20587" w:rsidR="00734A2E" w:rsidRDefault="0073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61A1" w14:textId="77777777" w:rsidR="00F37AF8" w:rsidRPr="000B175B" w:rsidRDefault="00F37AF8" w:rsidP="000B175B">
      <w:pPr>
        <w:tabs>
          <w:tab w:val="right" w:pos="2155"/>
        </w:tabs>
        <w:spacing w:after="80"/>
        <w:ind w:left="680"/>
        <w:rPr>
          <w:u w:val="single"/>
        </w:rPr>
      </w:pPr>
      <w:r>
        <w:rPr>
          <w:u w:val="single"/>
        </w:rPr>
        <w:tab/>
      </w:r>
    </w:p>
  </w:footnote>
  <w:footnote w:type="continuationSeparator" w:id="0">
    <w:p w14:paraId="4D2E79F3" w14:textId="77777777" w:rsidR="00F37AF8" w:rsidRPr="00FC68B7" w:rsidRDefault="00F37AF8" w:rsidP="00FC68B7">
      <w:pPr>
        <w:tabs>
          <w:tab w:val="left" w:pos="2155"/>
        </w:tabs>
        <w:spacing w:after="80"/>
        <w:ind w:left="680"/>
        <w:rPr>
          <w:u w:val="single"/>
        </w:rPr>
      </w:pPr>
      <w:r>
        <w:rPr>
          <w:u w:val="single"/>
        </w:rPr>
        <w:tab/>
      </w:r>
    </w:p>
  </w:footnote>
  <w:footnote w:type="continuationNotice" w:id="1">
    <w:p w14:paraId="7B45CC8D" w14:textId="77777777" w:rsidR="00F37AF8" w:rsidRDefault="00F37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9F36" w14:textId="77777777" w:rsidR="00734A2E" w:rsidRDefault="0073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C674" w14:textId="77777777" w:rsidR="00734A2E" w:rsidRDefault="00734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CellMar>
        <w:left w:w="0" w:type="dxa"/>
        <w:right w:w="0" w:type="dxa"/>
      </w:tblCellMar>
      <w:tblLook w:val="04A0" w:firstRow="1" w:lastRow="0" w:firstColumn="1" w:lastColumn="0" w:noHBand="0" w:noVBand="1"/>
    </w:tblPr>
    <w:tblGrid>
      <w:gridCol w:w="4960"/>
      <w:gridCol w:w="4960"/>
    </w:tblGrid>
    <w:tr w:rsidR="008E7873" w:rsidRPr="008E7873" w14:paraId="528C96EB" w14:textId="77777777" w:rsidTr="00FF0598">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EBA1553" w14:textId="68368A44" w:rsidR="008E7873" w:rsidRPr="008E7873" w:rsidRDefault="008E7873" w:rsidP="008E7873">
          <w:r w:rsidRPr="008E7873">
            <w:t>Subm</w:t>
          </w:r>
          <w:r>
            <w:t xml:space="preserve">itted by the expert from </w:t>
          </w:r>
          <w:r w:rsidR="002F4232">
            <w:t>OICA</w:t>
          </w:r>
        </w:p>
        <w:p w14:paraId="03D0E1DB" w14:textId="77777777" w:rsidR="008E7873" w:rsidRPr="008E7873" w:rsidRDefault="008E7873" w:rsidP="008E7873">
          <w:r w:rsidRPr="008E7873">
            <w:t> </w:t>
          </w:r>
        </w:p>
      </w:tc>
      <w:tc>
        <w:tcPr>
          <w:tcW w:w="4960" w:type="dxa"/>
          <w:tcBorders>
            <w:top w:val="single" w:sz="8" w:space="0" w:color="FFFFFF"/>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7F7533B8" w14:textId="5F133922" w:rsidR="008E7873" w:rsidRPr="00F457AA" w:rsidRDefault="008E7873" w:rsidP="008E7873">
          <w:r w:rsidRPr="00F457AA">
            <w:rPr>
              <w:u w:val="single"/>
            </w:rPr>
            <w:t>Informal document</w:t>
          </w:r>
          <w:r w:rsidRPr="00F457AA">
            <w:t xml:space="preserve"> </w:t>
          </w:r>
          <w:r w:rsidRPr="00F457AA">
            <w:rPr>
              <w:b/>
            </w:rPr>
            <w:t>GR</w:t>
          </w:r>
          <w:r w:rsidR="00B72CB2" w:rsidRPr="00F457AA">
            <w:rPr>
              <w:b/>
            </w:rPr>
            <w:t>S</w:t>
          </w:r>
          <w:r w:rsidR="009B3280" w:rsidRPr="00F457AA">
            <w:rPr>
              <w:b/>
            </w:rPr>
            <w:t>P</w:t>
          </w:r>
          <w:r w:rsidRPr="00F457AA">
            <w:rPr>
              <w:b/>
            </w:rPr>
            <w:t>-</w:t>
          </w:r>
          <w:r w:rsidR="00720CD3">
            <w:rPr>
              <w:b/>
            </w:rPr>
            <w:t>7</w:t>
          </w:r>
          <w:r w:rsidR="00CC263F">
            <w:rPr>
              <w:b/>
            </w:rPr>
            <w:t>3</w:t>
          </w:r>
          <w:r w:rsidRPr="00F457AA">
            <w:rPr>
              <w:b/>
            </w:rPr>
            <w:t>-</w:t>
          </w:r>
          <w:r w:rsidR="00464636">
            <w:rPr>
              <w:b/>
            </w:rPr>
            <w:t>31</w:t>
          </w:r>
        </w:p>
        <w:p w14:paraId="4E4E1DA4" w14:textId="6A108007" w:rsidR="008E7873" w:rsidRPr="00F457AA" w:rsidRDefault="008E7873" w:rsidP="008E7873">
          <w:r w:rsidRPr="00F457AA">
            <w:t>(</w:t>
          </w:r>
          <w:r w:rsidR="00720CD3">
            <w:t>7</w:t>
          </w:r>
          <w:r w:rsidR="00CC263F">
            <w:t>3</w:t>
          </w:r>
          <w:proofErr w:type="gramStart"/>
          <w:r w:rsidR="00CC263F" w:rsidRPr="00CC263F">
            <w:rPr>
              <w:vertAlign w:val="superscript"/>
            </w:rPr>
            <w:t>rd</w:t>
          </w:r>
          <w:r w:rsidR="00CC263F">
            <w:t xml:space="preserve"> </w:t>
          </w:r>
          <w:r w:rsidR="0069728C" w:rsidRPr="00F457AA">
            <w:rPr>
              <w:vertAlign w:val="superscript"/>
            </w:rPr>
            <w:t xml:space="preserve"> </w:t>
          </w:r>
          <w:r w:rsidRPr="00F457AA">
            <w:t>GRS</w:t>
          </w:r>
          <w:r w:rsidR="009B3280" w:rsidRPr="00F457AA">
            <w:t>P</w:t>
          </w:r>
          <w:proofErr w:type="gramEnd"/>
          <w:r w:rsidRPr="00F457AA">
            <w:t xml:space="preserve">, </w:t>
          </w:r>
          <w:r w:rsidR="00C02674" w:rsidRPr="00F457AA">
            <w:t>1</w:t>
          </w:r>
          <w:r w:rsidR="00720CD3">
            <w:t>5-</w:t>
          </w:r>
          <w:r w:rsidR="00CC263F">
            <w:t>1</w:t>
          </w:r>
          <w:r w:rsidR="00720CD3">
            <w:t xml:space="preserve">9 </w:t>
          </w:r>
          <w:r w:rsidR="00CC263F">
            <w:t>May</w:t>
          </w:r>
          <w:r w:rsidR="00720CD3">
            <w:t xml:space="preserve"> 202</w:t>
          </w:r>
          <w:r w:rsidR="00CC263F">
            <w:t>3</w:t>
          </w:r>
          <w:r w:rsidRPr="00F457AA">
            <w:t xml:space="preserve"> </w:t>
          </w:r>
        </w:p>
        <w:p w14:paraId="25D409E7" w14:textId="3E276684" w:rsidR="008E7873" w:rsidRPr="008E7873" w:rsidRDefault="008E7873" w:rsidP="00B72CB2">
          <w:r w:rsidRPr="00F457AA">
            <w:t xml:space="preserve"> </w:t>
          </w:r>
          <w:r>
            <w:t xml:space="preserve">agenda item </w:t>
          </w:r>
          <w:r w:rsidR="00F1414E">
            <w:t>1</w:t>
          </w:r>
          <w:r w:rsidR="006149AC">
            <w:rPr>
              <w:lang w:eastAsia="ja-JP"/>
            </w:rPr>
            <w:t>8</w:t>
          </w:r>
          <w:r w:rsidRPr="008E7873">
            <w:t>)</w:t>
          </w:r>
        </w:p>
      </w:tc>
    </w:tr>
  </w:tbl>
  <w:p w14:paraId="76869174" w14:textId="77777777" w:rsidR="008E7873" w:rsidRDefault="008E7873" w:rsidP="008E7873">
    <w:pPr>
      <w:pStyle w:val="Header"/>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C1CE1"/>
    <w:multiLevelType w:val="hybridMultilevel"/>
    <w:tmpl w:val="9DEE3802"/>
    <w:lvl w:ilvl="0" w:tplc="355C8BAA">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A61D5"/>
    <w:multiLevelType w:val="hybridMultilevel"/>
    <w:tmpl w:val="AB24166A"/>
    <w:lvl w:ilvl="0" w:tplc="DE12F11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169EA"/>
    <w:multiLevelType w:val="hybridMultilevel"/>
    <w:tmpl w:val="F488B630"/>
    <w:lvl w:ilvl="0" w:tplc="0D469ABE">
      <w:start w:val="1"/>
      <w:numFmt w:val="decimal"/>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7" w15:restartNumberingAfterBreak="0">
    <w:nsid w:val="57187782"/>
    <w:multiLevelType w:val="hybridMultilevel"/>
    <w:tmpl w:val="DF94F5EA"/>
    <w:lvl w:ilvl="0" w:tplc="1E422AA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F663A"/>
    <w:multiLevelType w:val="hybridMultilevel"/>
    <w:tmpl w:val="FE40927C"/>
    <w:lvl w:ilvl="0" w:tplc="04130001">
      <w:start w:val="1"/>
      <w:numFmt w:val="bullet"/>
      <w:lvlText w:val=""/>
      <w:lvlJc w:val="left"/>
      <w:pPr>
        <w:ind w:left="3030" w:hanging="360"/>
      </w:pPr>
      <w:rPr>
        <w:rFonts w:ascii="Symbol" w:hAnsi="Symbol" w:hint="default"/>
      </w:rPr>
    </w:lvl>
    <w:lvl w:ilvl="1" w:tplc="04130003" w:tentative="1">
      <w:start w:val="1"/>
      <w:numFmt w:val="bullet"/>
      <w:lvlText w:val="o"/>
      <w:lvlJc w:val="left"/>
      <w:pPr>
        <w:ind w:left="3750" w:hanging="360"/>
      </w:pPr>
      <w:rPr>
        <w:rFonts w:ascii="Courier New" w:hAnsi="Courier New" w:cs="Courier New" w:hint="default"/>
      </w:rPr>
    </w:lvl>
    <w:lvl w:ilvl="2" w:tplc="04130005" w:tentative="1">
      <w:start w:val="1"/>
      <w:numFmt w:val="bullet"/>
      <w:lvlText w:val=""/>
      <w:lvlJc w:val="left"/>
      <w:pPr>
        <w:ind w:left="4470" w:hanging="360"/>
      </w:pPr>
      <w:rPr>
        <w:rFonts w:ascii="Wingdings" w:hAnsi="Wingdings" w:hint="default"/>
      </w:rPr>
    </w:lvl>
    <w:lvl w:ilvl="3" w:tplc="04130001" w:tentative="1">
      <w:start w:val="1"/>
      <w:numFmt w:val="bullet"/>
      <w:lvlText w:val=""/>
      <w:lvlJc w:val="left"/>
      <w:pPr>
        <w:ind w:left="5190" w:hanging="360"/>
      </w:pPr>
      <w:rPr>
        <w:rFonts w:ascii="Symbol" w:hAnsi="Symbol" w:hint="default"/>
      </w:rPr>
    </w:lvl>
    <w:lvl w:ilvl="4" w:tplc="04130003" w:tentative="1">
      <w:start w:val="1"/>
      <w:numFmt w:val="bullet"/>
      <w:lvlText w:val="o"/>
      <w:lvlJc w:val="left"/>
      <w:pPr>
        <w:ind w:left="5910" w:hanging="360"/>
      </w:pPr>
      <w:rPr>
        <w:rFonts w:ascii="Courier New" w:hAnsi="Courier New" w:cs="Courier New" w:hint="default"/>
      </w:rPr>
    </w:lvl>
    <w:lvl w:ilvl="5" w:tplc="04130005" w:tentative="1">
      <w:start w:val="1"/>
      <w:numFmt w:val="bullet"/>
      <w:lvlText w:val=""/>
      <w:lvlJc w:val="left"/>
      <w:pPr>
        <w:ind w:left="6630" w:hanging="360"/>
      </w:pPr>
      <w:rPr>
        <w:rFonts w:ascii="Wingdings" w:hAnsi="Wingdings" w:hint="default"/>
      </w:rPr>
    </w:lvl>
    <w:lvl w:ilvl="6" w:tplc="04130001" w:tentative="1">
      <w:start w:val="1"/>
      <w:numFmt w:val="bullet"/>
      <w:lvlText w:val=""/>
      <w:lvlJc w:val="left"/>
      <w:pPr>
        <w:ind w:left="7350" w:hanging="360"/>
      </w:pPr>
      <w:rPr>
        <w:rFonts w:ascii="Symbol" w:hAnsi="Symbol" w:hint="default"/>
      </w:rPr>
    </w:lvl>
    <w:lvl w:ilvl="7" w:tplc="04130003" w:tentative="1">
      <w:start w:val="1"/>
      <w:numFmt w:val="bullet"/>
      <w:lvlText w:val="o"/>
      <w:lvlJc w:val="left"/>
      <w:pPr>
        <w:ind w:left="8070" w:hanging="360"/>
      </w:pPr>
      <w:rPr>
        <w:rFonts w:ascii="Courier New" w:hAnsi="Courier New" w:cs="Courier New" w:hint="default"/>
      </w:rPr>
    </w:lvl>
    <w:lvl w:ilvl="8" w:tplc="04130005" w:tentative="1">
      <w:start w:val="1"/>
      <w:numFmt w:val="bullet"/>
      <w:lvlText w:val=""/>
      <w:lvlJc w:val="left"/>
      <w:pPr>
        <w:ind w:left="8790" w:hanging="360"/>
      </w:pPr>
      <w:rPr>
        <w:rFonts w:ascii="Wingdings" w:hAnsi="Wingdings" w:hint="default"/>
      </w:r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E2166"/>
    <w:multiLevelType w:val="hybridMultilevel"/>
    <w:tmpl w:val="2FE83144"/>
    <w:lvl w:ilvl="0" w:tplc="6E448F48">
      <w:start w:val="1"/>
      <w:numFmt w:val="upperRoman"/>
      <w:lvlText w:val="%1."/>
      <w:lvlJc w:val="left"/>
      <w:pPr>
        <w:ind w:left="1395" w:hanging="72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num w:numId="1" w16cid:durableId="601645055">
    <w:abstractNumId w:val="1"/>
  </w:num>
  <w:num w:numId="2" w16cid:durableId="948389961">
    <w:abstractNumId w:val="0"/>
  </w:num>
  <w:num w:numId="3" w16cid:durableId="2041777087">
    <w:abstractNumId w:val="2"/>
  </w:num>
  <w:num w:numId="4" w16cid:durableId="2131514048">
    <w:abstractNumId w:val="3"/>
  </w:num>
  <w:num w:numId="5" w16cid:durableId="1440026488">
    <w:abstractNumId w:val="8"/>
  </w:num>
  <w:num w:numId="6" w16cid:durableId="789978812">
    <w:abstractNumId w:val="9"/>
  </w:num>
  <w:num w:numId="7" w16cid:durableId="1842162919">
    <w:abstractNumId w:val="7"/>
  </w:num>
  <w:num w:numId="8" w16cid:durableId="1687629367">
    <w:abstractNumId w:val="6"/>
  </w:num>
  <w:num w:numId="9" w16cid:durableId="1947879502">
    <w:abstractNumId w:val="5"/>
  </w:num>
  <w:num w:numId="10" w16cid:durableId="1240015509">
    <w:abstractNumId w:val="4"/>
  </w:num>
  <w:num w:numId="11" w16cid:durableId="330526761">
    <w:abstractNumId w:val="19"/>
  </w:num>
  <w:num w:numId="12" w16cid:durableId="2066221059">
    <w:abstractNumId w:val="12"/>
  </w:num>
  <w:num w:numId="13" w16cid:durableId="419452861">
    <w:abstractNumId w:val="11"/>
  </w:num>
  <w:num w:numId="14" w16cid:durableId="1674381593">
    <w:abstractNumId w:val="20"/>
  </w:num>
  <w:num w:numId="15" w16cid:durableId="501898944">
    <w:abstractNumId w:val="21"/>
  </w:num>
  <w:num w:numId="16" w16cid:durableId="1280142736">
    <w:abstractNumId w:val="10"/>
  </w:num>
  <w:num w:numId="17" w16cid:durableId="1504854597">
    <w:abstractNumId w:val="13"/>
  </w:num>
  <w:num w:numId="18" w16cid:durableId="1788307513">
    <w:abstractNumId w:val="22"/>
  </w:num>
  <w:num w:numId="19" w16cid:durableId="1656058968">
    <w:abstractNumId w:val="18"/>
  </w:num>
  <w:num w:numId="20" w16cid:durableId="1220826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1144529">
    <w:abstractNumId w:val="15"/>
  </w:num>
  <w:num w:numId="22" w16cid:durableId="269895975">
    <w:abstractNumId w:val="17"/>
  </w:num>
  <w:num w:numId="23" w16cid:durableId="398139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fr-CH" w:vendorID="64" w:dllVersion="6" w:nlCheck="1" w:checkStyle="0"/>
  <w:activeWritingStyle w:appName="MSWord" w:lang="nl-NL" w:vendorID="64" w:dllVersion="6" w:nlCheck="1" w:checkStyle="0"/>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14683"/>
    <w:rsid w:val="0000032E"/>
    <w:rsid w:val="00003F99"/>
    <w:rsid w:val="00004E7E"/>
    <w:rsid w:val="00011417"/>
    <w:rsid w:val="00046B1F"/>
    <w:rsid w:val="00050F6B"/>
    <w:rsid w:val="00052635"/>
    <w:rsid w:val="00057E97"/>
    <w:rsid w:val="00062F2C"/>
    <w:rsid w:val="000646F4"/>
    <w:rsid w:val="000656CD"/>
    <w:rsid w:val="00072C8C"/>
    <w:rsid w:val="000733B5"/>
    <w:rsid w:val="000751ED"/>
    <w:rsid w:val="00081815"/>
    <w:rsid w:val="00083C2A"/>
    <w:rsid w:val="00084E64"/>
    <w:rsid w:val="00092985"/>
    <w:rsid w:val="000931C0"/>
    <w:rsid w:val="00095BF8"/>
    <w:rsid w:val="00097C31"/>
    <w:rsid w:val="000A436F"/>
    <w:rsid w:val="000B0595"/>
    <w:rsid w:val="000B175B"/>
    <w:rsid w:val="000B1BF0"/>
    <w:rsid w:val="000B2F02"/>
    <w:rsid w:val="000B3A0F"/>
    <w:rsid w:val="000B4EF7"/>
    <w:rsid w:val="000C28F2"/>
    <w:rsid w:val="000C2C03"/>
    <w:rsid w:val="000C2D2E"/>
    <w:rsid w:val="000C5754"/>
    <w:rsid w:val="000C6B20"/>
    <w:rsid w:val="000E0415"/>
    <w:rsid w:val="000E13A1"/>
    <w:rsid w:val="000E3BC5"/>
    <w:rsid w:val="000F0772"/>
    <w:rsid w:val="000F436F"/>
    <w:rsid w:val="000F767E"/>
    <w:rsid w:val="00101CA0"/>
    <w:rsid w:val="001103AA"/>
    <w:rsid w:val="00110402"/>
    <w:rsid w:val="001157B4"/>
    <w:rsid w:val="00115C12"/>
    <w:rsid w:val="0011666B"/>
    <w:rsid w:val="0012063C"/>
    <w:rsid w:val="00123B30"/>
    <w:rsid w:val="00134250"/>
    <w:rsid w:val="001413A4"/>
    <w:rsid w:val="00151766"/>
    <w:rsid w:val="001558CD"/>
    <w:rsid w:val="001570A7"/>
    <w:rsid w:val="00162CC8"/>
    <w:rsid w:val="00165F3A"/>
    <w:rsid w:val="00167516"/>
    <w:rsid w:val="00182290"/>
    <w:rsid w:val="00183157"/>
    <w:rsid w:val="0018324F"/>
    <w:rsid w:val="00190569"/>
    <w:rsid w:val="00190D52"/>
    <w:rsid w:val="00195B70"/>
    <w:rsid w:val="001A3955"/>
    <w:rsid w:val="001A63A2"/>
    <w:rsid w:val="001B4B04"/>
    <w:rsid w:val="001C18E2"/>
    <w:rsid w:val="001C2A68"/>
    <w:rsid w:val="001C6663"/>
    <w:rsid w:val="001C7895"/>
    <w:rsid w:val="001D0C8C"/>
    <w:rsid w:val="001D1419"/>
    <w:rsid w:val="001D26DF"/>
    <w:rsid w:val="001D3A03"/>
    <w:rsid w:val="001D5147"/>
    <w:rsid w:val="001D51A3"/>
    <w:rsid w:val="001E5A31"/>
    <w:rsid w:val="001E6C26"/>
    <w:rsid w:val="001E7B67"/>
    <w:rsid w:val="00202DA8"/>
    <w:rsid w:val="00206755"/>
    <w:rsid w:val="0020759A"/>
    <w:rsid w:val="00211E0B"/>
    <w:rsid w:val="00226076"/>
    <w:rsid w:val="00234EDA"/>
    <w:rsid w:val="0024459A"/>
    <w:rsid w:val="002466E3"/>
    <w:rsid w:val="0024772E"/>
    <w:rsid w:val="002508C6"/>
    <w:rsid w:val="002578FB"/>
    <w:rsid w:val="00264550"/>
    <w:rsid w:val="00267F5F"/>
    <w:rsid w:val="00286B4D"/>
    <w:rsid w:val="002A6714"/>
    <w:rsid w:val="002A69F4"/>
    <w:rsid w:val="002B53F9"/>
    <w:rsid w:val="002B54F9"/>
    <w:rsid w:val="002B5A41"/>
    <w:rsid w:val="002C3BD0"/>
    <w:rsid w:val="002C4940"/>
    <w:rsid w:val="002D0AEC"/>
    <w:rsid w:val="002D4643"/>
    <w:rsid w:val="002D63CB"/>
    <w:rsid w:val="002F175C"/>
    <w:rsid w:val="002F4232"/>
    <w:rsid w:val="002F71C1"/>
    <w:rsid w:val="002F7DE0"/>
    <w:rsid w:val="00302E18"/>
    <w:rsid w:val="00303042"/>
    <w:rsid w:val="00304755"/>
    <w:rsid w:val="003070DB"/>
    <w:rsid w:val="0031519A"/>
    <w:rsid w:val="003229D8"/>
    <w:rsid w:val="0032301F"/>
    <w:rsid w:val="00331DFA"/>
    <w:rsid w:val="00332907"/>
    <w:rsid w:val="00341C83"/>
    <w:rsid w:val="00342935"/>
    <w:rsid w:val="003438E1"/>
    <w:rsid w:val="00343BBD"/>
    <w:rsid w:val="00352709"/>
    <w:rsid w:val="00352AFB"/>
    <w:rsid w:val="00352D26"/>
    <w:rsid w:val="003608FF"/>
    <w:rsid w:val="003619B5"/>
    <w:rsid w:val="00361AC3"/>
    <w:rsid w:val="003651FB"/>
    <w:rsid w:val="00365763"/>
    <w:rsid w:val="00371178"/>
    <w:rsid w:val="00375FCA"/>
    <w:rsid w:val="00377081"/>
    <w:rsid w:val="0038570D"/>
    <w:rsid w:val="00392E47"/>
    <w:rsid w:val="003A6810"/>
    <w:rsid w:val="003B0225"/>
    <w:rsid w:val="003C2CC4"/>
    <w:rsid w:val="003C534D"/>
    <w:rsid w:val="003D4B23"/>
    <w:rsid w:val="003D65A1"/>
    <w:rsid w:val="003E130E"/>
    <w:rsid w:val="003E1FCF"/>
    <w:rsid w:val="003E55A9"/>
    <w:rsid w:val="003E6C9E"/>
    <w:rsid w:val="003E79E2"/>
    <w:rsid w:val="003F1307"/>
    <w:rsid w:val="00404EE7"/>
    <w:rsid w:val="00406ACA"/>
    <w:rsid w:val="00410571"/>
    <w:rsid w:val="00410C89"/>
    <w:rsid w:val="00411C2C"/>
    <w:rsid w:val="004167DE"/>
    <w:rsid w:val="00422E03"/>
    <w:rsid w:val="00426B9B"/>
    <w:rsid w:val="004312B4"/>
    <w:rsid w:val="004325CB"/>
    <w:rsid w:val="00442A83"/>
    <w:rsid w:val="00450153"/>
    <w:rsid w:val="0045495B"/>
    <w:rsid w:val="004561E5"/>
    <w:rsid w:val="00463130"/>
    <w:rsid w:val="00464636"/>
    <w:rsid w:val="00465B85"/>
    <w:rsid w:val="00466D69"/>
    <w:rsid w:val="00474D4F"/>
    <w:rsid w:val="00481754"/>
    <w:rsid w:val="00481987"/>
    <w:rsid w:val="0048397A"/>
    <w:rsid w:val="00485CBB"/>
    <w:rsid w:val="004866B7"/>
    <w:rsid w:val="00491D33"/>
    <w:rsid w:val="00491FAE"/>
    <w:rsid w:val="00492886"/>
    <w:rsid w:val="004C1A4F"/>
    <w:rsid w:val="004C2461"/>
    <w:rsid w:val="004C7462"/>
    <w:rsid w:val="004D2E22"/>
    <w:rsid w:val="004D6601"/>
    <w:rsid w:val="004E02E0"/>
    <w:rsid w:val="004E06AB"/>
    <w:rsid w:val="004E46C7"/>
    <w:rsid w:val="004E6D1D"/>
    <w:rsid w:val="004E77B2"/>
    <w:rsid w:val="005046E1"/>
    <w:rsid w:val="00504B2D"/>
    <w:rsid w:val="0051376C"/>
    <w:rsid w:val="0052136D"/>
    <w:rsid w:val="00525743"/>
    <w:rsid w:val="0052775E"/>
    <w:rsid w:val="00527E04"/>
    <w:rsid w:val="00536456"/>
    <w:rsid w:val="005420F2"/>
    <w:rsid w:val="00542BE8"/>
    <w:rsid w:val="0054402A"/>
    <w:rsid w:val="005507DC"/>
    <w:rsid w:val="0055515A"/>
    <w:rsid w:val="0056209A"/>
    <w:rsid w:val="005628B6"/>
    <w:rsid w:val="005739B7"/>
    <w:rsid w:val="005851DF"/>
    <w:rsid w:val="00586686"/>
    <w:rsid w:val="005941EC"/>
    <w:rsid w:val="005952CB"/>
    <w:rsid w:val="0059724D"/>
    <w:rsid w:val="005A6FCA"/>
    <w:rsid w:val="005B206A"/>
    <w:rsid w:val="005B320C"/>
    <w:rsid w:val="005B3DB3"/>
    <w:rsid w:val="005B4E13"/>
    <w:rsid w:val="005C342F"/>
    <w:rsid w:val="005C7D1E"/>
    <w:rsid w:val="005C7D71"/>
    <w:rsid w:val="005D55B9"/>
    <w:rsid w:val="005E138B"/>
    <w:rsid w:val="005F7B75"/>
    <w:rsid w:val="006001EE"/>
    <w:rsid w:val="006022E6"/>
    <w:rsid w:val="00604DBB"/>
    <w:rsid w:val="00605042"/>
    <w:rsid w:val="00611FC4"/>
    <w:rsid w:val="006149AC"/>
    <w:rsid w:val="006176FB"/>
    <w:rsid w:val="00626505"/>
    <w:rsid w:val="006271CC"/>
    <w:rsid w:val="006279C8"/>
    <w:rsid w:val="00636463"/>
    <w:rsid w:val="00640B26"/>
    <w:rsid w:val="00644E74"/>
    <w:rsid w:val="00647B6B"/>
    <w:rsid w:val="00652D0A"/>
    <w:rsid w:val="00662BB6"/>
    <w:rsid w:val="006676D6"/>
    <w:rsid w:val="00667E01"/>
    <w:rsid w:val="00671B51"/>
    <w:rsid w:val="0067362F"/>
    <w:rsid w:val="00676606"/>
    <w:rsid w:val="006769D5"/>
    <w:rsid w:val="00680A55"/>
    <w:rsid w:val="00684C21"/>
    <w:rsid w:val="00695D3E"/>
    <w:rsid w:val="0069728C"/>
    <w:rsid w:val="006A2530"/>
    <w:rsid w:val="006C3589"/>
    <w:rsid w:val="006C6D4F"/>
    <w:rsid w:val="006D269A"/>
    <w:rsid w:val="006D37AF"/>
    <w:rsid w:val="006D51D0"/>
    <w:rsid w:val="006D5625"/>
    <w:rsid w:val="006D5FB9"/>
    <w:rsid w:val="006D658E"/>
    <w:rsid w:val="006E2C1E"/>
    <w:rsid w:val="006E46A8"/>
    <w:rsid w:val="006E4DD7"/>
    <w:rsid w:val="006E564B"/>
    <w:rsid w:val="006E7191"/>
    <w:rsid w:val="006F34EB"/>
    <w:rsid w:val="006F7FB0"/>
    <w:rsid w:val="00703577"/>
    <w:rsid w:val="007048FF"/>
    <w:rsid w:val="00705894"/>
    <w:rsid w:val="007129BD"/>
    <w:rsid w:val="007166BE"/>
    <w:rsid w:val="00720CD3"/>
    <w:rsid w:val="007246B1"/>
    <w:rsid w:val="007254B2"/>
    <w:rsid w:val="0072632A"/>
    <w:rsid w:val="007327D5"/>
    <w:rsid w:val="00734A2E"/>
    <w:rsid w:val="00736935"/>
    <w:rsid w:val="00755916"/>
    <w:rsid w:val="00757D7C"/>
    <w:rsid w:val="007629C8"/>
    <w:rsid w:val="0077047D"/>
    <w:rsid w:val="00773B51"/>
    <w:rsid w:val="00786957"/>
    <w:rsid w:val="00790AEE"/>
    <w:rsid w:val="00795C24"/>
    <w:rsid w:val="007B5E32"/>
    <w:rsid w:val="007B6BA5"/>
    <w:rsid w:val="007C045F"/>
    <w:rsid w:val="007C3390"/>
    <w:rsid w:val="007C4F4B"/>
    <w:rsid w:val="007C7CFC"/>
    <w:rsid w:val="007D1A12"/>
    <w:rsid w:val="007E01E9"/>
    <w:rsid w:val="007E1B56"/>
    <w:rsid w:val="007E6249"/>
    <w:rsid w:val="007E63F3"/>
    <w:rsid w:val="007F6611"/>
    <w:rsid w:val="00800925"/>
    <w:rsid w:val="0080540A"/>
    <w:rsid w:val="0081141A"/>
    <w:rsid w:val="00811920"/>
    <w:rsid w:val="00812F0B"/>
    <w:rsid w:val="00813552"/>
    <w:rsid w:val="00815AD0"/>
    <w:rsid w:val="00815EDB"/>
    <w:rsid w:val="00816E35"/>
    <w:rsid w:val="00822EF3"/>
    <w:rsid w:val="008242D7"/>
    <w:rsid w:val="008257B1"/>
    <w:rsid w:val="0083046D"/>
    <w:rsid w:val="00830D74"/>
    <w:rsid w:val="00832334"/>
    <w:rsid w:val="00834806"/>
    <w:rsid w:val="00834BC9"/>
    <w:rsid w:val="00843191"/>
    <w:rsid w:val="00843767"/>
    <w:rsid w:val="008521DB"/>
    <w:rsid w:val="00862473"/>
    <w:rsid w:val="008637B4"/>
    <w:rsid w:val="008679D9"/>
    <w:rsid w:val="008748AD"/>
    <w:rsid w:val="00874951"/>
    <w:rsid w:val="008878DE"/>
    <w:rsid w:val="008979B1"/>
    <w:rsid w:val="008A1ED5"/>
    <w:rsid w:val="008A6B25"/>
    <w:rsid w:val="008A6C4F"/>
    <w:rsid w:val="008B2335"/>
    <w:rsid w:val="008B2E36"/>
    <w:rsid w:val="008C33F6"/>
    <w:rsid w:val="008D10E9"/>
    <w:rsid w:val="008E0678"/>
    <w:rsid w:val="008E2B2F"/>
    <w:rsid w:val="008E3C50"/>
    <w:rsid w:val="008E7873"/>
    <w:rsid w:val="008F31D2"/>
    <w:rsid w:val="009034C1"/>
    <w:rsid w:val="00913B1D"/>
    <w:rsid w:val="00915EF6"/>
    <w:rsid w:val="009223CA"/>
    <w:rsid w:val="00940F93"/>
    <w:rsid w:val="009448C3"/>
    <w:rsid w:val="009451F6"/>
    <w:rsid w:val="0095131A"/>
    <w:rsid w:val="00955198"/>
    <w:rsid w:val="00955924"/>
    <w:rsid w:val="00974D03"/>
    <w:rsid w:val="009760F3"/>
    <w:rsid w:val="00976CFB"/>
    <w:rsid w:val="00976F59"/>
    <w:rsid w:val="009836C5"/>
    <w:rsid w:val="00990EC1"/>
    <w:rsid w:val="009964F6"/>
    <w:rsid w:val="0099690C"/>
    <w:rsid w:val="009A0830"/>
    <w:rsid w:val="009A0E8D"/>
    <w:rsid w:val="009A1C7F"/>
    <w:rsid w:val="009B0F0E"/>
    <w:rsid w:val="009B26E7"/>
    <w:rsid w:val="009B3280"/>
    <w:rsid w:val="009B64BB"/>
    <w:rsid w:val="009D30EE"/>
    <w:rsid w:val="009D38BE"/>
    <w:rsid w:val="009F5CB6"/>
    <w:rsid w:val="00A00697"/>
    <w:rsid w:val="00A00A3F"/>
    <w:rsid w:val="00A01489"/>
    <w:rsid w:val="00A066EE"/>
    <w:rsid w:val="00A1023C"/>
    <w:rsid w:val="00A275FA"/>
    <w:rsid w:val="00A3026E"/>
    <w:rsid w:val="00A3170F"/>
    <w:rsid w:val="00A338F1"/>
    <w:rsid w:val="00A35BE0"/>
    <w:rsid w:val="00A37FE8"/>
    <w:rsid w:val="00A46A28"/>
    <w:rsid w:val="00A57F4F"/>
    <w:rsid w:val="00A6129C"/>
    <w:rsid w:val="00A716F1"/>
    <w:rsid w:val="00A72F22"/>
    <w:rsid w:val="00A7360F"/>
    <w:rsid w:val="00A748A6"/>
    <w:rsid w:val="00A769F4"/>
    <w:rsid w:val="00A776B4"/>
    <w:rsid w:val="00A8304A"/>
    <w:rsid w:val="00A83EC3"/>
    <w:rsid w:val="00A9273B"/>
    <w:rsid w:val="00A93636"/>
    <w:rsid w:val="00A93ECC"/>
    <w:rsid w:val="00A94361"/>
    <w:rsid w:val="00AA180E"/>
    <w:rsid w:val="00AA293C"/>
    <w:rsid w:val="00AA72CC"/>
    <w:rsid w:val="00AA7343"/>
    <w:rsid w:val="00AB19AE"/>
    <w:rsid w:val="00AB3399"/>
    <w:rsid w:val="00AB4B1F"/>
    <w:rsid w:val="00AC230D"/>
    <w:rsid w:val="00AC493F"/>
    <w:rsid w:val="00AD1FB1"/>
    <w:rsid w:val="00AD3972"/>
    <w:rsid w:val="00AE4DCD"/>
    <w:rsid w:val="00AE4FAA"/>
    <w:rsid w:val="00AE5B44"/>
    <w:rsid w:val="00AF35A1"/>
    <w:rsid w:val="00B04EFB"/>
    <w:rsid w:val="00B30179"/>
    <w:rsid w:val="00B377A3"/>
    <w:rsid w:val="00B421C1"/>
    <w:rsid w:val="00B53C21"/>
    <w:rsid w:val="00B54C6D"/>
    <w:rsid w:val="00B55C71"/>
    <w:rsid w:val="00B56E4A"/>
    <w:rsid w:val="00B56E9C"/>
    <w:rsid w:val="00B64B1F"/>
    <w:rsid w:val="00B6553F"/>
    <w:rsid w:val="00B72CB2"/>
    <w:rsid w:val="00B7475F"/>
    <w:rsid w:val="00B77D05"/>
    <w:rsid w:val="00B81206"/>
    <w:rsid w:val="00B81E12"/>
    <w:rsid w:val="00B8473B"/>
    <w:rsid w:val="00B90F1E"/>
    <w:rsid w:val="00B97750"/>
    <w:rsid w:val="00BA5467"/>
    <w:rsid w:val="00BA6647"/>
    <w:rsid w:val="00BA6B46"/>
    <w:rsid w:val="00BC2AC9"/>
    <w:rsid w:val="00BC3FA0"/>
    <w:rsid w:val="00BC73CB"/>
    <w:rsid w:val="00BC74E9"/>
    <w:rsid w:val="00BD4BA1"/>
    <w:rsid w:val="00BF30B3"/>
    <w:rsid w:val="00BF68A8"/>
    <w:rsid w:val="00C0063B"/>
    <w:rsid w:val="00C01A73"/>
    <w:rsid w:val="00C02674"/>
    <w:rsid w:val="00C02E91"/>
    <w:rsid w:val="00C11A03"/>
    <w:rsid w:val="00C14E4E"/>
    <w:rsid w:val="00C22C0C"/>
    <w:rsid w:val="00C256D3"/>
    <w:rsid w:val="00C25B4A"/>
    <w:rsid w:val="00C35A05"/>
    <w:rsid w:val="00C401F7"/>
    <w:rsid w:val="00C4527F"/>
    <w:rsid w:val="00C463DD"/>
    <w:rsid w:val="00C4724C"/>
    <w:rsid w:val="00C47A6F"/>
    <w:rsid w:val="00C500A9"/>
    <w:rsid w:val="00C50912"/>
    <w:rsid w:val="00C54465"/>
    <w:rsid w:val="00C629A0"/>
    <w:rsid w:val="00C64629"/>
    <w:rsid w:val="00C667A8"/>
    <w:rsid w:val="00C67E84"/>
    <w:rsid w:val="00C745C3"/>
    <w:rsid w:val="00C74DF1"/>
    <w:rsid w:val="00C750B3"/>
    <w:rsid w:val="00C84325"/>
    <w:rsid w:val="00C96DF2"/>
    <w:rsid w:val="00CA7023"/>
    <w:rsid w:val="00CB3E03"/>
    <w:rsid w:val="00CC263F"/>
    <w:rsid w:val="00CC27AB"/>
    <w:rsid w:val="00CC5A5B"/>
    <w:rsid w:val="00CC65BA"/>
    <w:rsid w:val="00CC6936"/>
    <w:rsid w:val="00CD4AA6"/>
    <w:rsid w:val="00CE4A8F"/>
    <w:rsid w:val="00CF6B46"/>
    <w:rsid w:val="00D036C2"/>
    <w:rsid w:val="00D14683"/>
    <w:rsid w:val="00D2031B"/>
    <w:rsid w:val="00D248B6"/>
    <w:rsid w:val="00D25FE2"/>
    <w:rsid w:val="00D26E07"/>
    <w:rsid w:val="00D27303"/>
    <w:rsid w:val="00D35047"/>
    <w:rsid w:val="00D35BE2"/>
    <w:rsid w:val="00D36374"/>
    <w:rsid w:val="00D43252"/>
    <w:rsid w:val="00D46641"/>
    <w:rsid w:val="00D47EEA"/>
    <w:rsid w:val="00D52637"/>
    <w:rsid w:val="00D6761A"/>
    <w:rsid w:val="00D773DF"/>
    <w:rsid w:val="00D82D07"/>
    <w:rsid w:val="00D83295"/>
    <w:rsid w:val="00D95303"/>
    <w:rsid w:val="00D95714"/>
    <w:rsid w:val="00D978C6"/>
    <w:rsid w:val="00DA3C1C"/>
    <w:rsid w:val="00DA596B"/>
    <w:rsid w:val="00DB2939"/>
    <w:rsid w:val="00DC0508"/>
    <w:rsid w:val="00DC2458"/>
    <w:rsid w:val="00DC6D39"/>
    <w:rsid w:val="00DE24AD"/>
    <w:rsid w:val="00DE79F5"/>
    <w:rsid w:val="00E01658"/>
    <w:rsid w:val="00E046DF"/>
    <w:rsid w:val="00E140D8"/>
    <w:rsid w:val="00E17ACC"/>
    <w:rsid w:val="00E205F5"/>
    <w:rsid w:val="00E22B0C"/>
    <w:rsid w:val="00E23673"/>
    <w:rsid w:val="00E26668"/>
    <w:rsid w:val="00E27346"/>
    <w:rsid w:val="00E3289A"/>
    <w:rsid w:val="00E329E4"/>
    <w:rsid w:val="00E40A45"/>
    <w:rsid w:val="00E523BC"/>
    <w:rsid w:val="00E560CA"/>
    <w:rsid w:val="00E56EA4"/>
    <w:rsid w:val="00E62F96"/>
    <w:rsid w:val="00E71BC8"/>
    <w:rsid w:val="00E7260F"/>
    <w:rsid w:val="00E73F5D"/>
    <w:rsid w:val="00E74331"/>
    <w:rsid w:val="00E77E4E"/>
    <w:rsid w:val="00E94403"/>
    <w:rsid w:val="00E96630"/>
    <w:rsid w:val="00E978FA"/>
    <w:rsid w:val="00EA2A77"/>
    <w:rsid w:val="00EC0D83"/>
    <w:rsid w:val="00ED1B52"/>
    <w:rsid w:val="00ED326C"/>
    <w:rsid w:val="00ED7A2A"/>
    <w:rsid w:val="00EE60D3"/>
    <w:rsid w:val="00EE726A"/>
    <w:rsid w:val="00EE7A9E"/>
    <w:rsid w:val="00EF1D7F"/>
    <w:rsid w:val="00F07024"/>
    <w:rsid w:val="00F072E9"/>
    <w:rsid w:val="00F1414E"/>
    <w:rsid w:val="00F16B31"/>
    <w:rsid w:val="00F214F0"/>
    <w:rsid w:val="00F21FE5"/>
    <w:rsid w:val="00F2416F"/>
    <w:rsid w:val="00F2549C"/>
    <w:rsid w:val="00F27E35"/>
    <w:rsid w:val="00F30D68"/>
    <w:rsid w:val="00F31E5F"/>
    <w:rsid w:val="00F37AF8"/>
    <w:rsid w:val="00F457AA"/>
    <w:rsid w:val="00F53261"/>
    <w:rsid w:val="00F6100A"/>
    <w:rsid w:val="00F63BA8"/>
    <w:rsid w:val="00F71229"/>
    <w:rsid w:val="00F72E54"/>
    <w:rsid w:val="00F81E8E"/>
    <w:rsid w:val="00F87CD6"/>
    <w:rsid w:val="00F9290D"/>
    <w:rsid w:val="00F93781"/>
    <w:rsid w:val="00FB613B"/>
    <w:rsid w:val="00FC1B26"/>
    <w:rsid w:val="00FC6286"/>
    <w:rsid w:val="00FC68B7"/>
    <w:rsid w:val="00FD3F98"/>
    <w:rsid w:val="00FD5B03"/>
    <w:rsid w:val="00FE0C30"/>
    <w:rsid w:val="00FE0CD4"/>
    <w:rsid w:val="00FE0CF0"/>
    <w:rsid w:val="00FE106A"/>
    <w:rsid w:val="00FE7450"/>
    <w:rsid w:val="00FF145D"/>
    <w:rsid w:val="00FF3AB2"/>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C3344"/>
  <w15:docId w15:val="{36339A51-724C-4026-A271-38E5761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61A"/>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uiPriority w:val="99"/>
    <w:qFormat/>
    <w:rsid w:val="000646F4"/>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ind w:left="0" w:firstLine="0"/>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styleId="BalloonText">
    <w:name w:val="Balloon Text"/>
    <w:basedOn w:val="Normal"/>
    <w:link w:val="BalloonTextChar"/>
    <w:rsid w:val="00D14683"/>
    <w:pPr>
      <w:spacing w:line="240" w:lineRule="auto"/>
    </w:pPr>
    <w:rPr>
      <w:rFonts w:ascii="Tahoma" w:hAnsi="Tahoma" w:cs="Tahoma"/>
      <w:sz w:val="16"/>
      <w:szCs w:val="16"/>
    </w:rPr>
  </w:style>
  <w:style w:type="character" w:customStyle="1" w:styleId="BalloonTextChar">
    <w:name w:val="Balloon Text Char"/>
    <w:link w:val="BalloonText"/>
    <w:rsid w:val="00D14683"/>
    <w:rPr>
      <w:rFonts w:ascii="Tahoma" w:hAnsi="Tahoma" w:cs="Tahoma"/>
      <w:sz w:val="16"/>
      <w:szCs w:val="16"/>
      <w:lang w:eastAsia="en-US"/>
    </w:rPr>
  </w:style>
  <w:style w:type="paragraph" w:customStyle="1" w:styleId="para">
    <w:name w:val="para"/>
    <w:basedOn w:val="Normal"/>
    <w:link w:val="paraChar"/>
    <w:rsid w:val="000E3BC5"/>
    <w:pPr>
      <w:suppressAutoHyphens w:val="0"/>
      <w:spacing w:after="120"/>
      <w:ind w:left="2268" w:right="1134" w:hanging="1134"/>
      <w:jc w:val="both"/>
    </w:pPr>
    <w:rPr>
      <w:snapToGrid w:val="0"/>
      <w:lang w:val="fr-FR"/>
    </w:rPr>
  </w:style>
  <w:style w:type="character" w:customStyle="1" w:styleId="paraChar">
    <w:name w:val="para Char"/>
    <w:link w:val="para"/>
    <w:rsid w:val="000E3BC5"/>
    <w:rPr>
      <w:snapToGrid w:val="0"/>
      <w:lang w:val="fr-FR" w:eastAsia="en-US"/>
    </w:rPr>
  </w:style>
  <w:style w:type="character" w:customStyle="1" w:styleId="HChGChar">
    <w:name w:val="_ H _Ch_G Char"/>
    <w:link w:val="HChG"/>
    <w:rsid w:val="000E3BC5"/>
    <w:rPr>
      <w:b/>
      <w:sz w:val="28"/>
      <w:lang w:eastAsia="en-US"/>
    </w:rPr>
  </w:style>
  <w:style w:type="paragraph" w:customStyle="1" w:styleId="Default">
    <w:name w:val="Default"/>
    <w:rsid w:val="00F81E8E"/>
    <w:pPr>
      <w:autoSpaceDE w:val="0"/>
      <w:autoSpaceDN w:val="0"/>
      <w:adjustRightInd w:val="0"/>
    </w:pPr>
    <w:rPr>
      <w:color w:val="000000"/>
      <w:sz w:val="24"/>
      <w:szCs w:val="24"/>
      <w:lang w:val="nl-NL" w:eastAsia="zh-CN"/>
    </w:rPr>
  </w:style>
  <w:style w:type="character" w:customStyle="1" w:styleId="HeaderChar">
    <w:name w:val="Header Char"/>
    <w:aliases w:val="6_G Char"/>
    <w:link w:val="Header"/>
    <w:uiPriority w:val="99"/>
    <w:rsid w:val="00C750B3"/>
    <w:rPr>
      <w:b/>
      <w:sz w:val="18"/>
      <w:lang w:eastAsia="en-US"/>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C02E91"/>
    <w:rPr>
      <w:sz w:val="18"/>
      <w:lang w:eastAsia="en-US"/>
    </w:rPr>
  </w:style>
  <w:style w:type="character" w:customStyle="1" w:styleId="CommentTextChar">
    <w:name w:val="Comment Text Char"/>
    <w:basedOn w:val="DefaultParagraphFont"/>
    <w:link w:val="CommentText"/>
    <w:semiHidden/>
    <w:rsid w:val="006D269A"/>
    <w:rPr>
      <w:lang w:eastAsia="en-US"/>
    </w:rPr>
  </w:style>
  <w:style w:type="paragraph" w:styleId="CommentSubject">
    <w:name w:val="annotation subject"/>
    <w:basedOn w:val="CommentText"/>
    <w:next w:val="CommentText"/>
    <w:link w:val="CommentSubjectChar"/>
    <w:semiHidden/>
    <w:unhideWhenUsed/>
    <w:rsid w:val="006D269A"/>
    <w:pPr>
      <w:spacing w:line="240" w:lineRule="auto"/>
    </w:pPr>
    <w:rPr>
      <w:b/>
      <w:bCs/>
    </w:rPr>
  </w:style>
  <w:style w:type="character" w:customStyle="1" w:styleId="CommentSubjectChar">
    <w:name w:val="Comment Subject Char"/>
    <w:basedOn w:val="CommentTextChar"/>
    <w:link w:val="CommentSubject"/>
    <w:semiHidden/>
    <w:rsid w:val="006D269A"/>
    <w:rPr>
      <w:b/>
      <w:bCs/>
      <w:lang w:eastAsia="en-US"/>
    </w:rPr>
  </w:style>
  <w:style w:type="paragraph" w:customStyle="1" w:styleId="SingleTxtG1">
    <w:name w:val="_Single Txt_G_1"/>
    <w:basedOn w:val="Normal"/>
    <w:qFormat/>
    <w:rsid w:val="00FE0CD4"/>
    <w:pPr>
      <w:spacing w:after="120" w:line="200" w:lineRule="atLeast"/>
      <w:ind w:left="2268" w:right="1134" w:hanging="1134"/>
      <w:jc w:val="both"/>
    </w:pPr>
  </w:style>
  <w:style w:type="paragraph" w:styleId="ListParagraph">
    <w:name w:val="List Paragraph"/>
    <w:basedOn w:val="Normal"/>
    <w:uiPriority w:val="34"/>
    <w:qFormat/>
    <w:rsid w:val="00D67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316">
      <w:bodyDiv w:val="1"/>
      <w:marLeft w:val="0"/>
      <w:marRight w:val="0"/>
      <w:marTop w:val="0"/>
      <w:marBottom w:val="0"/>
      <w:divBdr>
        <w:top w:val="none" w:sz="0" w:space="0" w:color="auto"/>
        <w:left w:val="none" w:sz="0" w:space="0" w:color="auto"/>
        <w:bottom w:val="none" w:sz="0" w:space="0" w:color="auto"/>
        <w:right w:val="none" w:sz="0" w:space="0" w:color="auto"/>
      </w:divBdr>
    </w:div>
    <w:div w:id="508837786">
      <w:bodyDiv w:val="1"/>
      <w:marLeft w:val="0"/>
      <w:marRight w:val="0"/>
      <w:marTop w:val="0"/>
      <w:marBottom w:val="0"/>
      <w:divBdr>
        <w:top w:val="none" w:sz="0" w:space="0" w:color="auto"/>
        <w:left w:val="none" w:sz="0" w:space="0" w:color="auto"/>
        <w:bottom w:val="none" w:sz="0" w:space="0" w:color="auto"/>
        <w:right w:val="none" w:sz="0" w:space="0" w:color="auto"/>
      </w:divBdr>
    </w:div>
    <w:div w:id="735475898">
      <w:bodyDiv w:val="1"/>
      <w:marLeft w:val="0"/>
      <w:marRight w:val="0"/>
      <w:marTop w:val="0"/>
      <w:marBottom w:val="0"/>
      <w:divBdr>
        <w:top w:val="none" w:sz="0" w:space="0" w:color="auto"/>
        <w:left w:val="none" w:sz="0" w:space="0" w:color="auto"/>
        <w:bottom w:val="none" w:sz="0" w:space="0" w:color="auto"/>
        <w:right w:val="none" w:sz="0" w:space="0" w:color="auto"/>
      </w:divBdr>
    </w:div>
    <w:div w:id="855776663">
      <w:bodyDiv w:val="1"/>
      <w:marLeft w:val="0"/>
      <w:marRight w:val="0"/>
      <w:marTop w:val="0"/>
      <w:marBottom w:val="0"/>
      <w:divBdr>
        <w:top w:val="none" w:sz="0" w:space="0" w:color="auto"/>
        <w:left w:val="none" w:sz="0" w:space="0" w:color="auto"/>
        <w:bottom w:val="none" w:sz="0" w:space="0" w:color="auto"/>
        <w:right w:val="none" w:sz="0" w:space="0" w:color="auto"/>
      </w:divBdr>
    </w:div>
    <w:div w:id="1368532649">
      <w:bodyDiv w:val="1"/>
      <w:marLeft w:val="0"/>
      <w:marRight w:val="0"/>
      <w:marTop w:val="0"/>
      <w:marBottom w:val="0"/>
      <w:divBdr>
        <w:top w:val="none" w:sz="0" w:space="0" w:color="auto"/>
        <w:left w:val="none" w:sz="0" w:space="0" w:color="auto"/>
        <w:bottom w:val="none" w:sz="0" w:space="0" w:color="auto"/>
        <w:right w:val="none" w:sz="0" w:space="0" w:color="auto"/>
      </w:divBdr>
    </w:div>
    <w:div w:id="1513186722">
      <w:bodyDiv w:val="1"/>
      <w:marLeft w:val="0"/>
      <w:marRight w:val="0"/>
      <w:marTop w:val="0"/>
      <w:marBottom w:val="0"/>
      <w:divBdr>
        <w:top w:val="none" w:sz="0" w:space="0" w:color="auto"/>
        <w:left w:val="none" w:sz="0" w:space="0" w:color="auto"/>
        <w:bottom w:val="none" w:sz="0" w:space="0" w:color="auto"/>
        <w:right w:val="none" w:sz="0" w:space="0" w:color="auto"/>
      </w:divBdr>
    </w:div>
    <w:div w:id="1651208946">
      <w:bodyDiv w:val="1"/>
      <w:marLeft w:val="0"/>
      <w:marRight w:val="0"/>
      <w:marTop w:val="0"/>
      <w:marBottom w:val="0"/>
      <w:divBdr>
        <w:top w:val="none" w:sz="0" w:space="0" w:color="auto"/>
        <w:left w:val="none" w:sz="0" w:space="0" w:color="auto"/>
        <w:bottom w:val="none" w:sz="0" w:space="0" w:color="auto"/>
        <w:right w:val="none" w:sz="0" w:space="0" w:color="auto"/>
      </w:divBdr>
    </w:div>
    <w:div w:id="20082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FA8F792-68C5-4F3F-9023-12E688B71ADD}">
  <ds:schemaRefs>
    <ds:schemaRef ds:uri="http://schemas.openxmlformats.org/officeDocument/2006/bibliography"/>
  </ds:schemaRefs>
</ds:datastoreItem>
</file>

<file path=customXml/itemProps2.xml><?xml version="1.0" encoding="utf-8"?>
<ds:datastoreItem xmlns:ds="http://schemas.openxmlformats.org/officeDocument/2006/customXml" ds:itemID="{C1F34183-8BB2-44A0-B246-0601BA7F5704}"/>
</file>

<file path=customXml/itemProps3.xml><?xml version="1.0" encoding="utf-8"?>
<ds:datastoreItem xmlns:ds="http://schemas.openxmlformats.org/officeDocument/2006/customXml" ds:itemID="{1C2417F9-14D2-4D0D-8C9D-C9AB627EA401}"/>
</file>

<file path=customXml/itemProps4.xml><?xml version="1.0" encoding="utf-8"?>
<ds:datastoreItem xmlns:ds="http://schemas.openxmlformats.org/officeDocument/2006/customXml" ds:itemID="{1355ADC8-C17F-4674-92A6-36B655DCD403}"/>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TRANS_WP29_2009_E.dotm</Template>
  <TotalTime>0</TotalTime>
  <Pages>3</Pages>
  <Words>1094</Words>
  <Characters>5640</Characters>
  <Application>Microsoft Office Word</Application>
  <DocSecurity>4</DocSecurity>
  <Lines>117</Lines>
  <Paragraphs>53</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Titel</vt:lpstr>
      </vt:variant>
      <vt:variant>
        <vt:i4>1</vt:i4>
      </vt:variant>
    </vt:vector>
  </HeadingPairs>
  <TitlesOfParts>
    <vt:vector size="4" baseType="lpstr">
      <vt:lpstr>1716683</vt:lpstr>
      <vt:lpstr>1716683</vt:lpstr>
      <vt:lpstr>1716683</vt:lpstr>
      <vt:lpstr>United Nations</vt:lpstr>
    </vt:vector>
  </TitlesOfParts>
  <Company>CSD</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1716683</dc:title>
  <dc:subject>ECE/TRANS/WP.29/GRSP/2017/27</dc:subject>
  <dc:creator>Gianotti</dc:creator>
  <cp:lastModifiedBy>E/ECE/324/Rev.2/Add.109/Rev.7</cp:lastModifiedBy>
  <cp:revision>2</cp:revision>
  <cp:lastPrinted>2017-09-19T08:06:00Z</cp:lastPrinted>
  <dcterms:created xsi:type="dcterms:W3CDTF">2023-05-11T11:53:00Z</dcterms:created>
  <dcterms:modified xsi:type="dcterms:W3CDTF">2023-05-11T11:53:00Z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2022-11-02T15:41:19Z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60f76709-a46c-4cfb-9367-7b9e41449fe3</vt:lpwstr>
  </property>
  <property fmtid="{D5CDD505-2E9C-101B-9397-08002B2CF9AE}" pid="8" name="MSIP_Label_2fd53d93-3f4c-4b90-b511-bd6bdbb4fba9_ContentBits">
    <vt:lpwstr>0</vt:lpwstr>
  </property>
  <property fmtid="{D5CDD505-2E9C-101B-9397-08002B2CF9AE}" pid="9" name="MSIP_Label_fd1c0902-ed92-4fed-896d-2e7725de02d4_SetDate">
    <vt:lpwstr>2023-04-04T06:35:51Z</vt:lpwstr>
  </property>
  <property fmtid="{D5CDD505-2E9C-101B-9397-08002B2CF9AE}" pid="10" name="MSIP_Label_fd1c0902-ed92-4fed-896d-2e7725de02d4_Name">
    <vt:lpwstr>Anyone (not protected)</vt:lpwstr>
  </property>
  <property fmtid="{D5CDD505-2E9C-101B-9397-08002B2CF9AE}" pid="11" name="MSIP_Label_fd1c0902-ed92-4fed-896d-2e7725de02d4_ActionId">
    <vt:lpwstr>a794bce1-653e-4c76-b0a6-8971abec4706</vt:lpwstr>
  </property>
  <property fmtid="{D5CDD505-2E9C-101B-9397-08002B2CF9AE}" pid="12" name="MSIP_Label_fd1c0902-ed92-4fed-896d-2e7725de02d4_ContentBits">
    <vt:lpwstr>2</vt:lpwstr>
  </property>
  <property fmtid="{D5CDD505-2E9C-101B-9397-08002B2CF9AE}" pid="13" name="MSIP_Label_7f30fc12-c89a-4829-a476-5bf9e2086332_Enabled">
    <vt:lpwstr>true</vt:lpwstr>
  </property>
  <property fmtid="{D5CDD505-2E9C-101B-9397-08002B2CF9AE}" pid="14" name="MSIP_Label_7f30fc12-c89a-4829-a476-5bf9e2086332_SetDate">
    <vt:lpwstr>2023-04-04T07:54:58Z</vt:lpwstr>
  </property>
  <property fmtid="{D5CDD505-2E9C-101B-9397-08002B2CF9AE}" pid="15" name="MSIP_Label_7f30fc12-c89a-4829-a476-5bf9e2086332_Method">
    <vt:lpwstr>Privileged</vt:lpwstr>
  </property>
  <property fmtid="{D5CDD505-2E9C-101B-9397-08002B2CF9AE}" pid="16" name="MSIP_Label_7f30fc12-c89a-4829-a476-5bf9e2086332_Name">
    <vt:lpwstr>Not protected (Anyone)_0</vt:lpwstr>
  </property>
  <property fmtid="{D5CDD505-2E9C-101B-9397-08002B2CF9AE}" pid="17" name="MSIP_Label_7f30fc12-c89a-4829-a476-5bf9e2086332_SiteId">
    <vt:lpwstr>d6b0bbee-7cd9-4d60-bce6-4a67b543e2ae</vt:lpwstr>
  </property>
  <property fmtid="{D5CDD505-2E9C-101B-9397-08002B2CF9AE}" pid="18" name="MSIP_Label_7f30fc12-c89a-4829-a476-5bf9e2086332_ActionId">
    <vt:lpwstr>989bef93-37a6-43aa-8e4a-444ea28a3de6</vt:lpwstr>
  </property>
  <property fmtid="{D5CDD505-2E9C-101B-9397-08002B2CF9AE}" pid="19" name="MSIP_Label_7f30fc12-c89a-4829-a476-5bf9e2086332_ContentBits">
    <vt:lpwstr>0</vt:lpwstr>
  </property>
  <property fmtid="{D5CDD505-2E9C-101B-9397-08002B2CF9AE}" pid="20" name="ContentTypeId">
    <vt:lpwstr>0x0101003B8422D08C252547BB1CFA7F78E2CB83</vt:lpwstr>
  </property>
</Properties>
</file>