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77777777" w:rsidR="00DA581C" w:rsidRPr="00DA581C" w:rsidRDefault="00DA581C" w:rsidP="00B10A63">
      <w:pPr>
        <w:rPr>
          <w:bCs/>
          <w:sz w:val="22"/>
          <w:szCs w:val="16"/>
        </w:rPr>
      </w:pPr>
    </w:p>
    <w:p w14:paraId="0AC717F0" w14:textId="21BA9E12" w:rsidR="009F1725" w:rsidRPr="009F1725" w:rsidRDefault="009F1725" w:rsidP="009F1725">
      <w:pPr>
        <w:jc w:val="center"/>
        <w:rPr>
          <w:b/>
          <w:sz w:val="28"/>
        </w:rPr>
      </w:pPr>
      <w:r w:rsidRPr="009F1725">
        <w:rPr>
          <w:b/>
          <w:sz w:val="28"/>
        </w:rPr>
        <w:t xml:space="preserve">Proposal for the 09 Series of Amendments </w:t>
      </w:r>
      <w:r>
        <w:rPr>
          <w:b/>
          <w:sz w:val="28"/>
        </w:rPr>
        <w:br/>
      </w:r>
      <w:r w:rsidRPr="009F1725">
        <w:rPr>
          <w:b/>
          <w:sz w:val="28"/>
        </w:rPr>
        <w:t xml:space="preserve">to UN Regulation No. 16 (Safety-belts) </w:t>
      </w:r>
      <w:r w:rsidRPr="009F1725">
        <w:rPr>
          <w:b/>
          <w:sz w:val="28"/>
        </w:rPr>
        <w:footnoteReference w:customMarkFollows="1" w:id="1"/>
        <w:t>*</w:t>
      </w:r>
    </w:p>
    <w:p w14:paraId="12EE10FB" w14:textId="5D882087" w:rsidR="009F1725" w:rsidRDefault="009F1725" w:rsidP="009F1725">
      <w:pPr>
        <w:rPr>
          <w:b/>
          <w:sz w:val="28"/>
        </w:rPr>
      </w:pPr>
    </w:p>
    <w:p w14:paraId="529B9E3B" w14:textId="0EA5F386" w:rsidR="00796678" w:rsidRPr="004F30D6" w:rsidRDefault="00796678" w:rsidP="00F66770">
      <w:pPr>
        <w:jc w:val="both"/>
      </w:pPr>
      <w:r w:rsidRPr="004F30D6">
        <w:t>The text reproduced below was prepared by OICA to harmonise transitional provisions for both France (ECE/TRANS/WP.29/GRSP/2023/17 ) and Netherlands (ECE/TRANS/WP.29/GRSP/2023/09) proposals of UNR16</w:t>
      </w:r>
      <w:r w:rsidR="00F66770">
        <w:t>.</w:t>
      </w:r>
      <w:r w:rsidRPr="004F30D6">
        <w:t>09 and clarify the requirements for safety-belt reminder of rear seat row(s). The modifications to the existing text of the UN Regulation in the document ECE/TRANS/WP.29/GRSP/2023/17 are marked in bold for new or strikethrough for deleted characters.</w:t>
      </w:r>
    </w:p>
    <w:p w14:paraId="4514F4A2" w14:textId="77777777" w:rsidR="00DA581C" w:rsidRPr="004F30D6" w:rsidRDefault="00DA581C" w:rsidP="00F66770">
      <w:pPr>
        <w:jc w:val="both"/>
        <w:rPr>
          <w:sz w:val="18"/>
          <w:szCs w:val="18"/>
        </w:rPr>
      </w:pPr>
    </w:p>
    <w:p w14:paraId="77809DA6" w14:textId="77777777" w:rsidR="00796678" w:rsidRDefault="00796678" w:rsidP="00F66770">
      <w:pPr>
        <w:jc w:val="both"/>
      </w:pPr>
    </w:p>
    <w:p w14:paraId="444883D3" w14:textId="77777777" w:rsidR="00796678" w:rsidRPr="00DA581C" w:rsidRDefault="00796678" w:rsidP="00DA581C"/>
    <w:p w14:paraId="63C3A1C3" w14:textId="72998809" w:rsidR="00AB3D9D" w:rsidRDefault="00EB7B29" w:rsidP="00AB3D9D">
      <w:pPr>
        <w:pStyle w:val="ListParagraph"/>
        <w:numPr>
          <w:ilvl w:val="0"/>
          <w:numId w:val="2"/>
        </w:numPr>
        <w:suppressAutoHyphens w:val="0"/>
        <w:spacing w:line="276" w:lineRule="auto"/>
        <w:rPr>
          <w:b/>
          <w:sz w:val="28"/>
          <w:szCs w:val="28"/>
        </w:rPr>
      </w:pPr>
      <w:bookmarkStart w:id="0" w:name="_Hlk534364985"/>
      <w:r>
        <w:rPr>
          <w:b/>
          <w:sz w:val="28"/>
          <w:szCs w:val="28"/>
        </w:rPr>
        <w:t>Proposal</w:t>
      </w:r>
      <w:bookmarkEnd w:id="0"/>
    </w:p>
    <w:p w14:paraId="0704A959" w14:textId="1B701391" w:rsidR="00DA581C" w:rsidRDefault="00DA581C" w:rsidP="00DA581C">
      <w:pPr>
        <w:pStyle w:val="ListParagraph"/>
        <w:suppressAutoHyphens w:val="0"/>
        <w:spacing w:line="276" w:lineRule="auto"/>
        <w:rPr>
          <w:b/>
        </w:rPr>
      </w:pPr>
    </w:p>
    <w:p w14:paraId="5EFC6A36" w14:textId="77777777" w:rsidR="009F1725" w:rsidRPr="009F1725" w:rsidRDefault="009F1725" w:rsidP="009F1725">
      <w:pPr>
        <w:spacing w:after="120"/>
        <w:ind w:left="2268" w:right="1134" w:hanging="1134"/>
        <w:jc w:val="both"/>
        <w:rPr>
          <w:iCs/>
          <w:lang w:eastAsia="ja-JP"/>
        </w:rPr>
      </w:pPr>
      <w:r w:rsidRPr="009F1725">
        <w:rPr>
          <w:i/>
          <w:lang w:eastAsia="ja-JP"/>
        </w:rPr>
        <w:t>Paragraph 8.4.4.3</w:t>
      </w:r>
      <w:r w:rsidRPr="009F1725">
        <w:rPr>
          <w:iCs/>
          <w:lang w:eastAsia="ja-JP"/>
        </w:rPr>
        <w:t>., amend to read:</w:t>
      </w:r>
    </w:p>
    <w:p w14:paraId="14837961" w14:textId="77777777" w:rsidR="009F1725" w:rsidRPr="009F1725" w:rsidRDefault="009F1725" w:rsidP="009F1725">
      <w:pPr>
        <w:spacing w:after="120"/>
        <w:ind w:left="2268" w:right="1134" w:hanging="1134"/>
        <w:jc w:val="both"/>
        <w:rPr>
          <w:i/>
          <w:strike/>
          <w:lang w:eastAsia="ja-JP"/>
        </w:rPr>
      </w:pPr>
      <w:r w:rsidRPr="009F1725">
        <w:rPr>
          <w:lang w:eastAsia="fr-FR"/>
        </w:rPr>
        <w:t xml:space="preserve">"8.4.4.3. </w:t>
      </w:r>
      <w:r w:rsidRPr="009F1725">
        <w:rPr>
          <w:lang w:eastAsia="fr-FR"/>
        </w:rPr>
        <w:tab/>
        <w:t xml:space="preserve">The colour of the visual warning may be other than red and the symbol of the visual warning for safety-belts covered by paragraph 8.4.1.2 may contain different symbols other than defined in Regulation No.121. In addition, the first level warning of seating positions covered by paragraph 8.4.1.2 may be cancellable by the driver </w:t>
      </w:r>
      <w:r w:rsidRPr="009F1725">
        <w:rPr>
          <w:b/>
          <w:bCs/>
          <w:lang w:eastAsia="fr-FR"/>
        </w:rPr>
        <w:t>by a deliberate action</w:t>
      </w:r>
      <w:r w:rsidRPr="009F1725">
        <w:rPr>
          <w:lang w:eastAsia="fr-FR"/>
        </w:rPr>
        <w:t xml:space="preserve">. </w:t>
      </w:r>
      <w:r w:rsidRPr="009F1725">
        <w:rPr>
          <w:strike/>
          <w:lang w:eastAsia="fr-FR"/>
        </w:rPr>
        <w:t>In that case, the driver shall be aware that he cancels the first level warning.</w:t>
      </w:r>
      <w:r w:rsidRPr="009F1725">
        <w:rPr>
          <w:lang w:eastAsia="fr-FR"/>
        </w:rPr>
        <w:t>”</w:t>
      </w:r>
    </w:p>
    <w:p w14:paraId="12D436F6" w14:textId="77777777" w:rsidR="009F1725" w:rsidRPr="009F1725" w:rsidRDefault="009F1725" w:rsidP="009F1725">
      <w:pPr>
        <w:spacing w:after="120"/>
        <w:ind w:left="2268" w:right="1134" w:hanging="1134"/>
        <w:jc w:val="both"/>
        <w:rPr>
          <w:i/>
          <w:lang w:eastAsia="ja-JP"/>
        </w:rPr>
      </w:pPr>
    </w:p>
    <w:p w14:paraId="724D4219" w14:textId="77777777" w:rsidR="009F1725" w:rsidRPr="009F1725" w:rsidRDefault="009F1725" w:rsidP="009F1725">
      <w:pPr>
        <w:spacing w:after="120"/>
        <w:ind w:left="2268" w:right="1134" w:hanging="1134"/>
        <w:jc w:val="both"/>
        <w:rPr>
          <w:i/>
          <w:lang w:eastAsia="ja-JP"/>
        </w:rPr>
      </w:pPr>
      <w:r w:rsidRPr="009F1725">
        <w:rPr>
          <w:i/>
          <w:lang w:val="en-US" w:eastAsia="ja-JP"/>
        </w:rPr>
        <w:t xml:space="preserve">Paragraph 15.5.7. </w:t>
      </w:r>
      <w:r w:rsidRPr="009F1725">
        <w:rPr>
          <w:i/>
          <w:lang w:eastAsia="ja-JP"/>
        </w:rPr>
        <w:t xml:space="preserve">(former), </w:t>
      </w:r>
      <w:r w:rsidRPr="00F66770">
        <w:rPr>
          <w:iCs/>
          <w:lang w:eastAsia="ja-JP"/>
        </w:rPr>
        <w:t>shall be deleted</w:t>
      </w:r>
      <w:r w:rsidRPr="009F1725">
        <w:rPr>
          <w:i/>
          <w:lang w:eastAsia="ja-JP"/>
        </w:rPr>
        <w:t>:</w:t>
      </w:r>
    </w:p>
    <w:p w14:paraId="18EDA4E8" w14:textId="77777777" w:rsidR="009F1725" w:rsidRPr="009F1725" w:rsidRDefault="009F1725" w:rsidP="009F1725">
      <w:pPr>
        <w:spacing w:after="120"/>
        <w:ind w:left="2250" w:right="1134" w:hanging="1116"/>
        <w:jc w:val="both"/>
        <w:rPr>
          <w:strike/>
          <w:lang w:eastAsia="fr-FR"/>
        </w:rPr>
      </w:pPr>
      <w:r w:rsidRPr="009F1725">
        <w:rPr>
          <w:strike/>
          <w:spacing w:val="-2"/>
          <w:lang w:eastAsia="ja-JP"/>
        </w:rPr>
        <w:t>15.5.7.</w:t>
      </w:r>
      <w:r w:rsidRPr="009F1725">
        <w:rPr>
          <w:strike/>
          <w:spacing w:val="-2"/>
          <w:lang w:eastAsia="ja-JP"/>
        </w:rPr>
        <w:tab/>
        <w:t>Contracting Parties applying this Regulation shall not refuse to grant type approvals according to any preceding series of amendments to this Regulation or extensions thereof.</w:t>
      </w:r>
    </w:p>
    <w:p w14:paraId="6FDC1A71" w14:textId="77777777" w:rsidR="009F1725" w:rsidRPr="009F1725" w:rsidRDefault="009F1725" w:rsidP="009F1725">
      <w:pPr>
        <w:spacing w:after="120"/>
        <w:ind w:left="2268" w:right="1134" w:hanging="1134"/>
        <w:jc w:val="both"/>
        <w:rPr>
          <w:i/>
          <w:lang w:eastAsia="ja-JP"/>
        </w:rPr>
      </w:pPr>
    </w:p>
    <w:p w14:paraId="69EF49CC" w14:textId="77777777" w:rsidR="009F1725" w:rsidRPr="009F1725" w:rsidRDefault="009F1725" w:rsidP="00F66770">
      <w:pPr>
        <w:spacing w:after="120"/>
        <w:ind w:left="1134" w:right="1134"/>
        <w:jc w:val="both"/>
        <w:rPr>
          <w:lang w:eastAsia="ja-JP"/>
        </w:rPr>
      </w:pPr>
      <w:r w:rsidRPr="009F1725">
        <w:rPr>
          <w:lang w:eastAsia="fr-FR"/>
        </w:rPr>
        <w:t>ECE/TRANS/WP.29/GRSP/2023/</w:t>
      </w:r>
      <w:r w:rsidRPr="009F1725">
        <w:rPr>
          <w:bCs/>
          <w:lang w:eastAsia="fr-FR"/>
        </w:rPr>
        <w:t>17,</w:t>
      </w:r>
      <w:r w:rsidRPr="009F1725">
        <w:rPr>
          <w:b/>
          <w:lang w:eastAsia="fr-FR"/>
        </w:rPr>
        <w:t xml:space="preserve"> </w:t>
      </w:r>
      <w:r w:rsidRPr="009F1725">
        <w:rPr>
          <w:i/>
          <w:lang w:eastAsia="ja-JP"/>
        </w:rPr>
        <w:t xml:space="preserve">paragraphs 15.6. to 15.6.7. (former), </w:t>
      </w:r>
      <w:r w:rsidRPr="009F1725">
        <w:rPr>
          <w:iCs/>
          <w:lang w:eastAsia="ja-JP"/>
        </w:rPr>
        <w:t>replace</w:t>
      </w:r>
      <w:r w:rsidRPr="009F1725">
        <w:rPr>
          <w:i/>
          <w:lang w:eastAsia="ja-JP"/>
        </w:rPr>
        <w:t xml:space="preserve"> </w:t>
      </w:r>
      <w:r w:rsidRPr="009F1725">
        <w:rPr>
          <w:iCs/>
          <w:lang w:eastAsia="ja-JP"/>
        </w:rPr>
        <w:t xml:space="preserve">by </w:t>
      </w:r>
      <w:r w:rsidRPr="009F1725">
        <w:rPr>
          <w:i/>
          <w:lang w:eastAsia="ja-JP"/>
        </w:rPr>
        <w:t>paragraphs 15.6 to 15.6.4.</w:t>
      </w:r>
      <w:r w:rsidRPr="009F1725">
        <w:rPr>
          <w:lang w:eastAsia="ja-JP"/>
        </w:rPr>
        <w:t>:</w:t>
      </w:r>
    </w:p>
    <w:p w14:paraId="1BEF14EB" w14:textId="77777777" w:rsidR="009F1725" w:rsidRPr="009F1725" w:rsidRDefault="009F1725" w:rsidP="009F1725">
      <w:pPr>
        <w:spacing w:after="120" w:line="240" w:lineRule="auto"/>
        <w:ind w:left="2268" w:right="1134" w:hanging="1134"/>
        <w:jc w:val="both"/>
        <w:rPr>
          <w:b/>
          <w:bCs/>
          <w:lang w:eastAsia="fr-FR"/>
        </w:rPr>
      </w:pPr>
      <w:r w:rsidRPr="009F1725">
        <w:rPr>
          <w:b/>
          <w:bCs/>
          <w:lang w:eastAsia="fr-FR"/>
        </w:rPr>
        <w:t>"15.6</w:t>
      </w:r>
      <w:r w:rsidRPr="009F1725">
        <w:rPr>
          <w:b/>
          <w:bCs/>
          <w:lang w:eastAsia="fr-FR"/>
        </w:rPr>
        <w:tab/>
        <w:t>As from the official date of entry into force of the 09 series of amendments, no Contracting Party applying this Regulation shall refuse to grant or refuse to accept UN type approvals under this Regulation as amended by the 9 series of amendments.</w:t>
      </w:r>
    </w:p>
    <w:p w14:paraId="3E022DE0" w14:textId="77777777" w:rsidR="009F1725" w:rsidRPr="009F1725" w:rsidRDefault="009F1725" w:rsidP="009F1725">
      <w:pPr>
        <w:spacing w:after="120" w:line="240" w:lineRule="auto"/>
        <w:ind w:left="2268" w:right="1134" w:hanging="1134"/>
        <w:jc w:val="both"/>
        <w:rPr>
          <w:b/>
          <w:bCs/>
          <w:lang w:eastAsia="fr-FR"/>
        </w:rPr>
      </w:pPr>
      <w:r w:rsidRPr="009F1725">
        <w:rPr>
          <w:b/>
          <w:bCs/>
          <w:lang w:eastAsia="fr-FR"/>
        </w:rPr>
        <w:t>15.6.1.</w:t>
      </w:r>
      <w:r w:rsidRPr="009F1725">
        <w:rPr>
          <w:b/>
          <w:bCs/>
          <w:lang w:eastAsia="fr-FR"/>
        </w:rPr>
        <w:tab/>
        <w:t>As from 1 September 2026, Contracting Parties applying this Regulation shall not be obliged to accept UN type approvals to the preceding series of amendments that were first issued on or after 1 September 2026.</w:t>
      </w:r>
    </w:p>
    <w:p w14:paraId="74A6AE2F" w14:textId="77777777" w:rsidR="009F1725" w:rsidRPr="009F1725" w:rsidRDefault="009F1725" w:rsidP="009F1725">
      <w:pPr>
        <w:spacing w:after="120" w:line="240" w:lineRule="auto"/>
        <w:ind w:left="2268" w:right="1134" w:hanging="1134"/>
        <w:jc w:val="both"/>
        <w:rPr>
          <w:b/>
          <w:bCs/>
          <w:lang w:val="en-US" w:eastAsia="fr-FR"/>
        </w:rPr>
      </w:pPr>
      <w:r w:rsidRPr="009F1725">
        <w:rPr>
          <w:b/>
          <w:bCs/>
          <w:lang w:val="en-US" w:eastAsia="fr-FR"/>
        </w:rPr>
        <w:t>15.6.2.</w:t>
      </w:r>
      <w:r w:rsidRPr="009F1725">
        <w:rPr>
          <w:b/>
          <w:bCs/>
          <w:lang w:val="en-US" w:eastAsia="fr-FR"/>
        </w:rPr>
        <w:tab/>
        <w:t xml:space="preserve">Contracting Parties applying this Regulation shall continue to accept type-approvals of vehicles, </w:t>
      </w:r>
      <w:r w:rsidRPr="009F1725">
        <w:rPr>
          <w:b/>
          <w:bCs/>
          <w:lang w:eastAsia="fr-FR"/>
        </w:rPr>
        <w:t xml:space="preserve">safety-belts, </w:t>
      </w:r>
      <w:r w:rsidRPr="009F1725">
        <w:rPr>
          <w:b/>
          <w:bCs/>
          <w:lang w:val="en-US" w:eastAsia="fr-FR"/>
        </w:rPr>
        <w:t>and restraint systems according to any of the preceding series of amendments, first issued before 1 September 2026, provided the transitional provisions in these respective previous series of amendments foresee this possibility.</w:t>
      </w:r>
    </w:p>
    <w:p w14:paraId="397529AD" w14:textId="77777777" w:rsidR="009F1725" w:rsidRPr="009F1725" w:rsidRDefault="009F1725" w:rsidP="009F1725">
      <w:pPr>
        <w:spacing w:after="120"/>
        <w:ind w:left="2268" w:right="1134" w:hanging="1134"/>
        <w:jc w:val="both"/>
        <w:rPr>
          <w:b/>
          <w:bCs/>
          <w:lang w:eastAsia="fr-FR"/>
        </w:rPr>
      </w:pPr>
      <w:r w:rsidRPr="009F1725">
        <w:rPr>
          <w:b/>
          <w:bCs/>
          <w:lang w:eastAsia="fr-FR"/>
        </w:rPr>
        <w:t>15.6.3.</w:t>
      </w:r>
      <w:r w:rsidRPr="009F1725">
        <w:rPr>
          <w:b/>
          <w:bCs/>
          <w:lang w:eastAsia="fr-FR"/>
        </w:rPr>
        <w:tab/>
        <w:t>Contracting Parties applying this Regulation may grant type-approvals according to any preceding series of amendments to this Regulation.</w:t>
      </w:r>
    </w:p>
    <w:p w14:paraId="5ECC9B33" w14:textId="77777777" w:rsidR="009F1725" w:rsidRPr="009F1725" w:rsidRDefault="009F1725" w:rsidP="009F1725">
      <w:pPr>
        <w:spacing w:after="120"/>
        <w:ind w:left="2268" w:right="1134" w:hanging="1134"/>
        <w:jc w:val="both"/>
        <w:rPr>
          <w:b/>
          <w:bCs/>
          <w:lang w:eastAsia="fr-FR"/>
        </w:rPr>
      </w:pPr>
      <w:r w:rsidRPr="009F1725">
        <w:rPr>
          <w:b/>
          <w:bCs/>
          <w:lang w:eastAsia="fr-FR"/>
        </w:rPr>
        <w:t>15.6.4.</w:t>
      </w:r>
      <w:r w:rsidRPr="009F1725">
        <w:rPr>
          <w:b/>
          <w:bCs/>
          <w:lang w:eastAsia="fr-FR"/>
        </w:rPr>
        <w:tab/>
        <w:t>Contracting Parties applying this Regulation shall continue to grant extensions of existing approvals to any preceding series of amendments to this Regulation.</w:t>
      </w:r>
    </w:p>
    <w:p w14:paraId="5D1F78F4" w14:textId="77777777" w:rsidR="00DA581C" w:rsidRDefault="00DA581C" w:rsidP="00DA581C">
      <w:pPr>
        <w:pStyle w:val="ListParagraph"/>
        <w:suppressAutoHyphens w:val="0"/>
        <w:spacing w:line="276" w:lineRule="auto"/>
        <w:rPr>
          <w:b/>
        </w:rPr>
      </w:pPr>
    </w:p>
    <w:p w14:paraId="003546EE" w14:textId="4F640600" w:rsidR="00F66770" w:rsidRDefault="00F66770">
      <w:pPr>
        <w:suppressAutoHyphens w:val="0"/>
        <w:spacing w:after="160" w:line="259" w:lineRule="auto"/>
        <w:rPr>
          <w:b/>
        </w:rPr>
      </w:pPr>
      <w:r>
        <w:rPr>
          <w:b/>
        </w:rPr>
        <w:br w:type="page"/>
      </w:r>
    </w:p>
    <w:p w14:paraId="4B47133A" w14:textId="77777777" w:rsidR="00796678" w:rsidRPr="00DA581C" w:rsidRDefault="00796678" w:rsidP="00DA581C">
      <w:pPr>
        <w:pStyle w:val="ListParagraph"/>
        <w:suppressAutoHyphens w:val="0"/>
        <w:spacing w:line="276" w:lineRule="auto"/>
        <w:rPr>
          <w:b/>
        </w:rPr>
      </w:pPr>
    </w:p>
    <w:p w14:paraId="525A4F4A" w14:textId="14C1DD1E" w:rsidR="00DA581C" w:rsidRDefault="00EB7B29" w:rsidP="00273BDC">
      <w:pPr>
        <w:pStyle w:val="ListParagraph"/>
        <w:numPr>
          <w:ilvl w:val="0"/>
          <w:numId w:val="2"/>
        </w:numPr>
        <w:suppressAutoHyphens w:val="0"/>
        <w:spacing w:line="276" w:lineRule="auto"/>
        <w:rPr>
          <w:b/>
          <w:sz w:val="28"/>
          <w:szCs w:val="28"/>
        </w:rPr>
      </w:pPr>
      <w:r>
        <w:rPr>
          <w:b/>
          <w:sz w:val="28"/>
          <w:szCs w:val="28"/>
        </w:rPr>
        <w:t xml:space="preserve">Justifications </w:t>
      </w:r>
    </w:p>
    <w:p w14:paraId="03A221B1" w14:textId="77777777" w:rsidR="00BA7DB3" w:rsidRDefault="00BA7DB3" w:rsidP="00BA7DB3">
      <w:pPr>
        <w:rPr>
          <w:sz w:val="18"/>
          <w:szCs w:val="18"/>
        </w:rPr>
      </w:pPr>
    </w:p>
    <w:p w14:paraId="25E6A4DF" w14:textId="458CFD4E" w:rsidR="00803B4D" w:rsidRDefault="00803B4D" w:rsidP="00B76DEB">
      <w:pPr>
        <w:spacing w:line="276" w:lineRule="auto"/>
      </w:pPr>
      <w:r>
        <w:t>1. As this new series of amendments proposal from France clarif</w:t>
      </w:r>
      <w:r w:rsidR="00B76DEB">
        <w:t>y</w:t>
      </w:r>
      <w:r>
        <w:t xml:space="preserve"> the requirements of safety belt reminder systems</w:t>
      </w:r>
      <w:r w:rsidR="004414BD">
        <w:t xml:space="preserve"> (SBRs)</w:t>
      </w:r>
      <w:r>
        <w:t xml:space="preserve">, already mandatory for all vehicles, including those </w:t>
      </w:r>
      <w:r w:rsidR="00F66770">
        <w:t xml:space="preserve">new types </w:t>
      </w:r>
      <w:r>
        <w:t>with removable seats</w:t>
      </w:r>
      <w:r w:rsidR="004414BD">
        <w:t xml:space="preserve"> from 2022</w:t>
      </w:r>
      <w:r>
        <w:t xml:space="preserve">, a </w:t>
      </w:r>
      <w:r w:rsidR="004414BD">
        <w:t>N</w:t>
      </w:r>
      <w:r>
        <w:t xml:space="preserve">ew </w:t>
      </w:r>
      <w:r w:rsidR="004414BD">
        <w:t>T</w:t>
      </w:r>
      <w:r>
        <w:t xml:space="preserve">ype date is </w:t>
      </w:r>
      <w:r w:rsidR="004414BD">
        <w:t>proposed</w:t>
      </w:r>
      <w:r>
        <w:t xml:space="preserve">, but current approvals </w:t>
      </w:r>
      <w:r w:rsidR="00F66770">
        <w:t>should</w:t>
      </w:r>
      <w:r>
        <w:t xml:space="preserve"> continue </w:t>
      </w:r>
      <w:r w:rsidR="004414BD">
        <w:t>to be accepted</w:t>
      </w:r>
      <w:r>
        <w:t>. The transitional provisions in paragraph 15.6.2. specif</w:t>
      </w:r>
      <w:r w:rsidR="004414BD">
        <w:t>y</w:t>
      </w:r>
      <w:r>
        <w:t xml:space="preserve"> that the proposed amendment will not affect existing approvals of </w:t>
      </w:r>
      <w:r w:rsidR="004414BD">
        <w:t xml:space="preserve">vehicles with regard to the </w:t>
      </w:r>
      <w:r>
        <w:t>seat belt reminders, nor their extension</w:t>
      </w:r>
      <w:r w:rsidR="00B76DEB">
        <w:t>s</w:t>
      </w:r>
      <w:r>
        <w:t>.</w:t>
      </w:r>
    </w:p>
    <w:p w14:paraId="328739FE" w14:textId="2A9C3DEC" w:rsidR="004414BD" w:rsidRDefault="004414BD" w:rsidP="00B76DEB">
      <w:pPr>
        <w:spacing w:line="276" w:lineRule="auto"/>
      </w:pPr>
      <w:r>
        <w:t xml:space="preserve">2. Also, the new requirements proposed by Netherlands regarding the voluntary lower tether anchorages (LTAs) clarify their requirements, as well as the vehicle handbook information, with the same New Type date, without affecting existing approvals of vehicles. </w:t>
      </w:r>
    </w:p>
    <w:p w14:paraId="4951B28C" w14:textId="6697A91F" w:rsidR="004414BD" w:rsidRDefault="004414BD" w:rsidP="00B76DEB">
      <w:pPr>
        <w:spacing w:line="276" w:lineRule="auto"/>
      </w:pPr>
      <w:r>
        <w:t>3. As the proposed 09 series of amendments of the UNR 16 would be voted in November 2023 WP29, the</w:t>
      </w:r>
      <w:r w:rsidR="00B76DEB">
        <w:t>n</w:t>
      </w:r>
      <w:r>
        <w:t xml:space="preserve"> enter into force in July 2024, the </w:t>
      </w:r>
      <w:r w:rsidR="00B76DEB">
        <w:t xml:space="preserve">proposed </w:t>
      </w:r>
      <w:r>
        <w:t xml:space="preserve">New Type date </w:t>
      </w:r>
      <w:r w:rsidR="00B76DEB">
        <w:t xml:space="preserve">propose the usual </w:t>
      </w:r>
      <w:r>
        <w:t xml:space="preserve">2 </w:t>
      </w:r>
      <w:r w:rsidR="00B76DEB">
        <w:t xml:space="preserve">years period. </w:t>
      </w:r>
    </w:p>
    <w:p w14:paraId="6F0287C7" w14:textId="77777777" w:rsidR="00B76DEB" w:rsidRDefault="00B76DEB" w:rsidP="00BA7DB3"/>
    <w:p w14:paraId="194B23BE" w14:textId="77777777" w:rsidR="00BD2475" w:rsidRDefault="00BD2475" w:rsidP="00BA7DB3"/>
    <w:p w14:paraId="080AD052" w14:textId="2C994E30" w:rsidR="00BD2475" w:rsidRPr="004414BD" w:rsidRDefault="00BD2475" w:rsidP="00BD2475">
      <w:pPr>
        <w:jc w:val="center"/>
      </w:pPr>
      <w:r>
        <w:t>________________________________</w:t>
      </w:r>
    </w:p>
    <w:sectPr w:rsidR="00BD2475" w:rsidRPr="004414BD" w:rsidSect="00AB3D9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C887" w14:textId="77777777" w:rsidR="00F87D61" w:rsidRDefault="00F87D61" w:rsidP="002E0688">
      <w:pPr>
        <w:spacing w:line="240" w:lineRule="auto"/>
      </w:pPr>
      <w:r>
        <w:separator/>
      </w:r>
    </w:p>
  </w:endnote>
  <w:endnote w:type="continuationSeparator" w:id="0">
    <w:p w14:paraId="4673D350" w14:textId="77777777" w:rsidR="00F87D61" w:rsidRDefault="00F87D61"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475369EB"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6E44252F"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45E7F238"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EA8E" w14:textId="77777777" w:rsidR="00F87D61" w:rsidRDefault="00F87D61" w:rsidP="002E0688">
      <w:pPr>
        <w:spacing w:line="240" w:lineRule="auto"/>
      </w:pPr>
      <w:r>
        <w:separator/>
      </w:r>
    </w:p>
  </w:footnote>
  <w:footnote w:type="continuationSeparator" w:id="0">
    <w:p w14:paraId="523B3A76" w14:textId="77777777" w:rsidR="00F87D61" w:rsidRDefault="00F87D61" w:rsidP="002E0688">
      <w:pPr>
        <w:spacing w:line="240" w:lineRule="auto"/>
      </w:pPr>
      <w:r>
        <w:continuationSeparator/>
      </w:r>
    </w:p>
  </w:footnote>
  <w:footnote w:id="1">
    <w:p w14:paraId="520E28E7" w14:textId="3916F61C" w:rsidR="009F1725" w:rsidRDefault="009F1725" w:rsidP="009F1725">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242D8EF0" w:rsidR="00AB3D9D" w:rsidRDefault="00AB3D9D" w:rsidP="00A11D0E">
          <w:pPr>
            <w:pStyle w:val="Header"/>
            <w:pBdr>
              <w:bottom w:val="none" w:sz="0" w:space="0" w:color="auto"/>
            </w:pBdr>
            <w:jc w:val="right"/>
            <w:rPr>
              <w:b w:val="0"/>
              <w:bCs/>
              <w:sz w:val="22"/>
              <w:szCs w:val="22"/>
              <w:lang w:val="en-US"/>
            </w:rPr>
          </w:pPr>
          <w:r>
            <w:rPr>
              <w:b w:val="0"/>
              <w:bCs/>
              <w:sz w:val="22"/>
              <w:szCs w:val="22"/>
              <w:lang w:val="en-US"/>
            </w:rPr>
            <w:t>Submitted by the experts from OICA</w:t>
          </w:r>
        </w:p>
      </w:tc>
      <w:tc>
        <w:tcPr>
          <w:tcW w:w="4815" w:type="dxa"/>
        </w:tcPr>
        <w:p w14:paraId="0EFB4890" w14:textId="33778087" w:rsidR="00AB3D9D" w:rsidRDefault="00AB3D9D" w:rsidP="009F1725">
          <w:pPr>
            <w:pStyle w:val="Header"/>
            <w:pBdr>
              <w:bottom w:val="none" w:sz="0" w:space="0" w:color="auto"/>
            </w:pBdr>
            <w:ind w:left="770" w:right="27"/>
            <w:jc w:val="right"/>
            <w:rPr>
              <w:b w:val="0"/>
              <w:bCs/>
              <w:sz w:val="22"/>
              <w:szCs w:val="22"/>
              <w:lang w:val="en-US"/>
            </w:rPr>
          </w:pPr>
          <w:r w:rsidRPr="009F1725">
            <w:rPr>
              <w:b w:val="0"/>
              <w:bCs/>
              <w:sz w:val="22"/>
              <w:szCs w:val="22"/>
              <w:u w:val="single"/>
              <w:lang w:val="fr-FR"/>
            </w:rPr>
            <w:t>Informal document</w:t>
          </w:r>
          <w:r w:rsidRPr="009F1725">
            <w:rPr>
              <w:b w:val="0"/>
              <w:bCs/>
              <w:sz w:val="22"/>
              <w:szCs w:val="22"/>
              <w:lang w:val="fr-FR"/>
            </w:rPr>
            <w:t xml:space="preserve"> </w:t>
          </w:r>
          <w:r w:rsidRPr="009F1725">
            <w:rPr>
              <w:sz w:val="22"/>
              <w:szCs w:val="22"/>
              <w:lang w:val="fr-FR"/>
            </w:rPr>
            <w:t>G</w:t>
          </w:r>
          <w:r w:rsidR="009F1725" w:rsidRPr="009F1725">
            <w:rPr>
              <w:sz w:val="22"/>
              <w:szCs w:val="22"/>
              <w:lang w:val="fr-FR"/>
            </w:rPr>
            <w:t>RSP</w:t>
          </w:r>
          <w:r w:rsidR="004F645A">
            <w:rPr>
              <w:sz w:val="22"/>
              <w:szCs w:val="22"/>
              <w:lang w:val="fr-FR"/>
            </w:rPr>
            <w:t>-73-24</w:t>
          </w:r>
          <w:r w:rsidRPr="009F1725">
            <w:rPr>
              <w:b w:val="0"/>
              <w:bCs/>
              <w:sz w:val="22"/>
              <w:szCs w:val="22"/>
              <w:lang w:val="fr-FR"/>
            </w:rPr>
            <w:br/>
          </w:r>
          <w:r w:rsidR="009F1725" w:rsidRPr="00985586">
            <w:rPr>
              <w:b w:val="0"/>
              <w:sz w:val="20"/>
            </w:rPr>
            <w:t>(</w:t>
          </w:r>
          <w:r w:rsidR="009F1725">
            <w:rPr>
              <w:b w:val="0"/>
              <w:sz w:val="20"/>
            </w:rPr>
            <w:t>73</w:t>
          </w:r>
          <w:r w:rsidR="009F1725" w:rsidRPr="008D7BAC">
            <w:rPr>
              <w:b w:val="0"/>
              <w:sz w:val="20"/>
              <w:vertAlign w:val="superscript"/>
            </w:rPr>
            <w:t>rd</w:t>
          </w:r>
          <w:r w:rsidR="009F1725">
            <w:rPr>
              <w:b w:val="0"/>
              <w:sz w:val="20"/>
            </w:rPr>
            <w:t xml:space="preserve"> </w:t>
          </w:r>
          <w:r w:rsidR="009F1725" w:rsidRPr="00985586">
            <w:rPr>
              <w:b w:val="0"/>
              <w:sz w:val="20"/>
            </w:rPr>
            <w:t>GRS</w:t>
          </w:r>
          <w:r w:rsidR="009F1725">
            <w:rPr>
              <w:b w:val="0"/>
              <w:sz w:val="20"/>
            </w:rPr>
            <w:t>P</w:t>
          </w:r>
          <w:r w:rsidR="009F1725" w:rsidRPr="00985586">
            <w:rPr>
              <w:b w:val="0"/>
              <w:sz w:val="20"/>
            </w:rPr>
            <w:t xml:space="preserve">, </w:t>
          </w:r>
          <w:r w:rsidR="009F1725" w:rsidRPr="00985586">
            <w:rPr>
              <w:b w:val="0"/>
              <w:sz w:val="20"/>
              <w:lang w:eastAsia="ja-JP"/>
            </w:rPr>
            <w:t>1</w:t>
          </w:r>
          <w:r w:rsidR="009F1725">
            <w:rPr>
              <w:b w:val="0"/>
              <w:sz w:val="20"/>
              <w:lang w:eastAsia="ja-JP"/>
            </w:rPr>
            <w:t>5</w:t>
          </w:r>
          <w:r w:rsidR="009F1725" w:rsidRPr="00985586">
            <w:rPr>
              <w:b w:val="0"/>
              <w:sz w:val="20"/>
              <w:lang w:eastAsia="ja-JP"/>
            </w:rPr>
            <w:t xml:space="preserve"> – 1</w:t>
          </w:r>
          <w:r w:rsidR="009F1725">
            <w:rPr>
              <w:b w:val="0"/>
              <w:sz w:val="20"/>
              <w:lang w:eastAsia="ja-JP"/>
            </w:rPr>
            <w:t xml:space="preserve">9 May </w:t>
          </w:r>
          <w:r w:rsidR="009F1725">
            <w:rPr>
              <w:b w:val="0"/>
              <w:sz w:val="20"/>
            </w:rPr>
            <w:t xml:space="preserve">2023 </w:t>
          </w:r>
          <w:r w:rsidR="004F645A">
            <w:rPr>
              <w:b w:val="0"/>
              <w:sz w:val="20"/>
            </w:rPr>
            <w:br/>
          </w:r>
          <w:r w:rsidR="009F1725" w:rsidRPr="00985586">
            <w:rPr>
              <w:b w:val="0"/>
              <w:sz w:val="20"/>
            </w:rPr>
            <w:t xml:space="preserve">agenda item </w:t>
          </w:r>
          <w:r w:rsidR="009F1725">
            <w:rPr>
              <w:b w:val="0"/>
              <w:sz w:val="20"/>
              <w:lang w:eastAsia="ja-JP"/>
            </w:rPr>
            <w:t>6</w:t>
          </w:r>
          <w:r w:rsidR="009F1725" w:rsidRPr="00985586">
            <w:rPr>
              <w:b w:val="0"/>
              <w:sz w:val="20"/>
            </w:rPr>
            <w:t>)</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2260056">
    <w:abstractNumId w:val="0"/>
  </w:num>
  <w:num w:numId="2" w16cid:durableId="1512790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60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27B8A"/>
    <w:rsid w:val="000403ED"/>
    <w:rsid w:val="00072632"/>
    <w:rsid w:val="00082AC4"/>
    <w:rsid w:val="000B360B"/>
    <w:rsid w:val="000D689C"/>
    <w:rsid w:val="00113B9B"/>
    <w:rsid w:val="001559AF"/>
    <w:rsid w:val="00186DD0"/>
    <w:rsid w:val="0025562C"/>
    <w:rsid w:val="00273BDC"/>
    <w:rsid w:val="00273D15"/>
    <w:rsid w:val="002A3989"/>
    <w:rsid w:val="002C76D5"/>
    <w:rsid w:val="002E0688"/>
    <w:rsid w:val="002E44C5"/>
    <w:rsid w:val="00396853"/>
    <w:rsid w:val="003B73C4"/>
    <w:rsid w:val="004344AC"/>
    <w:rsid w:val="004414BD"/>
    <w:rsid w:val="004C1DD5"/>
    <w:rsid w:val="004C2D83"/>
    <w:rsid w:val="004D5A51"/>
    <w:rsid w:val="004E4ACF"/>
    <w:rsid w:val="004F30D6"/>
    <w:rsid w:val="004F645A"/>
    <w:rsid w:val="00536B80"/>
    <w:rsid w:val="00536F27"/>
    <w:rsid w:val="00542759"/>
    <w:rsid w:val="005438B8"/>
    <w:rsid w:val="005510F1"/>
    <w:rsid w:val="005B07EA"/>
    <w:rsid w:val="006D6679"/>
    <w:rsid w:val="007650BA"/>
    <w:rsid w:val="00796678"/>
    <w:rsid w:val="0080168F"/>
    <w:rsid w:val="00803B4D"/>
    <w:rsid w:val="00824F81"/>
    <w:rsid w:val="008C0D2B"/>
    <w:rsid w:val="009F1725"/>
    <w:rsid w:val="00A11D0E"/>
    <w:rsid w:val="00A80F2C"/>
    <w:rsid w:val="00AB3D9D"/>
    <w:rsid w:val="00AD71F1"/>
    <w:rsid w:val="00AE4464"/>
    <w:rsid w:val="00B10A63"/>
    <w:rsid w:val="00B725B6"/>
    <w:rsid w:val="00B76DEB"/>
    <w:rsid w:val="00B9186F"/>
    <w:rsid w:val="00BA7DB3"/>
    <w:rsid w:val="00BD2475"/>
    <w:rsid w:val="00C00D37"/>
    <w:rsid w:val="00C43FD1"/>
    <w:rsid w:val="00C61F86"/>
    <w:rsid w:val="00C86BDE"/>
    <w:rsid w:val="00D151A1"/>
    <w:rsid w:val="00DA581C"/>
    <w:rsid w:val="00DC48B8"/>
    <w:rsid w:val="00E56C82"/>
    <w:rsid w:val="00E65604"/>
    <w:rsid w:val="00E93A4E"/>
    <w:rsid w:val="00EB7B29"/>
    <w:rsid w:val="00F62131"/>
    <w:rsid w:val="00F66770"/>
    <w:rsid w:val="00F87D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uiPriority w:val="99"/>
    <w:qFormat/>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G">
    <w:name w:val="__S_S_G"/>
    <w:basedOn w:val="Normal"/>
    <w:next w:val="Normal"/>
    <w:rsid w:val="009F1725"/>
    <w:pPr>
      <w:keepNext/>
      <w:keepLines/>
      <w:spacing w:before="240" w:after="240" w:line="300" w:lineRule="exact"/>
      <w:ind w:left="1134" w:right="1134"/>
    </w:pPr>
    <w:rPr>
      <w:b/>
      <w:sz w:val="28"/>
      <w:lang w:eastAsia="fr-FR"/>
    </w:rPr>
  </w:style>
  <w:style w:type="paragraph" w:styleId="FootnoteText">
    <w:name w:val="footnote text"/>
    <w:basedOn w:val="Normal"/>
    <w:link w:val="FootnoteTextChar"/>
    <w:uiPriority w:val="99"/>
    <w:semiHidden/>
    <w:unhideWhenUsed/>
    <w:rsid w:val="009F1725"/>
    <w:pPr>
      <w:spacing w:line="240" w:lineRule="auto"/>
    </w:pPr>
  </w:style>
  <w:style w:type="character" w:customStyle="1" w:styleId="FootnoteTextChar">
    <w:name w:val="Footnote Text Char"/>
    <w:basedOn w:val="DefaultParagraphFont"/>
    <w:link w:val="FootnoteText"/>
    <w:uiPriority w:val="99"/>
    <w:semiHidden/>
    <w:rsid w:val="009F1725"/>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9F1725"/>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8D76E4F-80DE-4A56-BB9C-20EB03A9E54C}"/>
</file>

<file path=customXml/itemProps2.xml><?xml version="1.0" encoding="utf-8"?>
<ds:datastoreItem xmlns:ds="http://schemas.openxmlformats.org/officeDocument/2006/customXml" ds:itemID="{110E3BC0-4A42-4EEB-937D-A1DC498ED196}"/>
</file>

<file path=customXml/itemProps3.xml><?xml version="1.0" encoding="utf-8"?>
<ds:datastoreItem xmlns:ds="http://schemas.openxmlformats.org/officeDocument/2006/customXml" ds:itemID="{A55E7CA1-3F0D-44DE-B34A-F5D9AF77CC24}"/>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2928</Characters>
  <Application>Microsoft Office Word</Application>
  <DocSecurity>4</DocSecurity>
  <Lines>77</Lines>
  <Paragraphs>70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BOSCH Group</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E/ECE/324/Rev.2/Add.109/Rev.7</cp:lastModifiedBy>
  <cp:revision>2</cp:revision>
  <cp:lastPrinted>2019-02-15T08:27:00Z</cp:lastPrinted>
  <dcterms:created xsi:type="dcterms:W3CDTF">2023-05-11T07:30:00Z</dcterms:created>
  <dcterms:modified xsi:type="dcterms:W3CDTF">2023-05-11T07:30:00Z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