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02022503" w14:textId="77777777" w:rsidR="00525BB5" w:rsidRPr="005716BD" w:rsidRDefault="008C0C40" w:rsidP="00525BB5">
      <w:pPr>
        <w:pStyle w:val="HChG"/>
      </w:pPr>
      <w:r>
        <w:tab/>
      </w:r>
      <w:r>
        <w:tab/>
      </w:r>
      <w:r w:rsidR="00525BB5" w:rsidRPr="005716BD">
        <w:tab/>
        <w:t xml:space="preserve">Proposal for Supplement 10 to the 03 Series of Amendments to UN Regulation No. 129 (Enhanced Child Restraint Systems) </w:t>
      </w:r>
      <w:r w:rsidR="00525BB5" w:rsidRPr="005716BD">
        <w:footnoteReference w:customMarkFollows="1" w:id="2"/>
        <w:t>*</w:t>
      </w:r>
    </w:p>
    <w:p w14:paraId="275290F0" w14:textId="77777777" w:rsidR="00525BB5" w:rsidRPr="005716BD" w:rsidRDefault="00525BB5" w:rsidP="00525BB5">
      <w:pPr>
        <w:pStyle w:val="H1G"/>
      </w:pPr>
      <w:r w:rsidRPr="005716BD">
        <w:tab/>
      </w:r>
      <w:r w:rsidRPr="005716BD">
        <w:tab/>
        <w:t>Submitted by the expert from the Netherlands</w:t>
      </w:r>
    </w:p>
    <w:p w14:paraId="43367217" w14:textId="67AFAC6F" w:rsidR="00CB40FB" w:rsidRPr="00143CF1" w:rsidRDefault="00525BB5" w:rsidP="00525BB5">
      <w:pPr>
        <w:pStyle w:val="HChG"/>
        <w:jc w:val="both"/>
        <w:rPr>
          <w:b w:val="0"/>
          <w:sz w:val="20"/>
        </w:rPr>
      </w:pPr>
      <w:r>
        <w:rPr>
          <w:b w:val="0"/>
          <w:sz w:val="20"/>
        </w:rPr>
        <w:tab/>
      </w:r>
      <w:r>
        <w:rPr>
          <w:b w:val="0"/>
          <w:sz w:val="20"/>
        </w:rPr>
        <w:tab/>
      </w:r>
      <w:r w:rsidRPr="00525BB5">
        <w:rPr>
          <w:b w:val="0"/>
          <w:sz w:val="20"/>
        </w:rPr>
        <w:t xml:space="preserve">The text reproduced below was </w:t>
      </w:r>
      <w:bookmarkStart w:id="0" w:name="_Hlk32495709"/>
      <w:r w:rsidRPr="00525BB5">
        <w:rPr>
          <w:b w:val="0"/>
          <w:sz w:val="20"/>
        </w:rPr>
        <w:t xml:space="preserve">prepared by the expert from the Netherlands </w:t>
      </w:r>
      <w:bookmarkEnd w:id="0"/>
      <w:r w:rsidRPr="00525BB5">
        <w:rPr>
          <w:b w:val="0"/>
          <w:sz w:val="20"/>
        </w:rPr>
        <w:t>on behalf of the Technical Services Group (TSG) aiming to clarify the single belt route principle mentioned in paragraph 3.</w:t>
      </w:r>
      <w:proofErr w:type="gramStart"/>
      <w:r w:rsidRPr="00525BB5">
        <w:rPr>
          <w:b w:val="0"/>
          <w:sz w:val="20"/>
        </w:rPr>
        <w:t>2.2.</w:t>
      </w:r>
      <w:r w:rsidR="00863F60" w:rsidRPr="00863F60">
        <w:rPr>
          <w:b w:val="0"/>
          <w:sz w:val="20"/>
        </w:rPr>
        <w:t>.</w:t>
      </w:r>
      <w:proofErr w:type="gramEnd"/>
      <w:r w:rsidR="00143CF1" w:rsidRPr="00143CF1">
        <w:rPr>
          <w:b w:val="0"/>
          <w:sz w:val="20"/>
        </w:rPr>
        <w:t xml:space="preserve"> The modifications to the existing text of the UN Regulation by document ECE/TRANS/WP.29/GRSP/2023/</w:t>
      </w:r>
      <w:r w:rsidR="00863F60">
        <w:rPr>
          <w:b w:val="0"/>
          <w:sz w:val="20"/>
        </w:rPr>
        <w:t>1</w:t>
      </w:r>
      <w:r>
        <w:rPr>
          <w:b w:val="0"/>
          <w:sz w:val="20"/>
        </w:rPr>
        <w:t>1</w:t>
      </w:r>
      <w:r w:rsidR="00143CF1" w:rsidRPr="00143CF1">
        <w:rPr>
          <w:b w:val="0"/>
          <w:sz w:val="20"/>
        </w:rPr>
        <w:t xml:space="preserve"> are marked in “bold </w:t>
      </w:r>
      <w:proofErr w:type="gramStart"/>
      <w:r w:rsidR="00143CF1" w:rsidRPr="00143CF1">
        <w:rPr>
          <w:b w:val="0"/>
          <w:sz w:val="20"/>
        </w:rPr>
        <w:t>black“ for</w:t>
      </w:r>
      <w:proofErr w:type="gramEnd"/>
      <w:r w:rsidR="00143CF1" w:rsidRPr="00143CF1">
        <w:rPr>
          <w:b w:val="0"/>
          <w:sz w:val="20"/>
        </w:rPr>
        <w:t xml:space="preserve"> new or strikethrough for deleted characters. The modifications made by this document are marked in </w:t>
      </w:r>
      <w:r w:rsidR="00143CF1" w:rsidRPr="00143CF1">
        <w:rPr>
          <w:b w:val="0"/>
          <w:color w:val="0070C0"/>
          <w:sz w:val="20"/>
        </w:rPr>
        <w:t>“</w:t>
      </w:r>
      <w:r w:rsidR="00143CF1" w:rsidRPr="00143CF1">
        <w:rPr>
          <w:color w:val="0070C0"/>
          <w:sz w:val="20"/>
        </w:rPr>
        <w:t>(bold)</w:t>
      </w:r>
      <w:r w:rsidR="00143CF1" w:rsidRPr="00143CF1">
        <w:rPr>
          <w:b w:val="0"/>
          <w:color w:val="0070C0"/>
          <w:sz w:val="20"/>
        </w:rPr>
        <w:t xml:space="preserve"> blue”</w:t>
      </w:r>
      <w:r w:rsidR="00143CF1" w:rsidRPr="00143CF1">
        <w:rPr>
          <w:b w:val="0"/>
          <w:sz w:val="20"/>
        </w:rPr>
        <w:t xml:space="preserve"> for new or strikethrough for deleted characters.</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0354D855" w14:textId="77777777" w:rsidR="00525BB5" w:rsidRPr="005716BD" w:rsidRDefault="00525BB5" w:rsidP="00525BB5">
      <w:pPr>
        <w:pStyle w:val="SingleTxtG"/>
      </w:pPr>
      <w:r w:rsidRPr="005716BD">
        <w:rPr>
          <w:i/>
          <w:iCs/>
        </w:rPr>
        <w:t>Paragraph 3.2.2.</w:t>
      </w:r>
      <w:r w:rsidRPr="005716BD">
        <w:t>, amend to read:</w:t>
      </w:r>
    </w:p>
    <w:p w14:paraId="68FBD4F2" w14:textId="77777777" w:rsidR="00525BB5" w:rsidRPr="005716BD" w:rsidRDefault="00525BB5" w:rsidP="00525BB5">
      <w:pPr>
        <w:spacing w:after="120"/>
        <w:ind w:left="2268" w:right="851" w:hanging="1134"/>
        <w:jc w:val="both"/>
      </w:pPr>
      <w:bookmarkStart w:id="1" w:name="_Hlk111114823"/>
      <w:r w:rsidRPr="005716BD">
        <w:t xml:space="preserve">"3.2.2. </w:t>
      </w:r>
      <w:r w:rsidRPr="005716BD">
        <w:rPr>
          <w:bCs/>
        </w:rPr>
        <w:tab/>
      </w:r>
      <w:r w:rsidRPr="005716BD">
        <w:t>The applicant shall indicate the kind of application:</w:t>
      </w:r>
    </w:p>
    <w:p w14:paraId="20253E3B" w14:textId="77777777" w:rsidR="00525BB5" w:rsidRPr="005716BD" w:rsidRDefault="00525BB5" w:rsidP="00525BB5">
      <w:pPr>
        <w:spacing w:after="120"/>
        <w:ind w:left="2835" w:right="851" w:hanging="567"/>
        <w:jc w:val="both"/>
      </w:pPr>
      <w:r w:rsidRPr="005716BD">
        <w:t>(a)</w:t>
      </w:r>
      <w:r w:rsidRPr="005716BD">
        <w:tab/>
        <w:t xml:space="preserve">Application for an </w:t>
      </w:r>
      <w:proofErr w:type="spellStart"/>
      <w:r w:rsidRPr="005716BD">
        <w:t>i</w:t>
      </w:r>
      <w:proofErr w:type="spellEnd"/>
      <w:r w:rsidRPr="005716BD">
        <w:t xml:space="preserve">-Size Enhanced Child Restraint Systems; or </w:t>
      </w:r>
    </w:p>
    <w:p w14:paraId="4FD120A5" w14:textId="77777777" w:rsidR="00525BB5" w:rsidRPr="005716BD" w:rsidRDefault="00525BB5" w:rsidP="00525BB5">
      <w:pPr>
        <w:spacing w:after="120"/>
        <w:ind w:left="2835" w:right="1134" w:hanging="567"/>
        <w:jc w:val="both"/>
      </w:pPr>
      <w:r w:rsidRPr="005716BD">
        <w:t>(b)</w:t>
      </w:r>
      <w:r w:rsidRPr="005716BD">
        <w:tab/>
        <w:t>Application for a specific vehicle ISOFIX Enhanced Child Restraint System; or</w:t>
      </w:r>
    </w:p>
    <w:p w14:paraId="24DE3129" w14:textId="77777777" w:rsidR="00525BB5" w:rsidRPr="005716BD" w:rsidRDefault="00525BB5" w:rsidP="00525BB5">
      <w:pPr>
        <w:spacing w:after="120"/>
        <w:ind w:left="2835" w:right="1134" w:hanging="567"/>
        <w:jc w:val="both"/>
      </w:pPr>
      <w:r w:rsidRPr="005716BD">
        <w:t>(c)</w:t>
      </w:r>
      <w:r w:rsidRPr="005716BD">
        <w:tab/>
        <w:t xml:space="preserve">Application for a </w:t>
      </w:r>
      <w:proofErr w:type="spellStart"/>
      <w:r w:rsidRPr="005716BD">
        <w:t>i</w:t>
      </w:r>
      <w:proofErr w:type="spellEnd"/>
      <w:r w:rsidRPr="005716BD">
        <w:t>-Size booster seat Enhanced Child Restraint System; or</w:t>
      </w:r>
    </w:p>
    <w:p w14:paraId="7B10B5DA" w14:textId="77777777" w:rsidR="00525BB5" w:rsidRPr="005716BD" w:rsidRDefault="00525BB5" w:rsidP="00525BB5">
      <w:pPr>
        <w:spacing w:after="120"/>
        <w:ind w:left="2835" w:right="1134" w:hanging="567"/>
        <w:jc w:val="both"/>
      </w:pPr>
      <w:r w:rsidRPr="005716BD">
        <w:t>(d)</w:t>
      </w:r>
      <w:r w:rsidRPr="005716BD">
        <w:tab/>
        <w:t>Application for a specific vehicle booster seat Enhanced Child Restraint System; or</w:t>
      </w:r>
    </w:p>
    <w:p w14:paraId="4B1D62BB" w14:textId="77777777" w:rsidR="00525BB5" w:rsidRPr="005716BD" w:rsidRDefault="00525BB5" w:rsidP="00525BB5">
      <w:pPr>
        <w:pStyle w:val="SingleTxtG"/>
        <w:ind w:left="2835" w:hanging="567"/>
        <w:rPr>
          <w:iCs/>
        </w:rPr>
      </w:pPr>
      <w:r w:rsidRPr="005716BD">
        <w:rPr>
          <w:iCs/>
        </w:rPr>
        <w:t xml:space="preserve">(e) </w:t>
      </w:r>
      <w:r w:rsidRPr="005716BD">
        <w:rPr>
          <w:iCs/>
        </w:rPr>
        <w:tab/>
        <w:t>Application for a Universal Belted Enhanced Child Restraint Systems; or</w:t>
      </w:r>
    </w:p>
    <w:p w14:paraId="4161878F" w14:textId="77777777" w:rsidR="00525BB5" w:rsidRPr="005716BD" w:rsidRDefault="00525BB5" w:rsidP="00525BB5">
      <w:pPr>
        <w:suppressAutoHyphens w:val="0"/>
        <w:autoSpaceDE w:val="0"/>
        <w:autoSpaceDN w:val="0"/>
        <w:adjustRightInd w:val="0"/>
        <w:spacing w:after="120" w:line="240" w:lineRule="auto"/>
        <w:ind w:left="2835" w:right="1134" w:hanging="567"/>
        <w:jc w:val="both"/>
        <w:rPr>
          <w:color w:val="000000"/>
          <w:lang w:eastAsia="de-DE"/>
        </w:rPr>
      </w:pPr>
      <w:r w:rsidRPr="005716BD">
        <w:rPr>
          <w:color w:val="000000"/>
          <w:lang w:eastAsia="de-DE"/>
        </w:rPr>
        <w:t>(f)</w:t>
      </w:r>
      <w:r w:rsidRPr="005716BD">
        <w:rPr>
          <w:color w:val="000000"/>
          <w:lang w:eastAsia="de-DE"/>
        </w:rPr>
        <w:tab/>
        <w:t xml:space="preserve">Application for </w:t>
      </w:r>
      <w:r w:rsidRPr="005716BD">
        <w:rPr>
          <w:bCs/>
          <w:color w:val="000000" w:themeColor="text1"/>
          <w:lang w:eastAsia="de-DE"/>
        </w:rPr>
        <w:t>a</w:t>
      </w:r>
      <w:r w:rsidRPr="005716BD">
        <w:rPr>
          <w:color w:val="000000"/>
          <w:lang w:eastAsia="de-DE"/>
        </w:rPr>
        <w:t xml:space="preserve"> Specific vehicle Belted Enhanced Child Restraint System</w:t>
      </w:r>
      <w:r w:rsidRPr="005716BD">
        <w:rPr>
          <w:strike/>
          <w:color w:val="000000"/>
          <w:lang w:eastAsia="de-DE"/>
        </w:rPr>
        <w:t>s</w:t>
      </w:r>
      <w:r w:rsidRPr="005716BD">
        <w:rPr>
          <w:color w:val="000000"/>
          <w:lang w:eastAsia="de-DE"/>
        </w:rPr>
        <w:t xml:space="preserve">; or </w:t>
      </w:r>
    </w:p>
    <w:p w14:paraId="559A5ACE" w14:textId="77777777" w:rsidR="00525BB5" w:rsidRPr="005716BD" w:rsidRDefault="00525BB5" w:rsidP="00525BB5">
      <w:pPr>
        <w:spacing w:after="120"/>
        <w:ind w:left="2835" w:right="1134" w:hanging="567"/>
        <w:jc w:val="both"/>
        <w:rPr>
          <w:bCs/>
          <w:color w:val="000000" w:themeColor="text1"/>
          <w:lang w:eastAsia="de-DE"/>
        </w:rPr>
      </w:pPr>
      <w:r w:rsidRPr="005716BD">
        <w:rPr>
          <w:bCs/>
          <w:lang w:eastAsia="de-DE"/>
        </w:rPr>
        <w:t>(g)</w:t>
      </w:r>
      <w:r w:rsidRPr="005716BD">
        <w:rPr>
          <w:bCs/>
          <w:lang w:eastAsia="de-DE"/>
        </w:rPr>
        <w:tab/>
        <w:t>Application for a U</w:t>
      </w:r>
      <w:r w:rsidRPr="005716BD">
        <w:rPr>
          <w:bCs/>
          <w:color w:val="000000" w:themeColor="text1"/>
          <w:lang w:eastAsia="de-DE"/>
        </w:rPr>
        <w:t>niversal booster cushion Enhanced Child Restraint System; or</w:t>
      </w:r>
    </w:p>
    <w:p w14:paraId="1D9A7338" w14:textId="77777777" w:rsidR="00525BB5" w:rsidRPr="005716BD" w:rsidRDefault="00525BB5" w:rsidP="00525BB5">
      <w:pPr>
        <w:spacing w:after="120"/>
        <w:ind w:left="2835" w:right="1134" w:hanging="567"/>
        <w:jc w:val="both"/>
        <w:rPr>
          <w:bCs/>
          <w:color w:val="000000" w:themeColor="text1"/>
          <w:lang w:eastAsia="de-DE"/>
        </w:rPr>
      </w:pPr>
      <w:r w:rsidRPr="005716BD">
        <w:rPr>
          <w:bCs/>
          <w:color w:val="000000" w:themeColor="text1"/>
          <w:lang w:eastAsia="de-DE"/>
        </w:rPr>
        <w:t>(h)</w:t>
      </w:r>
      <w:r w:rsidRPr="005716BD">
        <w:rPr>
          <w:bCs/>
          <w:color w:val="000000" w:themeColor="text1"/>
          <w:lang w:eastAsia="de-DE"/>
        </w:rPr>
        <w:tab/>
        <w:t>Application for a Specific vehicle booster cushion Enhanced Child Restraint System; or</w:t>
      </w:r>
    </w:p>
    <w:p w14:paraId="4942F1C7" w14:textId="77777777" w:rsidR="00525BB5" w:rsidRPr="005716BD" w:rsidRDefault="00525BB5" w:rsidP="00525BB5">
      <w:pPr>
        <w:spacing w:after="120"/>
        <w:ind w:left="2835" w:right="1134" w:hanging="567"/>
        <w:jc w:val="both"/>
        <w:rPr>
          <w:bCs/>
          <w:color w:val="000000" w:themeColor="text1"/>
          <w:lang w:eastAsia="de-DE"/>
        </w:rPr>
      </w:pPr>
      <w:r w:rsidRPr="005716BD">
        <w:rPr>
          <w:bCs/>
          <w:color w:val="000000" w:themeColor="text1"/>
          <w:lang w:eastAsia="de-DE"/>
        </w:rPr>
        <w:t>(</w:t>
      </w:r>
      <w:proofErr w:type="spellStart"/>
      <w:r w:rsidRPr="005716BD">
        <w:rPr>
          <w:bCs/>
          <w:color w:val="000000" w:themeColor="text1"/>
          <w:lang w:eastAsia="de-DE"/>
        </w:rPr>
        <w:t>i</w:t>
      </w:r>
      <w:proofErr w:type="spellEnd"/>
      <w:r w:rsidRPr="005716BD">
        <w:rPr>
          <w:bCs/>
          <w:color w:val="000000" w:themeColor="text1"/>
          <w:lang w:eastAsia="de-DE"/>
        </w:rPr>
        <w:t>)</w:t>
      </w:r>
      <w:r w:rsidRPr="005716BD">
        <w:rPr>
          <w:bCs/>
          <w:color w:val="000000" w:themeColor="text1"/>
          <w:lang w:eastAsia="de-DE"/>
        </w:rPr>
        <w:tab/>
        <w:t xml:space="preserve">Any combination of (a), (b), (c), (d), (g) and (h) </w:t>
      </w:r>
      <w:proofErr w:type="gramStart"/>
      <w:r w:rsidRPr="005716BD">
        <w:rPr>
          <w:bCs/>
          <w:color w:val="000000" w:themeColor="text1"/>
          <w:lang w:eastAsia="de-DE"/>
        </w:rPr>
        <w:t>as long as</w:t>
      </w:r>
      <w:proofErr w:type="gramEnd"/>
      <w:r w:rsidRPr="005716BD">
        <w:rPr>
          <w:bCs/>
          <w:color w:val="000000" w:themeColor="text1"/>
          <w:lang w:eastAsia="de-DE"/>
        </w:rPr>
        <w:t xml:space="preserve"> they fulfil paragraphs 5.4.2.2., 6.1.2. and 6.1.3. provided there is only one belt route</w:t>
      </w:r>
      <w:r w:rsidRPr="00A270E1">
        <w:rPr>
          <w:rStyle w:val="FootnoteReference"/>
          <w:b/>
          <w:lang w:eastAsia="de-DE"/>
        </w:rPr>
        <w:footnoteReference w:customMarkFollows="1" w:id="3"/>
        <w:t>2</w:t>
      </w:r>
      <w:r w:rsidRPr="003D0305">
        <w:rPr>
          <w:bCs/>
          <w:lang w:eastAsia="de-DE"/>
        </w:rPr>
        <w:t xml:space="preserve">; </w:t>
      </w:r>
      <w:r w:rsidRPr="005716BD">
        <w:rPr>
          <w:bCs/>
          <w:color w:val="000000" w:themeColor="text1"/>
          <w:lang w:eastAsia="de-DE"/>
        </w:rPr>
        <w:t>or</w:t>
      </w:r>
    </w:p>
    <w:p w14:paraId="28422F3E" w14:textId="77777777" w:rsidR="00525BB5" w:rsidRPr="005716BD" w:rsidRDefault="00525BB5" w:rsidP="00525BB5">
      <w:pPr>
        <w:spacing w:after="120"/>
        <w:ind w:left="2835" w:right="1134" w:hanging="567"/>
        <w:jc w:val="both"/>
        <w:rPr>
          <w:bCs/>
          <w:lang w:eastAsia="de-DE"/>
        </w:rPr>
      </w:pPr>
      <w:r w:rsidRPr="005716BD">
        <w:rPr>
          <w:bCs/>
          <w:color w:val="000000" w:themeColor="text1"/>
          <w:lang w:eastAsia="de-DE"/>
        </w:rPr>
        <w:t>(j)</w:t>
      </w:r>
      <w:r w:rsidRPr="005716BD">
        <w:rPr>
          <w:bCs/>
          <w:color w:val="000000" w:themeColor="text1"/>
          <w:lang w:eastAsia="de-DE"/>
        </w:rPr>
        <w:tab/>
        <w:t xml:space="preserve">Any combination of (c), (d), (e), (f), (g) and (h) </w:t>
      </w:r>
      <w:proofErr w:type="gramStart"/>
      <w:r w:rsidRPr="005716BD">
        <w:rPr>
          <w:bCs/>
          <w:color w:val="000000" w:themeColor="text1"/>
          <w:lang w:eastAsia="de-DE"/>
        </w:rPr>
        <w:t>as long as</w:t>
      </w:r>
      <w:proofErr w:type="gramEnd"/>
      <w:r w:rsidRPr="005716BD">
        <w:rPr>
          <w:bCs/>
          <w:color w:val="000000" w:themeColor="text1"/>
          <w:lang w:eastAsia="de-DE"/>
        </w:rPr>
        <w:t xml:space="preserve"> they fulfil paragraphs 5.4.2.2., 6.1.2. and 6.1.3. provided there is only one belt route</w:t>
      </w:r>
      <w:r w:rsidRPr="00CC390B">
        <w:rPr>
          <w:b/>
          <w:bCs/>
          <w:color w:val="000000" w:themeColor="text1"/>
          <w:vertAlign w:val="superscript"/>
          <w:lang w:eastAsia="de-DE"/>
        </w:rPr>
        <w:t>2</w:t>
      </w:r>
      <w:r w:rsidRPr="005716BD">
        <w:rPr>
          <w:bCs/>
          <w:color w:val="000000" w:themeColor="text1"/>
          <w:lang w:eastAsia="de-DE"/>
        </w:rPr>
        <w:t xml:space="preserve"> and that the booster seat and booster cushion is </w:t>
      </w:r>
      <w:r w:rsidRPr="005716BD">
        <w:rPr>
          <w:bCs/>
          <w:lang w:eastAsia="de-DE"/>
        </w:rPr>
        <w:t>not equipped with ISOFIX connectors.</w:t>
      </w:r>
      <w:r w:rsidRPr="005716BD">
        <w:t>"</w:t>
      </w:r>
      <w:r w:rsidRPr="005716BD">
        <w:rPr>
          <w:b/>
          <w:bCs/>
        </w:rPr>
        <w:tab/>
      </w:r>
    </w:p>
    <w:p w14:paraId="0E1B3019" w14:textId="042EC1ED" w:rsidR="00525BB5" w:rsidRPr="005716BD" w:rsidRDefault="00525BB5" w:rsidP="00525BB5">
      <w:pPr>
        <w:pStyle w:val="SingleTxtG"/>
        <w:ind w:left="1701" w:hanging="567"/>
        <w:rPr>
          <w:iCs/>
          <w:vertAlign w:val="superscript"/>
        </w:rPr>
      </w:pPr>
      <w:r w:rsidRPr="005716BD">
        <w:rPr>
          <w:i/>
          <w:iCs/>
        </w:rPr>
        <w:t xml:space="preserve">Paragraph 5.4.1.1., the reference </w:t>
      </w:r>
      <w:r w:rsidRPr="00525BB5">
        <w:rPr>
          <w:i/>
          <w:iCs/>
          <w:color w:val="0070C0"/>
        </w:rPr>
        <w:t xml:space="preserve">to footnote </w:t>
      </w:r>
      <w:r w:rsidRPr="00525BB5">
        <w:rPr>
          <w:i/>
          <w:iCs/>
          <w:color w:val="0070C0"/>
          <w:vertAlign w:val="superscript"/>
        </w:rPr>
        <w:t>2</w:t>
      </w:r>
      <w:r w:rsidRPr="005716BD">
        <w:rPr>
          <w:iCs/>
        </w:rPr>
        <w:t xml:space="preserve">, renumber as footnote </w:t>
      </w:r>
      <w:r w:rsidRPr="005716BD">
        <w:rPr>
          <w:iCs/>
          <w:vertAlign w:val="superscript"/>
        </w:rPr>
        <w:t>3</w:t>
      </w:r>
    </w:p>
    <w:p w14:paraId="4410E900" w14:textId="2C66BAF6" w:rsidR="00525BB5" w:rsidRPr="005716BD" w:rsidRDefault="00525BB5" w:rsidP="00525BB5">
      <w:pPr>
        <w:pStyle w:val="SingleTxtG"/>
        <w:ind w:left="1701" w:hanging="567"/>
        <w:rPr>
          <w:iCs/>
          <w:vertAlign w:val="superscript"/>
        </w:rPr>
      </w:pPr>
      <w:r w:rsidRPr="005716BD">
        <w:rPr>
          <w:i/>
          <w:iCs/>
        </w:rPr>
        <w:t xml:space="preserve">Paragraph 6.1.3.6., the reference </w:t>
      </w:r>
      <w:r w:rsidRPr="00525BB5">
        <w:rPr>
          <w:i/>
          <w:iCs/>
          <w:color w:val="0070C0"/>
        </w:rPr>
        <w:t xml:space="preserve">to footnote </w:t>
      </w:r>
      <w:r w:rsidRPr="00525BB5">
        <w:rPr>
          <w:i/>
          <w:iCs/>
          <w:color w:val="0070C0"/>
          <w:vertAlign w:val="superscript"/>
        </w:rPr>
        <w:t>3</w:t>
      </w:r>
      <w:r w:rsidRPr="005716BD">
        <w:rPr>
          <w:iCs/>
        </w:rPr>
        <w:t xml:space="preserve">, renumber as footnote </w:t>
      </w:r>
      <w:r w:rsidRPr="005716BD">
        <w:rPr>
          <w:iCs/>
          <w:vertAlign w:val="superscript"/>
        </w:rPr>
        <w:t>4</w:t>
      </w:r>
    </w:p>
    <w:p w14:paraId="57C78E7F" w14:textId="7BC17A1C" w:rsidR="00525BB5" w:rsidRPr="005716BD" w:rsidRDefault="00525BB5" w:rsidP="00525BB5">
      <w:pPr>
        <w:pStyle w:val="SingleTxtG"/>
        <w:ind w:left="1701" w:hanging="567"/>
        <w:rPr>
          <w:iCs/>
          <w:vertAlign w:val="superscript"/>
        </w:rPr>
      </w:pPr>
      <w:r w:rsidRPr="005716BD">
        <w:rPr>
          <w:i/>
          <w:iCs/>
        </w:rPr>
        <w:t xml:space="preserve">Paragraph 6.3.5., the reference </w:t>
      </w:r>
      <w:r w:rsidRPr="00525BB5">
        <w:rPr>
          <w:i/>
          <w:iCs/>
          <w:color w:val="0070C0"/>
        </w:rPr>
        <w:t xml:space="preserve">to footnote </w:t>
      </w:r>
      <w:r w:rsidRPr="00525BB5">
        <w:rPr>
          <w:i/>
          <w:iCs/>
          <w:color w:val="0070C0"/>
          <w:vertAlign w:val="superscript"/>
        </w:rPr>
        <w:t>4</w:t>
      </w:r>
      <w:r w:rsidRPr="005716BD">
        <w:rPr>
          <w:iCs/>
        </w:rPr>
        <w:t xml:space="preserve">, renumber as footnote </w:t>
      </w:r>
      <w:r w:rsidRPr="005716BD">
        <w:rPr>
          <w:iCs/>
          <w:vertAlign w:val="superscript"/>
        </w:rPr>
        <w:t>5</w:t>
      </w:r>
    </w:p>
    <w:p w14:paraId="1DB294C0" w14:textId="0E6B0904" w:rsidR="00525BB5" w:rsidRPr="005716BD" w:rsidRDefault="00525BB5" w:rsidP="00525BB5">
      <w:pPr>
        <w:pStyle w:val="SingleTxtG"/>
        <w:ind w:left="1701" w:hanging="567"/>
        <w:rPr>
          <w:iCs/>
          <w:vertAlign w:val="superscript"/>
        </w:rPr>
      </w:pPr>
      <w:r w:rsidRPr="005716BD">
        <w:rPr>
          <w:i/>
          <w:iCs/>
        </w:rPr>
        <w:t xml:space="preserve">Paragraph 7.2.4.3.4., the reference </w:t>
      </w:r>
      <w:r w:rsidRPr="00525BB5">
        <w:rPr>
          <w:i/>
          <w:iCs/>
          <w:color w:val="0070C0"/>
        </w:rPr>
        <w:t xml:space="preserve">to footnote </w:t>
      </w:r>
      <w:r w:rsidRPr="00525BB5">
        <w:rPr>
          <w:i/>
          <w:iCs/>
          <w:color w:val="0070C0"/>
          <w:vertAlign w:val="superscript"/>
        </w:rPr>
        <w:t>5</w:t>
      </w:r>
      <w:r w:rsidRPr="005716BD">
        <w:rPr>
          <w:iCs/>
        </w:rPr>
        <w:t xml:space="preserve">, renumber as footnote </w:t>
      </w:r>
      <w:r w:rsidRPr="005716BD">
        <w:rPr>
          <w:iCs/>
          <w:vertAlign w:val="superscript"/>
        </w:rPr>
        <w:t>6</w:t>
      </w:r>
    </w:p>
    <w:bookmarkEnd w:id="1"/>
    <w:p w14:paraId="670151D4" w14:textId="77777777" w:rsidR="00525BB5" w:rsidRPr="005716BD" w:rsidRDefault="00525BB5" w:rsidP="00525BB5">
      <w:pPr>
        <w:pStyle w:val="HChG"/>
      </w:pPr>
      <w:r w:rsidRPr="005716BD">
        <w:tab/>
        <w:t>II.</w:t>
      </w:r>
      <w:r w:rsidRPr="005716BD">
        <w:tab/>
        <w:t>Justification</w:t>
      </w:r>
    </w:p>
    <w:p w14:paraId="38AD282E" w14:textId="77777777" w:rsidR="00525BB5" w:rsidRPr="005716BD" w:rsidRDefault="00525BB5" w:rsidP="00525BB5">
      <w:pPr>
        <w:pStyle w:val="SingleTxtG"/>
        <w:ind w:left="1701" w:hanging="567"/>
      </w:pPr>
      <w:r>
        <w:t>1.</w:t>
      </w:r>
      <w:r>
        <w:tab/>
      </w:r>
      <w:r w:rsidRPr="005716BD">
        <w:t xml:space="preserve">The proposed amendment does not intend to change the requirements nor the level of stringency. The footnote to paragraph 3.2.2. is added to further clarify the definition of the </w:t>
      </w:r>
      <w:r w:rsidRPr="00847D08">
        <w:t>use</w:t>
      </w:r>
      <w:r w:rsidRPr="005716BD">
        <w:t xml:space="preserve"> of </w:t>
      </w:r>
      <w:r>
        <w:t xml:space="preserve">a </w:t>
      </w:r>
      <w:r w:rsidRPr="005716BD">
        <w:t>one belt route. In its current state, the text apparently has been interpreted as to allow the use of a single belt route for each application that an Enhanced Child Restraint System (ECRS) would offer. That way, one belt route for a rearward facing ECRS (</w:t>
      </w:r>
      <w:r>
        <w:t>i</w:t>
      </w:r>
      <w:r w:rsidRPr="005716BD">
        <w:t xml:space="preserve">ntegral) and a second belt route for a forward facing (non-integral) ECRS has been introduced, making a combination of C and E. </w:t>
      </w:r>
    </w:p>
    <w:p w14:paraId="65EB3158" w14:textId="77777777" w:rsidR="00525BB5" w:rsidRPr="005716BD" w:rsidRDefault="00525BB5" w:rsidP="00525BB5">
      <w:pPr>
        <w:pStyle w:val="SingleTxtG"/>
        <w:ind w:left="1701" w:hanging="567"/>
      </w:pPr>
      <w:r>
        <w:lastRenderedPageBreak/>
        <w:t>2.</w:t>
      </w:r>
      <w:r>
        <w:tab/>
      </w:r>
      <w:r w:rsidRPr="005716BD">
        <w:t xml:space="preserve">The single belt route principle was introduced to limit incorrect use of the belt as much as possible. Under mandate of WP.29 the Informal Working Group (IWG) on Child Restraint Systems (CRS) has worked for several years to develop UN Regulation No. 129 up to the 03 series of </w:t>
      </w:r>
      <w:r w:rsidRPr="00847D08">
        <w:t>amendments</w:t>
      </w:r>
      <w:r w:rsidRPr="005716BD">
        <w:t>.</w:t>
      </w:r>
    </w:p>
    <w:p w14:paraId="0AD0E57F" w14:textId="77777777" w:rsidR="00525BB5" w:rsidRPr="005716BD" w:rsidRDefault="00525BB5" w:rsidP="00525BB5">
      <w:pPr>
        <w:pStyle w:val="SingleTxtG"/>
        <w:ind w:left="1701" w:hanging="567"/>
      </w:pPr>
      <w:r>
        <w:t>5.</w:t>
      </w:r>
      <w:r>
        <w:tab/>
      </w:r>
      <w:r w:rsidRPr="005716BD">
        <w:t>In the 03 series of amendments, the approval of so-called multi-group seats has become possible including the combination of integral (ECRS equipped with harness belt) and non-integral applications (vehicle seat belt used to restrain the child</w:t>
      </w:r>
      <w:r>
        <w:t>,</w:t>
      </w:r>
      <w:r w:rsidRPr="005716BD">
        <w:t xml:space="preserve"> i.e., booster seats)</w:t>
      </w:r>
      <w:r>
        <w:t>.</w:t>
      </w:r>
    </w:p>
    <w:p w14:paraId="0B00FB87" w14:textId="77777777" w:rsidR="00525BB5" w:rsidRPr="005716BD" w:rsidRDefault="00525BB5" w:rsidP="00525BB5">
      <w:pPr>
        <w:pStyle w:val="SingleTxtG"/>
        <w:ind w:left="1701" w:hanging="567"/>
      </w:pPr>
      <w:r>
        <w:t>6.</w:t>
      </w:r>
      <w:r>
        <w:tab/>
      </w:r>
      <w:r w:rsidRPr="005716BD">
        <w:t>One of the key focus points was</w:t>
      </w:r>
      <w:r>
        <w:t xml:space="preserve"> the</w:t>
      </w:r>
      <w:r w:rsidRPr="005716BD">
        <w:t xml:space="preserve"> </w:t>
      </w:r>
      <w:r>
        <w:t>prevention of the</w:t>
      </w:r>
      <w:r w:rsidRPr="005716BD">
        <w:t xml:space="preserve"> misuse of ECRS.</w:t>
      </w:r>
      <w:r w:rsidRPr="005716BD">
        <w:br/>
        <w:t>During the fifty-ninth meeting of the IWG</w:t>
      </w:r>
      <w:r>
        <w:t>,</w:t>
      </w:r>
      <w:r w:rsidRPr="005716BD">
        <w:t xml:space="preserve"> a presentation on belted CRS (CRS-59-10e phase 3 subgroup) was discussed. During the sixty-sixth meeting of the IWG</w:t>
      </w:r>
      <w:r>
        <w:t>,</w:t>
      </w:r>
      <w:r w:rsidRPr="005716BD">
        <w:t xml:space="preserve"> the Chair of the IWG reminde</w:t>
      </w:r>
      <w:r>
        <w:t>d the delegations</w:t>
      </w:r>
      <w:r w:rsidRPr="005716BD">
        <w:t>, that only one belt route for forward and rearward facing plus integral / non integral CRS would be possible. During the sixty-eighth meeting of the IWG, the expert from Japan commented that if only one belt route for both (integral and non-integral) applications would be provided, then opportunit</w:t>
      </w:r>
      <w:r>
        <w:t>ies</w:t>
      </w:r>
      <w:r w:rsidRPr="005716BD">
        <w:t xml:space="preserve"> to have different belt routes on the same product</w:t>
      </w:r>
      <w:r>
        <w:t xml:space="preserve"> </w:t>
      </w:r>
      <w:r w:rsidRPr="005716BD">
        <w:t xml:space="preserve">would not be </w:t>
      </w:r>
      <w:r>
        <w:t>possible</w:t>
      </w:r>
      <w:r w:rsidRPr="005716BD">
        <w:t>.</w:t>
      </w:r>
    </w:p>
    <w:p w14:paraId="3FBE1AF9" w14:textId="77777777" w:rsidR="00525BB5" w:rsidRPr="005716BD" w:rsidRDefault="00525BB5" w:rsidP="00525BB5">
      <w:pPr>
        <w:pStyle w:val="SingleTxtG"/>
        <w:ind w:left="1701" w:hanging="567"/>
      </w:pPr>
      <w:r>
        <w:t>7.</w:t>
      </w:r>
      <w:r>
        <w:tab/>
      </w:r>
      <w:r w:rsidRPr="005716BD">
        <w:t>At the sixty ninth session of the Working Party on Passive Safety (May 2021), the expert from the Netherlands introduced GRSP-69-09, asking for guidance on how strict</w:t>
      </w:r>
      <w:r>
        <w:t>ly the</w:t>
      </w:r>
      <w:r w:rsidRPr="005716BD">
        <w:t xml:space="preserve"> "one belt route" defined by the current text of UN Regulation No. 129, 03 series of amendments, (Enhanced Child Restraint Systems) sh</w:t>
      </w:r>
      <w:r>
        <w:t>ould</w:t>
      </w:r>
      <w:r w:rsidRPr="005716BD">
        <w:t xml:space="preserve"> be interpreted. </w:t>
      </w:r>
      <w:r w:rsidRPr="005716BD">
        <w:br/>
        <w:t xml:space="preserve">GRSP agreed on the interpretation that </w:t>
      </w:r>
      <w:r>
        <w:t xml:space="preserve">the </w:t>
      </w:r>
      <w:r w:rsidRPr="005716BD">
        <w:t xml:space="preserve">"one belt route" shall be strictly interpreted; only asymmetrical attachments can still be regarded as </w:t>
      </w:r>
      <w:r>
        <w:t xml:space="preserve">a </w:t>
      </w:r>
      <w:r w:rsidRPr="005716BD">
        <w:t>"one belt route".</w:t>
      </w:r>
    </w:p>
    <w:p w14:paraId="7B1D8D62" w14:textId="77777777" w:rsidR="00525BB5" w:rsidRDefault="00525BB5" w:rsidP="00525BB5">
      <w:pPr>
        <w:pStyle w:val="SingleTxtG"/>
        <w:ind w:left="1701" w:hanging="567"/>
      </w:pPr>
      <w:r>
        <w:t>8.</w:t>
      </w:r>
      <w:r>
        <w:tab/>
      </w:r>
      <w:r w:rsidRPr="005716BD">
        <w:t xml:space="preserve">Despite all these efforts, products have been put on the market which do not comply with the principle of </w:t>
      </w:r>
      <w:r>
        <w:t xml:space="preserve">the </w:t>
      </w:r>
      <w:r w:rsidRPr="005716BD">
        <w:t>one belt route. Therefore, th</w:t>
      </w:r>
      <w:r>
        <w:t>e</w:t>
      </w:r>
      <w:r w:rsidRPr="005716BD">
        <w:t xml:space="preserve"> clarification </w:t>
      </w:r>
      <w:r>
        <w:t xml:space="preserve">herein </w:t>
      </w:r>
      <w:r w:rsidRPr="005716BD">
        <w:t>create</w:t>
      </w:r>
      <w:r>
        <w:t>s</w:t>
      </w:r>
      <w:r w:rsidRPr="005716BD">
        <w:t xml:space="preserve"> a clear and level playing field, </w:t>
      </w:r>
      <w:r>
        <w:t xml:space="preserve">and at the same time, </w:t>
      </w:r>
      <w:r w:rsidRPr="005716BD">
        <w:t>prevent</w:t>
      </w:r>
      <w:r>
        <w:t>s</w:t>
      </w:r>
      <w:r w:rsidRPr="005716BD">
        <w:t xml:space="preserve"> the incorrect and possibly unsafe installation of the child restraint (i.e., misuse). </w:t>
      </w:r>
    </w:p>
    <w:p w14:paraId="37C5DB05" w14:textId="77777777" w:rsidR="00525BB5" w:rsidRPr="00525BB5" w:rsidRDefault="00525BB5" w:rsidP="00525BB5">
      <w:pPr>
        <w:pStyle w:val="SingleTxtG"/>
        <w:ind w:left="1701" w:hanging="567"/>
        <w:rPr>
          <w:color w:val="0070C0"/>
        </w:rPr>
      </w:pPr>
      <w:r w:rsidRPr="00525BB5">
        <w:rPr>
          <w:color w:val="0070C0"/>
        </w:rPr>
        <w:t>9.</w:t>
      </w:r>
      <w:r w:rsidRPr="00525BB5">
        <w:rPr>
          <w:color w:val="0070C0"/>
        </w:rPr>
        <w:tab/>
      </w:r>
      <w:proofErr w:type="gramStart"/>
      <w:r w:rsidRPr="00525BB5">
        <w:rPr>
          <w:color w:val="0070C0"/>
        </w:rPr>
        <w:t>in order to</w:t>
      </w:r>
      <w:proofErr w:type="gramEnd"/>
      <w:r w:rsidRPr="00525BB5">
        <w:rPr>
          <w:color w:val="0070C0"/>
        </w:rPr>
        <w:t xml:space="preserve"> prevent circumvention of paragraph 3.2.2., it shall be clarified that an ECRS shall be approved under one approval (number) only.</w:t>
      </w:r>
    </w:p>
    <w:p w14:paraId="5C3C952A" w14:textId="77777777"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4C45" w14:textId="77777777" w:rsidR="00863F60" w:rsidRDefault="00863F60"/>
  </w:endnote>
  <w:endnote w:type="continuationSeparator" w:id="0">
    <w:p w14:paraId="2DA2E6B8" w14:textId="77777777" w:rsidR="00863F60" w:rsidRDefault="00863F60"/>
  </w:endnote>
  <w:endnote w:type="continuationNotice" w:id="1">
    <w:p w14:paraId="2A84A968" w14:textId="77777777" w:rsidR="00863F60" w:rsidRDefault="00863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44" w14:textId="2E02E8F9" w:rsidR="00863F60" w:rsidRPr="0039621D" w:rsidRDefault="00863F60"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ED6FEB">
      <w:rPr>
        <w:b/>
        <w:noProof/>
        <w:sz w:val="18"/>
      </w:rPr>
      <w:t>2</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95C" w14:textId="487E98FD" w:rsidR="00863F60" w:rsidRPr="0039621D" w:rsidRDefault="00863F60"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ED6FEB">
      <w:rPr>
        <w:b/>
        <w:noProof/>
        <w:sz w:val="18"/>
      </w:rPr>
      <w:t>3</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EB5" w14:textId="77777777" w:rsidR="00863F60" w:rsidRPr="000B175B" w:rsidRDefault="00863F60" w:rsidP="000B175B">
      <w:pPr>
        <w:tabs>
          <w:tab w:val="right" w:pos="2155"/>
        </w:tabs>
        <w:spacing w:after="80"/>
        <w:ind w:left="680"/>
        <w:rPr>
          <w:u w:val="single"/>
        </w:rPr>
      </w:pPr>
      <w:r>
        <w:rPr>
          <w:u w:val="single"/>
        </w:rPr>
        <w:tab/>
      </w:r>
    </w:p>
  </w:footnote>
  <w:footnote w:type="continuationSeparator" w:id="0">
    <w:p w14:paraId="29AFC915" w14:textId="77777777" w:rsidR="00863F60" w:rsidRPr="00FC68B7" w:rsidRDefault="00863F60" w:rsidP="00FC68B7">
      <w:pPr>
        <w:tabs>
          <w:tab w:val="left" w:pos="2155"/>
        </w:tabs>
        <w:spacing w:after="80"/>
        <w:ind w:left="680"/>
        <w:rPr>
          <w:u w:val="single"/>
        </w:rPr>
      </w:pPr>
      <w:r>
        <w:rPr>
          <w:u w:val="single"/>
        </w:rPr>
        <w:tab/>
      </w:r>
    </w:p>
  </w:footnote>
  <w:footnote w:type="continuationNotice" w:id="1">
    <w:p w14:paraId="48E1C4E3" w14:textId="77777777" w:rsidR="00863F60" w:rsidRDefault="00863F60"/>
  </w:footnote>
  <w:footnote w:id="2">
    <w:p w14:paraId="7A6B1666" w14:textId="77777777" w:rsidR="00525BB5" w:rsidRDefault="00525BB5" w:rsidP="00525BB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C701061" w14:textId="77777777" w:rsidR="00525BB5" w:rsidRPr="00525BB5" w:rsidRDefault="00525BB5" w:rsidP="00525BB5">
      <w:pPr>
        <w:pStyle w:val="FootnoteText"/>
        <w:rPr>
          <w:color w:val="0070C0"/>
          <w:lang w:val="en-US"/>
        </w:rPr>
      </w:pPr>
      <w:r>
        <w:tab/>
      </w:r>
      <w:r>
        <w:rPr>
          <w:rStyle w:val="FootnoteReference"/>
        </w:rPr>
        <w:t>2</w:t>
      </w:r>
      <w:r>
        <w:t xml:space="preserve"> </w:t>
      </w:r>
      <w:r>
        <w:tab/>
      </w:r>
      <w:r>
        <w:rPr>
          <w:b/>
          <w:bCs/>
        </w:rPr>
        <w:t xml:space="preserve">One belt route applies over the entire stature range regardless of the different configurations of use for which the ECRS will be approved: for an ECRS which allows forward and rearward facing orientation, only the one belt route shall be used for both configurations. The same applies for an ECRS which combines integral and non-integral configurations or any other combination that is allowed by this paragraph. </w:t>
      </w:r>
      <w:r w:rsidRPr="00525BB5">
        <w:rPr>
          <w:b/>
          <w:bCs/>
          <w:color w:val="0070C0"/>
        </w:rPr>
        <w:t xml:space="preserve">Furthermore, an ECRS shall not bear more than one approval number. This provision does not apply for the purpose of approving a module as part of different ECRSs.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225C" w14:textId="733C9204" w:rsidR="00863F60" w:rsidRPr="00AA49E6" w:rsidRDefault="00ED6FEB" w:rsidP="00AA49E6">
    <w:pPr>
      <w:pStyle w:val="Header"/>
    </w:pPr>
    <w:fldSimple w:instr=" TITLE  \* MERGEFORMAT ">
      <w:r>
        <w:t>GRSP-73-14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1B4" w14:textId="10AFDD9D" w:rsidR="00863F60" w:rsidRPr="00AA49E6" w:rsidRDefault="00ED6FEB" w:rsidP="00AA49E6">
    <w:pPr>
      <w:pStyle w:val="Header"/>
      <w:jc w:val="right"/>
    </w:pPr>
    <w:fldSimple w:instr=" TITLE  \* MERGEFORMAT ">
      <w:r>
        <w:t>GRSP-73-14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863F60" w:rsidRPr="00E27568" w14:paraId="4184A21A" w14:textId="77777777" w:rsidTr="008053E1">
      <w:tc>
        <w:tcPr>
          <w:tcW w:w="4962" w:type="dxa"/>
        </w:tcPr>
        <w:p w14:paraId="6702877C" w14:textId="6F30A124" w:rsidR="00863F60" w:rsidRPr="00FD5357" w:rsidRDefault="00863F60" w:rsidP="008053E1">
          <w:pPr>
            <w:pStyle w:val="Header"/>
            <w:pBdr>
              <w:bottom w:val="none" w:sz="0" w:space="0" w:color="auto"/>
            </w:pBdr>
            <w:rPr>
              <w:b w:val="0"/>
              <w:sz w:val="20"/>
            </w:rPr>
          </w:pPr>
          <w:r w:rsidRPr="00FD5357">
            <w:rPr>
              <w:b w:val="0"/>
              <w:sz w:val="20"/>
            </w:rPr>
            <w:t xml:space="preserve">Submitted by the </w:t>
          </w:r>
          <w:r>
            <w:rPr>
              <w:b w:val="0"/>
              <w:sz w:val="20"/>
            </w:rPr>
            <w:t>expert from the Netherlands</w:t>
          </w:r>
        </w:p>
        <w:p w14:paraId="67149528" w14:textId="77777777" w:rsidR="00863F60" w:rsidRPr="00FD5357" w:rsidRDefault="00863F60" w:rsidP="008053E1">
          <w:pPr>
            <w:pStyle w:val="Header"/>
            <w:pBdr>
              <w:bottom w:val="none" w:sz="0" w:space="0" w:color="auto"/>
            </w:pBdr>
            <w:rPr>
              <w:b w:val="0"/>
              <w:sz w:val="20"/>
            </w:rPr>
          </w:pPr>
        </w:p>
        <w:p w14:paraId="1BAB1C11" w14:textId="77777777" w:rsidR="00863F60" w:rsidRPr="00FD5357" w:rsidRDefault="00863F60" w:rsidP="008053E1">
          <w:pPr>
            <w:pStyle w:val="Header"/>
            <w:pBdr>
              <w:bottom w:val="none" w:sz="0" w:space="0" w:color="auto"/>
            </w:pBdr>
            <w:rPr>
              <w:b w:val="0"/>
              <w:sz w:val="16"/>
              <w:szCs w:val="16"/>
            </w:rPr>
          </w:pPr>
        </w:p>
      </w:tc>
      <w:tc>
        <w:tcPr>
          <w:tcW w:w="4961" w:type="dxa"/>
        </w:tcPr>
        <w:p w14:paraId="3090DF62" w14:textId="2C9E7931" w:rsidR="00863F60" w:rsidRPr="0086358D" w:rsidRDefault="00863F60"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ED6FEB">
              <w:t>GRSP-73-14</w:t>
            </w:r>
          </w:fldSimple>
        </w:p>
        <w:p w14:paraId="2367FED8" w14:textId="5471A187" w:rsidR="00863F60" w:rsidRPr="00985586" w:rsidRDefault="00863F60" w:rsidP="0086358D">
          <w:pPr>
            <w:pStyle w:val="Header"/>
            <w:pBdr>
              <w:bottom w:val="none" w:sz="0" w:space="0" w:color="auto"/>
            </w:pBdr>
            <w:ind w:left="742" w:right="716"/>
            <w:jc w:val="right"/>
            <w:rPr>
              <w:b w:val="0"/>
              <w:sz w:val="20"/>
              <w:lang w:eastAsia="ja-JP"/>
            </w:rPr>
          </w:pPr>
          <w:r w:rsidRPr="00985586">
            <w:rPr>
              <w:b w:val="0"/>
              <w:sz w:val="20"/>
            </w:rPr>
            <w:t>(</w:t>
          </w:r>
          <w:r>
            <w:rPr>
              <w:b w:val="0"/>
              <w:sz w:val="20"/>
            </w:rPr>
            <w:t>73</w:t>
          </w:r>
          <w:r w:rsidRPr="008D7BAC">
            <w:rPr>
              <w:b w:val="0"/>
              <w:sz w:val="20"/>
              <w:vertAlign w:val="superscript"/>
            </w:rPr>
            <w:t>rd</w:t>
          </w:r>
          <w:r>
            <w:rPr>
              <w:b w:val="0"/>
              <w:sz w:val="20"/>
            </w:rPr>
            <w:t xml:space="preserve"> </w:t>
          </w:r>
          <w:r w:rsidRPr="00985586">
            <w:rPr>
              <w:b w:val="0"/>
              <w:sz w:val="20"/>
            </w:rPr>
            <w:t>GRS</w:t>
          </w:r>
          <w:r>
            <w:rPr>
              <w:b w:val="0"/>
              <w:sz w:val="20"/>
            </w:rPr>
            <w:t>P</w:t>
          </w:r>
          <w:r w:rsidRPr="00985586">
            <w:rPr>
              <w:b w:val="0"/>
              <w:sz w:val="20"/>
            </w:rPr>
            <w:t xml:space="preserve">, </w:t>
          </w:r>
          <w:r w:rsidRPr="00985586">
            <w:rPr>
              <w:b w:val="0"/>
              <w:sz w:val="20"/>
              <w:lang w:eastAsia="ja-JP"/>
            </w:rPr>
            <w:t>1</w:t>
          </w:r>
          <w:r>
            <w:rPr>
              <w:b w:val="0"/>
              <w:sz w:val="20"/>
              <w:lang w:eastAsia="ja-JP"/>
            </w:rPr>
            <w:t>5</w:t>
          </w:r>
          <w:r w:rsidRPr="00985586">
            <w:rPr>
              <w:b w:val="0"/>
              <w:sz w:val="20"/>
              <w:lang w:eastAsia="ja-JP"/>
            </w:rPr>
            <w:t xml:space="preserve"> – 1</w:t>
          </w:r>
          <w:r>
            <w:rPr>
              <w:b w:val="0"/>
              <w:sz w:val="20"/>
              <w:lang w:eastAsia="ja-JP"/>
            </w:rPr>
            <w:t xml:space="preserve">9 May </w:t>
          </w:r>
          <w:r>
            <w:rPr>
              <w:b w:val="0"/>
              <w:sz w:val="20"/>
            </w:rPr>
            <w:t>2023</w:t>
          </w:r>
        </w:p>
        <w:p w14:paraId="67A86056" w14:textId="0E14B5C5" w:rsidR="00863F60" w:rsidRPr="00E27568" w:rsidRDefault="00863F60" w:rsidP="00F93DA1">
          <w:pPr>
            <w:pStyle w:val="Header"/>
            <w:pBdr>
              <w:bottom w:val="none" w:sz="0" w:space="0" w:color="auto"/>
            </w:pBdr>
            <w:ind w:left="742" w:right="716"/>
            <w:jc w:val="right"/>
            <w:rPr>
              <w:sz w:val="20"/>
            </w:rPr>
          </w:pPr>
          <w:r w:rsidRPr="00985586">
            <w:rPr>
              <w:b w:val="0"/>
              <w:sz w:val="20"/>
            </w:rPr>
            <w:t xml:space="preserve">agenda item </w:t>
          </w:r>
          <w:r>
            <w:rPr>
              <w:b w:val="0"/>
              <w:sz w:val="20"/>
              <w:lang w:eastAsia="ja-JP"/>
            </w:rPr>
            <w:t>1</w:t>
          </w:r>
          <w:r w:rsidR="00F93DA1">
            <w:rPr>
              <w:b w:val="0"/>
              <w:sz w:val="20"/>
              <w:lang w:eastAsia="ja-JP"/>
            </w:rPr>
            <w:t>2</w:t>
          </w:r>
          <w:r w:rsidRPr="00985586">
            <w:rPr>
              <w:b w:val="0"/>
              <w:sz w:val="20"/>
            </w:rPr>
            <w:t>)</w:t>
          </w:r>
        </w:p>
      </w:tc>
    </w:tr>
  </w:tbl>
  <w:p w14:paraId="0EE4CD69" w14:textId="144A4EDB" w:rsidR="00863F60" w:rsidRDefault="00863F6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A61A6F"/>
    <w:multiLevelType w:val="hybridMultilevel"/>
    <w:tmpl w:val="12CA1AE8"/>
    <w:lvl w:ilvl="0" w:tplc="A7BC7782">
      <w:start w:val="1"/>
      <w:numFmt w:val="lowerLetter"/>
      <w:lvlText w:val="(%1)"/>
      <w:lvlJc w:val="left"/>
      <w:pPr>
        <w:ind w:left="6597" w:hanging="360"/>
      </w:pPr>
      <w:rPr>
        <w:rFonts w:hint="default"/>
      </w:rPr>
    </w:lvl>
    <w:lvl w:ilvl="1" w:tplc="08090019" w:tentative="1">
      <w:start w:val="1"/>
      <w:numFmt w:val="lowerLetter"/>
      <w:lvlText w:val="%2."/>
      <w:lvlJc w:val="left"/>
      <w:pPr>
        <w:ind w:left="7317" w:hanging="360"/>
      </w:pPr>
    </w:lvl>
    <w:lvl w:ilvl="2" w:tplc="0809001B" w:tentative="1">
      <w:start w:val="1"/>
      <w:numFmt w:val="lowerRoman"/>
      <w:lvlText w:val="%3."/>
      <w:lvlJc w:val="right"/>
      <w:pPr>
        <w:ind w:left="8037" w:hanging="180"/>
      </w:pPr>
    </w:lvl>
    <w:lvl w:ilvl="3" w:tplc="0809000F" w:tentative="1">
      <w:start w:val="1"/>
      <w:numFmt w:val="decimal"/>
      <w:lvlText w:val="%4."/>
      <w:lvlJc w:val="left"/>
      <w:pPr>
        <w:ind w:left="8757" w:hanging="360"/>
      </w:pPr>
    </w:lvl>
    <w:lvl w:ilvl="4" w:tplc="08090019" w:tentative="1">
      <w:start w:val="1"/>
      <w:numFmt w:val="lowerLetter"/>
      <w:lvlText w:val="%5."/>
      <w:lvlJc w:val="left"/>
      <w:pPr>
        <w:ind w:left="9477" w:hanging="360"/>
      </w:pPr>
    </w:lvl>
    <w:lvl w:ilvl="5" w:tplc="0809001B" w:tentative="1">
      <w:start w:val="1"/>
      <w:numFmt w:val="lowerRoman"/>
      <w:lvlText w:val="%6."/>
      <w:lvlJc w:val="right"/>
      <w:pPr>
        <w:ind w:left="10197" w:hanging="180"/>
      </w:pPr>
    </w:lvl>
    <w:lvl w:ilvl="6" w:tplc="0809000F" w:tentative="1">
      <w:start w:val="1"/>
      <w:numFmt w:val="decimal"/>
      <w:lvlText w:val="%7."/>
      <w:lvlJc w:val="left"/>
      <w:pPr>
        <w:ind w:left="10917" w:hanging="360"/>
      </w:pPr>
    </w:lvl>
    <w:lvl w:ilvl="7" w:tplc="08090019" w:tentative="1">
      <w:start w:val="1"/>
      <w:numFmt w:val="lowerLetter"/>
      <w:lvlText w:val="%8."/>
      <w:lvlJc w:val="left"/>
      <w:pPr>
        <w:ind w:left="11637" w:hanging="360"/>
      </w:pPr>
    </w:lvl>
    <w:lvl w:ilvl="8" w:tplc="0809001B" w:tentative="1">
      <w:start w:val="1"/>
      <w:numFmt w:val="lowerRoman"/>
      <w:lvlText w:val="%9."/>
      <w:lvlJc w:val="right"/>
      <w:pPr>
        <w:ind w:left="12357"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0803E3"/>
    <w:multiLevelType w:val="hybridMultilevel"/>
    <w:tmpl w:val="C20E2268"/>
    <w:lvl w:ilvl="0" w:tplc="7EFE5B4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587E1B"/>
    <w:multiLevelType w:val="hybridMultilevel"/>
    <w:tmpl w:val="CE3A044C"/>
    <w:lvl w:ilvl="0" w:tplc="7028392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B5909"/>
    <w:multiLevelType w:val="hybridMultilevel"/>
    <w:tmpl w:val="60CE5BFC"/>
    <w:lvl w:ilvl="0" w:tplc="D99E358A">
      <w:start w:val="1"/>
      <w:numFmt w:val="decimal"/>
      <w:lvlText w:val="%1."/>
      <w:lvlJc w:val="left"/>
      <w:pPr>
        <w:ind w:left="1213" w:hanging="576"/>
      </w:pPr>
      <w:rPr>
        <w:rFonts w:hint="default"/>
      </w:rPr>
    </w:lvl>
    <w:lvl w:ilvl="1" w:tplc="04130019" w:tentative="1">
      <w:start w:val="1"/>
      <w:numFmt w:val="lowerLetter"/>
      <w:lvlText w:val="%2."/>
      <w:lvlJc w:val="left"/>
      <w:pPr>
        <w:ind w:left="1717" w:hanging="360"/>
      </w:pPr>
    </w:lvl>
    <w:lvl w:ilvl="2" w:tplc="0413001B" w:tentative="1">
      <w:start w:val="1"/>
      <w:numFmt w:val="lowerRoman"/>
      <w:lvlText w:val="%3."/>
      <w:lvlJc w:val="right"/>
      <w:pPr>
        <w:ind w:left="2437" w:hanging="180"/>
      </w:pPr>
    </w:lvl>
    <w:lvl w:ilvl="3" w:tplc="0413000F" w:tentative="1">
      <w:start w:val="1"/>
      <w:numFmt w:val="decimal"/>
      <w:lvlText w:val="%4."/>
      <w:lvlJc w:val="left"/>
      <w:pPr>
        <w:ind w:left="3157" w:hanging="360"/>
      </w:pPr>
    </w:lvl>
    <w:lvl w:ilvl="4" w:tplc="04130019" w:tentative="1">
      <w:start w:val="1"/>
      <w:numFmt w:val="lowerLetter"/>
      <w:lvlText w:val="%5."/>
      <w:lvlJc w:val="left"/>
      <w:pPr>
        <w:ind w:left="3877" w:hanging="360"/>
      </w:pPr>
    </w:lvl>
    <w:lvl w:ilvl="5" w:tplc="0413001B" w:tentative="1">
      <w:start w:val="1"/>
      <w:numFmt w:val="lowerRoman"/>
      <w:lvlText w:val="%6."/>
      <w:lvlJc w:val="right"/>
      <w:pPr>
        <w:ind w:left="4597" w:hanging="180"/>
      </w:pPr>
    </w:lvl>
    <w:lvl w:ilvl="6" w:tplc="0413000F" w:tentative="1">
      <w:start w:val="1"/>
      <w:numFmt w:val="decimal"/>
      <w:lvlText w:val="%7."/>
      <w:lvlJc w:val="left"/>
      <w:pPr>
        <w:ind w:left="5317" w:hanging="360"/>
      </w:pPr>
    </w:lvl>
    <w:lvl w:ilvl="7" w:tplc="04130019" w:tentative="1">
      <w:start w:val="1"/>
      <w:numFmt w:val="lowerLetter"/>
      <w:lvlText w:val="%8."/>
      <w:lvlJc w:val="left"/>
      <w:pPr>
        <w:ind w:left="6037" w:hanging="360"/>
      </w:pPr>
    </w:lvl>
    <w:lvl w:ilvl="8" w:tplc="0413001B" w:tentative="1">
      <w:start w:val="1"/>
      <w:numFmt w:val="lowerRoman"/>
      <w:lvlText w:val="%9."/>
      <w:lvlJc w:val="right"/>
      <w:pPr>
        <w:ind w:left="6757" w:hanging="180"/>
      </w:pPr>
    </w:lvl>
  </w:abstractNum>
  <w:abstractNum w:abstractNumId="26"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27896415">
    <w:abstractNumId w:val="1"/>
  </w:num>
  <w:num w:numId="2" w16cid:durableId="1287590384">
    <w:abstractNumId w:val="0"/>
  </w:num>
  <w:num w:numId="3" w16cid:durableId="1153835716">
    <w:abstractNumId w:val="2"/>
  </w:num>
  <w:num w:numId="4" w16cid:durableId="736783442">
    <w:abstractNumId w:val="3"/>
  </w:num>
  <w:num w:numId="5" w16cid:durableId="1558667364">
    <w:abstractNumId w:val="8"/>
  </w:num>
  <w:num w:numId="6" w16cid:durableId="740909754">
    <w:abstractNumId w:val="9"/>
  </w:num>
  <w:num w:numId="7" w16cid:durableId="177039958">
    <w:abstractNumId w:val="7"/>
  </w:num>
  <w:num w:numId="8" w16cid:durableId="566574613">
    <w:abstractNumId w:val="6"/>
  </w:num>
  <w:num w:numId="9" w16cid:durableId="827746348">
    <w:abstractNumId w:val="5"/>
  </w:num>
  <w:num w:numId="10" w16cid:durableId="45031388">
    <w:abstractNumId w:val="4"/>
  </w:num>
  <w:num w:numId="11" w16cid:durableId="1882280368">
    <w:abstractNumId w:val="18"/>
  </w:num>
  <w:num w:numId="12" w16cid:durableId="1220820206">
    <w:abstractNumId w:val="16"/>
  </w:num>
  <w:num w:numId="13" w16cid:durableId="200672197">
    <w:abstractNumId w:val="10"/>
  </w:num>
  <w:num w:numId="14" w16cid:durableId="1664158633">
    <w:abstractNumId w:val="13"/>
  </w:num>
  <w:num w:numId="15" w16cid:durableId="384838557">
    <w:abstractNumId w:val="19"/>
  </w:num>
  <w:num w:numId="16" w16cid:durableId="131755070">
    <w:abstractNumId w:val="15"/>
  </w:num>
  <w:num w:numId="17" w16cid:durableId="1637176128">
    <w:abstractNumId w:val="24"/>
  </w:num>
  <w:num w:numId="18" w16cid:durableId="1286543610">
    <w:abstractNumId w:val="27"/>
  </w:num>
  <w:num w:numId="19" w16cid:durableId="334695645">
    <w:abstractNumId w:val="11"/>
  </w:num>
  <w:num w:numId="20" w16cid:durableId="1163551210">
    <w:abstractNumId w:val="23"/>
  </w:num>
  <w:num w:numId="21" w16cid:durableId="1916283344">
    <w:abstractNumId w:val="21"/>
  </w:num>
  <w:num w:numId="22" w16cid:durableId="562569433">
    <w:abstractNumId w:val="26"/>
  </w:num>
  <w:num w:numId="23" w16cid:durableId="723866299">
    <w:abstractNumId w:val="22"/>
  </w:num>
  <w:num w:numId="24" w16cid:durableId="194543016">
    <w:abstractNumId w:val="17"/>
  </w:num>
  <w:num w:numId="25" w16cid:durableId="1107702136">
    <w:abstractNumId w:val="25"/>
  </w:num>
  <w:num w:numId="26" w16cid:durableId="1230336964">
    <w:abstractNumId w:val="12"/>
  </w:num>
  <w:num w:numId="27" w16cid:durableId="1104421293">
    <w:abstractNumId w:val="20"/>
  </w:num>
  <w:num w:numId="28" w16cid:durableId="5585153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7624"/>
    <w:rsid w:val="00041AEC"/>
    <w:rsid w:val="000426E7"/>
    <w:rsid w:val="0004687D"/>
    <w:rsid w:val="00050B0A"/>
    <w:rsid w:val="00050F6B"/>
    <w:rsid w:val="00065916"/>
    <w:rsid w:val="000678CD"/>
    <w:rsid w:val="00072C8C"/>
    <w:rsid w:val="00081CE0"/>
    <w:rsid w:val="00084D30"/>
    <w:rsid w:val="00090320"/>
    <w:rsid w:val="000931C0"/>
    <w:rsid w:val="00095BBA"/>
    <w:rsid w:val="000964E3"/>
    <w:rsid w:val="00097003"/>
    <w:rsid w:val="000A2E09"/>
    <w:rsid w:val="000B175B"/>
    <w:rsid w:val="000B3A0F"/>
    <w:rsid w:val="000D3A4E"/>
    <w:rsid w:val="000E0415"/>
    <w:rsid w:val="000F7715"/>
    <w:rsid w:val="00143CF1"/>
    <w:rsid w:val="00145183"/>
    <w:rsid w:val="00156B99"/>
    <w:rsid w:val="0016358F"/>
    <w:rsid w:val="00166124"/>
    <w:rsid w:val="00184DDA"/>
    <w:rsid w:val="001900CD"/>
    <w:rsid w:val="001A0452"/>
    <w:rsid w:val="001A0BDD"/>
    <w:rsid w:val="001B4B04"/>
    <w:rsid w:val="001B5875"/>
    <w:rsid w:val="001C4B9C"/>
    <w:rsid w:val="001C6663"/>
    <w:rsid w:val="001C7895"/>
    <w:rsid w:val="001D26DF"/>
    <w:rsid w:val="001F1599"/>
    <w:rsid w:val="001F19C4"/>
    <w:rsid w:val="00200B45"/>
    <w:rsid w:val="002043F0"/>
    <w:rsid w:val="002070F0"/>
    <w:rsid w:val="00211E0B"/>
    <w:rsid w:val="00215B45"/>
    <w:rsid w:val="00232575"/>
    <w:rsid w:val="002422F2"/>
    <w:rsid w:val="00247258"/>
    <w:rsid w:val="00256E86"/>
    <w:rsid w:val="00257CAC"/>
    <w:rsid w:val="0026581E"/>
    <w:rsid w:val="0027237A"/>
    <w:rsid w:val="00275642"/>
    <w:rsid w:val="00275B39"/>
    <w:rsid w:val="0028259C"/>
    <w:rsid w:val="002974E9"/>
    <w:rsid w:val="002A306B"/>
    <w:rsid w:val="002A6510"/>
    <w:rsid w:val="002A7F94"/>
    <w:rsid w:val="002B0039"/>
    <w:rsid w:val="002B109A"/>
    <w:rsid w:val="002C6D45"/>
    <w:rsid w:val="002D4F0C"/>
    <w:rsid w:val="002D6E53"/>
    <w:rsid w:val="002E56BB"/>
    <w:rsid w:val="002F046D"/>
    <w:rsid w:val="002F3023"/>
    <w:rsid w:val="002F7058"/>
    <w:rsid w:val="00301764"/>
    <w:rsid w:val="003028EC"/>
    <w:rsid w:val="00310DD4"/>
    <w:rsid w:val="003229D8"/>
    <w:rsid w:val="00336C97"/>
    <w:rsid w:val="00337F88"/>
    <w:rsid w:val="00342432"/>
    <w:rsid w:val="0035223F"/>
    <w:rsid w:val="00352D4B"/>
    <w:rsid w:val="0035638C"/>
    <w:rsid w:val="00356564"/>
    <w:rsid w:val="0039621D"/>
    <w:rsid w:val="003A4205"/>
    <w:rsid w:val="003A46BB"/>
    <w:rsid w:val="003A4EC7"/>
    <w:rsid w:val="003A7295"/>
    <w:rsid w:val="003B1F60"/>
    <w:rsid w:val="003C2CC4"/>
    <w:rsid w:val="003C3529"/>
    <w:rsid w:val="003D3C1A"/>
    <w:rsid w:val="003D4B23"/>
    <w:rsid w:val="003E278A"/>
    <w:rsid w:val="003E603C"/>
    <w:rsid w:val="00400F4B"/>
    <w:rsid w:val="00413520"/>
    <w:rsid w:val="004325CB"/>
    <w:rsid w:val="00440A07"/>
    <w:rsid w:val="00462880"/>
    <w:rsid w:val="004667F1"/>
    <w:rsid w:val="0047134C"/>
    <w:rsid w:val="00476F24"/>
    <w:rsid w:val="004A0575"/>
    <w:rsid w:val="004A5D33"/>
    <w:rsid w:val="004B0CFA"/>
    <w:rsid w:val="004C55B0"/>
    <w:rsid w:val="004C75DC"/>
    <w:rsid w:val="004E1D67"/>
    <w:rsid w:val="004F6BA0"/>
    <w:rsid w:val="00503BEA"/>
    <w:rsid w:val="005068E2"/>
    <w:rsid w:val="00525BB5"/>
    <w:rsid w:val="00533616"/>
    <w:rsid w:val="00535ABA"/>
    <w:rsid w:val="0053768B"/>
    <w:rsid w:val="005420F2"/>
    <w:rsid w:val="0054285C"/>
    <w:rsid w:val="00566E14"/>
    <w:rsid w:val="005702D5"/>
    <w:rsid w:val="00584173"/>
    <w:rsid w:val="00593DDD"/>
    <w:rsid w:val="00595520"/>
    <w:rsid w:val="005A44B9"/>
    <w:rsid w:val="005B1BA0"/>
    <w:rsid w:val="005B3DB3"/>
    <w:rsid w:val="005B57B2"/>
    <w:rsid w:val="005C0268"/>
    <w:rsid w:val="005D15CA"/>
    <w:rsid w:val="005F08DF"/>
    <w:rsid w:val="005F3066"/>
    <w:rsid w:val="005F3E61"/>
    <w:rsid w:val="00604DDD"/>
    <w:rsid w:val="006115CC"/>
    <w:rsid w:val="00611FC4"/>
    <w:rsid w:val="006176FB"/>
    <w:rsid w:val="00626F97"/>
    <w:rsid w:val="00630FCB"/>
    <w:rsid w:val="00633124"/>
    <w:rsid w:val="00640B26"/>
    <w:rsid w:val="00650726"/>
    <w:rsid w:val="0065766B"/>
    <w:rsid w:val="006770B2"/>
    <w:rsid w:val="00686A48"/>
    <w:rsid w:val="0068763C"/>
    <w:rsid w:val="0069081F"/>
    <w:rsid w:val="0069264A"/>
    <w:rsid w:val="006940E1"/>
    <w:rsid w:val="00694708"/>
    <w:rsid w:val="006A3C72"/>
    <w:rsid w:val="006A7392"/>
    <w:rsid w:val="006B03A1"/>
    <w:rsid w:val="006B67D9"/>
    <w:rsid w:val="006C5535"/>
    <w:rsid w:val="006C6F86"/>
    <w:rsid w:val="006D0589"/>
    <w:rsid w:val="006E564B"/>
    <w:rsid w:val="006E7154"/>
    <w:rsid w:val="007003CD"/>
    <w:rsid w:val="0070701E"/>
    <w:rsid w:val="0072632A"/>
    <w:rsid w:val="007358E8"/>
    <w:rsid w:val="00736ECE"/>
    <w:rsid w:val="00742698"/>
    <w:rsid w:val="0074533B"/>
    <w:rsid w:val="00751B23"/>
    <w:rsid w:val="007643BC"/>
    <w:rsid w:val="00773BF8"/>
    <w:rsid w:val="00780C68"/>
    <w:rsid w:val="007959FE"/>
    <w:rsid w:val="007A084E"/>
    <w:rsid w:val="007A0CF1"/>
    <w:rsid w:val="007B6BA5"/>
    <w:rsid w:val="007C3390"/>
    <w:rsid w:val="007C42D8"/>
    <w:rsid w:val="007C4F4B"/>
    <w:rsid w:val="007D6F65"/>
    <w:rsid w:val="007D7362"/>
    <w:rsid w:val="007E312C"/>
    <w:rsid w:val="007F3D01"/>
    <w:rsid w:val="007F5CE2"/>
    <w:rsid w:val="007F6611"/>
    <w:rsid w:val="00800D68"/>
    <w:rsid w:val="008053E1"/>
    <w:rsid w:val="00810BAC"/>
    <w:rsid w:val="008175E9"/>
    <w:rsid w:val="008242D7"/>
    <w:rsid w:val="008253C4"/>
    <w:rsid w:val="0082577B"/>
    <w:rsid w:val="00825CB5"/>
    <w:rsid w:val="0082768F"/>
    <w:rsid w:val="0086358D"/>
    <w:rsid w:val="00863F60"/>
    <w:rsid w:val="00866893"/>
    <w:rsid w:val="00866F02"/>
    <w:rsid w:val="00867D18"/>
    <w:rsid w:val="00871F9A"/>
    <w:rsid w:val="00871FD5"/>
    <w:rsid w:val="0088172E"/>
    <w:rsid w:val="00881EFA"/>
    <w:rsid w:val="008879CB"/>
    <w:rsid w:val="008979B1"/>
    <w:rsid w:val="008A6B25"/>
    <w:rsid w:val="008A6C4F"/>
    <w:rsid w:val="008B389E"/>
    <w:rsid w:val="008C0C40"/>
    <w:rsid w:val="008C6479"/>
    <w:rsid w:val="008D045E"/>
    <w:rsid w:val="008D27FC"/>
    <w:rsid w:val="008D3F25"/>
    <w:rsid w:val="008D4D82"/>
    <w:rsid w:val="008D7BAC"/>
    <w:rsid w:val="008E0E46"/>
    <w:rsid w:val="008E7116"/>
    <w:rsid w:val="008F143B"/>
    <w:rsid w:val="008F25B8"/>
    <w:rsid w:val="008F3882"/>
    <w:rsid w:val="008F4B7C"/>
    <w:rsid w:val="009173AD"/>
    <w:rsid w:val="00926E47"/>
    <w:rsid w:val="009369A9"/>
    <w:rsid w:val="0094343D"/>
    <w:rsid w:val="00947162"/>
    <w:rsid w:val="009610D0"/>
    <w:rsid w:val="0096375C"/>
    <w:rsid w:val="009662E6"/>
    <w:rsid w:val="0097095E"/>
    <w:rsid w:val="00975C3F"/>
    <w:rsid w:val="00985586"/>
    <w:rsid w:val="0098592B"/>
    <w:rsid w:val="00985FC4"/>
    <w:rsid w:val="00990766"/>
    <w:rsid w:val="00991261"/>
    <w:rsid w:val="00993694"/>
    <w:rsid w:val="009964C4"/>
    <w:rsid w:val="009A23EE"/>
    <w:rsid w:val="009A7B81"/>
    <w:rsid w:val="009B7EB7"/>
    <w:rsid w:val="009D01C0"/>
    <w:rsid w:val="009D6A08"/>
    <w:rsid w:val="009E0A16"/>
    <w:rsid w:val="009E6CB7"/>
    <w:rsid w:val="009E7970"/>
    <w:rsid w:val="009F004A"/>
    <w:rsid w:val="009F2EAC"/>
    <w:rsid w:val="009F3C24"/>
    <w:rsid w:val="009F57E3"/>
    <w:rsid w:val="00A03B6B"/>
    <w:rsid w:val="00A10F4F"/>
    <w:rsid w:val="00A11067"/>
    <w:rsid w:val="00A117E2"/>
    <w:rsid w:val="00A11CFD"/>
    <w:rsid w:val="00A13048"/>
    <w:rsid w:val="00A1704A"/>
    <w:rsid w:val="00A36AC2"/>
    <w:rsid w:val="00A425EB"/>
    <w:rsid w:val="00A72F22"/>
    <w:rsid w:val="00A733BC"/>
    <w:rsid w:val="00A748A6"/>
    <w:rsid w:val="00A76A69"/>
    <w:rsid w:val="00A879A4"/>
    <w:rsid w:val="00AA0FF8"/>
    <w:rsid w:val="00AA2E18"/>
    <w:rsid w:val="00AA49E6"/>
    <w:rsid w:val="00AA798F"/>
    <w:rsid w:val="00AC0F2C"/>
    <w:rsid w:val="00AC38EF"/>
    <w:rsid w:val="00AC502A"/>
    <w:rsid w:val="00AE0666"/>
    <w:rsid w:val="00AE1E26"/>
    <w:rsid w:val="00AF19C2"/>
    <w:rsid w:val="00AF587D"/>
    <w:rsid w:val="00AF58C1"/>
    <w:rsid w:val="00B04A3F"/>
    <w:rsid w:val="00B06643"/>
    <w:rsid w:val="00B15055"/>
    <w:rsid w:val="00B20551"/>
    <w:rsid w:val="00B20E2B"/>
    <w:rsid w:val="00B30179"/>
    <w:rsid w:val="00B31E0B"/>
    <w:rsid w:val="00B33FC7"/>
    <w:rsid w:val="00B37B15"/>
    <w:rsid w:val="00B4162A"/>
    <w:rsid w:val="00B45C02"/>
    <w:rsid w:val="00B471CD"/>
    <w:rsid w:val="00B6590B"/>
    <w:rsid w:val="00B70B63"/>
    <w:rsid w:val="00B72A1E"/>
    <w:rsid w:val="00B81E12"/>
    <w:rsid w:val="00B917F0"/>
    <w:rsid w:val="00BA339B"/>
    <w:rsid w:val="00BA5D6B"/>
    <w:rsid w:val="00BB23CC"/>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7ED2"/>
    <w:rsid w:val="00C261FE"/>
    <w:rsid w:val="00C37129"/>
    <w:rsid w:val="00C463DD"/>
    <w:rsid w:val="00C745C3"/>
    <w:rsid w:val="00C978F5"/>
    <w:rsid w:val="00CA24A4"/>
    <w:rsid w:val="00CB280F"/>
    <w:rsid w:val="00CB330B"/>
    <w:rsid w:val="00CB348D"/>
    <w:rsid w:val="00CB40FB"/>
    <w:rsid w:val="00CB7E08"/>
    <w:rsid w:val="00CC1D22"/>
    <w:rsid w:val="00CD46F5"/>
    <w:rsid w:val="00CD6F60"/>
    <w:rsid w:val="00CE4A8F"/>
    <w:rsid w:val="00CF071D"/>
    <w:rsid w:val="00D003C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A460A"/>
    <w:rsid w:val="00DA7FBB"/>
    <w:rsid w:val="00DC18AD"/>
    <w:rsid w:val="00DF7CAE"/>
    <w:rsid w:val="00E15610"/>
    <w:rsid w:val="00E17CEF"/>
    <w:rsid w:val="00E423C0"/>
    <w:rsid w:val="00E54E90"/>
    <w:rsid w:val="00E6414C"/>
    <w:rsid w:val="00E64D13"/>
    <w:rsid w:val="00E71624"/>
    <w:rsid w:val="00E7260F"/>
    <w:rsid w:val="00E8702D"/>
    <w:rsid w:val="00E905F4"/>
    <w:rsid w:val="00E916A9"/>
    <w:rsid w:val="00E916DE"/>
    <w:rsid w:val="00E925AD"/>
    <w:rsid w:val="00E96630"/>
    <w:rsid w:val="00EC62F7"/>
    <w:rsid w:val="00ED18DC"/>
    <w:rsid w:val="00ED50B4"/>
    <w:rsid w:val="00ED6201"/>
    <w:rsid w:val="00ED6FEB"/>
    <w:rsid w:val="00ED7A2A"/>
    <w:rsid w:val="00EE3E3A"/>
    <w:rsid w:val="00EF1D7F"/>
    <w:rsid w:val="00F0137E"/>
    <w:rsid w:val="00F04E44"/>
    <w:rsid w:val="00F21786"/>
    <w:rsid w:val="00F25D06"/>
    <w:rsid w:val="00F314A5"/>
    <w:rsid w:val="00F31CFF"/>
    <w:rsid w:val="00F3742B"/>
    <w:rsid w:val="00F41FDB"/>
    <w:rsid w:val="00F50597"/>
    <w:rsid w:val="00F56D63"/>
    <w:rsid w:val="00F609A9"/>
    <w:rsid w:val="00F80C99"/>
    <w:rsid w:val="00F867EC"/>
    <w:rsid w:val="00F91B2B"/>
    <w:rsid w:val="00F93DA1"/>
    <w:rsid w:val="00FC03CD"/>
    <w:rsid w:val="00FC0646"/>
    <w:rsid w:val="00FC68B7"/>
    <w:rsid w:val="00FC6C10"/>
    <w:rsid w:val="00FD2653"/>
    <w:rsid w:val="00FD535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link w:val="Heading3Char"/>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uiPriority w:val="99"/>
    <w:unhideWhenUsed/>
    <w:rsid w:val="00275B39"/>
    <w:rPr>
      <w:sz w:val="18"/>
      <w:szCs w:val="18"/>
    </w:rPr>
  </w:style>
  <w:style w:type="paragraph" w:styleId="CommentText">
    <w:name w:val="annotation text"/>
    <w:basedOn w:val="Normal"/>
    <w:link w:val="CommentTextChar"/>
    <w:uiPriority w:val="99"/>
    <w:unhideWhenUsed/>
    <w:rsid w:val="00275B39"/>
    <w:rPr>
      <w:rFonts w:eastAsia="MS Mincho"/>
    </w:rPr>
  </w:style>
  <w:style w:type="character" w:customStyle="1" w:styleId="CommentTextChar">
    <w:name w:val="Comment Text Char"/>
    <w:basedOn w:val="DefaultParagraphFont"/>
    <w:link w:val="CommentText"/>
    <w:uiPriority w:val="99"/>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 w:type="paragraph" w:styleId="BodyText">
    <w:name w:val="Body Text"/>
    <w:basedOn w:val="Normal"/>
    <w:link w:val="BodyTextChar"/>
    <w:qFormat/>
    <w:rsid w:val="00863F60"/>
    <w:pPr>
      <w:widowControl w:val="0"/>
      <w:suppressAutoHyphens w:val="0"/>
      <w:spacing w:line="240" w:lineRule="auto"/>
      <w:ind w:left="144"/>
    </w:pPr>
    <w:rPr>
      <w:rFonts w:cstheme="minorBidi"/>
      <w:sz w:val="21"/>
      <w:szCs w:val="21"/>
      <w:lang w:val="en-US" w:eastAsia="en-US"/>
    </w:rPr>
  </w:style>
  <w:style w:type="character" w:customStyle="1" w:styleId="BodyTextChar">
    <w:name w:val="Body Text Char"/>
    <w:basedOn w:val="DefaultParagraphFont"/>
    <w:link w:val="BodyText"/>
    <w:rsid w:val="00863F60"/>
    <w:rPr>
      <w:rFonts w:cstheme="minorBidi"/>
      <w:sz w:val="21"/>
      <w:szCs w:val="21"/>
      <w:lang w:val="en-US" w:eastAsia="en-US"/>
    </w:rPr>
  </w:style>
  <w:style w:type="character" w:customStyle="1" w:styleId="Heading3Char">
    <w:name w:val="Heading 3 Char"/>
    <w:basedOn w:val="DefaultParagraphFont"/>
    <w:link w:val="Heading3"/>
    <w:rsid w:val="00863F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EB45-E912-48EF-9D24-533712A2CF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46E9B2D3-9DA8-4B43-9D2E-A49DEFAC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4.xml><?xml version="1.0" encoding="utf-8"?>
<ds:datastoreItem xmlns:ds="http://schemas.openxmlformats.org/officeDocument/2006/customXml" ds:itemID="{AA9A9692-164A-41E0-BBA2-3DD2363F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4175</Characters>
  <Application>Microsoft Office Word</Application>
  <DocSecurity>4</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GRSP-73-xx</vt:lpstr>
      <vt:lpstr>ECE/TRANS/WP.29/GRSP/2019/20</vt:lpstr>
      <vt:lpstr/>
    </vt:vector>
  </TitlesOfParts>
  <Company>CSD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GRSP-73-14</dc:title>
  <dc:subject>1916529</dc:subject>
  <dc:creator>Lammers, Hans</dc:creator>
  <cp:keywords/>
  <dc:description/>
  <cp:lastModifiedBy>E/ECE/324/Rev.2/Add.109/Rev.7</cp:lastModifiedBy>
  <cp:revision>2</cp:revision>
  <cp:lastPrinted>2021-04-08T13:15:00Z</cp:lastPrinted>
  <dcterms:created xsi:type="dcterms:W3CDTF">2023-05-10T08:01:00Z</dcterms:created>
  <dcterms:modified xsi:type="dcterms:W3CDTF">2023-05-10T08:01:00Z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