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61016383" w14:textId="77777777" w:rsidTr="00C97039">
        <w:trPr>
          <w:trHeight w:hRule="exact" w:val="851"/>
        </w:trPr>
        <w:tc>
          <w:tcPr>
            <w:tcW w:w="1276" w:type="dxa"/>
            <w:tcBorders>
              <w:bottom w:val="single" w:sz="4" w:space="0" w:color="auto"/>
            </w:tcBorders>
          </w:tcPr>
          <w:p w14:paraId="73F447CD" w14:textId="77777777" w:rsidR="00F35BAF" w:rsidRPr="00DB58B5" w:rsidRDefault="00F35BAF" w:rsidP="006E665D"/>
        </w:tc>
        <w:tc>
          <w:tcPr>
            <w:tcW w:w="2268" w:type="dxa"/>
            <w:tcBorders>
              <w:bottom w:val="single" w:sz="4" w:space="0" w:color="auto"/>
            </w:tcBorders>
            <w:vAlign w:val="bottom"/>
          </w:tcPr>
          <w:p w14:paraId="7D73664D"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4F28884A" w14:textId="3F63F40D" w:rsidR="00F35BAF" w:rsidRPr="00DB58B5" w:rsidRDefault="006E665D" w:rsidP="006E665D">
            <w:pPr>
              <w:jc w:val="right"/>
            </w:pPr>
            <w:r w:rsidRPr="006E665D">
              <w:rPr>
                <w:sz w:val="40"/>
              </w:rPr>
              <w:t>ECE</w:t>
            </w:r>
            <w:r>
              <w:t>/TRANS/WP.29/GRSG/2023/15</w:t>
            </w:r>
          </w:p>
        </w:tc>
      </w:tr>
      <w:tr w:rsidR="00F35BAF" w:rsidRPr="00DB58B5" w14:paraId="633951DE" w14:textId="77777777" w:rsidTr="00C97039">
        <w:trPr>
          <w:trHeight w:hRule="exact" w:val="2835"/>
        </w:trPr>
        <w:tc>
          <w:tcPr>
            <w:tcW w:w="1276" w:type="dxa"/>
            <w:tcBorders>
              <w:top w:val="single" w:sz="4" w:space="0" w:color="auto"/>
              <w:bottom w:val="single" w:sz="12" w:space="0" w:color="auto"/>
            </w:tcBorders>
          </w:tcPr>
          <w:p w14:paraId="0D537042" w14:textId="77777777" w:rsidR="00F35BAF" w:rsidRPr="00DB58B5" w:rsidRDefault="00F35BAF" w:rsidP="00C97039">
            <w:pPr>
              <w:spacing w:before="120"/>
              <w:jc w:val="center"/>
            </w:pPr>
            <w:r>
              <w:rPr>
                <w:noProof/>
                <w:lang w:eastAsia="fr-CH"/>
              </w:rPr>
              <w:drawing>
                <wp:inline distT="0" distB="0" distL="0" distR="0" wp14:anchorId="099E3BF1" wp14:editId="166E3AB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5065B62"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0DA738D4" w14:textId="77777777" w:rsidR="00F35BAF" w:rsidRDefault="006E665D" w:rsidP="00C97039">
            <w:pPr>
              <w:spacing w:before="240"/>
            </w:pPr>
            <w:r>
              <w:t>Distr. générale</w:t>
            </w:r>
          </w:p>
          <w:p w14:paraId="6705999C" w14:textId="77777777" w:rsidR="006E665D" w:rsidRDefault="006E665D" w:rsidP="006E665D">
            <w:pPr>
              <w:spacing w:line="240" w:lineRule="exact"/>
            </w:pPr>
            <w:r>
              <w:t>11 janvier 2023</w:t>
            </w:r>
          </w:p>
          <w:p w14:paraId="515847C2" w14:textId="77777777" w:rsidR="006E665D" w:rsidRDefault="006E665D" w:rsidP="006E665D">
            <w:pPr>
              <w:spacing w:line="240" w:lineRule="exact"/>
            </w:pPr>
            <w:r>
              <w:t>Français</w:t>
            </w:r>
          </w:p>
          <w:p w14:paraId="6FEC9C69" w14:textId="3592360C" w:rsidR="006E665D" w:rsidRPr="00DB58B5" w:rsidRDefault="006E665D" w:rsidP="006E665D">
            <w:pPr>
              <w:spacing w:line="240" w:lineRule="exact"/>
            </w:pPr>
            <w:r>
              <w:t>Original : anglais</w:t>
            </w:r>
          </w:p>
        </w:tc>
      </w:tr>
    </w:tbl>
    <w:p w14:paraId="290696E1" w14:textId="77777777" w:rsidR="007F20FA" w:rsidRPr="000312C0" w:rsidRDefault="007F20FA" w:rsidP="007F20FA">
      <w:pPr>
        <w:spacing w:before="120"/>
        <w:rPr>
          <w:b/>
          <w:sz w:val="28"/>
          <w:szCs w:val="28"/>
        </w:rPr>
      </w:pPr>
      <w:r w:rsidRPr="000312C0">
        <w:rPr>
          <w:b/>
          <w:sz w:val="28"/>
          <w:szCs w:val="28"/>
        </w:rPr>
        <w:t>Commission économique pour l’Europe</w:t>
      </w:r>
    </w:p>
    <w:p w14:paraId="7CD6F86C" w14:textId="77777777" w:rsidR="007F20FA" w:rsidRDefault="007F20FA" w:rsidP="007F20FA">
      <w:pPr>
        <w:spacing w:before="120"/>
        <w:rPr>
          <w:sz w:val="28"/>
          <w:szCs w:val="28"/>
        </w:rPr>
      </w:pPr>
      <w:r w:rsidRPr="00685843">
        <w:rPr>
          <w:sz w:val="28"/>
          <w:szCs w:val="28"/>
        </w:rPr>
        <w:t>Comité des transports intérieurs</w:t>
      </w:r>
    </w:p>
    <w:p w14:paraId="365676AA" w14:textId="77777777" w:rsidR="006E665D" w:rsidRDefault="006E665D" w:rsidP="00AF0CB5">
      <w:pPr>
        <w:spacing w:before="120"/>
        <w:rPr>
          <w:b/>
          <w:sz w:val="24"/>
          <w:szCs w:val="24"/>
        </w:rPr>
      </w:pPr>
      <w:r w:rsidRPr="00685843">
        <w:rPr>
          <w:b/>
          <w:sz w:val="24"/>
          <w:szCs w:val="24"/>
        </w:rPr>
        <w:t>Forum mondial de l’harmonisation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2E131B1F" w14:textId="77777777" w:rsidR="006E665D" w:rsidRDefault="006E665D" w:rsidP="00257168">
      <w:pPr>
        <w:spacing w:before="120" w:after="120" w:line="240" w:lineRule="exact"/>
        <w:rPr>
          <w:b/>
        </w:rPr>
      </w:pPr>
      <w:r>
        <w:rPr>
          <w:b/>
        </w:rPr>
        <w:t>Groupe de travail des dispositions générales de sécurité</w:t>
      </w:r>
    </w:p>
    <w:p w14:paraId="1954A203" w14:textId="77777777" w:rsidR="006E665D" w:rsidRPr="006E665D" w:rsidRDefault="006E665D" w:rsidP="006E665D">
      <w:pPr>
        <w:rPr>
          <w:b/>
        </w:rPr>
      </w:pPr>
      <w:r w:rsidRPr="006E665D">
        <w:rPr>
          <w:b/>
          <w:bCs/>
          <w:lang w:val="fr-FR"/>
        </w:rPr>
        <w:t>125</w:t>
      </w:r>
      <w:r w:rsidRPr="006E665D">
        <w:rPr>
          <w:b/>
          <w:bCs/>
          <w:vertAlign w:val="superscript"/>
          <w:lang w:val="fr-FR"/>
        </w:rPr>
        <w:t>e</w:t>
      </w:r>
      <w:r w:rsidRPr="006E665D">
        <w:rPr>
          <w:b/>
          <w:bCs/>
          <w:lang w:val="fr-FR"/>
        </w:rPr>
        <w:t xml:space="preserve"> session</w:t>
      </w:r>
      <w:r w:rsidRPr="006E665D">
        <w:rPr>
          <w:b/>
          <w:lang w:val="fr-FR"/>
        </w:rPr>
        <w:t xml:space="preserve"> </w:t>
      </w:r>
    </w:p>
    <w:p w14:paraId="5ED80DAD" w14:textId="77777777" w:rsidR="006E665D" w:rsidRPr="006E665D" w:rsidRDefault="006E665D" w:rsidP="006E665D">
      <w:pPr>
        <w:rPr>
          <w:bCs/>
        </w:rPr>
      </w:pPr>
      <w:r w:rsidRPr="006E665D">
        <w:rPr>
          <w:bCs/>
          <w:lang w:val="fr-FR"/>
        </w:rPr>
        <w:t>Genève, 27-31 mars 2023</w:t>
      </w:r>
    </w:p>
    <w:p w14:paraId="219195B8" w14:textId="77777777" w:rsidR="006E665D" w:rsidRPr="006E665D" w:rsidRDefault="006E665D" w:rsidP="006E665D">
      <w:pPr>
        <w:rPr>
          <w:bCs/>
        </w:rPr>
      </w:pPr>
      <w:r w:rsidRPr="006E665D">
        <w:rPr>
          <w:bCs/>
          <w:lang w:val="fr-FR"/>
        </w:rPr>
        <w:t>Point 10 b) de l’ordre du jour provisoire</w:t>
      </w:r>
    </w:p>
    <w:p w14:paraId="73EA1AC0" w14:textId="7E6F69F5" w:rsidR="006E665D" w:rsidRDefault="006E665D" w:rsidP="006E665D">
      <w:pPr>
        <w:rPr>
          <w:b/>
          <w:bCs/>
        </w:rPr>
      </w:pPr>
      <w:r>
        <w:rPr>
          <w:b/>
          <w:bCs/>
          <w:lang w:val="fr-FR"/>
        </w:rPr>
        <w:t>Enregistreur de données de route</w:t>
      </w:r>
      <w:r>
        <w:rPr>
          <w:b/>
          <w:bCs/>
          <w:lang w:val="fr-FR"/>
        </w:rPr>
        <w:t> </w:t>
      </w:r>
      <w:r>
        <w:rPr>
          <w:b/>
          <w:bCs/>
          <w:lang w:val="fr-FR"/>
        </w:rPr>
        <w:t>:</w:t>
      </w:r>
    </w:p>
    <w:p w14:paraId="7711254B" w14:textId="37784F97" w:rsidR="006E665D" w:rsidRPr="001A0CA2" w:rsidRDefault="006E665D" w:rsidP="006E665D">
      <w:pPr>
        <w:rPr>
          <w:b/>
          <w:bCs/>
        </w:rPr>
      </w:pPr>
      <w:r w:rsidRPr="001A0CA2">
        <w:rPr>
          <w:b/>
          <w:bCs/>
        </w:rPr>
        <w:t xml:space="preserve">Règlement ONU </w:t>
      </w:r>
      <w:r w:rsidRPr="006E665D">
        <w:rPr>
          <w:rFonts w:eastAsia="MS Mincho"/>
          <w:b/>
          <w:bCs/>
        </w:rPr>
        <w:t>n</w:t>
      </w:r>
      <w:r w:rsidRPr="006E665D">
        <w:rPr>
          <w:rFonts w:eastAsia="MS Mincho"/>
          <w:b/>
          <w:bCs/>
          <w:vertAlign w:val="superscript"/>
        </w:rPr>
        <w:t>o</w:t>
      </w:r>
      <w:r w:rsidRPr="001A0CA2">
        <w:rPr>
          <w:b/>
          <w:bCs/>
        </w:rPr>
        <w:t xml:space="preserve"> 160 (Enregistreur de données de route)</w:t>
      </w:r>
    </w:p>
    <w:p w14:paraId="67D09DAA" w14:textId="351BB905" w:rsidR="006E665D" w:rsidRPr="00127264" w:rsidRDefault="006E665D" w:rsidP="006E665D">
      <w:pPr>
        <w:pStyle w:val="HChG"/>
      </w:pPr>
      <w:r>
        <w:rPr>
          <w:lang w:val="fr-FR"/>
        </w:rPr>
        <w:tab/>
      </w:r>
      <w:r>
        <w:rPr>
          <w:lang w:val="fr-FR"/>
        </w:rPr>
        <w:tab/>
        <w:t xml:space="preserve">Proposition de complément 2 à la série 01 d’amendements </w:t>
      </w:r>
      <w:r>
        <w:rPr>
          <w:lang w:val="fr-FR"/>
        </w:rPr>
        <w:br/>
      </w:r>
      <w:r>
        <w:rPr>
          <w:lang w:val="fr-FR"/>
        </w:rPr>
        <w:t xml:space="preserve">au Règlement ONU </w:t>
      </w:r>
      <w:r w:rsidRPr="006E665D">
        <w:rPr>
          <w:rFonts w:eastAsia="MS Mincho"/>
          <w:lang w:val="fr-FR"/>
        </w:rPr>
        <w:t>n</w:t>
      </w:r>
      <w:r w:rsidRPr="006E665D">
        <w:rPr>
          <w:rFonts w:eastAsia="MS Mincho"/>
          <w:vertAlign w:val="superscript"/>
          <w:lang w:val="fr-FR"/>
        </w:rPr>
        <w:t>o</w:t>
      </w:r>
      <w:r>
        <w:rPr>
          <w:lang w:val="fr-FR"/>
        </w:rPr>
        <w:t xml:space="preserve"> 160 (Enregistreur de données </w:t>
      </w:r>
      <w:r>
        <w:rPr>
          <w:lang w:val="fr-FR"/>
        </w:rPr>
        <w:br/>
      </w:r>
      <w:r>
        <w:rPr>
          <w:lang w:val="fr-FR"/>
        </w:rPr>
        <w:t>de route)</w:t>
      </w:r>
    </w:p>
    <w:p w14:paraId="493D607E" w14:textId="215D204A" w:rsidR="006E665D" w:rsidRPr="00BF4FF9" w:rsidRDefault="006E665D" w:rsidP="006E665D">
      <w:pPr>
        <w:pStyle w:val="H1G"/>
      </w:pPr>
      <w:r>
        <w:rPr>
          <w:lang w:val="fr-FR"/>
        </w:rPr>
        <w:tab/>
      </w:r>
      <w:r>
        <w:rPr>
          <w:lang w:val="fr-FR"/>
        </w:rPr>
        <w:tab/>
      </w:r>
      <w:r w:rsidRPr="00BF4FF9">
        <w:rPr>
          <w:lang w:val="fr-FR"/>
        </w:rPr>
        <w:t>Communication de l</w:t>
      </w:r>
      <w:r>
        <w:rPr>
          <w:lang w:val="fr-FR"/>
        </w:rPr>
        <w:t>’</w:t>
      </w:r>
      <w:r w:rsidRPr="00BF4FF9">
        <w:rPr>
          <w:lang w:val="fr-FR"/>
        </w:rPr>
        <w:t xml:space="preserve">expert du groupe de travail informel </w:t>
      </w:r>
      <w:r>
        <w:rPr>
          <w:lang w:val="fr-FR"/>
        </w:rPr>
        <w:br/>
      </w:r>
      <w:r w:rsidRPr="00BF4FF9">
        <w:rPr>
          <w:lang w:val="fr-FR"/>
        </w:rPr>
        <w:t xml:space="preserve">des enregistreurs de données de route et des systèmes </w:t>
      </w:r>
      <w:r>
        <w:rPr>
          <w:lang w:val="fr-FR"/>
        </w:rPr>
        <w:br/>
      </w:r>
      <w:r w:rsidRPr="00BF4FF9">
        <w:rPr>
          <w:lang w:val="fr-FR"/>
        </w:rPr>
        <w:t>de stockage des données pour la conduite automatisée</w:t>
      </w:r>
      <w:r w:rsidRPr="006E665D">
        <w:rPr>
          <w:b w:val="0"/>
          <w:bCs/>
          <w:sz w:val="20"/>
          <w:lang w:val="fr-FR"/>
        </w:rPr>
        <w:footnoteReference w:customMarkFollows="1" w:id="2"/>
        <w:t>*</w:t>
      </w:r>
      <w:r w:rsidRPr="00BF4FF9">
        <w:rPr>
          <w:lang w:val="fr-FR"/>
        </w:rPr>
        <w:t xml:space="preserve"> </w:t>
      </w:r>
    </w:p>
    <w:p w14:paraId="52ABA487" w14:textId="4E8FF08C" w:rsidR="006E665D" w:rsidRPr="00BF4FF9" w:rsidRDefault="006E665D" w:rsidP="006E665D">
      <w:pPr>
        <w:pStyle w:val="SingleTxtG"/>
      </w:pPr>
      <w:r>
        <w:rPr>
          <w:lang w:val="fr-FR"/>
        </w:rPr>
        <w:tab/>
      </w:r>
      <w:r>
        <w:rPr>
          <w:lang w:val="fr-FR"/>
        </w:rPr>
        <w:tab/>
      </w:r>
      <w:r w:rsidRPr="00BF4FF9">
        <w:rPr>
          <w:lang w:val="fr-FR"/>
        </w:rPr>
        <w:t xml:space="preserve">Le texte </w:t>
      </w:r>
      <w:r>
        <w:rPr>
          <w:lang w:val="fr-FR"/>
        </w:rPr>
        <w:t>ci-après,</w:t>
      </w:r>
      <w:r w:rsidRPr="00BF4FF9">
        <w:rPr>
          <w:lang w:val="fr-FR"/>
        </w:rPr>
        <w:t xml:space="preserve"> établi par les experts du groupe de travail informel des enregistreurs de données de route et des systèmes de stockage de données pour la conduite automatisée (groupe EDR/DSSAD)</w:t>
      </w:r>
      <w:r>
        <w:rPr>
          <w:lang w:val="fr-FR"/>
        </w:rPr>
        <w:t>,</w:t>
      </w:r>
      <w:r w:rsidRPr="00BF4FF9">
        <w:rPr>
          <w:lang w:val="fr-FR"/>
        </w:rPr>
        <w:t xml:space="preserve"> </w:t>
      </w:r>
      <w:r>
        <w:rPr>
          <w:lang w:val="fr-FR"/>
        </w:rPr>
        <w:t>vise à</w:t>
      </w:r>
      <w:r w:rsidRPr="00BF4FF9">
        <w:rPr>
          <w:lang w:val="fr-FR"/>
        </w:rPr>
        <w:t xml:space="preserve"> r</w:t>
      </w:r>
      <w:r>
        <w:rPr>
          <w:lang w:val="fr-FR"/>
        </w:rPr>
        <w:t>evoi</w:t>
      </w:r>
      <w:r w:rsidRPr="00BF4FF9">
        <w:rPr>
          <w:lang w:val="fr-FR"/>
        </w:rPr>
        <w:t xml:space="preserve">r et </w:t>
      </w:r>
      <w:r>
        <w:rPr>
          <w:lang w:val="fr-FR"/>
        </w:rPr>
        <w:t>à</w:t>
      </w:r>
      <w:r w:rsidRPr="00BF4FF9">
        <w:rPr>
          <w:lang w:val="fr-FR"/>
        </w:rPr>
        <w:t xml:space="preserve"> clarifier la</w:t>
      </w:r>
      <w:r>
        <w:rPr>
          <w:lang w:val="fr-FR"/>
        </w:rPr>
        <w:t xml:space="preserve"> question de la</w:t>
      </w:r>
      <w:r w:rsidRPr="00BF4FF9">
        <w:rPr>
          <w:lang w:val="fr-FR"/>
        </w:rPr>
        <w:t xml:space="preserve"> précision des données </w:t>
      </w:r>
      <w:r>
        <w:rPr>
          <w:lang w:val="fr-FR"/>
        </w:rPr>
        <w:t>concernant l’</w:t>
      </w:r>
      <w:r w:rsidRPr="00BF4FF9">
        <w:rPr>
          <w:lang w:val="fr-FR"/>
        </w:rPr>
        <w:t xml:space="preserve">accélération latérale et longitudinale. Il </w:t>
      </w:r>
      <w:r>
        <w:rPr>
          <w:lang w:val="fr-FR"/>
        </w:rPr>
        <w:t>y est également proposé d’</w:t>
      </w:r>
      <w:r w:rsidRPr="00BF4FF9">
        <w:rPr>
          <w:lang w:val="fr-FR"/>
        </w:rPr>
        <w:t>ajoute</w:t>
      </w:r>
      <w:r>
        <w:rPr>
          <w:lang w:val="fr-FR"/>
        </w:rPr>
        <w:t>r</w:t>
      </w:r>
      <w:r w:rsidRPr="00BF4FF9">
        <w:rPr>
          <w:lang w:val="fr-FR"/>
        </w:rPr>
        <w:t xml:space="preserve"> un paragraphe </w:t>
      </w:r>
      <w:r>
        <w:rPr>
          <w:lang w:val="fr-FR"/>
        </w:rPr>
        <w:t>sur l</w:t>
      </w:r>
      <w:r w:rsidRPr="00BF4FF9">
        <w:rPr>
          <w:lang w:val="fr-FR"/>
        </w:rPr>
        <w:t xml:space="preserve">es procédures </w:t>
      </w:r>
      <w:r>
        <w:rPr>
          <w:lang w:val="fr-FR"/>
        </w:rPr>
        <w:t>permettant de</w:t>
      </w:r>
      <w:r w:rsidRPr="00BF4FF9">
        <w:rPr>
          <w:lang w:val="fr-FR"/>
        </w:rPr>
        <w:t xml:space="preserve"> vérifi</w:t>
      </w:r>
      <w:r>
        <w:rPr>
          <w:lang w:val="fr-FR"/>
        </w:rPr>
        <w:t>er</w:t>
      </w:r>
      <w:r w:rsidRPr="00BF4FF9">
        <w:rPr>
          <w:lang w:val="fr-FR"/>
        </w:rPr>
        <w:t xml:space="preserve"> si les données </w:t>
      </w:r>
      <w:r>
        <w:rPr>
          <w:lang w:val="fr-FR"/>
        </w:rPr>
        <w:t xml:space="preserve">fournies par le </w:t>
      </w:r>
      <w:r w:rsidRPr="00BF4FF9">
        <w:rPr>
          <w:lang w:val="fr-FR"/>
        </w:rPr>
        <w:t>capteur d</w:t>
      </w:r>
      <w:r>
        <w:rPr>
          <w:lang w:val="fr-FR"/>
        </w:rPr>
        <w:t>’</w:t>
      </w:r>
      <w:r w:rsidRPr="00BF4FF9">
        <w:rPr>
          <w:lang w:val="fr-FR"/>
        </w:rPr>
        <w:t>accélération</w:t>
      </w:r>
      <w:r>
        <w:rPr>
          <w:lang w:val="fr-FR"/>
        </w:rPr>
        <w:t xml:space="preserve"> ont la précision requise</w:t>
      </w:r>
      <w:r w:rsidRPr="00BF4FF9">
        <w:rPr>
          <w:lang w:val="fr-FR"/>
        </w:rPr>
        <w:t>. Les modifications qu</w:t>
      </w:r>
      <w:r>
        <w:rPr>
          <w:lang w:val="fr-FR"/>
        </w:rPr>
        <w:t>’</w:t>
      </w:r>
      <w:r w:rsidRPr="00BF4FF9">
        <w:rPr>
          <w:lang w:val="fr-FR"/>
        </w:rPr>
        <w:t>il est proposé d</w:t>
      </w:r>
      <w:r>
        <w:rPr>
          <w:lang w:val="fr-FR"/>
        </w:rPr>
        <w:t>’</w:t>
      </w:r>
      <w:r w:rsidRPr="00BF4FF9">
        <w:rPr>
          <w:lang w:val="fr-FR"/>
        </w:rPr>
        <w:t>apporter au texte actuel du Règlement ONU figurent en caractères gras pour les ajouts et biffés pour les suppressions.</w:t>
      </w:r>
    </w:p>
    <w:p w14:paraId="1DD3B852" w14:textId="77777777" w:rsidR="006E665D" w:rsidRPr="00127264" w:rsidRDefault="006E665D" w:rsidP="006E665D">
      <w:pPr>
        <w:pStyle w:val="HChG"/>
        <w:tabs>
          <w:tab w:val="left" w:pos="8505"/>
        </w:tabs>
        <w:spacing w:before="0" w:after="0" w:line="960" w:lineRule="exact"/>
        <w:ind w:firstLine="425"/>
        <w:jc w:val="lowKashida"/>
        <w:rPr>
          <w:rFonts w:asciiTheme="majorBidi" w:hAnsiTheme="majorBidi" w:cstheme="majorBidi"/>
        </w:rPr>
      </w:pPr>
      <w:r w:rsidRPr="00127264">
        <w:rPr>
          <w:rFonts w:asciiTheme="majorBidi" w:hAnsiTheme="majorBidi" w:cstheme="majorBidi"/>
        </w:rPr>
        <w:br w:type="page"/>
      </w:r>
    </w:p>
    <w:p w14:paraId="5E52DD21" w14:textId="77777777" w:rsidR="006E665D" w:rsidRPr="00BF4FF9" w:rsidRDefault="006E665D" w:rsidP="006E665D">
      <w:pPr>
        <w:pStyle w:val="HChG"/>
        <w:rPr>
          <w:w w:val="101"/>
        </w:rPr>
      </w:pPr>
      <w:r w:rsidRPr="00BF4FF9">
        <w:rPr>
          <w:lang w:val="fr-FR"/>
        </w:rPr>
        <w:lastRenderedPageBreak/>
        <w:tab/>
        <w:t>I.</w:t>
      </w:r>
      <w:r w:rsidRPr="00BF4FF9">
        <w:rPr>
          <w:lang w:val="fr-FR"/>
        </w:rPr>
        <w:tab/>
        <w:t>Proposition</w:t>
      </w:r>
    </w:p>
    <w:p w14:paraId="2BFA35CC" w14:textId="030C1A82" w:rsidR="006E665D" w:rsidRPr="00C335BD" w:rsidRDefault="006E665D" w:rsidP="006E665D">
      <w:pPr>
        <w:pStyle w:val="SingleTxtG"/>
      </w:pPr>
      <w:r w:rsidRPr="006E665D">
        <w:rPr>
          <w:i/>
          <w:iCs/>
          <w:lang w:val="fr-FR"/>
        </w:rPr>
        <w:t>Ajouter un nouveau paragraphe 6</w:t>
      </w:r>
      <w:r w:rsidRPr="00C335BD">
        <w:rPr>
          <w:lang w:val="fr-FR"/>
        </w:rPr>
        <w:t xml:space="preserve">, ainsi </w:t>
      </w:r>
      <w:r>
        <w:rPr>
          <w:lang w:val="fr-FR"/>
        </w:rPr>
        <w:t>libellé</w:t>
      </w:r>
      <w:r>
        <w:rPr>
          <w:lang w:val="fr-FR"/>
        </w:rPr>
        <w:t> </w:t>
      </w:r>
      <w:r w:rsidRPr="00C335BD">
        <w:rPr>
          <w:lang w:val="fr-FR"/>
        </w:rPr>
        <w:t>:</w:t>
      </w:r>
    </w:p>
    <w:p w14:paraId="38EEA1C9" w14:textId="372F44A7" w:rsidR="006E665D" w:rsidRPr="00BF4FF9" w:rsidRDefault="006E665D" w:rsidP="006E665D">
      <w:pPr>
        <w:pStyle w:val="HChG"/>
        <w:ind w:left="2268"/>
      </w:pPr>
      <w:bookmarkStart w:id="0" w:name="_Toc354410594"/>
      <w:r w:rsidRPr="006E665D">
        <w:rPr>
          <w:b w:val="0"/>
          <w:bCs/>
          <w:sz w:val="20"/>
          <w:lang w:val="fr-FR"/>
        </w:rPr>
        <w:t>« </w:t>
      </w:r>
      <w:r w:rsidRPr="00BF4FF9">
        <w:rPr>
          <w:lang w:val="fr-FR"/>
        </w:rPr>
        <w:t>6.</w:t>
      </w:r>
      <w:r w:rsidRPr="00BF4FF9">
        <w:rPr>
          <w:lang w:val="fr-FR"/>
        </w:rPr>
        <w:tab/>
        <w:t>Procédures de vérification</w:t>
      </w:r>
    </w:p>
    <w:p w14:paraId="35C16B38" w14:textId="77777777" w:rsidR="006E665D" w:rsidRPr="006E665D" w:rsidRDefault="006E665D" w:rsidP="006E665D">
      <w:pPr>
        <w:pStyle w:val="SingleTxtG"/>
        <w:ind w:left="2268" w:hanging="1134"/>
        <w:rPr>
          <w:b/>
          <w:bCs/>
        </w:rPr>
      </w:pPr>
      <w:r w:rsidRPr="006E665D">
        <w:rPr>
          <w:b/>
          <w:bCs/>
          <w:lang w:val="fr-FR"/>
        </w:rPr>
        <w:t>6.1</w:t>
      </w:r>
      <w:r w:rsidRPr="006E665D">
        <w:rPr>
          <w:lang w:val="fr-FR"/>
        </w:rPr>
        <w:tab/>
      </w:r>
      <w:r w:rsidRPr="006E665D">
        <w:rPr>
          <w:b/>
          <w:bCs/>
          <w:lang w:val="fr-FR"/>
        </w:rPr>
        <w:t>La précision de la mesure de l’accélération longitudinale et latérale doit être vérifiée à l’aide d’un appareillage d’essai de composants qui soumet les capteurs d’accélération du module de commande du coussin gonflable ou de l’EDR à un mouvement d’accélération sinusoïdal conformément à la formule suivante :</w:t>
      </w:r>
    </w:p>
    <w:p w14:paraId="583B1CF5" w14:textId="70AF8F7E" w:rsidR="006E665D" w:rsidRPr="005C30CC" w:rsidRDefault="006E665D" w:rsidP="006E665D">
      <w:pPr>
        <w:pStyle w:val="SingleTxtG"/>
        <w:ind w:left="2268"/>
        <w:rPr>
          <w:b/>
          <w:bCs/>
        </w:rPr>
      </w:pPr>
      <w:r w:rsidRPr="005C30CC">
        <w:rPr>
          <w:rFonts w:ascii="Calibri" w:eastAsia="Calibri" w:hAnsi="Calibri"/>
          <w:b/>
          <w:bCs/>
          <w:noProof/>
          <w:lang w:val="fr-FR" w:eastAsia="nl-NL"/>
        </w:rPr>
        <w:drawing>
          <wp:inline distT="0" distB="0" distL="0" distR="0" wp14:anchorId="205A0328" wp14:editId="3837E87A">
            <wp:extent cx="1237615" cy="389890"/>
            <wp:effectExtent l="0" t="0" r="635" b="0"/>
            <wp:docPr id="4" name="Afbeelding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7615" cy="389890"/>
                    </a:xfrm>
                    <a:prstGeom prst="rect">
                      <a:avLst/>
                    </a:prstGeom>
                    <a:noFill/>
                    <a:ln>
                      <a:noFill/>
                    </a:ln>
                  </pic:spPr>
                </pic:pic>
              </a:graphicData>
            </a:graphic>
          </wp:inline>
        </w:drawing>
      </w:r>
      <w:r w:rsidRPr="005C30CC">
        <w:rPr>
          <w:b/>
          <w:bCs/>
          <w:lang w:val="fr-FR"/>
        </w:rPr>
        <w:t xml:space="preserve"> +/- 2g</w:t>
      </w:r>
    </w:p>
    <w:p w14:paraId="6ED2C622" w14:textId="7819F937" w:rsidR="006E665D" w:rsidRPr="006E665D" w:rsidRDefault="006E665D" w:rsidP="006E665D">
      <w:pPr>
        <w:pStyle w:val="SingleTxtG"/>
        <w:ind w:left="2268" w:hanging="1134"/>
        <w:rPr>
          <w:b/>
          <w:bCs/>
        </w:rPr>
      </w:pPr>
      <w:r w:rsidRPr="006E665D">
        <w:rPr>
          <w:b/>
          <w:bCs/>
          <w:lang w:val="fr-FR"/>
        </w:rPr>
        <w:t>6.1.1</w:t>
      </w:r>
      <w:r w:rsidRPr="006E665D">
        <w:rPr>
          <w:lang w:val="fr-FR"/>
        </w:rPr>
        <w:tab/>
      </w:r>
      <w:r w:rsidRPr="006E665D">
        <w:rPr>
          <w:b/>
          <w:bCs/>
          <w:lang w:val="fr-FR"/>
        </w:rPr>
        <w:t>L’appareillage d’essai des composants doit être équipé d’un capteur d’accélération d’une portée minimale de +/- 500 g associé à un système d’acquisition de données d’une fréquence d’échantillonnage de 10 kHz, orienté de façon à détecter l’accélération dans la direction du mouvement de l’appareillage.</w:t>
      </w:r>
    </w:p>
    <w:p w14:paraId="2707EC1B" w14:textId="77777777" w:rsidR="006E665D" w:rsidRPr="006E665D" w:rsidRDefault="006E665D" w:rsidP="006E665D">
      <w:pPr>
        <w:pStyle w:val="SingleTxtG"/>
        <w:ind w:left="2268" w:hanging="1134"/>
        <w:rPr>
          <w:b/>
          <w:bCs/>
        </w:rPr>
      </w:pPr>
      <w:r w:rsidRPr="006E665D">
        <w:rPr>
          <w:b/>
          <w:bCs/>
          <w:lang w:val="fr-FR"/>
        </w:rPr>
        <w:t>6.1.2</w:t>
      </w:r>
      <w:r w:rsidRPr="006E665D">
        <w:rPr>
          <w:lang w:val="fr-FR"/>
        </w:rPr>
        <w:tab/>
      </w:r>
      <w:r w:rsidRPr="006E665D">
        <w:rPr>
          <w:b/>
          <w:bCs/>
          <w:lang w:val="fr-FR"/>
        </w:rPr>
        <w:t>Le module de gestion électronique du coussin gonflable ou l’EDR et les capteurs périphériques correspondants, s’ils sont nécessaires pour générer le signal de déploiement du coussin gonflable, doivent être montés sur l’appareillage d’essai des composants selon leur orientation dans le véhicule.</w:t>
      </w:r>
      <w:r w:rsidRPr="006E665D">
        <w:rPr>
          <w:lang w:val="fr-FR"/>
        </w:rPr>
        <w:t xml:space="preserve"> </w:t>
      </w:r>
      <w:r w:rsidRPr="006E665D">
        <w:rPr>
          <w:b/>
          <w:bCs/>
          <w:lang w:val="fr-FR"/>
        </w:rPr>
        <w:t>Si ce qui précède ne permet pas de générer un signal de déploiement, le fabricant doit recommander la manière la plus appropriée de générer un tel signal.</w:t>
      </w:r>
    </w:p>
    <w:p w14:paraId="75F9950F" w14:textId="6023B11D" w:rsidR="006E665D" w:rsidRPr="000C0CCE" w:rsidRDefault="006E665D" w:rsidP="000C0CCE">
      <w:pPr>
        <w:pStyle w:val="SingleTxtG"/>
        <w:ind w:left="2268" w:hanging="1134"/>
        <w:rPr>
          <w:b/>
          <w:bCs/>
        </w:rPr>
      </w:pPr>
      <w:r w:rsidRPr="000C0CCE">
        <w:rPr>
          <w:b/>
          <w:bCs/>
          <w:lang w:val="fr-FR"/>
        </w:rPr>
        <w:t>6.1.3</w:t>
      </w:r>
      <w:r w:rsidRPr="000C0CCE">
        <w:rPr>
          <w:lang w:val="fr-FR"/>
        </w:rPr>
        <w:tab/>
      </w:r>
      <w:r w:rsidRPr="000C0CCE">
        <w:rPr>
          <w:b/>
          <w:bCs/>
          <w:lang w:val="fr-FR"/>
        </w:rPr>
        <w:t>Le signal de déploiement du coussin gonflable doit être enregistré en même temps que l’accélération de l’appareillage d’essai des composants.</w:t>
      </w:r>
    </w:p>
    <w:p w14:paraId="02D844B5" w14:textId="77777777" w:rsidR="006E665D" w:rsidRPr="000C0CCE" w:rsidRDefault="006E665D" w:rsidP="000C0CCE">
      <w:pPr>
        <w:pStyle w:val="SingleTxtG"/>
        <w:ind w:left="2268" w:hanging="1134"/>
        <w:rPr>
          <w:b/>
          <w:bCs/>
        </w:rPr>
      </w:pPr>
      <w:r w:rsidRPr="000C0CCE">
        <w:rPr>
          <w:b/>
          <w:bCs/>
          <w:lang w:val="fr-FR"/>
        </w:rPr>
        <w:t>6.1.4</w:t>
      </w:r>
      <w:r w:rsidRPr="000C0CCE">
        <w:rPr>
          <w:lang w:val="fr-FR"/>
        </w:rPr>
        <w:tab/>
      </w:r>
      <w:r w:rsidRPr="000C0CCE">
        <w:rPr>
          <w:b/>
          <w:bCs/>
          <w:lang w:val="fr-FR"/>
        </w:rPr>
        <w:t xml:space="preserve">Après son activation, l’appareillage d’essai des composants enregistre des courbes d’accélération qui sont passées dans un filtre de </w:t>
      </w:r>
      <w:proofErr w:type="spellStart"/>
      <w:r w:rsidRPr="000C0CCE">
        <w:rPr>
          <w:b/>
          <w:bCs/>
          <w:lang w:val="fr-FR"/>
        </w:rPr>
        <w:t>Butterworth</w:t>
      </w:r>
      <w:proofErr w:type="spellEnd"/>
      <w:r w:rsidRPr="000C0CCE">
        <w:rPr>
          <w:b/>
          <w:bCs/>
          <w:lang w:val="fr-FR"/>
        </w:rPr>
        <w:t xml:space="preserve"> à deux pôles de 150 Hz.</w:t>
      </w:r>
      <w:r w:rsidRPr="000C0CCE">
        <w:rPr>
          <w:lang w:val="fr-FR"/>
        </w:rPr>
        <w:t xml:space="preserve"> </w:t>
      </w:r>
      <w:r w:rsidRPr="000C0CCE">
        <w:rPr>
          <w:b/>
          <w:bCs/>
          <w:lang w:val="fr-FR"/>
        </w:rPr>
        <w:t>L’équation de ce filtre est la suivante :</w:t>
      </w:r>
    </w:p>
    <w:p w14:paraId="3DD088BB" w14:textId="77777777" w:rsidR="006E665D" w:rsidRPr="000C0CCE" w:rsidRDefault="006E665D" w:rsidP="005C30CC">
      <w:pPr>
        <w:pStyle w:val="SingleTxtG"/>
        <w:spacing w:after="0"/>
        <w:ind w:left="4536" w:hanging="2268"/>
        <w:rPr>
          <w:b/>
          <w:bCs/>
        </w:rPr>
      </w:pPr>
      <w:r w:rsidRPr="000C0CCE">
        <w:rPr>
          <w:b/>
          <w:bCs/>
          <w:lang w:val="fr-FR"/>
        </w:rPr>
        <w:t>a_ref_150Hzfilt(n) =</w:t>
      </w:r>
      <w:r w:rsidRPr="000C0CCE">
        <w:rPr>
          <w:lang w:val="fr-FR"/>
        </w:rPr>
        <w:t xml:space="preserve"> </w:t>
      </w:r>
      <w:r w:rsidRPr="000C0CCE">
        <w:rPr>
          <w:lang w:val="fr-FR"/>
        </w:rPr>
        <w:tab/>
        <w:t xml:space="preserve"> </w:t>
      </w:r>
      <w:r w:rsidRPr="000C0CCE">
        <w:rPr>
          <w:b/>
          <w:bCs/>
          <w:lang w:val="fr-FR"/>
        </w:rPr>
        <w:t xml:space="preserve">0,00208057 * </w:t>
      </w:r>
      <w:proofErr w:type="spellStart"/>
      <w:r w:rsidRPr="000C0CCE">
        <w:rPr>
          <w:b/>
          <w:bCs/>
          <w:lang w:val="fr-FR"/>
        </w:rPr>
        <w:t>a_ref_raw</w:t>
      </w:r>
      <w:proofErr w:type="spellEnd"/>
      <w:r w:rsidRPr="000C0CCE">
        <w:rPr>
          <w:b/>
          <w:bCs/>
          <w:lang w:val="fr-FR"/>
        </w:rPr>
        <w:t>(n)</w:t>
      </w:r>
      <w:r w:rsidRPr="000C0CCE">
        <w:rPr>
          <w:lang w:val="fr-FR"/>
        </w:rPr>
        <w:t xml:space="preserve"> </w:t>
      </w:r>
    </w:p>
    <w:p w14:paraId="041A3186" w14:textId="77777777" w:rsidR="006E665D" w:rsidRPr="000C0CCE" w:rsidRDefault="006E665D" w:rsidP="005C30CC">
      <w:pPr>
        <w:pStyle w:val="SingleTxtG"/>
        <w:spacing w:after="0"/>
        <w:ind w:left="4536"/>
        <w:rPr>
          <w:b/>
          <w:bCs/>
          <w:lang w:val="en-US"/>
        </w:rPr>
      </w:pPr>
      <w:r w:rsidRPr="000C0CCE">
        <w:rPr>
          <w:b/>
          <w:bCs/>
          <w:lang w:val="en-US"/>
        </w:rPr>
        <w:t xml:space="preserve">+0,00416113 * </w:t>
      </w:r>
      <w:proofErr w:type="spellStart"/>
      <w:r w:rsidRPr="000C0CCE">
        <w:rPr>
          <w:b/>
          <w:bCs/>
          <w:lang w:val="en-US"/>
        </w:rPr>
        <w:t>a_ref_raw</w:t>
      </w:r>
      <w:proofErr w:type="spellEnd"/>
      <w:r w:rsidRPr="000C0CCE">
        <w:rPr>
          <w:b/>
          <w:bCs/>
          <w:lang w:val="en-US"/>
        </w:rPr>
        <w:t>(n-1)</w:t>
      </w:r>
    </w:p>
    <w:p w14:paraId="7BEAA603" w14:textId="77777777" w:rsidR="006E665D" w:rsidRPr="000C0CCE" w:rsidRDefault="006E665D" w:rsidP="005C30CC">
      <w:pPr>
        <w:pStyle w:val="SingleTxtG"/>
        <w:spacing w:after="0"/>
        <w:ind w:left="4536"/>
        <w:rPr>
          <w:b/>
          <w:bCs/>
          <w:lang w:val="en-US"/>
        </w:rPr>
      </w:pPr>
      <w:r w:rsidRPr="000C0CCE">
        <w:rPr>
          <w:b/>
          <w:bCs/>
          <w:lang w:val="en-US"/>
        </w:rPr>
        <w:t xml:space="preserve">+0,00208057 * </w:t>
      </w:r>
      <w:proofErr w:type="spellStart"/>
      <w:r w:rsidRPr="000C0CCE">
        <w:rPr>
          <w:b/>
          <w:bCs/>
          <w:lang w:val="en-US"/>
        </w:rPr>
        <w:t>a_ref_raw</w:t>
      </w:r>
      <w:proofErr w:type="spellEnd"/>
      <w:r w:rsidRPr="000C0CCE">
        <w:rPr>
          <w:b/>
          <w:bCs/>
          <w:lang w:val="en-US"/>
        </w:rPr>
        <w:t>(n-2)</w:t>
      </w:r>
    </w:p>
    <w:p w14:paraId="73EFB41A" w14:textId="77777777" w:rsidR="006E665D" w:rsidRPr="000C0CCE" w:rsidRDefault="006E665D" w:rsidP="005C30CC">
      <w:pPr>
        <w:pStyle w:val="SingleTxtG"/>
        <w:spacing w:after="0"/>
        <w:ind w:left="4536"/>
        <w:rPr>
          <w:b/>
          <w:bCs/>
          <w:lang w:val="en-US"/>
        </w:rPr>
      </w:pPr>
      <w:r w:rsidRPr="000C0CCE">
        <w:rPr>
          <w:b/>
          <w:bCs/>
          <w:lang w:val="en-US"/>
        </w:rPr>
        <w:t>+1,86689228 * a_ref_150Hzfilt(n-1)</w:t>
      </w:r>
    </w:p>
    <w:p w14:paraId="4DDD42C1" w14:textId="77777777" w:rsidR="006E665D" w:rsidRPr="000C0CCE" w:rsidRDefault="006E665D" w:rsidP="00FA4018">
      <w:pPr>
        <w:pStyle w:val="SingleTxtG"/>
        <w:ind w:left="4536"/>
        <w:rPr>
          <w:b/>
          <w:bCs/>
          <w:lang w:val="en-US"/>
        </w:rPr>
      </w:pPr>
      <w:r w:rsidRPr="000C0CCE">
        <w:rPr>
          <w:b/>
          <w:bCs/>
          <w:lang w:val="en-US"/>
        </w:rPr>
        <w:t>-0,87521455 * a_ref_150Hzfilt(n-2)</w:t>
      </w:r>
    </w:p>
    <w:p w14:paraId="3C56C2F3" w14:textId="77777777" w:rsidR="006E665D" w:rsidRPr="000C0CCE" w:rsidRDefault="006E665D" w:rsidP="00FA4018">
      <w:pPr>
        <w:pStyle w:val="SingleTxtG"/>
        <w:ind w:left="2268"/>
        <w:rPr>
          <w:b/>
          <w:bCs/>
        </w:rPr>
      </w:pPr>
      <w:r w:rsidRPr="000C0CCE">
        <w:rPr>
          <w:b/>
          <w:bCs/>
          <w:lang w:val="fr-FR"/>
        </w:rPr>
        <w:t>On compare les courbes d’accélération filtrées de l’appareillage d’essai des composants aux courbes d’accélération enregistrées dans le module EDR en les alignant selon le temps du signal de déploiement du coussin gonflable.</w:t>
      </w:r>
      <w:r w:rsidRPr="000C0CCE">
        <w:rPr>
          <w:lang w:val="fr-FR"/>
        </w:rPr>
        <w:t xml:space="preserve"> </w:t>
      </w:r>
    </w:p>
    <w:p w14:paraId="6781C023" w14:textId="77777777" w:rsidR="006E665D" w:rsidRPr="000C0CCE" w:rsidRDefault="006E665D" w:rsidP="000C0CCE">
      <w:pPr>
        <w:pStyle w:val="SingleTxtG"/>
        <w:ind w:left="2268" w:hanging="1134"/>
        <w:rPr>
          <w:b/>
          <w:bCs/>
        </w:rPr>
      </w:pPr>
      <w:r w:rsidRPr="000C0CCE">
        <w:rPr>
          <w:b/>
          <w:bCs/>
          <w:lang w:val="fr-FR"/>
        </w:rPr>
        <w:t>6.1.5</w:t>
      </w:r>
      <w:r w:rsidRPr="000C0CCE">
        <w:rPr>
          <w:lang w:val="fr-FR"/>
        </w:rPr>
        <w:tab/>
      </w:r>
      <w:r w:rsidRPr="000C0CCE">
        <w:rPr>
          <w:b/>
          <w:bCs/>
          <w:lang w:val="fr-FR"/>
        </w:rPr>
        <w:t>La courbe d’accélération enregistrée par l’EDR doit être entièrement contenue dans une bande dont la largeur correspond à +/-10% de l’amplitude maximale de l’accéléromètre utilisé par le module de commande contenant la fonction EDR, valeur appliquée à la courbe d’accélération filtrée de l’appareillage d’essai des composants.</w:t>
      </w:r>
      <w:r w:rsidRPr="000C0CCE">
        <w:rPr>
          <w:lang w:val="fr-FR"/>
        </w:rPr>
        <w:t xml:space="preserve"> </w:t>
      </w:r>
      <w:r w:rsidRPr="000C0CCE">
        <w:rPr>
          <w:b/>
          <w:bCs/>
          <w:lang w:val="fr-FR"/>
        </w:rPr>
        <w:t>La comparaison des courbes du capteur d’accélération ne doit être effectuée que sur l’axe sur lequel l’essai du composant a été réalisé.</w:t>
      </w:r>
      <w:r w:rsidRPr="000C0CCE">
        <w:rPr>
          <w:lang w:val="fr-FR"/>
        </w:rPr>
        <w:t xml:space="preserve"> </w:t>
      </w:r>
    </w:p>
    <w:p w14:paraId="73DE2379" w14:textId="07BAB787" w:rsidR="006E665D" w:rsidRPr="00127264" w:rsidRDefault="006E665D" w:rsidP="00FA4018">
      <w:pPr>
        <w:pStyle w:val="SingleTxtG"/>
        <w:ind w:left="2268"/>
        <w:rPr>
          <w:b/>
          <w:bCs/>
        </w:rPr>
      </w:pPr>
      <w:r w:rsidRPr="000C0CCE">
        <w:rPr>
          <w:b/>
          <w:bCs/>
          <w:lang w:val="fr-FR"/>
        </w:rPr>
        <w:t>Par exemple, si l’amplitude de l’accéléromètre du module de commande contenant la fonction EDR est de +/- 100 g, on applique une amplitude de +/- 10 g à la courbe d’accélération filtrée de l’appareillage d’essai des composants.</w:t>
      </w:r>
      <w:r w:rsidRPr="000C0CCE">
        <w:rPr>
          <w:lang w:val="fr-FR"/>
        </w:rPr>
        <w:t xml:space="preserve"> </w:t>
      </w:r>
      <w:r w:rsidRPr="000C0CCE">
        <w:rPr>
          <w:b/>
          <w:bCs/>
          <w:lang w:val="fr-FR"/>
        </w:rPr>
        <w:t>La courbe d’accélération enregistrée par l’EDR ne doit pas sortir de cette bande (voir la figure).</w:t>
      </w:r>
      <w:r w:rsidRPr="00127264">
        <w:rPr>
          <w:b/>
          <w:bCs/>
        </w:rPr>
        <w:br w:type="page"/>
      </w:r>
    </w:p>
    <w:p w14:paraId="2C03D7AA" w14:textId="1A20B7FB" w:rsidR="006E665D" w:rsidRPr="004D69BA" w:rsidRDefault="006E665D" w:rsidP="006E665D">
      <w:pPr>
        <w:spacing w:after="120" w:line="240" w:lineRule="auto"/>
        <w:ind w:left="2268" w:right="1134"/>
        <w:rPr>
          <w:b/>
          <w:bCs/>
        </w:rPr>
      </w:pPr>
      <w:r w:rsidRPr="00005188">
        <w:rPr>
          <w:b/>
          <w:bCs/>
          <w:lang w:val="fr-FR"/>
        </w:rPr>
        <w:lastRenderedPageBreak/>
        <w:t>Bande d</w:t>
      </w:r>
      <w:r>
        <w:rPr>
          <w:b/>
          <w:bCs/>
          <w:lang w:val="fr-FR"/>
        </w:rPr>
        <w:t>’</w:t>
      </w:r>
      <w:r w:rsidRPr="00005188">
        <w:rPr>
          <w:b/>
          <w:bCs/>
          <w:lang w:val="fr-FR"/>
        </w:rPr>
        <w:t>une largeur correspondant à +/- 10% de l</w:t>
      </w:r>
      <w:r>
        <w:rPr>
          <w:b/>
          <w:bCs/>
          <w:lang w:val="fr-FR"/>
        </w:rPr>
        <w:t>’</w:t>
      </w:r>
      <w:r w:rsidRPr="00005188">
        <w:rPr>
          <w:b/>
          <w:bCs/>
          <w:lang w:val="fr-FR"/>
        </w:rPr>
        <w:t>amplitude</w:t>
      </w:r>
      <w:r>
        <w:rPr>
          <w:b/>
          <w:bCs/>
          <w:lang w:val="fr-FR"/>
        </w:rPr>
        <w:t xml:space="preserve"> maximale</w:t>
      </w:r>
      <w:r w:rsidRPr="00005188">
        <w:rPr>
          <w:b/>
          <w:bCs/>
          <w:lang w:val="fr-FR"/>
        </w:rPr>
        <w:t xml:space="preserve"> de l</w:t>
      </w:r>
      <w:r>
        <w:rPr>
          <w:b/>
          <w:bCs/>
          <w:lang w:val="fr-FR"/>
        </w:rPr>
        <w:t>’</w:t>
      </w:r>
      <w:r w:rsidRPr="00005188">
        <w:rPr>
          <w:b/>
          <w:bCs/>
          <w:lang w:val="fr-FR"/>
        </w:rPr>
        <w:t>accéléromètre</w:t>
      </w:r>
    </w:p>
    <w:p w14:paraId="2A754E3B" w14:textId="77777777" w:rsidR="006E665D" w:rsidRPr="005166E7" w:rsidRDefault="006E665D" w:rsidP="006E665D">
      <w:pPr>
        <w:spacing w:after="120" w:line="240" w:lineRule="auto"/>
        <w:ind w:left="2268" w:right="1134"/>
        <w:jc w:val="both"/>
        <w:rPr>
          <w:b/>
          <w:bCs/>
        </w:rPr>
      </w:pPr>
      <w:r w:rsidRPr="005166E7">
        <w:rPr>
          <w:noProof/>
          <w:lang w:eastAsia="nl-NL"/>
        </w:rPr>
        <w:drawing>
          <wp:inline distT="0" distB="0" distL="0" distR="0" wp14:anchorId="53DE6D15" wp14:editId="563FB658">
            <wp:extent cx="3960000" cy="2880443"/>
            <wp:effectExtent l="0" t="0" r="2540" b="0"/>
            <wp:docPr id="5"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0000" cy="2880443"/>
                    </a:xfrm>
                    <a:prstGeom prst="rect">
                      <a:avLst/>
                    </a:prstGeom>
                    <a:noFill/>
                  </pic:spPr>
                </pic:pic>
              </a:graphicData>
            </a:graphic>
          </wp:inline>
        </w:drawing>
      </w:r>
    </w:p>
    <w:p w14:paraId="4903A73C" w14:textId="5C1EA496" w:rsidR="006E665D" w:rsidRPr="000C0CCE" w:rsidRDefault="006E665D" w:rsidP="005C30CC">
      <w:pPr>
        <w:pStyle w:val="SingleTxtG"/>
        <w:spacing w:before="240"/>
        <w:ind w:left="2268" w:hanging="1134"/>
        <w:rPr>
          <w:b/>
          <w:bCs/>
        </w:rPr>
      </w:pPr>
      <w:r w:rsidRPr="000C0CCE">
        <w:rPr>
          <w:b/>
          <w:bCs/>
        </w:rPr>
        <w:t>6.1.6</w:t>
      </w:r>
      <w:r w:rsidRPr="000C0CCE">
        <w:tab/>
      </w:r>
      <w:r w:rsidRPr="000C0CCE">
        <w:rPr>
          <w:b/>
          <w:bCs/>
          <w:lang w:val="fr-FR"/>
        </w:rPr>
        <w:t>Pour un meilleur alignement des données, la courbe d’accélération de l’EDR mentionnée au paragraphe 6.1.5 peut être décalée de +/- 2 ms au maximum sur la base de l’inverse de la fréquence d’échantillonnage de 500</w:t>
      </w:r>
      <w:r w:rsidR="005C30CC">
        <w:rPr>
          <w:b/>
          <w:bCs/>
          <w:lang w:val="fr-FR"/>
        </w:rPr>
        <w:t> </w:t>
      </w:r>
      <w:r w:rsidRPr="000C0CCE">
        <w:rPr>
          <w:b/>
          <w:bCs/>
          <w:lang w:val="fr-FR"/>
        </w:rPr>
        <w:t>Hz.</w:t>
      </w:r>
      <w:r w:rsidRPr="000C0CCE">
        <w:rPr>
          <w:lang w:val="fr-FR"/>
        </w:rPr>
        <w:t xml:space="preserve"> </w:t>
      </w:r>
      <w:r w:rsidRPr="000C0CCE">
        <w:rPr>
          <w:b/>
          <w:bCs/>
          <w:lang w:val="fr-FR"/>
        </w:rPr>
        <w:t>Le</w:t>
      </w:r>
      <w:r w:rsidRPr="000C0CCE">
        <w:t xml:space="preserve"> </w:t>
      </w:r>
      <w:r w:rsidRPr="000C0CCE">
        <w:rPr>
          <w:b/>
          <w:bCs/>
          <w:lang w:val="fr-FR"/>
        </w:rPr>
        <w:t>décalage minimal peut être l’inverse de la fréquence d’échantillonnage de l’EDR.</w:t>
      </w:r>
    </w:p>
    <w:p w14:paraId="2C339512" w14:textId="77777777" w:rsidR="006E665D" w:rsidRPr="000C0CCE" w:rsidRDefault="006E665D" w:rsidP="000C0CCE">
      <w:pPr>
        <w:pStyle w:val="SingleTxtG"/>
        <w:ind w:left="2268" w:hanging="1134"/>
        <w:rPr>
          <w:b/>
          <w:bCs/>
        </w:rPr>
      </w:pPr>
      <w:r w:rsidRPr="000C0CCE">
        <w:rPr>
          <w:b/>
          <w:bCs/>
          <w:lang w:val="fr-FR"/>
        </w:rPr>
        <w:t>6.1.7</w:t>
      </w:r>
      <w:r w:rsidRPr="000C0CCE">
        <w:rPr>
          <w:lang w:val="fr-FR"/>
        </w:rPr>
        <w:tab/>
      </w:r>
      <w:r w:rsidRPr="000C0CCE">
        <w:rPr>
          <w:b/>
          <w:bCs/>
          <w:lang w:val="fr-FR"/>
        </w:rPr>
        <w:t>Les données concernant l’accélération respectent la marge de tolérance prescrite si la courbe enregistrée par l’EDR reste à l’intérieur de la bande définie au paragraphe 6.1.5, avec ou sans le décalage spécifié au paragraphe 6.1.6.</w:t>
      </w:r>
    </w:p>
    <w:p w14:paraId="51EA9912" w14:textId="2F359BDB" w:rsidR="006E665D" w:rsidRPr="000C0CCE" w:rsidRDefault="006E665D" w:rsidP="000C0CCE">
      <w:pPr>
        <w:pStyle w:val="SingleTxtG"/>
        <w:ind w:left="2268" w:hanging="1134"/>
        <w:rPr>
          <w:rFonts w:eastAsia="DengXian"/>
          <w:b/>
          <w:bCs/>
        </w:rPr>
      </w:pPr>
      <w:r w:rsidRPr="000C0CCE">
        <w:rPr>
          <w:b/>
          <w:bCs/>
          <w:lang w:val="fr-FR"/>
        </w:rPr>
        <w:t>6.1.8</w:t>
      </w:r>
      <w:r w:rsidRPr="000C0CCE">
        <w:rPr>
          <w:lang w:val="fr-FR"/>
        </w:rPr>
        <w:tab/>
      </w:r>
      <w:bookmarkEnd w:id="0"/>
      <w:r w:rsidRPr="000C0CCE">
        <w:rPr>
          <w:b/>
          <w:bCs/>
          <w:lang w:val="fr-FR"/>
        </w:rPr>
        <w:t>Si la forme d’onde recommandée ne peut pas entraîner le déclenchement de l’algorithme en raison de la stratégie algorithmique du fabricant, ce dernier peut sélectionner une autre forme ou amplifier la forme suggérée.</w:t>
      </w:r>
      <w:r w:rsidRPr="000C0CCE">
        <w:rPr>
          <w:lang w:val="fr-FR"/>
        </w:rPr>
        <w:t xml:space="preserve"> </w:t>
      </w:r>
      <w:r w:rsidRPr="000C0CCE">
        <w:rPr>
          <w:b/>
          <w:bCs/>
          <w:lang w:val="fr-FR"/>
        </w:rPr>
        <w:t>La forme d’onde utilisée pour la précision les données d’accélération de l’EDR doit être fournie, pour examen, si elle diffère de celle définie dans la procédure de vérification.</w:t>
      </w:r>
      <w:r w:rsidR="005C30CC">
        <w:rPr>
          <w:b/>
          <w:bCs/>
          <w:lang w:val="fr-FR"/>
        </w:rPr>
        <w:t> </w:t>
      </w:r>
      <w:r w:rsidR="005C30CC" w:rsidRPr="005C30CC">
        <w:rPr>
          <w:lang w:val="fr-FR"/>
        </w:rPr>
        <w:t>»</w:t>
      </w:r>
      <w:r w:rsidR="005C30CC">
        <w:rPr>
          <w:lang w:val="fr-FR"/>
        </w:rPr>
        <w:t>.</w:t>
      </w:r>
    </w:p>
    <w:p w14:paraId="2FFF36F5" w14:textId="77777777" w:rsidR="006E665D" w:rsidRPr="00FA4018" w:rsidRDefault="006E665D" w:rsidP="00FA4018">
      <w:pPr>
        <w:pStyle w:val="SingleTxtG"/>
        <w:rPr>
          <w:i/>
          <w:iCs/>
        </w:rPr>
      </w:pPr>
      <w:r w:rsidRPr="00FA4018">
        <w:rPr>
          <w:i/>
          <w:iCs/>
          <w:lang w:val="fr-FR"/>
        </w:rPr>
        <w:t xml:space="preserve">Les paragraphes 6 à 11 </w:t>
      </w:r>
      <w:r w:rsidRPr="005C30CC">
        <w:rPr>
          <w:lang w:val="fr-FR"/>
        </w:rPr>
        <w:t>deviennent les paragraphes 7 à 12.</w:t>
      </w:r>
    </w:p>
    <w:p w14:paraId="6CEC32A9" w14:textId="08A9CE9D" w:rsidR="006E665D" w:rsidRPr="000C0CCE" w:rsidRDefault="006E665D" w:rsidP="00FA4018">
      <w:pPr>
        <w:pStyle w:val="SingleTxtG"/>
        <w:rPr>
          <w:iCs/>
        </w:rPr>
      </w:pPr>
      <w:r w:rsidRPr="000C0CCE">
        <w:rPr>
          <w:i/>
          <w:iCs/>
          <w:lang w:val="fr-FR"/>
        </w:rPr>
        <w:t>Annexe 4, tableau 1</w:t>
      </w:r>
      <w:r w:rsidRPr="000C0CCE">
        <w:rPr>
          <w:lang w:val="fr-FR"/>
        </w:rPr>
        <w:t>, lire</w:t>
      </w:r>
      <w:r w:rsidR="005C30CC">
        <w:rPr>
          <w:lang w:val="fr-FR"/>
        </w:rPr>
        <w:t> </w:t>
      </w:r>
      <w:r w:rsidRPr="000C0CCE">
        <w:rPr>
          <w:lang w:val="fr-FR"/>
        </w:rPr>
        <w:t>:</w:t>
      </w:r>
    </w:p>
    <w:p w14:paraId="3C607F8C" w14:textId="0E5FF3B1" w:rsidR="006E665D" w:rsidRPr="00C26DD4" w:rsidRDefault="005C30CC" w:rsidP="005C30CC">
      <w:pPr>
        <w:spacing w:after="120" w:line="240" w:lineRule="auto"/>
      </w:pPr>
      <w:r>
        <w:rPr>
          <w:lang w:val="fr-FR"/>
        </w:rPr>
        <w:t>« </w:t>
      </w:r>
      <w:r w:rsidR="006E665D" w:rsidRPr="00C26DD4">
        <w:rPr>
          <w:lang w:val="fr-FR"/>
        </w:rPr>
        <w:t>...</w:t>
      </w:r>
    </w:p>
    <w:tbl>
      <w:tblPr>
        <w:tblW w:w="9637" w:type="dxa"/>
        <w:tblLayout w:type="fixed"/>
        <w:tblCellMar>
          <w:left w:w="0" w:type="dxa"/>
          <w:right w:w="0" w:type="dxa"/>
        </w:tblCellMar>
        <w:tblLook w:val="04A0" w:firstRow="1" w:lastRow="0" w:firstColumn="1" w:lastColumn="0" w:noHBand="0" w:noVBand="1"/>
      </w:tblPr>
      <w:tblGrid>
        <w:gridCol w:w="1363"/>
        <w:gridCol w:w="1273"/>
        <w:gridCol w:w="1273"/>
        <w:gridCol w:w="1091"/>
        <w:gridCol w:w="1455"/>
        <w:gridCol w:w="1000"/>
        <w:gridCol w:w="767"/>
        <w:gridCol w:w="1415"/>
      </w:tblGrid>
      <w:tr w:rsidR="006E665D" w:rsidRPr="005166E7" w14:paraId="75D5F779" w14:textId="77777777" w:rsidTr="005C30CC">
        <w:trPr>
          <w:cantSplit/>
        </w:trPr>
        <w:tc>
          <w:tcPr>
            <w:tcW w:w="1363" w:type="dxa"/>
            <w:tcBorders>
              <w:top w:val="single" w:sz="4" w:space="0" w:color="auto"/>
              <w:left w:val="nil"/>
              <w:bottom w:val="single" w:sz="4" w:space="0" w:color="auto"/>
              <w:right w:val="nil"/>
            </w:tcBorders>
            <w:hideMark/>
          </w:tcPr>
          <w:p w14:paraId="5D09E4F7" w14:textId="77777777" w:rsidR="006E665D" w:rsidRPr="00127264" w:rsidRDefault="006E665D" w:rsidP="0095794F">
            <w:pPr>
              <w:spacing w:before="40" w:after="120" w:line="240" w:lineRule="auto"/>
              <w:ind w:right="113"/>
              <w:rPr>
                <w:rFonts w:eastAsia="Calibri"/>
              </w:rPr>
            </w:pPr>
            <w:r>
              <w:rPr>
                <w:lang w:val="fr-FR"/>
              </w:rPr>
              <w:t>Accélération latérale</w:t>
            </w:r>
          </w:p>
          <w:p w14:paraId="5FA1C007" w14:textId="77777777" w:rsidR="006E665D" w:rsidRPr="00127264" w:rsidRDefault="006E665D" w:rsidP="0095794F">
            <w:pPr>
              <w:spacing w:before="40" w:after="120" w:line="240" w:lineRule="auto"/>
              <w:ind w:right="113"/>
              <w:rPr>
                <w:rFonts w:eastAsia="Calibri"/>
              </w:rPr>
            </w:pPr>
            <w:r>
              <w:rPr>
                <w:lang w:val="fr-FR"/>
              </w:rPr>
              <w:t>(après un accident)</w:t>
            </w:r>
          </w:p>
        </w:tc>
        <w:tc>
          <w:tcPr>
            <w:tcW w:w="1273" w:type="dxa"/>
            <w:tcBorders>
              <w:top w:val="single" w:sz="4" w:space="0" w:color="auto"/>
              <w:left w:val="nil"/>
              <w:bottom w:val="single" w:sz="4" w:space="0" w:color="auto"/>
              <w:right w:val="nil"/>
            </w:tcBorders>
            <w:hideMark/>
          </w:tcPr>
          <w:p w14:paraId="5B50C6C0" w14:textId="77777777" w:rsidR="006E665D" w:rsidRPr="005166E7" w:rsidRDefault="006E665D" w:rsidP="0095794F">
            <w:pPr>
              <w:spacing w:before="40" w:after="120" w:line="240" w:lineRule="auto"/>
              <w:ind w:right="113"/>
              <w:rPr>
                <w:rFonts w:eastAsia="Calibri"/>
              </w:rPr>
            </w:pPr>
            <w:r>
              <w:rPr>
                <w:lang w:val="fr-FR"/>
              </w:rPr>
              <w:t xml:space="preserve">Si l’élément est enregistré </w:t>
            </w:r>
          </w:p>
        </w:tc>
        <w:tc>
          <w:tcPr>
            <w:tcW w:w="1273" w:type="dxa"/>
            <w:tcBorders>
              <w:top w:val="single" w:sz="4" w:space="0" w:color="auto"/>
              <w:left w:val="nil"/>
              <w:bottom w:val="single" w:sz="4" w:space="0" w:color="auto"/>
              <w:right w:val="nil"/>
            </w:tcBorders>
            <w:shd w:val="clear" w:color="auto" w:fill="FFFFFF"/>
            <w:hideMark/>
          </w:tcPr>
          <w:p w14:paraId="44E59768" w14:textId="77777777" w:rsidR="006E665D" w:rsidRPr="00127264" w:rsidRDefault="006E665D" w:rsidP="0095794F">
            <w:pPr>
              <w:spacing w:before="40" w:after="120" w:line="240" w:lineRule="auto"/>
              <w:ind w:right="113"/>
              <w:rPr>
                <w:rFonts w:eastAsia="Calibri"/>
              </w:rPr>
            </w:pPr>
            <w:r>
              <w:rPr>
                <w:lang w:val="fr-FR"/>
              </w:rPr>
              <w:t>De 0 à 250 ms ou de 0 au moment de fin de l’événement plus 30 ms, selon le plus court de ces intervalles</w:t>
            </w:r>
          </w:p>
        </w:tc>
        <w:tc>
          <w:tcPr>
            <w:tcW w:w="1091" w:type="dxa"/>
            <w:tcBorders>
              <w:top w:val="single" w:sz="4" w:space="0" w:color="auto"/>
              <w:left w:val="nil"/>
              <w:bottom w:val="single" w:sz="4" w:space="0" w:color="auto"/>
              <w:right w:val="nil"/>
            </w:tcBorders>
            <w:shd w:val="clear" w:color="auto" w:fill="FFFFFF"/>
            <w:hideMark/>
          </w:tcPr>
          <w:p w14:paraId="36EE3A96" w14:textId="77777777" w:rsidR="006E665D" w:rsidRPr="005166E7" w:rsidRDefault="006E665D" w:rsidP="0095794F">
            <w:pPr>
              <w:spacing w:before="40" w:after="120" w:line="240" w:lineRule="auto"/>
              <w:ind w:right="113"/>
              <w:rPr>
                <w:rFonts w:eastAsia="Calibri"/>
              </w:rPr>
            </w:pPr>
            <w:r>
              <w:rPr>
                <w:lang w:val="fr-FR"/>
              </w:rPr>
              <w:t>500</w:t>
            </w:r>
          </w:p>
        </w:tc>
        <w:tc>
          <w:tcPr>
            <w:tcW w:w="1455" w:type="dxa"/>
            <w:tcBorders>
              <w:top w:val="single" w:sz="4" w:space="0" w:color="auto"/>
              <w:left w:val="nil"/>
              <w:bottom w:val="single" w:sz="4" w:space="0" w:color="auto"/>
              <w:right w:val="nil"/>
            </w:tcBorders>
            <w:shd w:val="clear" w:color="auto" w:fill="FFFFFF"/>
            <w:hideMark/>
          </w:tcPr>
          <w:p w14:paraId="6C4A631B" w14:textId="77777777" w:rsidR="006E665D" w:rsidRPr="005166E7" w:rsidRDefault="006E665D" w:rsidP="0095794F">
            <w:pPr>
              <w:spacing w:before="40" w:after="120" w:line="240" w:lineRule="auto"/>
              <w:ind w:right="113"/>
              <w:rPr>
                <w:rFonts w:eastAsia="Calibri"/>
              </w:rPr>
            </w:pPr>
            <w:r>
              <w:rPr>
                <w:lang w:val="fr-FR"/>
              </w:rPr>
              <w:t>De -50 à +50 g</w:t>
            </w:r>
          </w:p>
        </w:tc>
        <w:tc>
          <w:tcPr>
            <w:tcW w:w="1000" w:type="dxa"/>
            <w:tcBorders>
              <w:top w:val="single" w:sz="4" w:space="0" w:color="auto"/>
              <w:left w:val="nil"/>
              <w:bottom w:val="single" w:sz="4" w:space="0" w:color="auto"/>
              <w:right w:val="nil"/>
            </w:tcBorders>
            <w:shd w:val="clear" w:color="auto" w:fill="FFFFFF"/>
            <w:hideMark/>
          </w:tcPr>
          <w:p w14:paraId="7CC9021C" w14:textId="77777777" w:rsidR="006E665D" w:rsidRPr="005166E7" w:rsidRDefault="006E665D" w:rsidP="0095794F">
            <w:pPr>
              <w:spacing w:before="40" w:after="120" w:line="240" w:lineRule="auto"/>
              <w:ind w:right="113"/>
              <w:rPr>
                <w:rFonts w:eastAsia="Calibri"/>
                <w:spacing w:val="-2"/>
              </w:rPr>
            </w:pPr>
            <w:r>
              <w:rPr>
                <w:lang w:val="fr-FR"/>
              </w:rPr>
              <w:t>+/- 10%</w:t>
            </w:r>
            <w:r w:rsidRPr="005166E7">
              <w:rPr>
                <w:rStyle w:val="Appelnotedebasdep"/>
                <w:rFonts w:eastAsia="Calibri"/>
                <w:b/>
                <w:bCs/>
                <w:spacing w:val="-2"/>
                <w:lang w:val="fr-FR"/>
              </w:rPr>
              <w:footnoteReference w:customMarkFollows="1" w:id="3"/>
              <w:t>10</w:t>
            </w:r>
          </w:p>
        </w:tc>
        <w:tc>
          <w:tcPr>
            <w:tcW w:w="767" w:type="dxa"/>
            <w:tcBorders>
              <w:top w:val="single" w:sz="4" w:space="0" w:color="auto"/>
              <w:left w:val="nil"/>
              <w:bottom w:val="single" w:sz="4" w:space="0" w:color="auto"/>
              <w:right w:val="nil"/>
            </w:tcBorders>
            <w:shd w:val="clear" w:color="auto" w:fill="FFFFFF"/>
            <w:hideMark/>
          </w:tcPr>
          <w:p w14:paraId="4662DD63" w14:textId="77777777" w:rsidR="006E665D" w:rsidRPr="005166E7" w:rsidRDefault="006E665D" w:rsidP="0095794F">
            <w:pPr>
              <w:spacing w:before="40" w:after="120" w:line="240" w:lineRule="auto"/>
              <w:ind w:right="113"/>
              <w:rPr>
                <w:rFonts w:eastAsia="Calibri"/>
              </w:rPr>
            </w:pPr>
            <w:r>
              <w:rPr>
                <w:lang w:val="fr-FR"/>
              </w:rPr>
              <w:t>1 g</w:t>
            </w:r>
          </w:p>
        </w:tc>
        <w:tc>
          <w:tcPr>
            <w:tcW w:w="1415" w:type="dxa"/>
            <w:tcBorders>
              <w:top w:val="single" w:sz="4" w:space="0" w:color="auto"/>
              <w:left w:val="nil"/>
              <w:bottom w:val="single" w:sz="4" w:space="0" w:color="auto"/>
              <w:right w:val="nil"/>
            </w:tcBorders>
            <w:shd w:val="clear" w:color="auto" w:fill="FFFFFF"/>
          </w:tcPr>
          <w:p w14:paraId="59D40A7C" w14:textId="77777777" w:rsidR="006E665D" w:rsidRPr="005166E7" w:rsidRDefault="006E665D" w:rsidP="0095794F">
            <w:pPr>
              <w:spacing w:before="40" w:after="120" w:line="240" w:lineRule="auto"/>
              <w:ind w:right="113"/>
              <w:rPr>
                <w:rFonts w:eastAsia="Calibri"/>
              </w:rPr>
            </w:pPr>
            <w:r>
              <w:rPr>
                <w:lang w:val="fr-FR"/>
              </w:rPr>
              <w:t>Collision</w:t>
            </w:r>
          </w:p>
          <w:p w14:paraId="2C8E9AD0" w14:textId="3BBC2712" w:rsidR="006E665D" w:rsidRPr="005166E7" w:rsidRDefault="006E665D" w:rsidP="00E91DAA">
            <w:pPr>
              <w:spacing w:before="40" w:after="120" w:line="240" w:lineRule="auto"/>
              <w:ind w:right="113"/>
              <w:rPr>
                <w:rFonts w:eastAsia="SimSun"/>
                <w:lang w:eastAsia="zh-CN"/>
              </w:rPr>
            </w:pPr>
            <w:r>
              <w:rPr>
                <w:lang w:val="fr-FR"/>
              </w:rPr>
              <w:t>Retournement</w:t>
            </w:r>
            <w:r w:rsidRPr="005166E7">
              <w:rPr>
                <w:rStyle w:val="Appelnotedebasdep"/>
                <w:rFonts w:eastAsia="Calibri"/>
                <w:b/>
                <w:bCs/>
                <w:lang w:val="fr-FR"/>
              </w:rPr>
              <w:footnoteReference w:customMarkFollows="1" w:id="4"/>
              <w:t>11</w:t>
            </w:r>
          </w:p>
        </w:tc>
      </w:tr>
      <w:tr w:rsidR="006E665D" w:rsidRPr="005166E7" w14:paraId="10F4C7E4" w14:textId="77777777" w:rsidTr="005C30CC">
        <w:trPr>
          <w:cantSplit/>
        </w:trPr>
        <w:tc>
          <w:tcPr>
            <w:tcW w:w="1363" w:type="dxa"/>
            <w:tcBorders>
              <w:top w:val="single" w:sz="4" w:space="0" w:color="auto"/>
              <w:left w:val="nil"/>
              <w:bottom w:val="single" w:sz="4" w:space="0" w:color="auto"/>
              <w:right w:val="nil"/>
            </w:tcBorders>
            <w:hideMark/>
          </w:tcPr>
          <w:p w14:paraId="2C83DBF6" w14:textId="77777777" w:rsidR="006E665D" w:rsidRPr="00127264" w:rsidRDefault="006E665D" w:rsidP="0095794F">
            <w:pPr>
              <w:spacing w:before="40" w:after="120" w:line="240" w:lineRule="auto"/>
              <w:ind w:right="113"/>
              <w:rPr>
                <w:rFonts w:eastAsia="Calibri"/>
              </w:rPr>
            </w:pPr>
            <w:r>
              <w:rPr>
                <w:lang w:val="fr-FR"/>
              </w:rPr>
              <w:lastRenderedPageBreak/>
              <w:t>Accélération longitudinale</w:t>
            </w:r>
          </w:p>
          <w:p w14:paraId="599A41B6" w14:textId="77777777" w:rsidR="006E665D" w:rsidRPr="00127264" w:rsidRDefault="006E665D" w:rsidP="0095794F">
            <w:pPr>
              <w:spacing w:before="40" w:after="120" w:line="240" w:lineRule="auto"/>
              <w:ind w:right="113"/>
              <w:rPr>
                <w:rFonts w:eastAsia="Calibri"/>
              </w:rPr>
            </w:pPr>
            <w:r>
              <w:rPr>
                <w:lang w:val="fr-FR"/>
              </w:rPr>
              <w:t>(après un accident)</w:t>
            </w:r>
          </w:p>
        </w:tc>
        <w:tc>
          <w:tcPr>
            <w:tcW w:w="1273" w:type="dxa"/>
            <w:tcBorders>
              <w:top w:val="single" w:sz="4" w:space="0" w:color="auto"/>
              <w:left w:val="nil"/>
              <w:bottom w:val="single" w:sz="4" w:space="0" w:color="auto"/>
              <w:right w:val="nil"/>
            </w:tcBorders>
            <w:hideMark/>
          </w:tcPr>
          <w:p w14:paraId="0DD7B8B0" w14:textId="77777777" w:rsidR="006E665D" w:rsidRPr="005166E7" w:rsidRDefault="006E665D" w:rsidP="0095794F">
            <w:pPr>
              <w:spacing w:before="40" w:after="120" w:line="240" w:lineRule="auto"/>
              <w:ind w:right="113"/>
              <w:rPr>
                <w:rFonts w:eastAsia="Calibri"/>
              </w:rPr>
            </w:pPr>
            <w:r>
              <w:rPr>
                <w:lang w:val="fr-FR"/>
              </w:rPr>
              <w:t>Si l’élément est enregistré</w:t>
            </w:r>
          </w:p>
        </w:tc>
        <w:tc>
          <w:tcPr>
            <w:tcW w:w="1273" w:type="dxa"/>
            <w:tcBorders>
              <w:top w:val="single" w:sz="4" w:space="0" w:color="auto"/>
              <w:left w:val="nil"/>
              <w:bottom w:val="single" w:sz="4" w:space="0" w:color="auto"/>
              <w:right w:val="nil"/>
            </w:tcBorders>
            <w:shd w:val="clear" w:color="auto" w:fill="FFFFFF"/>
            <w:hideMark/>
          </w:tcPr>
          <w:p w14:paraId="27D4FC0D" w14:textId="77777777" w:rsidR="006E665D" w:rsidRPr="00127264" w:rsidRDefault="006E665D" w:rsidP="0095794F">
            <w:pPr>
              <w:spacing w:before="40" w:after="120" w:line="240" w:lineRule="auto"/>
              <w:ind w:right="113"/>
              <w:rPr>
                <w:rFonts w:eastAsia="Calibri"/>
              </w:rPr>
            </w:pPr>
            <w:r>
              <w:rPr>
                <w:lang w:val="fr-FR"/>
              </w:rPr>
              <w:t>De 0 à 250 ms ou de 0 au moment de fin de l’événement plus 30 ms, selon le plus court de ces intervalles</w:t>
            </w:r>
          </w:p>
        </w:tc>
        <w:tc>
          <w:tcPr>
            <w:tcW w:w="1091" w:type="dxa"/>
            <w:tcBorders>
              <w:top w:val="single" w:sz="4" w:space="0" w:color="auto"/>
              <w:left w:val="nil"/>
              <w:bottom w:val="single" w:sz="4" w:space="0" w:color="auto"/>
              <w:right w:val="nil"/>
            </w:tcBorders>
            <w:shd w:val="clear" w:color="auto" w:fill="FFFFFF"/>
            <w:hideMark/>
          </w:tcPr>
          <w:p w14:paraId="30D63678" w14:textId="77777777" w:rsidR="006E665D" w:rsidRPr="005166E7" w:rsidRDefault="006E665D" w:rsidP="0095794F">
            <w:pPr>
              <w:spacing w:before="40" w:after="120" w:line="240" w:lineRule="auto"/>
              <w:ind w:right="113"/>
              <w:rPr>
                <w:rFonts w:eastAsia="Calibri"/>
              </w:rPr>
            </w:pPr>
            <w:r>
              <w:rPr>
                <w:lang w:val="fr-FR"/>
              </w:rPr>
              <w:t>500</w:t>
            </w:r>
          </w:p>
        </w:tc>
        <w:tc>
          <w:tcPr>
            <w:tcW w:w="1455" w:type="dxa"/>
            <w:tcBorders>
              <w:top w:val="single" w:sz="4" w:space="0" w:color="auto"/>
              <w:left w:val="nil"/>
              <w:bottom w:val="single" w:sz="4" w:space="0" w:color="auto"/>
              <w:right w:val="nil"/>
            </w:tcBorders>
            <w:shd w:val="clear" w:color="auto" w:fill="FFFFFF"/>
            <w:hideMark/>
          </w:tcPr>
          <w:p w14:paraId="24F478D4" w14:textId="77777777" w:rsidR="006E665D" w:rsidRPr="005166E7" w:rsidRDefault="006E665D" w:rsidP="0095794F">
            <w:pPr>
              <w:spacing w:before="40" w:after="120" w:line="240" w:lineRule="auto"/>
              <w:ind w:right="113"/>
              <w:rPr>
                <w:rFonts w:eastAsia="Calibri"/>
              </w:rPr>
            </w:pPr>
            <w:r>
              <w:rPr>
                <w:lang w:val="fr-FR"/>
              </w:rPr>
              <w:t>De -50 à +50 g</w:t>
            </w:r>
          </w:p>
        </w:tc>
        <w:tc>
          <w:tcPr>
            <w:tcW w:w="1000" w:type="dxa"/>
            <w:tcBorders>
              <w:top w:val="single" w:sz="4" w:space="0" w:color="auto"/>
              <w:left w:val="nil"/>
              <w:bottom w:val="single" w:sz="4" w:space="0" w:color="auto"/>
              <w:right w:val="nil"/>
            </w:tcBorders>
            <w:shd w:val="clear" w:color="auto" w:fill="FFFFFF"/>
            <w:hideMark/>
          </w:tcPr>
          <w:p w14:paraId="51CC31AF" w14:textId="77777777" w:rsidR="006E665D" w:rsidRPr="005166E7" w:rsidRDefault="006E665D" w:rsidP="0095794F">
            <w:pPr>
              <w:spacing w:before="40" w:after="120" w:line="240" w:lineRule="auto"/>
              <w:ind w:right="113"/>
              <w:rPr>
                <w:rFonts w:eastAsia="Calibri"/>
                <w:spacing w:val="-2"/>
              </w:rPr>
            </w:pPr>
            <w:r>
              <w:rPr>
                <w:lang w:val="fr-FR"/>
              </w:rPr>
              <w:t>+/- 10%</w:t>
            </w:r>
            <w:r w:rsidRPr="005C30CC">
              <w:rPr>
                <w:b/>
                <w:bCs/>
                <w:sz w:val="18"/>
                <w:szCs w:val="18"/>
                <w:vertAlign w:val="superscript"/>
                <w:lang w:val="fr-FR"/>
              </w:rPr>
              <w:t>10</w:t>
            </w:r>
            <w:r>
              <w:rPr>
                <w:lang w:val="fr-FR"/>
              </w:rPr>
              <w:t xml:space="preserve"> </w:t>
            </w:r>
          </w:p>
        </w:tc>
        <w:tc>
          <w:tcPr>
            <w:tcW w:w="767" w:type="dxa"/>
            <w:tcBorders>
              <w:top w:val="single" w:sz="4" w:space="0" w:color="auto"/>
              <w:left w:val="nil"/>
              <w:bottom w:val="single" w:sz="4" w:space="0" w:color="auto"/>
              <w:right w:val="nil"/>
            </w:tcBorders>
            <w:shd w:val="clear" w:color="auto" w:fill="FFFFFF"/>
            <w:hideMark/>
          </w:tcPr>
          <w:p w14:paraId="219AEA28" w14:textId="77777777" w:rsidR="006E665D" w:rsidRPr="005166E7" w:rsidRDefault="006E665D" w:rsidP="0095794F">
            <w:pPr>
              <w:spacing w:before="40" w:after="120" w:line="240" w:lineRule="auto"/>
              <w:ind w:right="113"/>
              <w:rPr>
                <w:rFonts w:eastAsia="Calibri"/>
              </w:rPr>
            </w:pPr>
            <w:r>
              <w:rPr>
                <w:lang w:val="fr-FR"/>
              </w:rPr>
              <w:t xml:space="preserve">1 g1 </w:t>
            </w:r>
          </w:p>
        </w:tc>
        <w:tc>
          <w:tcPr>
            <w:tcW w:w="1415" w:type="dxa"/>
            <w:tcBorders>
              <w:top w:val="single" w:sz="4" w:space="0" w:color="auto"/>
              <w:left w:val="nil"/>
              <w:bottom w:val="single" w:sz="4" w:space="0" w:color="auto"/>
              <w:right w:val="nil"/>
            </w:tcBorders>
            <w:shd w:val="clear" w:color="auto" w:fill="FFFFFF"/>
            <w:hideMark/>
          </w:tcPr>
          <w:p w14:paraId="4F15C35E" w14:textId="77777777" w:rsidR="006E665D" w:rsidRPr="005166E7" w:rsidRDefault="006E665D" w:rsidP="0095794F">
            <w:pPr>
              <w:spacing w:before="40" w:after="120" w:line="240" w:lineRule="auto"/>
              <w:ind w:right="113"/>
              <w:rPr>
                <w:rFonts w:eastAsia="SimSun"/>
              </w:rPr>
            </w:pPr>
            <w:r>
              <w:rPr>
                <w:lang w:val="fr-FR"/>
              </w:rPr>
              <w:t>Collision</w:t>
            </w:r>
          </w:p>
        </w:tc>
      </w:tr>
    </w:tbl>
    <w:p w14:paraId="19A52808" w14:textId="77777777" w:rsidR="006E665D" w:rsidRPr="000C0CCE" w:rsidRDefault="006E665D" w:rsidP="005C30CC">
      <w:pPr>
        <w:spacing w:before="120" w:line="240" w:lineRule="auto"/>
      </w:pPr>
      <w:r w:rsidRPr="000C0CCE">
        <w:rPr>
          <w:lang w:val="fr-FR"/>
        </w:rPr>
        <w:t>... ».</w:t>
      </w:r>
    </w:p>
    <w:p w14:paraId="6FFD8934" w14:textId="77777777" w:rsidR="006E665D" w:rsidRPr="000C0CCE" w:rsidRDefault="006E665D" w:rsidP="000C0CCE">
      <w:pPr>
        <w:pStyle w:val="SingleTxtG"/>
      </w:pPr>
      <w:r w:rsidRPr="005C30CC">
        <w:rPr>
          <w:i/>
          <w:iCs/>
          <w:lang w:val="fr-FR"/>
        </w:rPr>
        <w:t>Les notes de bas de page 10 à 15</w:t>
      </w:r>
      <w:r w:rsidRPr="000C0CCE">
        <w:rPr>
          <w:lang w:val="fr-FR"/>
        </w:rPr>
        <w:t xml:space="preserve"> deviennent les notes de bas de page 12 à 17.</w:t>
      </w:r>
    </w:p>
    <w:p w14:paraId="6C8588F9" w14:textId="77777777" w:rsidR="006E665D" w:rsidRPr="000C0CCE" w:rsidRDefault="006E665D" w:rsidP="000C0CCE">
      <w:pPr>
        <w:pStyle w:val="HChG"/>
      </w:pPr>
      <w:r w:rsidRPr="000C0CCE">
        <w:rPr>
          <w:lang w:val="fr-FR"/>
        </w:rPr>
        <w:tab/>
        <w:t>II.</w:t>
      </w:r>
      <w:r w:rsidRPr="000C0CCE">
        <w:rPr>
          <w:lang w:val="fr-FR"/>
        </w:rPr>
        <w:tab/>
        <w:t>Justification</w:t>
      </w:r>
    </w:p>
    <w:p w14:paraId="59E4A6AD" w14:textId="5ADC9E00" w:rsidR="006E665D" w:rsidRPr="000C0CCE" w:rsidRDefault="006E665D" w:rsidP="000C0CCE">
      <w:pPr>
        <w:pStyle w:val="SingleTxtG"/>
      </w:pPr>
      <w:r w:rsidRPr="000C0CCE">
        <w:t>1.</w:t>
      </w:r>
      <w:r w:rsidRPr="000C0CCE">
        <w:tab/>
      </w:r>
      <w:r w:rsidRPr="000C0CCE">
        <w:rPr>
          <w:lang w:val="fr-FR"/>
        </w:rPr>
        <w:t>Il existe plusieurs façons d’appliquer une marge de tolérance à la précision des données d’accélération, ce qui peut conduire les autorités d’homologation de type à des interprétations différentes. Pour remédier à cela, le groupe de travail informel propose que la marge de précision soit « une bande dont la largeur correspond à +/- 10% de l’amplitude maximale de l’accéléromètre utilisé par le module de gestion électronique contenant la fonction EDR</w:t>
      </w:r>
      <w:r w:rsidR="005C30CC">
        <w:rPr>
          <w:lang w:val="fr-FR"/>
        </w:rPr>
        <w:t> »</w:t>
      </w:r>
      <w:r w:rsidRPr="000C0CCE">
        <w:rPr>
          <w:lang w:val="fr-FR"/>
        </w:rPr>
        <w:t>.</w:t>
      </w:r>
    </w:p>
    <w:p w14:paraId="33DB1C2E" w14:textId="77777777" w:rsidR="006E665D" w:rsidRPr="000C0CCE" w:rsidRDefault="006E665D" w:rsidP="000C0CCE">
      <w:pPr>
        <w:pStyle w:val="SingleTxtG"/>
      </w:pPr>
      <w:r w:rsidRPr="000C0CCE">
        <w:t>2.</w:t>
      </w:r>
      <w:r w:rsidRPr="000C0CCE">
        <w:tab/>
      </w:r>
      <w:r w:rsidRPr="000C0CCE">
        <w:rPr>
          <w:lang w:val="fr-FR"/>
        </w:rPr>
        <w:t>En outre, étant donné qu’il est difficile de vérifier la précision du capteur d’accélération dans les essais de choc, le groupe de travail informel a décidé d’adopter un essai de composant. Comme il peut exister des différences de fréquences d’échantillonnage entre l’EDR et le banc d’essai, un algorithme de décalage de temps a également été spécifié.</w:t>
      </w:r>
    </w:p>
    <w:p w14:paraId="77D4E8AC" w14:textId="77777777" w:rsidR="006E665D" w:rsidRPr="000C0CCE" w:rsidRDefault="006E665D" w:rsidP="000C0CCE">
      <w:pPr>
        <w:pStyle w:val="SingleTxtG"/>
      </w:pPr>
      <w:r w:rsidRPr="000C0CCE">
        <w:t>3.</w:t>
      </w:r>
      <w:r w:rsidRPr="000C0CCE">
        <w:tab/>
      </w:r>
      <w:r w:rsidRPr="000C0CCE">
        <w:rPr>
          <w:lang w:val="fr-FR"/>
        </w:rPr>
        <w:t>Étant donné que l’accélération latérale en cas de retournement n’est pas enregistrée à l’aide des mêmes capteurs que ceux utilisés pour le déploiement des coussins gonflables latéraux, les prescriptions en matière de format ne sont pas appropriées et une note de bas de page a été ajoutée pour préciser que le format pour l’accélération latérale en cas de retournement est à la discrétion du fabricant.</w:t>
      </w:r>
    </w:p>
    <w:p w14:paraId="3DEF1821" w14:textId="5CA63E44" w:rsidR="006E665D" w:rsidRPr="000C0CCE" w:rsidRDefault="006E665D" w:rsidP="000C0CCE">
      <w:pPr>
        <w:pStyle w:val="SingleTxtG"/>
      </w:pPr>
      <w:r w:rsidRPr="000C0CCE">
        <w:t>4.</w:t>
      </w:r>
      <w:r w:rsidRPr="000C0CCE">
        <w:tab/>
      </w:r>
      <w:r w:rsidRPr="000C0CCE">
        <w:rPr>
          <w:lang w:val="fr-FR"/>
        </w:rPr>
        <w:t>Pour plus de clarté, une illustration de la marge de tolérance pour les données concernant l’accélération latérale et longitudinale a été ajoutée dans une annexe.</w:t>
      </w:r>
    </w:p>
    <w:p w14:paraId="1B38B326" w14:textId="63A676E6" w:rsidR="00F9573C" w:rsidRDefault="006E665D" w:rsidP="000C0CCE">
      <w:pPr>
        <w:spacing w:before="240" w:line="960" w:lineRule="exact"/>
        <w:jc w:val="center"/>
      </w:pPr>
      <w:r w:rsidRPr="00127264">
        <w:rPr>
          <w:u w:val="single"/>
        </w:rPr>
        <w:tab/>
      </w:r>
      <w:r w:rsidRPr="00127264">
        <w:rPr>
          <w:u w:val="single"/>
        </w:rPr>
        <w:tab/>
      </w:r>
      <w:r w:rsidRPr="00127264">
        <w:rPr>
          <w:u w:val="single"/>
        </w:rPr>
        <w:tab/>
      </w:r>
    </w:p>
    <w:sectPr w:rsidR="00F9573C" w:rsidSect="006E665D">
      <w:headerReference w:type="even" r:id="rId10"/>
      <w:headerReference w:type="default" r:id="rId11"/>
      <w:footerReference w:type="even" r:id="rId12"/>
      <w:footerReference w:type="default" r:id="rId13"/>
      <w:footerReference w:type="first" r:id="rId14"/>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4A172" w14:textId="77777777" w:rsidR="008D74CF" w:rsidRDefault="008D74CF" w:rsidP="00F95C08">
      <w:pPr>
        <w:spacing w:line="240" w:lineRule="auto"/>
      </w:pPr>
    </w:p>
  </w:endnote>
  <w:endnote w:type="continuationSeparator" w:id="0">
    <w:p w14:paraId="7A8F0A56" w14:textId="77777777" w:rsidR="008D74CF" w:rsidRPr="00AC3823" w:rsidRDefault="008D74CF" w:rsidP="00AC3823">
      <w:pPr>
        <w:pStyle w:val="Pieddepage"/>
      </w:pPr>
    </w:p>
  </w:endnote>
  <w:endnote w:type="continuationNotice" w:id="1">
    <w:p w14:paraId="1594DBFD" w14:textId="77777777" w:rsidR="008D74CF" w:rsidRDefault="008D74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100FF" w14:textId="3291317E" w:rsidR="006E665D" w:rsidRPr="006E665D" w:rsidRDefault="006E665D" w:rsidP="006E665D">
    <w:pPr>
      <w:pStyle w:val="Pieddepage"/>
      <w:tabs>
        <w:tab w:val="right" w:pos="9638"/>
      </w:tabs>
    </w:pPr>
    <w:r w:rsidRPr="006E665D">
      <w:rPr>
        <w:b/>
        <w:sz w:val="18"/>
      </w:rPr>
      <w:fldChar w:fldCharType="begin"/>
    </w:r>
    <w:r w:rsidRPr="006E665D">
      <w:rPr>
        <w:b/>
        <w:sz w:val="18"/>
      </w:rPr>
      <w:instrText xml:space="preserve"> PAGE  \* MERGEFORMAT </w:instrText>
    </w:r>
    <w:r w:rsidRPr="006E665D">
      <w:rPr>
        <w:b/>
        <w:sz w:val="18"/>
      </w:rPr>
      <w:fldChar w:fldCharType="separate"/>
    </w:r>
    <w:r w:rsidRPr="006E665D">
      <w:rPr>
        <w:b/>
        <w:noProof/>
        <w:sz w:val="18"/>
      </w:rPr>
      <w:t>2</w:t>
    </w:r>
    <w:r w:rsidRPr="006E665D">
      <w:rPr>
        <w:b/>
        <w:sz w:val="18"/>
      </w:rPr>
      <w:fldChar w:fldCharType="end"/>
    </w:r>
    <w:r>
      <w:rPr>
        <w:b/>
        <w:sz w:val="18"/>
      </w:rPr>
      <w:tab/>
    </w:r>
    <w:r>
      <w:t>GE.23-00455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6F4A" w14:textId="069A45D7" w:rsidR="006E665D" w:rsidRPr="006E665D" w:rsidRDefault="006E665D" w:rsidP="006E665D">
    <w:pPr>
      <w:pStyle w:val="Pieddepage"/>
      <w:tabs>
        <w:tab w:val="right" w:pos="9638"/>
      </w:tabs>
      <w:rPr>
        <w:b/>
        <w:sz w:val="18"/>
      </w:rPr>
    </w:pPr>
    <w:r>
      <w:t>GE.23-00455</w:t>
    </w:r>
    <w:r>
      <w:tab/>
    </w:r>
    <w:r w:rsidRPr="006E665D">
      <w:rPr>
        <w:b/>
        <w:sz w:val="18"/>
      </w:rPr>
      <w:fldChar w:fldCharType="begin"/>
    </w:r>
    <w:r w:rsidRPr="006E665D">
      <w:rPr>
        <w:b/>
        <w:sz w:val="18"/>
      </w:rPr>
      <w:instrText xml:space="preserve"> PAGE  \* MERGEFORMAT </w:instrText>
    </w:r>
    <w:r w:rsidRPr="006E665D">
      <w:rPr>
        <w:b/>
        <w:sz w:val="18"/>
      </w:rPr>
      <w:fldChar w:fldCharType="separate"/>
    </w:r>
    <w:r w:rsidRPr="006E665D">
      <w:rPr>
        <w:b/>
        <w:noProof/>
        <w:sz w:val="18"/>
      </w:rPr>
      <w:t>3</w:t>
    </w:r>
    <w:r w:rsidRPr="006E665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AA4BA" w14:textId="69704EAA" w:rsidR="007F20FA" w:rsidRPr="006E665D" w:rsidRDefault="006E665D" w:rsidP="006E665D">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2DA571B7" wp14:editId="79367514">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23-00455  (F)</w:t>
    </w:r>
    <w:r>
      <w:rPr>
        <w:noProof/>
        <w:sz w:val="20"/>
      </w:rPr>
      <w:drawing>
        <wp:anchor distT="0" distB="0" distL="114300" distR="114300" simplePos="0" relativeHeight="251660288" behindDoc="0" locked="0" layoutInCell="1" allowOverlap="1" wp14:anchorId="54CAFEA1" wp14:editId="483D56C8">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060223    070223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F0766" w14:textId="77777777" w:rsidR="008D74CF" w:rsidRPr="00AC3823" w:rsidRDefault="008D74CF" w:rsidP="00AC3823">
      <w:pPr>
        <w:pStyle w:val="Pieddepage"/>
        <w:tabs>
          <w:tab w:val="right" w:pos="2155"/>
        </w:tabs>
        <w:spacing w:after="80" w:line="240" w:lineRule="atLeast"/>
        <w:ind w:left="680"/>
        <w:rPr>
          <w:u w:val="single"/>
        </w:rPr>
      </w:pPr>
      <w:r>
        <w:rPr>
          <w:u w:val="single"/>
        </w:rPr>
        <w:tab/>
      </w:r>
    </w:p>
  </w:footnote>
  <w:footnote w:type="continuationSeparator" w:id="0">
    <w:p w14:paraId="17F4B558" w14:textId="77777777" w:rsidR="008D74CF" w:rsidRPr="00AC3823" w:rsidRDefault="008D74CF" w:rsidP="00AC3823">
      <w:pPr>
        <w:pStyle w:val="Pieddepage"/>
        <w:tabs>
          <w:tab w:val="right" w:pos="2155"/>
        </w:tabs>
        <w:spacing w:after="80" w:line="240" w:lineRule="atLeast"/>
        <w:ind w:left="680"/>
        <w:rPr>
          <w:u w:val="single"/>
        </w:rPr>
      </w:pPr>
      <w:r>
        <w:rPr>
          <w:u w:val="single"/>
        </w:rPr>
        <w:tab/>
      </w:r>
    </w:p>
  </w:footnote>
  <w:footnote w:type="continuationNotice" w:id="1">
    <w:p w14:paraId="4FD7D121" w14:textId="77777777" w:rsidR="008D74CF" w:rsidRPr="00AC3823" w:rsidRDefault="008D74CF">
      <w:pPr>
        <w:spacing w:line="240" w:lineRule="auto"/>
        <w:rPr>
          <w:sz w:val="2"/>
          <w:szCs w:val="2"/>
        </w:rPr>
      </w:pPr>
    </w:p>
  </w:footnote>
  <w:footnote w:id="2">
    <w:p w14:paraId="32274DCD" w14:textId="3163AB1C" w:rsidR="006E665D" w:rsidRPr="00127264" w:rsidRDefault="006E665D" w:rsidP="00E91DAA">
      <w:pPr>
        <w:pStyle w:val="Notedebasdepage"/>
      </w:pPr>
      <w:r>
        <w:rPr>
          <w:lang w:val="fr-FR"/>
        </w:rPr>
        <w:tab/>
      </w:r>
      <w:r w:rsidRPr="006E665D">
        <w:rPr>
          <w:sz w:val="20"/>
          <w:lang w:val="fr-FR"/>
        </w:rPr>
        <w:t>*</w:t>
      </w:r>
      <w:r>
        <w:rPr>
          <w:lang w:val="fr-FR"/>
        </w:rPr>
        <w:tab/>
        <w:t>Conformément au programme de travail du Comité des transports intérieurs pour 2023 tel qu</w:t>
      </w:r>
      <w:r w:rsidR="005C30CC">
        <w:rPr>
          <w:lang w:val="fr-FR"/>
        </w:rPr>
        <w:t>’</w:t>
      </w:r>
      <w:r>
        <w:rPr>
          <w:lang w:val="fr-FR"/>
        </w:rPr>
        <w:t>il figure dans le projet de budget-programme pour 2023 (A/77/6 (Sect. 20), tableau 20.6), le Forum mondial a pour mission d</w:t>
      </w:r>
      <w:r w:rsidR="005C30CC">
        <w:rPr>
          <w:lang w:val="fr-FR"/>
        </w:rPr>
        <w:t>’</w:t>
      </w:r>
      <w:r>
        <w:rPr>
          <w:lang w:val="fr-FR"/>
        </w:rPr>
        <w:t>élaborer, d</w:t>
      </w:r>
      <w:r w:rsidR="005C30CC">
        <w:rPr>
          <w:lang w:val="fr-FR"/>
        </w:rPr>
        <w:t>’</w:t>
      </w:r>
      <w:r>
        <w:rPr>
          <w:lang w:val="fr-FR"/>
        </w:rPr>
        <w:t>harmoniser et de mettre à jour les Règlements ONU en vue d</w:t>
      </w:r>
      <w:r w:rsidR="005C30CC">
        <w:rPr>
          <w:lang w:val="fr-FR"/>
        </w:rPr>
        <w:t>’</w:t>
      </w:r>
      <w:r>
        <w:rPr>
          <w:lang w:val="fr-FR"/>
        </w:rPr>
        <w:t>améliorer les caractéristiques fonctionnelles des véhicules. Le présent document est soumis en vertu de ce mandat.</w:t>
      </w:r>
    </w:p>
  </w:footnote>
  <w:footnote w:id="3">
    <w:p w14:paraId="28E08E4F" w14:textId="6F3EA9CF" w:rsidR="006E665D" w:rsidRPr="00127264" w:rsidRDefault="006E665D" w:rsidP="006E665D">
      <w:pPr>
        <w:pStyle w:val="Notedebasdepage"/>
      </w:pPr>
      <w:r>
        <w:rPr>
          <w:lang w:val="fr-FR"/>
        </w:rPr>
        <w:tab/>
      </w:r>
      <w:r>
        <w:rPr>
          <w:b/>
          <w:bCs/>
          <w:vertAlign w:val="superscript"/>
          <w:lang w:val="fr-FR"/>
        </w:rPr>
        <w:t>10</w:t>
      </w:r>
      <w:r>
        <w:rPr>
          <w:lang w:val="fr-FR"/>
        </w:rPr>
        <w:t xml:space="preserve"> </w:t>
      </w:r>
      <w:r>
        <w:rPr>
          <w:lang w:val="fr-FR"/>
        </w:rPr>
        <w:tab/>
      </w:r>
      <w:r>
        <w:rPr>
          <w:b/>
          <w:bCs/>
          <w:lang w:val="fr-FR"/>
        </w:rPr>
        <w:t>+/- 10 % de l</w:t>
      </w:r>
      <w:r w:rsidR="005C30CC">
        <w:rPr>
          <w:b/>
          <w:bCs/>
          <w:lang w:val="fr-FR"/>
        </w:rPr>
        <w:t>’</w:t>
      </w:r>
      <w:r>
        <w:rPr>
          <w:b/>
          <w:bCs/>
          <w:lang w:val="fr-FR"/>
        </w:rPr>
        <w:t>amplitude maximale de l</w:t>
      </w:r>
      <w:r w:rsidR="005C30CC">
        <w:rPr>
          <w:b/>
          <w:bCs/>
          <w:lang w:val="fr-FR"/>
        </w:rPr>
        <w:t>’</w:t>
      </w:r>
      <w:r>
        <w:rPr>
          <w:b/>
          <w:bCs/>
          <w:lang w:val="fr-FR"/>
        </w:rPr>
        <w:t>accéléromètre utilisé dans le module de gestion électronique contenant la fonction EDR, comme spécifié au paragraphe 6.1.5.</w:t>
      </w:r>
      <w:bookmarkStart w:id="1" w:name="_Hlk121042371"/>
      <w:bookmarkEnd w:id="1"/>
    </w:p>
  </w:footnote>
  <w:footnote w:id="4">
    <w:p w14:paraId="49C04890" w14:textId="6948B743" w:rsidR="006E665D" w:rsidRPr="00127264" w:rsidRDefault="006E665D" w:rsidP="006E665D">
      <w:pPr>
        <w:pStyle w:val="Notedebasdepage"/>
      </w:pPr>
      <w:r>
        <w:rPr>
          <w:lang w:val="fr-FR"/>
        </w:rPr>
        <w:tab/>
      </w:r>
      <w:r>
        <w:rPr>
          <w:b/>
          <w:bCs/>
          <w:vertAlign w:val="superscript"/>
          <w:lang w:val="fr-FR"/>
        </w:rPr>
        <w:t>11</w:t>
      </w:r>
      <w:r>
        <w:rPr>
          <w:lang w:val="fr-FR"/>
        </w:rPr>
        <w:t xml:space="preserve"> </w:t>
      </w:r>
      <w:r>
        <w:rPr>
          <w:lang w:val="fr-FR"/>
        </w:rPr>
        <w:tab/>
      </w:r>
      <w:r>
        <w:rPr>
          <w:b/>
          <w:bCs/>
          <w:lang w:val="fr-FR"/>
        </w:rPr>
        <w:t>Le format pour l</w:t>
      </w:r>
      <w:r w:rsidR="005C30CC">
        <w:rPr>
          <w:b/>
          <w:bCs/>
          <w:lang w:val="fr-FR"/>
        </w:rPr>
        <w:t>’</w:t>
      </w:r>
      <w:r>
        <w:rPr>
          <w:b/>
          <w:bCs/>
          <w:lang w:val="fr-FR"/>
        </w:rPr>
        <w:t>accélération latérale enregistrée en cas de retournement est à la discrétion du fabricant.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3BDF" w14:textId="5228C0DD" w:rsidR="006E665D" w:rsidRPr="006E665D" w:rsidRDefault="006E665D">
    <w:pPr>
      <w:pStyle w:val="En-tte"/>
    </w:pPr>
    <w:fldSimple w:instr=" TITLE  \* MERGEFORMAT ">
      <w:r>
        <w:t>ECE/TRANS/WP.29/GRSG/2023/15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5F96" w14:textId="12625E8B" w:rsidR="006E665D" w:rsidRPr="006E665D" w:rsidRDefault="006E665D" w:rsidP="006E665D">
    <w:pPr>
      <w:pStyle w:val="En-tte"/>
      <w:jc w:val="right"/>
    </w:pPr>
    <w:fldSimple w:instr=" TITLE  \* MERGEFORMAT ">
      <w:r>
        <w:t>ECE/TRANS/WP.29/GRSG/2023/15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CF"/>
    <w:rsid w:val="00017F94"/>
    <w:rsid w:val="00023842"/>
    <w:rsid w:val="000334F9"/>
    <w:rsid w:val="00045FEB"/>
    <w:rsid w:val="0007796D"/>
    <w:rsid w:val="00093A2E"/>
    <w:rsid w:val="000B7790"/>
    <w:rsid w:val="000C0CCE"/>
    <w:rsid w:val="00111F2F"/>
    <w:rsid w:val="0014365E"/>
    <w:rsid w:val="00143C66"/>
    <w:rsid w:val="00176178"/>
    <w:rsid w:val="001F525A"/>
    <w:rsid w:val="00201148"/>
    <w:rsid w:val="00223272"/>
    <w:rsid w:val="0024779E"/>
    <w:rsid w:val="00257168"/>
    <w:rsid w:val="002744B8"/>
    <w:rsid w:val="002832AC"/>
    <w:rsid w:val="002D7C93"/>
    <w:rsid w:val="00305801"/>
    <w:rsid w:val="003916DE"/>
    <w:rsid w:val="00421996"/>
    <w:rsid w:val="00441C3B"/>
    <w:rsid w:val="00446FE5"/>
    <w:rsid w:val="00451015"/>
    <w:rsid w:val="00452396"/>
    <w:rsid w:val="00477EB2"/>
    <w:rsid w:val="004837D8"/>
    <w:rsid w:val="004E2EED"/>
    <w:rsid w:val="004E468C"/>
    <w:rsid w:val="005505B7"/>
    <w:rsid w:val="00573BE5"/>
    <w:rsid w:val="00586ED3"/>
    <w:rsid w:val="00596AA9"/>
    <w:rsid w:val="005C30CC"/>
    <w:rsid w:val="005F6410"/>
    <w:rsid w:val="006E665D"/>
    <w:rsid w:val="0071601D"/>
    <w:rsid w:val="007A62E6"/>
    <w:rsid w:val="007F20FA"/>
    <w:rsid w:val="0080684C"/>
    <w:rsid w:val="00871C75"/>
    <w:rsid w:val="008776DC"/>
    <w:rsid w:val="008D5EF9"/>
    <w:rsid w:val="008D74CF"/>
    <w:rsid w:val="009446C0"/>
    <w:rsid w:val="009705C8"/>
    <w:rsid w:val="009C1CF4"/>
    <w:rsid w:val="009F6B74"/>
    <w:rsid w:val="00A3029F"/>
    <w:rsid w:val="00A30353"/>
    <w:rsid w:val="00AC3823"/>
    <w:rsid w:val="00AE323C"/>
    <w:rsid w:val="00AF0CB5"/>
    <w:rsid w:val="00B00181"/>
    <w:rsid w:val="00B00B0D"/>
    <w:rsid w:val="00B45F2E"/>
    <w:rsid w:val="00B765F7"/>
    <w:rsid w:val="00B77993"/>
    <w:rsid w:val="00BA0CA9"/>
    <w:rsid w:val="00C02897"/>
    <w:rsid w:val="00C97039"/>
    <w:rsid w:val="00D3439C"/>
    <w:rsid w:val="00D7622E"/>
    <w:rsid w:val="00DB1831"/>
    <w:rsid w:val="00DD3BFD"/>
    <w:rsid w:val="00DF6678"/>
    <w:rsid w:val="00E0299A"/>
    <w:rsid w:val="00E85C74"/>
    <w:rsid w:val="00E91DAA"/>
    <w:rsid w:val="00EA6547"/>
    <w:rsid w:val="00ED7237"/>
    <w:rsid w:val="00EF2E22"/>
    <w:rsid w:val="00F35BAF"/>
    <w:rsid w:val="00F660DF"/>
    <w:rsid w:val="00F94664"/>
    <w:rsid w:val="00F9573C"/>
    <w:rsid w:val="00F95C08"/>
    <w:rsid w:val="00FA40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0CF27"/>
  <w15:docId w15:val="{C198B371-AB90-4F66-B1EF-845360DC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uiPriority w:val="99"/>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Footnote Reference),-E Fußnotenzeichen,BVI fnr, BVI fnr,Footnote symbol,Footnote,Footnote Reference Superscript,SUPERS,4_GR,Fußnotenzeichen"/>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PP,5_G_6,5_GR,-E Fußnotentext,footnote text,Fußnotentext Ursprung,Footnote Text Char Char Char Char,Footnote Text1,Footnote Text Char Char Char,Fußnotentext Char1,Fußnotentext Char Char,Fußnotentext Char2,Fußn"/>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PP Car,5_G_6 Car,5_GR Car,-E Fußnotentext Car,footnote text Car,Fußnotentext Ursprung Car,Footnote Text Char Char Char Char Car,Footnote Text1 Car,Footnote Text Char Char Char Car,Fußnotentext Char1 Car,Fußn Car"/>
    <w:basedOn w:val="Policepardfaut"/>
    <w:link w:val="Notedebasdepage"/>
    <w:qFormat/>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HChGChar">
    <w:name w:val="_ H _Ch_G Char"/>
    <w:link w:val="HChG"/>
    <w:uiPriority w:val="99"/>
    <w:locked/>
    <w:rsid w:val="006E665D"/>
    <w:rPr>
      <w:rFonts w:ascii="Times New Roman" w:eastAsiaTheme="minorHAnsi" w:hAnsi="Times New Roman" w:cs="Times New Roman"/>
      <w:b/>
      <w:sz w:val="28"/>
      <w:szCs w:val="20"/>
      <w:lang w:eastAsia="en-US"/>
    </w:rPr>
  </w:style>
  <w:style w:type="character" w:customStyle="1" w:styleId="SingleTxtGChar">
    <w:name w:val="_ Single Txt_G Char"/>
    <w:link w:val="SingleTxtG"/>
    <w:qFormat/>
    <w:locked/>
    <w:rsid w:val="006E665D"/>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ECE_TRANS.dotm</Template>
  <TotalTime>19</TotalTime>
  <Pages>4</Pages>
  <Words>911</Words>
  <Characters>6379</Characters>
  <Application>Microsoft Office Word</Application>
  <DocSecurity>0</DocSecurity>
  <Lines>531</Lines>
  <Paragraphs>291</Paragraphs>
  <ScaleCrop>false</ScaleCrop>
  <HeadingPairs>
    <vt:vector size="2" baseType="variant">
      <vt:variant>
        <vt:lpstr>Titre</vt:lpstr>
      </vt:variant>
      <vt:variant>
        <vt:i4>1</vt:i4>
      </vt:variant>
    </vt:vector>
  </HeadingPairs>
  <TitlesOfParts>
    <vt:vector size="1" baseType="lpstr">
      <vt:lpstr>ECE/TRANS/WP.29/GRSG/2023/15</vt:lpstr>
    </vt:vector>
  </TitlesOfParts>
  <Company>DCM</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ECE/TRANS/WP.29/GRSG/2023/15</dc:title>
  <dc:subject/>
  <dc:creator>Sandrine CLERE</dc:creator>
  <cp:keywords/>
  <cp:lastModifiedBy>Sandrine Clere</cp:lastModifiedBy>
  <cp:revision>2</cp:revision>
  <cp:lastPrinted>2014-05-14T10:59:00Z</cp:lastPrinted>
  <dcterms:created xsi:type="dcterms:W3CDTF">2023-02-07T06:45:00Z</dcterms:created>
  <dcterms:modified xsi:type="dcterms:W3CDTF">2023-02-07T06:45:00Z</dcterms:modified>
</cp:coreProperties>
</file>