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CB6F40" w14:paraId="3667E0AC" w14:textId="77777777" w:rsidTr="00B20551">
        <w:trPr>
          <w:cantSplit/>
          <w:trHeight w:hRule="exact" w:val="851"/>
        </w:trPr>
        <w:tc>
          <w:tcPr>
            <w:tcW w:w="1276" w:type="dxa"/>
            <w:tcBorders>
              <w:bottom w:val="single" w:sz="4" w:space="0" w:color="auto"/>
            </w:tcBorders>
            <w:vAlign w:val="bottom"/>
          </w:tcPr>
          <w:p w14:paraId="2FEA7163" w14:textId="77777777" w:rsidR="009E6CB7" w:rsidRPr="00CB6F40" w:rsidRDefault="009E6CB7" w:rsidP="00B20551">
            <w:pPr>
              <w:spacing w:after="80"/>
            </w:pPr>
          </w:p>
        </w:tc>
        <w:tc>
          <w:tcPr>
            <w:tcW w:w="2268" w:type="dxa"/>
            <w:tcBorders>
              <w:bottom w:val="single" w:sz="4" w:space="0" w:color="auto"/>
            </w:tcBorders>
            <w:vAlign w:val="bottom"/>
          </w:tcPr>
          <w:p w14:paraId="500CAC52" w14:textId="77777777" w:rsidR="009E6CB7" w:rsidRPr="00CB6F40" w:rsidRDefault="009E6CB7" w:rsidP="00B20551">
            <w:pPr>
              <w:spacing w:after="80" w:line="300" w:lineRule="exact"/>
              <w:rPr>
                <w:b/>
                <w:sz w:val="24"/>
                <w:szCs w:val="24"/>
              </w:rPr>
            </w:pPr>
            <w:r w:rsidRPr="00CB6F40">
              <w:rPr>
                <w:sz w:val="28"/>
                <w:szCs w:val="28"/>
              </w:rPr>
              <w:t>United Nations</w:t>
            </w:r>
          </w:p>
        </w:tc>
        <w:tc>
          <w:tcPr>
            <w:tcW w:w="6095" w:type="dxa"/>
            <w:gridSpan w:val="2"/>
            <w:tcBorders>
              <w:bottom w:val="single" w:sz="4" w:space="0" w:color="auto"/>
            </w:tcBorders>
            <w:vAlign w:val="bottom"/>
          </w:tcPr>
          <w:p w14:paraId="113B98F6" w14:textId="7E76FB1D" w:rsidR="009E6CB7" w:rsidRPr="00CB6F40" w:rsidRDefault="00646352" w:rsidP="00646352">
            <w:pPr>
              <w:jc w:val="right"/>
            </w:pPr>
            <w:r w:rsidRPr="00CB6F40">
              <w:rPr>
                <w:sz w:val="40"/>
              </w:rPr>
              <w:t>ECE</w:t>
            </w:r>
            <w:r w:rsidRPr="00CB6F40">
              <w:t>/TRANS/WP.29/GRSG/2023/12</w:t>
            </w:r>
          </w:p>
        </w:tc>
      </w:tr>
      <w:tr w:rsidR="009E6CB7" w:rsidRPr="00CB6F40" w14:paraId="4FA9B662" w14:textId="77777777" w:rsidTr="00B20551">
        <w:trPr>
          <w:cantSplit/>
          <w:trHeight w:hRule="exact" w:val="2835"/>
        </w:trPr>
        <w:tc>
          <w:tcPr>
            <w:tcW w:w="1276" w:type="dxa"/>
            <w:tcBorders>
              <w:top w:val="single" w:sz="4" w:space="0" w:color="auto"/>
              <w:bottom w:val="single" w:sz="12" w:space="0" w:color="auto"/>
            </w:tcBorders>
          </w:tcPr>
          <w:p w14:paraId="4A22EF04" w14:textId="77777777" w:rsidR="009E6CB7" w:rsidRPr="00CB6F40" w:rsidRDefault="00686A48" w:rsidP="00B20551">
            <w:pPr>
              <w:spacing w:before="120"/>
            </w:pPr>
            <w:r w:rsidRPr="00CB6F40">
              <w:rPr>
                <w:noProof/>
                <w:lang w:eastAsia="fr-CH"/>
              </w:rPr>
              <w:drawing>
                <wp:inline distT="0" distB="0" distL="0" distR="0" wp14:anchorId="2B23D675" wp14:editId="18E71CA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9383FB3" w14:textId="77777777" w:rsidR="009E6CB7" w:rsidRPr="00CB6F40" w:rsidRDefault="009E6CB7" w:rsidP="00B20551">
            <w:pPr>
              <w:spacing w:before="120" w:line="420" w:lineRule="exact"/>
              <w:rPr>
                <w:sz w:val="40"/>
                <w:szCs w:val="40"/>
              </w:rPr>
            </w:pPr>
            <w:r w:rsidRPr="00CB6F40">
              <w:rPr>
                <w:b/>
                <w:sz w:val="40"/>
                <w:szCs w:val="40"/>
              </w:rPr>
              <w:t>Economic and Social Council</w:t>
            </w:r>
          </w:p>
        </w:tc>
        <w:tc>
          <w:tcPr>
            <w:tcW w:w="2835" w:type="dxa"/>
            <w:tcBorders>
              <w:top w:val="single" w:sz="4" w:space="0" w:color="auto"/>
              <w:bottom w:val="single" w:sz="12" w:space="0" w:color="auto"/>
            </w:tcBorders>
          </w:tcPr>
          <w:p w14:paraId="336224BB" w14:textId="77777777" w:rsidR="009E6CB7" w:rsidRPr="00CB6F40" w:rsidRDefault="00646352" w:rsidP="00646352">
            <w:pPr>
              <w:spacing w:before="240" w:line="240" w:lineRule="exact"/>
            </w:pPr>
            <w:r w:rsidRPr="00CB6F40">
              <w:t>Distr.: General</w:t>
            </w:r>
          </w:p>
          <w:p w14:paraId="2B6B5111" w14:textId="1B8F5C48" w:rsidR="00646352" w:rsidRPr="00CB6F40" w:rsidRDefault="00280B15" w:rsidP="00646352">
            <w:pPr>
              <w:spacing w:line="240" w:lineRule="exact"/>
            </w:pPr>
            <w:r>
              <w:t>11</w:t>
            </w:r>
            <w:r w:rsidR="00646352" w:rsidRPr="00CB6F40">
              <w:t xml:space="preserve"> January 2023</w:t>
            </w:r>
          </w:p>
          <w:p w14:paraId="78DC1D81" w14:textId="77777777" w:rsidR="00646352" w:rsidRPr="00CB6F40" w:rsidRDefault="00646352" w:rsidP="00646352">
            <w:pPr>
              <w:spacing w:line="240" w:lineRule="exact"/>
            </w:pPr>
          </w:p>
          <w:p w14:paraId="3DF0884D" w14:textId="2F64C8A3" w:rsidR="00646352" w:rsidRPr="00CB6F40" w:rsidRDefault="00646352" w:rsidP="00646352">
            <w:pPr>
              <w:spacing w:line="240" w:lineRule="exact"/>
            </w:pPr>
            <w:r w:rsidRPr="00CB6F40">
              <w:t>Original: English</w:t>
            </w:r>
          </w:p>
        </w:tc>
      </w:tr>
    </w:tbl>
    <w:p w14:paraId="48EBEB6B" w14:textId="77777777" w:rsidR="00646352" w:rsidRPr="00CB6F40" w:rsidRDefault="00646352" w:rsidP="00A36AC2">
      <w:pPr>
        <w:spacing w:before="120"/>
        <w:rPr>
          <w:b/>
          <w:sz w:val="28"/>
          <w:szCs w:val="28"/>
        </w:rPr>
      </w:pPr>
      <w:r w:rsidRPr="00CB6F40">
        <w:rPr>
          <w:b/>
          <w:sz w:val="28"/>
          <w:szCs w:val="28"/>
        </w:rPr>
        <w:t>Economic Commission for Europe</w:t>
      </w:r>
    </w:p>
    <w:p w14:paraId="1DB33EF1" w14:textId="77777777" w:rsidR="00646352" w:rsidRPr="00CB6F40" w:rsidRDefault="00646352" w:rsidP="00A36AC2">
      <w:pPr>
        <w:spacing w:before="120"/>
        <w:rPr>
          <w:sz w:val="28"/>
          <w:szCs w:val="28"/>
        </w:rPr>
      </w:pPr>
      <w:r w:rsidRPr="00CB6F40">
        <w:rPr>
          <w:sz w:val="28"/>
          <w:szCs w:val="28"/>
        </w:rPr>
        <w:t>Inland Transport Committee</w:t>
      </w:r>
    </w:p>
    <w:p w14:paraId="00825994" w14:textId="77777777" w:rsidR="00646352" w:rsidRPr="00CB6F40" w:rsidRDefault="00646352" w:rsidP="00A36AC2">
      <w:pPr>
        <w:spacing w:before="120"/>
        <w:rPr>
          <w:b/>
          <w:sz w:val="24"/>
          <w:szCs w:val="24"/>
        </w:rPr>
      </w:pPr>
      <w:r w:rsidRPr="00CB6F40">
        <w:rPr>
          <w:b/>
          <w:sz w:val="24"/>
          <w:szCs w:val="24"/>
        </w:rPr>
        <w:t>World Forum for Harmonization of Vehicle Regulations</w:t>
      </w:r>
    </w:p>
    <w:p w14:paraId="142378E0" w14:textId="77777777" w:rsidR="00646352" w:rsidRPr="00CB6F40" w:rsidRDefault="00646352" w:rsidP="00646352">
      <w:pPr>
        <w:tabs>
          <w:tab w:val="left" w:pos="7256"/>
        </w:tabs>
        <w:spacing w:before="120" w:after="120"/>
        <w:rPr>
          <w:b/>
          <w:bCs/>
        </w:rPr>
      </w:pPr>
      <w:r w:rsidRPr="00CB6F40">
        <w:rPr>
          <w:b/>
          <w:bCs/>
        </w:rPr>
        <w:t>Working Party on General Safety Provisions</w:t>
      </w:r>
      <w:r w:rsidRPr="00CB6F40">
        <w:rPr>
          <w:b/>
          <w:bCs/>
        </w:rPr>
        <w:tab/>
      </w:r>
    </w:p>
    <w:p w14:paraId="2FE0F61A" w14:textId="77777777" w:rsidR="00646352" w:rsidRPr="00CB6F40" w:rsidRDefault="00646352" w:rsidP="00646352">
      <w:pPr>
        <w:rPr>
          <w:b/>
        </w:rPr>
      </w:pPr>
      <w:r w:rsidRPr="00CB6F40">
        <w:rPr>
          <w:b/>
        </w:rPr>
        <w:t xml:space="preserve">125th session </w:t>
      </w:r>
    </w:p>
    <w:p w14:paraId="644E1D48" w14:textId="77777777" w:rsidR="00646352" w:rsidRPr="00CB6F40" w:rsidRDefault="00646352" w:rsidP="00646352">
      <w:pPr>
        <w:rPr>
          <w:bCs/>
        </w:rPr>
      </w:pPr>
      <w:r w:rsidRPr="00CB6F40">
        <w:t>Geneva</w:t>
      </w:r>
      <w:r w:rsidRPr="00CB6F40">
        <w:rPr>
          <w:bCs/>
        </w:rPr>
        <w:t>, 27–31 March 2023</w:t>
      </w:r>
    </w:p>
    <w:p w14:paraId="23C64B32" w14:textId="5E08E203" w:rsidR="00646352" w:rsidRPr="00CB6F40" w:rsidRDefault="00646352" w:rsidP="00646352">
      <w:pPr>
        <w:rPr>
          <w:bCs/>
        </w:rPr>
      </w:pPr>
      <w:r w:rsidRPr="00CB6F40">
        <w:rPr>
          <w:bCs/>
        </w:rPr>
        <w:t>Item 10(</w:t>
      </w:r>
      <w:r w:rsidR="007F090C" w:rsidRPr="00CB6F40">
        <w:rPr>
          <w:bCs/>
        </w:rPr>
        <w:t>a</w:t>
      </w:r>
      <w:r w:rsidRPr="00CB6F40">
        <w:rPr>
          <w:bCs/>
        </w:rPr>
        <w:t>) of the provisional agenda</w:t>
      </w:r>
    </w:p>
    <w:p w14:paraId="093F7032" w14:textId="71FB5825" w:rsidR="00646352" w:rsidRPr="00CB6F40" w:rsidRDefault="00646352" w:rsidP="00641712">
      <w:pPr>
        <w:tabs>
          <w:tab w:val="left" w:pos="5290"/>
        </w:tabs>
        <w:rPr>
          <w:b/>
          <w:bCs/>
        </w:rPr>
      </w:pPr>
      <w:r w:rsidRPr="00CB6F40">
        <w:rPr>
          <w:b/>
        </w:rPr>
        <w:t>Event Data Recorder</w:t>
      </w:r>
      <w:r w:rsidRPr="00CB6F40">
        <w:rPr>
          <w:b/>
          <w:bCs/>
        </w:rPr>
        <w:t>:</w:t>
      </w:r>
      <w:r w:rsidR="00641712">
        <w:rPr>
          <w:b/>
          <w:bCs/>
        </w:rPr>
        <w:tab/>
      </w:r>
    </w:p>
    <w:p w14:paraId="61BFD606" w14:textId="62062560" w:rsidR="00646352" w:rsidRPr="00CB6F40" w:rsidRDefault="00E1088B" w:rsidP="00E1088B">
      <w:r w:rsidRPr="00CB6F40">
        <w:rPr>
          <w:b/>
        </w:rPr>
        <w:t>Guidance on Event Data Recorder</w:t>
      </w:r>
      <w:r w:rsidR="006A13ED">
        <w:rPr>
          <w:b/>
        </w:rPr>
        <w:t xml:space="preserve"> </w:t>
      </w:r>
      <w:r w:rsidRPr="00CB6F40">
        <w:rPr>
          <w:b/>
        </w:rPr>
        <w:br/>
        <w:t xml:space="preserve">Performance Elements Appropriate for Adoption in </w:t>
      </w:r>
      <w:r w:rsidRPr="00CB6F40">
        <w:rPr>
          <w:b/>
        </w:rPr>
        <w:br/>
      </w:r>
      <w:r w:rsidR="006A13ED">
        <w:rPr>
          <w:b/>
        </w:rPr>
        <w:t xml:space="preserve">the </w:t>
      </w:r>
      <w:r w:rsidRPr="00CB6F40">
        <w:rPr>
          <w:b/>
        </w:rPr>
        <w:t>1958 and 1998 Agreement</w:t>
      </w:r>
      <w:r w:rsidR="004C33FF" w:rsidRPr="00CB6F40">
        <w:rPr>
          <w:b/>
        </w:rPr>
        <w:t>s</w:t>
      </w:r>
      <w:r w:rsidRPr="00CB6F40">
        <w:rPr>
          <w:b/>
        </w:rPr>
        <w:t xml:space="preserve"> Resolutions or Regulations</w:t>
      </w:r>
      <w:r w:rsidRPr="00CB6F40">
        <w:rPr>
          <w:b/>
          <w:bCs/>
        </w:rPr>
        <w:t xml:space="preserve">  </w:t>
      </w:r>
    </w:p>
    <w:p w14:paraId="6CCEFE42" w14:textId="518912CC" w:rsidR="00646352" w:rsidRPr="00CB6F40" w:rsidRDefault="00646352" w:rsidP="00646352">
      <w:pPr>
        <w:pStyle w:val="HChG"/>
        <w:jc w:val="both"/>
      </w:pPr>
      <w:r w:rsidRPr="00CB6F40">
        <w:tab/>
      </w:r>
      <w:r w:rsidRPr="00CB6F40">
        <w:tab/>
      </w:r>
      <w:r w:rsidR="009109B8" w:rsidRPr="00CB6F40">
        <w:t xml:space="preserve">Proposal for </w:t>
      </w:r>
      <w:r w:rsidR="00AE1F28">
        <w:t>A</w:t>
      </w:r>
      <w:r w:rsidR="00AE1F28" w:rsidRPr="00CB6F40">
        <w:t xml:space="preserve">mending </w:t>
      </w:r>
      <w:r w:rsidR="002641DB">
        <w:t xml:space="preserve">the </w:t>
      </w:r>
      <w:r w:rsidR="001E41D4" w:rsidRPr="00CB6F40">
        <w:t>Guidance on Event Data Recorder Performance Elements</w:t>
      </w:r>
    </w:p>
    <w:p w14:paraId="5BFD19EB" w14:textId="77777777" w:rsidR="00646352" w:rsidRPr="00CB6F40" w:rsidRDefault="00646352" w:rsidP="00646352">
      <w:pPr>
        <w:keepNext/>
        <w:keepLines/>
        <w:tabs>
          <w:tab w:val="right" w:pos="851"/>
        </w:tabs>
        <w:spacing w:before="360" w:after="240" w:line="300" w:lineRule="exact"/>
        <w:ind w:left="1134" w:right="1134" w:hanging="1134"/>
        <w:rPr>
          <w:b/>
          <w:sz w:val="24"/>
        </w:rPr>
      </w:pPr>
      <w:r w:rsidRPr="00CB6F40">
        <w:tab/>
      </w:r>
      <w:r w:rsidRPr="00CB6F40">
        <w:tab/>
      </w:r>
      <w:r w:rsidRPr="00CB6F40">
        <w:rPr>
          <w:rFonts w:eastAsia="MS Mincho"/>
          <w:b/>
          <w:sz w:val="24"/>
          <w:lang w:eastAsia="en-US"/>
        </w:rPr>
        <w:t xml:space="preserve">Submitted by the expert from the Informal Working Group on Event Data Recorder / Data Storage System for Automated Driving </w:t>
      </w:r>
      <w:r w:rsidRPr="00CB6F40">
        <w:rPr>
          <w:b/>
        </w:rPr>
        <w:footnoteReference w:customMarkFollows="1" w:id="2"/>
        <w:t>*</w:t>
      </w:r>
    </w:p>
    <w:p w14:paraId="16493EB3" w14:textId="714048F1" w:rsidR="00DF4DFB" w:rsidRPr="00CB6F40" w:rsidRDefault="00DF4DFB" w:rsidP="00DF4DFB">
      <w:pPr>
        <w:pStyle w:val="SingleTxtG"/>
        <w:ind w:firstLine="425"/>
      </w:pPr>
      <w:r w:rsidRPr="00CB6F40">
        <w:rPr>
          <w:snapToGrid w:val="0"/>
        </w:rPr>
        <w:t xml:space="preserve">The </w:t>
      </w:r>
      <w:r w:rsidRPr="00CB6F40">
        <w:t xml:space="preserve">text reproduced below was prepared by the experts from the </w:t>
      </w:r>
      <w:bookmarkStart w:id="0" w:name="_Hlk123554996"/>
      <w:r w:rsidRPr="00CB6F40">
        <w:t xml:space="preserve">EDR/DSSAD </w:t>
      </w:r>
      <w:r w:rsidR="002641DB">
        <w:t>Informal Working Group (</w:t>
      </w:r>
      <w:r w:rsidRPr="00CB6F40">
        <w:t>IWG</w:t>
      </w:r>
      <w:r w:rsidR="002641DB">
        <w:t>)</w:t>
      </w:r>
      <w:r w:rsidRPr="00CB6F40">
        <w:t xml:space="preserve"> </w:t>
      </w:r>
      <w:bookmarkEnd w:id="0"/>
      <w:r w:rsidRPr="00CB6F40">
        <w:t xml:space="preserve">to revise and clarify the acceleration data accuracy for the lateral and longitudinal acceleration data elements of document ECE/TRANS/WP.29/2020/100/Rev.1 as amended by ECE/TRANS/WP.29/GRSG/2021/32.  It also adds a paragraph that provides verification procedures to evaluate whether the acceleration data meets the acceleration sensor accuracy specifications. The modifications to the current text of </w:t>
      </w:r>
      <w:r w:rsidR="000C40EE" w:rsidRPr="00CB6F40">
        <w:t>ECE/TRANS/WP.29/2020/100/Rev.1 and</w:t>
      </w:r>
      <w:r w:rsidR="00F47CFC" w:rsidRPr="00CB6F40">
        <w:t xml:space="preserve"> ECE/TRANS/WP.29/GRSG/2021/32</w:t>
      </w:r>
      <w:r w:rsidR="000C40EE" w:rsidRPr="00CB6F40">
        <w:t xml:space="preserve"> </w:t>
      </w:r>
      <w:r w:rsidRPr="00CB6F40">
        <w:t>are marked in bold for new characters.</w:t>
      </w:r>
    </w:p>
    <w:p w14:paraId="54DC1CB8" w14:textId="19198FDE" w:rsidR="00524E0D" w:rsidRPr="00CB6F40" w:rsidRDefault="00524E0D">
      <w:pPr>
        <w:suppressAutoHyphens w:val="0"/>
        <w:spacing w:line="240" w:lineRule="auto"/>
      </w:pPr>
      <w:r w:rsidRPr="00CB6F40">
        <w:br w:type="page"/>
      </w:r>
    </w:p>
    <w:p w14:paraId="1BE48E7F" w14:textId="76617877" w:rsidR="00EA25C6" w:rsidRPr="00CB6F40" w:rsidRDefault="00EA25C6" w:rsidP="00EA25C6">
      <w:pPr>
        <w:pStyle w:val="HChG"/>
        <w:rPr>
          <w:b w:val="0"/>
        </w:rPr>
      </w:pPr>
      <w:r w:rsidRPr="00CB6F40">
        <w:lastRenderedPageBreak/>
        <w:tab/>
        <w:t>I.</w:t>
      </w:r>
      <w:r w:rsidRPr="00CB6F40">
        <w:tab/>
      </w:r>
      <w:r>
        <w:t>Proposal</w:t>
      </w:r>
    </w:p>
    <w:p w14:paraId="1369AE97" w14:textId="0C031E68" w:rsidR="00524E0D" w:rsidRPr="00CB6F40" w:rsidRDefault="00524E0D" w:rsidP="00524E0D">
      <w:pPr>
        <w:pStyle w:val="SingleTxtG"/>
      </w:pPr>
      <w:r w:rsidRPr="00CB6F40">
        <w:rPr>
          <w:iCs/>
        </w:rPr>
        <w:t xml:space="preserve">Insert a new </w:t>
      </w:r>
      <w:r w:rsidR="005E159D" w:rsidRPr="005E159D">
        <w:rPr>
          <w:i/>
        </w:rPr>
        <w:t>p</w:t>
      </w:r>
      <w:r w:rsidRPr="00CB6F40">
        <w:rPr>
          <w:i/>
          <w:iCs/>
        </w:rPr>
        <w:t>aragraph 4</w:t>
      </w:r>
      <w:r w:rsidRPr="00CB6F40">
        <w:t>:</w:t>
      </w:r>
    </w:p>
    <w:p w14:paraId="585BA168" w14:textId="21CE2590" w:rsidR="00524E0D" w:rsidRPr="00CB6F40" w:rsidRDefault="00524E0D" w:rsidP="00524E0D">
      <w:pPr>
        <w:keepNext/>
        <w:keepLines/>
        <w:tabs>
          <w:tab w:val="left" w:pos="2268"/>
        </w:tabs>
        <w:spacing w:before="360" w:after="240" w:line="300" w:lineRule="exact"/>
        <w:ind w:left="2268" w:right="1134" w:hanging="1134"/>
        <w:rPr>
          <w:b/>
          <w:sz w:val="28"/>
        </w:rPr>
      </w:pPr>
      <w:bookmarkStart w:id="1" w:name="_Toc354410594"/>
      <w:r w:rsidRPr="00CB6F40">
        <w:rPr>
          <w:sz w:val="28"/>
        </w:rPr>
        <w:t>"</w:t>
      </w:r>
      <w:r w:rsidRPr="00CB6F40">
        <w:rPr>
          <w:b/>
          <w:sz w:val="28"/>
        </w:rPr>
        <w:t>4.</w:t>
      </w:r>
      <w:r w:rsidRPr="00CB6F40">
        <w:rPr>
          <w:b/>
          <w:sz w:val="28"/>
        </w:rPr>
        <w:tab/>
        <w:t xml:space="preserve">Verification </w:t>
      </w:r>
      <w:r w:rsidR="000B6BF2">
        <w:rPr>
          <w:b/>
          <w:sz w:val="28"/>
        </w:rPr>
        <w:t>P</w:t>
      </w:r>
      <w:r w:rsidR="000B6BF2" w:rsidRPr="00CB6F40">
        <w:rPr>
          <w:b/>
          <w:sz w:val="28"/>
        </w:rPr>
        <w:t>rocedures</w:t>
      </w:r>
    </w:p>
    <w:p w14:paraId="4E4C08B8" w14:textId="616B7EB5" w:rsidR="00524E0D" w:rsidRPr="00CB6F40" w:rsidRDefault="00524E0D" w:rsidP="00524E0D">
      <w:pPr>
        <w:spacing w:after="120"/>
        <w:ind w:left="2268" w:right="1134" w:hanging="1134"/>
        <w:jc w:val="both"/>
        <w:rPr>
          <w:b/>
          <w:bCs/>
        </w:rPr>
      </w:pPr>
      <w:r w:rsidRPr="00CB6F40">
        <w:rPr>
          <w:b/>
          <w:bCs/>
        </w:rPr>
        <w:t>4.1</w:t>
      </w:r>
      <w:r w:rsidR="00280B15">
        <w:rPr>
          <w:b/>
          <w:bCs/>
        </w:rPr>
        <w:t>.</w:t>
      </w:r>
      <w:r w:rsidRPr="00CB6F40">
        <w:rPr>
          <w:b/>
          <w:bCs/>
        </w:rPr>
        <w:tab/>
      </w:r>
      <w:r w:rsidR="000B6BF2">
        <w:rPr>
          <w:b/>
          <w:bCs/>
        </w:rPr>
        <w:t>The a</w:t>
      </w:r>
      <w:r w:rsidRPr="00CB6F40">
        <w:rPr>
          <w:b/>
          <w:bCs/>
        </w:rPr>
        <w:t xml:space="preserve">ccuracy of </w:t>
      </w:r>
      <w:r w:rsidR="00C0389F">
        <w:rPr>
          <w:b/>
          <w:bCs/>
        </w:rPr>
        <w:t xml:space="preserve">the </w:t>
      </w:r>
      <w:r w:rsidR="00C0389F" w:rsidRPr="005166E7">
        <w:rPr>
          <w:b/>
          <w:bCs/>
        </w:rPr>
        <w:t xml:space="preserve">measurement </w:t>
      </w:r>
      <w:r w:rsidR="00C0389F">
        <w:rPr>
          <w:b/>
          <w:bCs/>
        </w:rPr>
        <w:t xml:space="preserve">of the </w:t>
      </w:r>
      <w:r w:rsidRPr="00CB6F40">
        <w:rPr>
          <w:b/>
          <w:bCs/>
        </w:rPr>
        <w:t>longitudinal and lateral acceleration data element shall be verified using a component test fixture that subjects the EDR/airbag control module acceleration sensors to a sinusoidal acceleration motion in accordance with the following</w:t>
      </w:r>
      <w:r w:rsidR="00C0389F">
        <w:rPr>
          <w:b/>
          <w:bCs/>
        </w:rPr>
        <w:t>:</w:t>
      </w:r>
    </w:p>
    <w:p w14:paraId="55F750EF" w14:textId="77777777" w:rsidR="00524E0D" w:rsidRPr="00CB6F40" w:rsidRDefault="00524E0D" w:rsidP="00524E0D">
      <w:pPr>
        <w:spacing w:after="120"/>
        <w:ind w:left="2268" w:right="1134"/>
        <w:jc w:val="both"/>
        <w:rPr>
          <w:b/>
          <w:bCs/>
        </w:rPr>
      </w:pPr>
      <w:r w:rsidRPr="00CB6F40">
        <w:rPr>
          <w:rFonts w:ascii="Calibri" w:eastAsia="Calibri" w:hAnsi="Calibri"/>
          <w:b/>
          <w:noProof/>
          <w:sz w:val="22"/>
          <w:szCs w:val="22"/>
          <w:lang w:eastAsia="nl-NL"/>
        </w:rPr>
        <w:drawing>
          <wp:inline distT="0" distB="0" distL="0" distR="0" wp14:anchorId="635CF022" wp14:editId="7F7531C6">
            <wp:extent cx="1237615" cy="389890"/>
            <wp:effectExtent l="0" t="0" r="635" b="0"/>
            <wp:docPr id="4" name="Afbeelding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7615" cy="389890"/>
                    </a:xfrm>
                    <a:prstGeom prst="rect">
                      <a:avLst/>
                    </a:prstGeom>
                    <a:noFill/>
                    <a:ln>
                      <a:noFill/>
                    </a:ln>
                  </pic:spPr>
                </pic:pic>
              </a:graphicData>
            </a:graphic>
          </wp:inline>
        </w:drawing>
      </w:r>
      <w:r w:rsidRPr="00CB6F40">
        <w:rPr>
          <w:b/>
          <w:bCs/>
        </w:rPr>
        <w:t xml:space="preserve">  +/- 2g</w:t>
      </w:r>
    </w:p>
    <w:p w14:paraId="0BE8D5B7" w14:textId="73E8D445" w:rsidR="00524E0D" w:rsidRPr="00CB6F40" w:rsidRDefault="00524E0D" w:rsidP="00524E0D">
      <w:pPr>
        <w:spacing w:before="120" w:after="120"/>
        <w:ind w:left="2276" w:right="1138" w:hanging="1138"/>
        <w:jc w:val="both"/>
        <w:rPr>
          <w:b/>
          <w:bCs/>
        </w:rPr>
      </w:pPr>
      <w:r w:rsidRPr="00CB6F40">
        <w:rPr>
          <w:b/>
          <w:bCs/>
        </w:rPr>
        <w:t>4.1.1</w:t>
      </w:r>
      <w:r w:rsidR="00280B15">
        <w:rPr>
          <w:b/>
          <w:bCs/>
        </w:rPr>
        <w:t>.</w:t>
      </w:r>
      <w:r w:rsidRPr="00CB6F40">
        <w:rPr>
          <w:b/>
          <w:bCs/>
        </w:rPr>
        <w:tab/>
      </w:r>
      <w:r w:rsidR="000B6BF2">
        <w:rPr>
          <w:b/>
          <w:bCs/>
        </w:rPr>
        <w:t>The c</w:t>
      </w:r>
      <w:r w:rsidRPr="00CB6F40">
        <w:rPr>
          <w:b/>
          <w:bCs/>
        </w:rPr>
        <w:t xml:space="preserve">omponent test fixture shall be equipped with an acceleration sensor with a minimum range of +/- 500g and associated data acquisition system with a sampling frequency of 10kHz that is oriented to sense acceleration in the direction of the test fixture’s motion.  </w:t>
      </w:r>
    </w:p>
    <w:p w14:paraId="7E5B8EBD" w14:textId="46245832" w:rsidR="00524E0D" w:rsidRPr="00CB6F40" w:rsidRDefault="00524E0D" w:rsidP="00524E0D">
      <w:pPr>
        <w:spacing w:after="120"/>
        <w:ind w:left="2268" w:right="1134" w:hanging="1134"/>
        <w:jc w:val="both"/>
        <w:rPr>
          <w:b/>
          <w:bCs/>
        </w:rPr>
      </w:pPr>
      <w:r w:rsidRPr="00CB6F40">
        <w:rPr>
          <w:b/>
          <w:bCs/>
        </w:rPr>
        <w:t>4.1.2</w:t>
      </w:r>
      <w:r w:rsidR="00280B15">
        <w:rPr>
          <w:b/>
          <w:bCs/>
        </w:rPr>
        <w:t>.</w:t>
      </w:r>
      <w:r w:rsidRPr="00CB6F40">
        <w:rPr>
          <w:b/>
          <w:bCs/>
        </w:rPr>
        <w:tab/>
      </w:r>
      <w:r w:rsidR="000B6BF2">
        <w:rPr>
          <w:b/>
          <w:bCs/>
        </w:rPr>
        <w:t>The a</w:t>
      </w:r>
      <w:r w:rsidRPr="00CB6F40">
        <w:rPr>
          <w:b/>
          <w:bCs/>
        </w:rPr>
        <w:t>ir bag electronic control unit/EDR and applicable peripheral sensors, if needed to generate the air bag deployment signal, shall be mounted on the component test fixture as oriented in the vehicle. If the above does not generate a deployment signal, the manufacturer shall recommend the most appropriate way to generate the deployment signal.</w:t>
      </w:r>
    </w:p>
    <w:p w14:paraId="197FF0E2" w14:textId="7B585D30" w:rsidR="00524E0D" w:rsidRPr="00CB6F40" w:rsidRDefault="00524E0D" w:rsidP="00524E0D">
      <w:pPr>
        <w:spacing w:after="120"/>
        <w:ind w:left="2268" w:right="1134" w:hanging="1134"/>
        <w:jc w:val="both"/>
        <w:rPr>
          <w:b/>
          <w:bCs/>
        </w:rPr>
      </w:pPr>
      <w:r w:rsidRPr="00CB6F40">
        <w:rPr>
          <w:b/>
          <w:bCs/>
        </w:rPr>
        <w:t>4.1.3</w:t>
      </w:r>
      <w:r w:rsidR="00280B15">
        <w:rPr>
          <w:b/>
          <w:bCs/>
        </w:rPr>
        <w:t>.</w:t>
      </w:r>
      <w:r w:rsidRPr="00CB6F40">
        <w:rPr>
          <w:b/>
          <w:bCs/>
        </w:rPr>
        <w:tab/>
      </w:r>
      <w:r w:rsidR="000B6BF2">
        <w:rPr>
          <w:b/>
          <w:bCs/>
        </w:rPr>
        <w:t>The a</w:t>
      </w:r>
      <w:r w:rsidRPr="00CB6F40">
        <w:rPr>
          <w:b/>
          <w:bCs/>
        </w:rPr>
        <w:t xml:space="preserve">ir bag deployment signal shall be recorded along with the component test fixture’s acceleration.  </w:t>
      </w:r>
    </w:p>
    <w:p w14:paraId="5C48CA45" w14:textId="07FBF147" w:rsidR="00524E0D" w:rsidRPr="00CB6F40" w:rsidRDefault="00524E0D" w:rsidP="00524E0D">
      <w:pPr>
        <w:spacing w:after="120"/>
        <w:ind w:left="2268" w:right="1134" w:hanging="1134"/>
        <w:jc w:val="both"/>
        <w:rPr>
          <w:b/>
          <w:bCs/>
        </w:rPr>
      </w:pPr>
      <w:r w:rsidRPr="00CB6F40">
        <w:rPr>
          <w:b/>
          <w:bCs/>
        </w:rPr>
        <w:t>4.1.4</w:t>
      </w:r>
      <w:r w:rsidR="00280B15">
        <w:rPr>
          <w:b/>
          <w:bCs/>
        </w:rPr>
        <w:t>.</w:t>
      </w:r>
      <w:r w:rsidRPr="00CB6F40">
        <w:rPr>
          <w:b/>
          <w:bCs/>
        </w:rPr>
        <w:tab/>
        <w:t>Following the activation of the component test fixture the acceleration traces recorded by the component test fixture shall be passed through a 150</w:t>
      </w:r>
      <w:r w:rsidR="00035F6B">
        <w:rPr>
          <w:b/>
          <w:bCs/>
        </w:rPr>
        <w:t xml:space="preserve"> </w:t>
      </w:r>
      <w:r w:rsidRPr="00035F6B">
        <w:rPr>
          <w:b/>
          <w:bCs/>
        </w:rPr>
        <w:t>Hz</w:t>
      </w:r>
      <w:r w:rsidRPr="00CB6F40">
        <w:rPr>
          <w:b/>
          <w:bCs/>
        </w:rPr>
        <w:t xml:space="preserve"> </w:t>
      </w:r>
      <w:r w:rsidR="00E249A0">
        <w:rPr>
          <w:b/>
          <w:bCs/>
        </w:rPr>
        <w:t>two</w:t>
      </w:r>
      <w:r w:rsidRPr="00CB6F40">
        <w:rPr>
          <w:b/>
          <w:bCs/>
        </w:rPr>
        <w:t xml:space="preserve"> pole Butterworth filter. The equation for the 150 </w:t>
      </w:r>
      <w:r w:rsidR="00BD0235">
        <w:rPr>
          <w:b/>
          <w:bCs/>
        </w:rPr>
        <w:t xml:space="preserve">Hz </w:t>
      </w:r>
      <w:r w:rsidRPr="00CB6F40">
        <w:rPr>
          <w:b/>
          <w:bCs/>
        </w:rPr>
        <w:t>Butterworth filter is shown below:</w:t>
      </w:r>
    </w:p>
    <w:p w14:paraId="6F848D6F" w14:textId="77777777" w:rsidR="00524E0D" w:rsidRPr="00CB6F40" w:rsidRDefault="00524E0D" w:rsidP="00524E0D">
      <w:pPr>
        <w:tabs>
          <w:tab w:val="left" w:pos="4382"/>
        </w:tabs>
        <w:spacing w:line="240" w:lineRule="auto"/>
        <w:ind w:left="2268" w:right="1138"/>
        <w:jc w:val="both"/>
        <w:rPr>
          <w:b/>
          <w:bCs/>
        </w:rPr>
      </w:pPr>
      <w:r w:rsidRPr="00CB6F40">
        <w:rPr>
          <w:b/>
          <w:bCs/>
        </w:rPr>
        <w:t xml:space="preserve">a_ref_150Hzfilt(n) = </w:t>
      </w:r>
      <w:r w:rsidRPr="00CB6F40">
        <w:rPr>
          <w:b/>
          <w:bCs/>
        </w:rPr>
        <w:tab/>
        <w:t xml:space="preserve"> 0.00208057 * </w:t>
      </w:r>
      <w:proofErr w:type="spellStart"/>
      <w:r w:rsidRPr="00CB6F40">
        <w:rPr>
          <w:b/>
          <w:bCs/>
        </w:rPr>
        <w:t>a_ref_raw</w:t>
      </w:r>
      <w:proofErr w:type="spellEnd"/>
      <w:r w:rsidRPr="00CB6F40">
        <w:rPr>
          <w:b/>
          <w:bCs/>
        </w:rPr>
        <w:t xml:space="preserve">(n) </w:t>
      </w:r>
    </w:p>
    <w:p w14:paraId="4B32C965" w14:textId="77777777" w:rsidR="00524E0D" w:rsidRPr="00CB6F40" w:rsidRDefault="00524E0D" w:rsidP="00524E0D">
      <w:pPr>
        <w:spacing w:line="240" w:lineRule="auto"/>
        <w:ind w:left="3708" w:right="1138" w:firstLine="612"/>
        <w:jc w:val="both"/>
        <w:rPr>
          <w:b/>
          <w:bCs/>
        </w:rPr>
      </w:pPr>
      <w:r w:rsidRPr="00CB6F40">
        <w:rPr>
          <w:b/>
          <w:bCs/>
        </w:rPr>
        <w:t xml:space="preserve">+0.00416113 * </w:t>
      </w:r>
      <w:proofErr w:type="spellStart"/>
      <w:r w:rsidRPr="00CB6F40">
        <w:rPr>
          <w:b/>
          <w:bCs/>
        </w:rPr>
        <w:t>a_ref_raw</w:t>
      </w:r>
      <w:proofErr w:type="spellEnd"/>
      <w:r w:rsidRPr="00CB6F40">
        <w:rPr>
          <w:b/>
          <w:bCs/>
        </w:rPr>
        <w:t>(n-1)</w:t>
      </w:r>
    </w:p>
    <w:p w14:paraId="7664FB15" w14:textId="77777777" w:rsidR="00524E0D" w:rsidRPr="00CB6F40" w:rsidRDefault="00524E0D" w:rsidP="00524E0D">
      <w:pPr>
        <w:spacing w:line="240" w:lineRule="auto"/>
        <w:ind w:left="3708" w:right="1138" w:firstLine="612"/>
        <w:jc w:val="both"/>
        <w:rPr>
          <w:b/>
          <w:bCs/>
        </w:rPr>
      </w:pPr>
      <w:r w:rsidRPr="00CB6F40">
        <w:rPr>
          <w:b/>
          <w:bCs/>
        </w:rPr>
        <w:t xml:space="preserve">+0.00208057 * </w:t>
      </w:r>
      <w:proofErr w:type="spellStart"/>
      <w:r w:rsidRPr="00CB6F40">
        <w:rPr>
          <w:b/>
          <w:bCs/>
        </w:rPr>
        <w:t>a_ref_raw</w:t>
      </w:r>
      <w:proofErr w:type="spellEnd"/>
      <w:r w:rsidRPr="00CB6F40">
        <w:rPr>
          <w:b/>
          <w:bCs/>
        </w:rPr>
        <w:t>(n-2)</w:t>
      </w:r>
    </w:p>
    <w:p w14:paraId="1B015B34" w14:textId="77777777" w:rsidR="00524E0D" w:rsidRPr="00CB6F40" w:rsidRDefault="00524E0D" w:rsidP="00524E0D">
      <w:pPr>
        <w:spacing w:line="240" w:lineRule="auto"/>
        <w:ind w:left="3708" w:right="1138" w:firstLine="612"/>
        <w:jc w:val="both"/>
        <w:rPr>
          <w:b/>
          <w:bCs/>
        </w:rPr>
      </w:pPr>
      <w:r w:rsidRPr="00CB6F40">
        <w:rPr>
          <w:b/>
          <w:bCs/>
        </w:rPr>
        <w:t>+1.86689228 * a_ref_150Hzfilt(n-1)</w:t>
      </w:r>
    </w:p>
    <w:p w14:paraId="1E14960F" w14:textId="7E709EEE" w:rsidR="00524E0D" w:rsidRPr="00CB6F40" w:rsidRDefault="00524E0D" w:rsidP="00524E0D">
      <w:pPr>
        <w:spacing w:after="120" w:line="240" w:lineRule="auto"/>
        <w:ind w:left="3715" w:right="1138" w:firstLine="619"/>
        <w:jc w:val="both"/>
        <w:rPr>
          <w:b/>
          <w:bCs/>
        </w:rPr>
      </w:pPr>
      <w:r w:rsidRPr="00CB6F40">
        <w:rPr>
          <w:b/>
          <w:bCs/>
        </w:rPr>
        <w:t>-0.87521455</w:t>
      </w:r>
      <w:r w:rsidR="00E249A0">
        <w:rPr>
          <w:b/>
          <w:bCs/>
        </w:rPr>
        <w:t xml:space="preserve"> </w:t>
      </w:r>
      <w:r w:rsidRPr="00CB6F40">
        <w:rPr>
          <w:b/>
          <w:bCs/>
        </w:rPr>
        <w:t>* a_ref_150Hzfilt(n-2)</w:t>
      </w:r>
    </w:p>
    <w:p w14:paraId="16CD91D2" w14:textId="77777777" w:rsidR="00524E0D" w:rsidRPr="00CB6F40" w:rsidRDefault="00524E0D" w:rsidP="00524E0D">
      <w:pPr>
        <w:spacing w:after="120"/>
        <w:ind w:left="2268" w:right="1134"/>
        <w:jc w:val="both"/>
        <w:rPr>
          <w:b/>
          <w:bCs/>
        </w:rPr>
      </w:pPr>
      <w:r w:rsidRPr="00CB6F40">
        <w:rPr>
          <w:b/>
          <w:bCs/>
        </w:rPr>
        <w:t xml:space="preserve">The filtered component test fixture acceleration traces shall be compared to the acceleration traces recorded in the EDR unit by aligning the traces using the air bag deployment signal time. </w:t>
      </w:r>
    </w:p>
    <w:p w14:paraId="675FECFE" w14:textId="6763E790" w:rsidR="00524E0D" w:rsidRPr="00CB6F40" w:rsidRDefault="00524E0D" w:rsidP="00524E0D">
      <w:pPr>
        <w:spacing w:after="120"/>
        <w:ind w:left="2268" w:right="1134" w:hanging="1134"/>
        <w:jc w:val="both"/>
        <w:rPr>
          <w:b/>
          <w:bCs/>
        </w:rPr>
      </w:pPr>
      <w:r w:rsidRPr="00CB6F40">
        <w:rPr>
          <w:b/>
          <w:bCs/>
        </w:rPr>
        <w:t>4.1.5</w:t>
      </w:r>
      <w:r w:rsidR="00280B15">
        <w:rPr>
          <w:b/>
          <w:bCs/>
        </w:rPr>
        <w:t>.</w:t>
      </w:r>
      <w:r w:rsidRPr="00CB6F40">
        <w:rPr>
          <w:b/>
          <w:bCs/>
        </w:rPr>
        <w:tab/>
        <w:t>The EDR recorded acceleration trace shall be fully contained in a corridor that is +/- 10 per</w:t>
      </w:r>
      <w:r w:rsidR="000B6BF2">
        <w:rPr>
          <w:b/>
          <w:bCs/>
        </w:rPr>
        <w:t xml:space="preserve"> </w:t>
      </w:r>
      <w:r w:rsidRPr="00CB6F40">
        <w:rPr>
          <w:b/>
          <w:bCs/>
        </w:rPr>
        <w:t xml:space="preserve">cent of the full-scale range of the accelerometer used by the controller containing the EDR applied to the component test fixture’s filtered acceleration trace. The comparison of acceleration sensor traces shall only be made on the axis the component test was conducted. </w:t>
      </w:r>
    </w:p>
    <w:p w14:paraId="708E5889" w14:textId="05EB77DC" w:rsidR="008159B6" w:rsidRPr="00CB6F40" w:rsidRDefault="00524E0D" w:rsidP="008159B6">
      <w:pPr>
        <w:spacing w:after="120"/>
        <w:ind w:left="2268" w:right="1134"/>
        <w:jc w:val="both"/>
        <w:rPr>
          <w:b/>
          <w:bCs/>
        </w:rPr>
      </w:pPr>
      <w:r w:rsidRPr="00CB6F40">
        <w:rPr>
          <w:b/>
          <w:bCs/>
        </w:rPr>
        <w:t xml:space="preserve">For example, if the accelerometer in the controller containing the EDR function has a +/- 100 g range, then +/- 10 g would be applied to the component test fixture’s filtered acceleration trace.  The EDR recorded acceleration trace shall be fully contained within that corridor (see </w:t>
      </w:r>
      <w:r w:rsidR="00C0389F">
        <w:rPr>
          <w:b/>
          <w:bCs/>
        </w:rPr>
        <w:t xml:space="preserve">the </w:t>
      </w:r>
      <w:r w:rsidRPr="00CB6F40">
        <w:rPr>
          <w:b/>
          <w:bCs/>
        </w:rPr>
        <w:t>Figure).</w:t>
      </w:r>
    </w:p>
    <w:p w14:paraId="57DEB79C" w14:textId="1636B105" w:rsidR="008159B6" w:rsidRPr="00CB6F40" w:rsidRDefault="008159B6">
      <w:pPr>
        <w:suppressAutoHyphens w:val="0"/>
        <w:spacing w:line="240" w:lineRule="auto"/>
        <w:rPr>
          <w:b/>
          <w:bCs/>
        </w:rPr>
      </w:pPr>
      <w:r w:rsidRPr="00CB6F40">
        <w:rPr>
          <w:b/>
          <w:bCs/>
        </w:rPr>
        <w:br w:type="page"/>
      </w:r>
    </w:p>
    <w:p w14:paraId="0E08B1EF" w14:textId="3561F336" w:rsidR="008159B6" w:rsidRPr="00CB6F40" w:rsidRDefault="008159B6" w:rsidP="00C0389F">
      <w:pPr>
        <w:spacing w:after="120"/>
        <w:ind w:left="2268" w:right="1134"/>
        <w:rPr>
          <w:b/>
          <w:bCs/>
        </w:rPr>
      </w:pPr>
      <w:r w:rsidRPr="00CB6F40">
        <w:rPr>
          <w:b/>
          <w:bCs/>
        </w:rPr>
        <w:lastRenderedPageBreak/>
        <w:t xml:space="preserve">Corridor +/- 10 </w:t>
      </w:r>
      <w:r w:rsidR="00772D26" w:rsidRPr="00CB6F40">
        <w:rPr>
          <w:b/>
          <w:bCs/>
        </w:rPr>
        <w:t>Per</w:t>
      </w:r>
      <w:r w:rsidR="00772D26">
        <w:rPr>
          <w:b/>
          <w:bCs/>
        </w:rPr>
        <w:t xml:space="preserve"> </w:t>
      </w:r>
      <w:r w:rsidR="00772D26" w:rsidRPr="00CB6F40">
        <w:rPr>
          <w:b/>
          <w:bCs/>
        </w:rPr>
        <w:t xml:space="preserve">Cent </w:t>
      </w:r>
      <w:r w:rsidRPr="00CB6F40">
        <w:rPr>
          <w:b/>
          <w:bCs/>
        </w:rPr>
        <w:t xml:space="preserve">of the </w:t>
      </w:r>
      <w:r w:rsidR="00772D26" w:rsidRPr="00CB6F40">
        <w:rPr>
          <w:b/>
          <w:bCs/>
        </w:rPr>
        <w:t xml:space="preserve">Full-Scale Range </w:t>
      </w:r>
      <w:r w:rsidRPr="00CB6F40">
        <w:rPr>
          <w:b/>
          <w:bCs/>
        </w:rPr>
        <w:t xml:space="preserve">of the </w:t>
      </w:r>
      <w:r w:rsidR="00772D26" w:rsidRPr="00CB6F40">
        <w:rPr>
          <w:b/>
          <w:bCs/>
        </w:rPr>
        <w:t>Accelerometer</w:t>
      </w:r>
    </w:p>
    <w:p w14:paraId="6DEE4857" w14:textId="5E3D01BC" w:rsidR="00524E0D" w:rsidRPr="00CB6F40" w:rsidRDefault="00524E0D" w:rsidP="008159B6">
      <w:pPr>
        <w:spacing w:after="120"/>
        <w:ind w:left="2268" w:right="1134"/>
        <w:jc w:val="both"/>
        <w:rPr>
          <w:b/>
          <w:bCs/>
        </w:rPr>
      </w:pPr>
      <w:r w:rsidRPr="00CB6F40">
        <w:rPr>
          <w:noProof/>
          <w:lang w:eastAsia="nl-NL"/>
        </w:rPr>
        <w:drawing>
          <wp:inline distT="0" distB="0" distL="0" distR="0" wp14:anchorId="4E036893" wp14:editId="73CF9BC0">
            <wp:extent cx="3902270" cy="2838450"/>
            <wp:effectExtent l="0" t="0" r="3175"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2501" cy="2853166"/>
                    </a:xfrm>
                    <a:prstGeom prst="rect">
                      <a:avLst/>
                    </a:prstGeom>
                    <a:noFill/>
                  </pic:spPr>
                </pic:pic>
              </a:graphicData>
            </a:graphic>
          </wp:inline>
        </w:drawing>
      </w:r>
    </w:p>
    <w:p w14:paraId="695A2332" w14:textId="7C38DEA7" w:rsidR="00524E0D" w:rsidRPr="00CB6F40" w:rsidRDefault="00524E0D" w:rsidP="00524E0D">
      <w:pPr>
        <w:spacing w:after="120"/>
        <w:ind w:left="2268" w:right="1134" w:hanging="1134"/>
        <w:jc w:val="both"/>
        <w:rPr>
          <w:b/>
          <w:bCs/>
        </w:rPr>
      </w:pPr>
      <w:r w:rsidRPr="00CB6F40">
        <w:rPr>
          <w:b/>
          <w:bCs/>
        </w:rPr>
        <w:t>4.1.6</w:t>
      </w:r>
      <w:r w:rsidR="00280B15">
        <w:rPr>
          <w:b/>
          <w:bCs/>
        </w:rPr>
        <w:t>.</w:t>
      </w:r>
      <w:r w:rsidRPr="00CB6F40">
        <w:rPr>
          <w:b/>
          <w:bCs/>
        </w:rPr>
        <w:tab/>
        <w:t>The EDR acceleration trace in paragraph 4.1.5</w:t>
      </w:r>
      <w:r w:rsidR="00280B15">
        <w:rPr>
          <w:b/>
          <w:bCs/>
        </w:rPr>
        <w:t>.</w:t>
      </w:r>
      <w:r w:rsidRPr="00CB6F40">
        <w:rPr>
          <w:b/>
          <w:bCs/>
        </w:rPr>
        <w:t xml:space="preserve"> can be time shifted up to +/- 2ms based on the inverse of the 500</w:t>
      </w:r>
      <w:r w:rsidR="00135850">
        <w:rPr>
          <w:b/>
          <w:bCs/>
        </w:rPr>
        <w:t xml:space="preserve"> Hz</w:t>
      </w:r>
      <w:r w:rsidRPr="00CB6F40">
        <w:rPr>
          <w:b/>
          <w:bCs/>
        </w:rPr>
        <w:t xml:space="preserve"> sample rate to further align the data. The minimum step of the time shift may be the inverse of the sample rate of the EDR.</w:t>
      </w:r>
    </w:p>
    <w:p w14:paraId="42051D17" w14:textId="00815224" w:rsidR="00524E0D" w:rsidRPr="00CB6F40" w:rsidRDefault="00524E0D" w:rsidP="00524E0D">
      <w:pPr>
        <w:spacing w:after="120"/>
        <w:ind w:left="2268" w:right="1134" w:hanging="1134"/>
        <w:jc w:val="both"/>
        <w:rPr>
          <w:b/>
          <w:bCs/>
        </w:rPr>
      </w:pPr>
      <w:r w:rsidRPr="00CB6F40">
        <w:rPr>
          <w:b/>
          <w:bCs/>
        </w:rPr>
        <w:t>4.1.7</w:t>
      </w:r>
      <w:r w:rsidR="00280B15">
        <w:rPr>
          <w:b/>
          <w:bCs/>
        </w:rPr>
        <w:t>.</w:t>
      </w:r>
      <w:r w:rsidRPr="00CB6F40">
        <w:rPr>
          <w:b/>
          <w:bCs/>
        </w:rPr>
        <w:tab/>
        <w:t>The acceleration data elements satisfy the tolerance condition if the EDR recorded acceleration trace is fully contained within the corridor established in paragraph 4.1.5</w:t>
      </w:r>
      <w:r w:rsidR="00280B15">
        <w:rPr>
          <w:b/>
          <w:bCs/>
        </w:rPr>
        <w:t>.</w:t>
      </w:r>
      <w:r w:rsidRPr="00CB6F40">
        <w:rPr>
          <w:b/>
          <w:bCs/>
        </w:rPr>
        <w:t>, with or without following the above time shift in paragraph 4.1.6.</w:t>
      </w:r>
    </w:p>
    <w:p w14:paraId="5939D2B8" w14:textId="577361F1" w:rsidR="00524E0D" w:rsidRPr="00CB6F40" w:rsidRDefault="00524E0D" w:rsidP="00524E0D">
      <w:pPr>
        <w:spacing w:after="120"/>
        <w:ind w:left="2268" w:right="1134" w:hanging="1134"/>
        <w:jc w:val="both"/>
        <w:rPr>
          <w:rFonts w:eastAsia="DengXian"/>
          <w:b/>
          <w:bCs/>
        </w:rPr>
      </w:pPr>
      <w:r w:rsidRPr="00CB6F40">
        <w:rPr>
          <w:rFonts w:eastAsia="DengXian"/>
          <w:b/>
          <w:bCs/>
        </w:rPr>
        <w:t>4.1.8</w:t>
      </w:r>
      <w:r w:rsidR="00280B15">
        <w:rPr>
          <w:rFonts w:eastAsia="DengXian"/>
          <w:b/>
          <w:bCs/>
        </w:rPr>
        <w:t>.</w:t>
      </w:r>
      <w:r w:rsidRPr="00CB6F40">
        <w:rPr>
          <w:rFonts w:eastAsia="DengXian"/>
          <w:b/>
          <w:bCs/>
        </w:rPr>
        <w:tab/>
        <w:t>If the recommended waveform cannot realize algorithm wakeup due to the reason of manufacturer’s algorithm strategy, the manufacture may select a waveform, or amplify the suggested waveform.  The waveform used for the EDR acceleration data accuracy shall be provided for review, if it is different than the waveform defined in the verification process.</w:t>
      </w:r>
      <w:r w:rsidR="000707B7" w:rsidRPr="00CB6F40">
        <w:rPr>
          <w:rFonts w:eastAsia="DengXian"/>
          <w:bCs/>
        </w:rPr>
        <w:t>"</w:t>
      </w:r>
    </w:p>
    <w:bookmarkEnd w:id="1"/>
    <w:p w14:paraId="69DD34BD" w14:textId="77777777" w:rsidR="00524E0D" w:rsidRPr="00CB6F40" w:rsidRDefault="00524E0D" w:rsidP="00524E0D">
      <w:pPr>
        <w:ind w:left="1134"/>
        <w:rPr>
          <w:iCs/>
        </w:rPr>
      </w:pPr>
      <w:r w:rsidRPr="00CB6F40">
        <w:rPr>
          <w:i/>
          <w:iCs/>
        </w:rPr>
        <w:t>Annex 1, Table 1</w:t>
      </w:r>
      <w:r w:rsidRPr="00CB6F40">
        <w:rPr>
          <w:iCs/>
        </w:rPr>
        <w:t>, amend to read:</w:t>
      </w:r>
    </w:p>
    <w:p w14:paraId="72B707A4" w14:textId="77777777" w:rsidR="0077553E" w:rsidRPr="00CB6F40" w:rsidRDefault="0077553E" w:rsidP="0077553E">
      <w:r w:rsidRPr="00CB6F40">
        <w:t>"…</w:t>
      </w:r>
    </w:p>
    <w:tbl>
      <w:tblPr>
        <w:tblW w:w="0" w:type="dxa"/>
        <w:tblLayout w:type="fixed"/>
        <w:tblCellMar>
          <w:left w:w="0" w:type="dxa"/>
          <w:right w:w="0" w:type="dxa"/>
        </w:tblCellMar>
        <w:tblLook w:val="04A0" w:firstRow="1" w:lastRow="0" w:firstColumn="1" w:lastColumn="0" w:noHBand="0" w:noVBand="1"/>
      </w:tblPr>
      <w:tblGrid>
        <w:gridCol w:w="1363"/>
        <w:gridCol w:w="1273"/>
        <w:gridCol w:w="1273"/>
        <w:gridCol w:w="1091"/>
        <w:gridCol w:w="1455"/>
        <w:gridCol w:w="1000"/>
        <w:gridCol w:w="1182"/>
        <w:gridCol w:w="1000"/>
      </w:tblGrid>
      <w:tr w:rsidR="0077553E" w:rsidRPr="00CB6F40" w14:paraId="391E26A5" w14:textId="77777777" w:rsidTr="002438C5">
        <w:trPr>
          <w:cantSplit/>
        </w:trPr>
        <w:tc>
          <w:tcPr>
            <w:tcW w:w="1363" w:type="dxa"/>
            <w:tcBorders>
              <w:top w:val="single" w:sz="4" w:space="0" w:color="auto"/>
              <w:left w:val="nil"/>
              <w:bottom w:val="single" w:sz="4" w:space="0" w:color="auto"/>
              <w:right w:val="nil"/>
            </w:tcBorders>
            <w:hideMark/>
          </w:tcPr>
          <w:p w14:paraId="72AD06F3" w14:textId="77777777" w:rsidR="0077553E" w:rsidRPr="00CB6F40" w:rsidRDefault="0077553E" w:rsidP="002438C5">
            <w:pPr>
              <w:spacing w:before="40" w:after="120"/>
              <w:ind w:right="113"/>
              <w:rPr>
                <w:rFonts w:eastAsia="Calibri"/>
              </w:rPr>
            </w:pPr>
            <w:r w:rsidRPr="00CB6F40">
              <w:rPr>
                <w:rFonts w:eastAsia="Calibri"/>
              </w:rPr>
              <w:t>Lateral acceleration</w:t>
            </w:r>
          </w:p>
          <w:p w14:paraId="72F09987" w14:textId="77777777" w:rsidR="0077553E" w:rsidRPr="00CB6F40" w:rsidRDefault="0077553E" w:rsidP="002438C5">
            <w:pPr>
              <w:spacing w:before="40" w:after="120"/>
              <w:ind w:right="113"/>
              <w:rPr>
                <w:rFonts w:eastAsia="Calibri"/>
              </w:rPr>
            </w:pPr>
            <w:r w:rsidRPr="00CB6F40">
              <w:rPr>
                <w:rFonts w:eastAsia="Calibri"/>
              </w:rPr>
              <w:t>(post-crash)</w:t>
            </w:r>
          </w:p>
        </w:tc>
        <w:tc>
          <w:tcPr>
            <w:tcW w:w="1273" w:type="dxa"/>
            <w:tcBorders>
              <w:top w:val="single" w:sz="4" w:space="0" w:color="auto"/>
              <w:left w:val="nil"/>
              <w:bottom w:val="single" w:sz="4" w:space="0" w:color="auto"/>
              <w:right w:val="nil"/>
            </w:tcBorders>
            <w:hideMark/>
          </w:tcPr>
          <w:p w14:paraId="133EB69F" w14:textId="77777777" w:rsidR="0077553E" w:rsidRPr="00CB6F40" w:rsidRDefault="0077553E" w:rsidP="002438C5">
            <w:pPr>
              <w:spacing w:before="40" w:after="120"/>
              <w:ind w:right="113"/>
              <w:rPr>
                <w:rFonts w:eastAsia="Calibri"/>
              </w:rPr>
            </w:pPr>
            <w:r w:rsidRPr="00CB6F40">
              <w:rPr>
                <w:rFonts w:eastAsia="Calibri"/>
              </w:rPr>
              <w:t xml:space="preserve">If </w:t>
            </w:r>
            <w:proofErr w:type="gramStart"/>
            <w:r w:rsidRPr="00CB6F40">
              <w:rPr>
                <w:rFonts w:eastAsia="Calibri"/>
              </w:rPr>
              <w:t>Recorded</w:t>
            </w:r>
            <w:proofErr w:type="gramEnd"/>
            <w:r w:rsidRPr="00CB6F40">
              <w:rPr>
                <w:rFonts w:eastAsia="Calibri"/>
                <w:vertAlign w:val="superscript"/>
              </w:rPr>
              <w:t xml:space="preserve"> </w:t>
            </w:r>
          </w:p>
        </w:tc>
        <w:tc>
          <w:tcPr>
            <w:tcW w:w="1273" w:type="dxa"/>
            <w:tcBorders>
              <w:top w:val="single" w:sz="4" w:space="0" w:color="auto"/>
              <w:left w:val="nil"/>
              <w:bottom w:val="single" w:sz="4" w:space="0" w:color="auto"/>
              <w:right w:val="nil"/>
            </w:tcBorders>
            <w:shd w:val="clear" w:color="auto" w:fill="FFFFFF"/>
            <w:hideMark/>
          </w:tcPr>
          <w:p w14:paraId="67F0BEDC" w14:textId="77777777" w:rsidR="0077553E" w:rsidRPr="00CB6F40" w:rsidRDefault="0077553E" w:rsidP="002438C5">
            <w:pPr>
              <w:spacing w:before="40" w:after="120"/>
              <w:ind w:right="113"/>
              <w:rPr>
                <w:rFonts w:eastAsia="Calibri"/>
              </w:rPr>
            </w:pPr>
            <w:r w:rsidRPr="00CB6F40">
              <w:rPr>
                <w:rFonts w:eastAsia="Calibri"/>
              </w:rPr>
              <w:t xml:space="preserve">0–250 </w:t>
            </w:r>
            <w:proofErr w:type="spellStart"/>
            <w:r w:rsidRPr="00CB6F40">
              <w:rPr>
                <w:rFonts w:eastAsia="Calibri"/>
              </w:rPr>
              <w:t>ms</w:t>
            </w:r>
            <w:proofErr w:type="spellEnd"/>
            <w:r w:rsidRPr="00CB6F40">
              <w:rPr>
                <w:rFonts w:eastAsia="Calibri"/>
              </w:rPr>
              <w:t xml:space="preserve"> or 0 to End of Event Time plus 30 </w:t>
            </w:r>
            <w:proofErr w:type="spellStart"/>
            <w:r w:rsidRPr="00CB6F40">
              <w:rPr>
                <w:rFonts w:eastAsia="Calibri"/>
              </w:rPr>
              <w:t>ms</w:t>
            </w:r>
            <w:proofErr w:type="spellEnd"/>
            <w:r w:rsidRPr="00CB6F40">
              <w:rPr>
                <w:rFonts w:eastAsia="Calibri"/>
              </w:rPr>
              <w:t>, whichever is shorter.</w:t>
            </w:r>
          </w:p>
        </w:tc>
        <w:tc>
          <w:tcPr>
            <w:tcW w:w="1091" w:type="dxa"/>
            <w:tcBorders>
              <w:top w:val="single" w:sz="4" w:space="0" w:color="auto"/>
              <w:left w:val="nil"/>
              <w:bottom w:val="single" w:sz="4" w:space="0" w:color="auto"/>
              <w:right w:val="nil"/>
            </w:tcBorders>
            <w:shd w:val="clear" w:color="auto" w:fill="FFFFFF"/>
            <w:hideMark/>
          </w:tcPr>
          <w:p w14:paraId="19D6FA9B" w14:textId="77777777" w:rsidR="0077553E" w:rsidRPr="00CB6F40" w:rsidRDefault="0077553E" w:rsidP="002438C5">
            <w:pPr>
              <w:spacing w:before="40" w:after="120"/>
              <w:ind w:right="113"/>
              <w:rPr>
                <w:rFonts w:eastAsia="Calibri"/>
              </w:rPr>
            </w:pPr>
            <w:r w:rsidRPr="00CB6F40">
              <w:rPr>
                <w:rFonts w:eastAsia="Calibri"/>
              </w:rPr>
              <w:t>500</w:t>
            </w:r>
          </w:p>
        </w:tc>
        <w:tc>
          <w:tcPr>
            <w:tcW w:w="1455" w:type="dxa"/>
            <w:tcBorders>
              <w:top w:val="single" w:sz="4" w:space="0" w:color="auto"/>
              <w:left w:val="nil"/>
              <w:bottom w:val="single" w:sz="4" w:space="0" w:color="auto"/>
              <w:right w:val="nil"/>
            </w:tcBorders>
            <w:shd w:val="clear" w:color="auto" w:fill="FFFFFF"/>
            <w:hideMark/>
          </w:tcPr>
          <w:p w14:paraId="6758C960" w14:textId="77777777" w:rsidR="0077553E" w:rsidRPr="00CB6F40" w:rsidRDefault="0077553E" w:rsidP="002438C5">
            <w:pPr>
              <w:spacing w:before="40" w:after="120"/>
              <w:ind w:right="113"/>
              <w:rPr>
                <w:rFonts w:eastAsia="Calibri"/>
              </w:rPr>
            </w:pPr>
            <w:r w:rsidRPr="00CB6F40">
              <w:rPr>
                <w:rFonts w:eastAsia="Calibri"/>
              </w:rPr>
              <w:t>-50 to +50g</w:t>
            </w:r>
          </w:p>
        </w:tc>
        <w:tc>
          <w:tcPr>
            <w:tcW w:w="1000" w:type="dxa"/>
            <w:tcBorders>
              <w:top w:val="single" w:sz="4" w:space="0" w:color="auto"/>
              <w:left w:val="nil"/>
              <w:bottom w:val="single" w:sz="4" w:space="0" w:color="auto"/>
              <w:right w:val="nil"/>
            </w:tcBorders>
            <w:shd w:val="clear" w:color="auto" w:fill="FFFFFF"/>
            <w:hideMark/>
          </w:tcPr>
          <w:p w14:paraId="54324323" w14:textId="77777777" w:rsidR="0077553E" w:rsidRPr="00CB6F40" w:rsidRDefault="0077553E" w:rsidP="002438C5">
            <w:pPr>
              <w:spacing w:before="40" w:after="120"/>
              <w:ind w:right="113"/>
              <w:rPr>
                <w:rFonts w:eastAsia="Calibri"/>
                <w:spacing w:val="-2"/>
              </w:rPr>
            </w:pPr>
            <w:r w:rsidRPr="00CB6F40">
              <w:rPr>
                <w:rFonts w:eastAsia="Calibri"/>
                <w:spacing w:val="-2"/>
              </w:rPr>
              <w:t>+/- 10%</w:t>
            </w:r>
            <w:r w:rsidRPr="00CB6F40">
              <w:rPr>
                <w:rStyle w:val="FootnoteReference"/>
                <w:rFonts w:eastAsia="Calibri"/>
                <w:b/>
                <w:bCs/>
                <w:spacing w:val="-2"/>
              </w:rPr>
              <w:footnoteReference w:customMarkFollows="1" w:id="3"/>
              <w:t>10</w:t>
            </w:r>
          </w:p>
        </w:tc>
        <w:tc>
          <w:tcPr>
            <w:tcW w:w="1182" w:type="dxa"/>
            <w:tcBorders>
              <w:top w:val="single" w:sz="4" w:space="0" w:color="auto"/>
              <w:left w:val="nil"/>
              <w:bottom w:val="single" w:sz="4" w:space="0" w:color="auto"/>
              <w:right w:val="nil"/>
            </w:tcBorders>
            <w:shd w:val="clear" w:color="auto" w:fill="FFFFFF"/>
            <w:hideMark/>
          </w:tcPr>
          <w:p w14:paraId="274678B2" w14:textId="77777777" w:rsidR="0077553E" w:rsidRPr="00CB6F40" w:rsidRDefault="0077553E" w:rsidP="002438C5">
            <w:pPr>
              <w:spacing w:before="40" w:after="120"/>
              <w:ind w:right="113"/>
              <w:rPr>
                <w:rFonts w:eastAsia="Calibri"/>
              </w:rPr>
            </w:pPr>
            <w:r w:rsidRPr="00CB6F40">
              <w:rPr>
                <w:rFonts w:eastAsia="SimSun"/>
                <w:lang w:eastAsia="zh-CN"/>
              </w:rPr>
              <w:t>1 g</w:t>
            </w:r>
          </w:p>
        </w:tc>
        <w:tc>
          <w:tcPr>
            <w:tcW w:w="1000" w:type="dxa"/>
            <w:tcBorders>
              <w:top w:val="single" w:sz="4" w:space="0" w:color="auto"/>
              <w:left w:val="nil"/>
              <w:bottom w:val="single" w:sz="4" w:space="0" w:color="auto"/>
              <w:right w:val="nil"/>
            </w:tcBorders>
            <w:shd w:val="clear" w:color="auto" w:fill="FFFFFF"/>
          </w:tcPr>
          <w:p w14:paraId="55911C7B" w14:textId="77777777" w:rsidR="0077553E" w:rsidRPr="00CB6F40" w:rsidRDefault="0077553E" w:rsidP="002438C5">
            <w:pPr>
              <w:spacing w:before="40" w:after="120"/>
              <w:ind w:right="113"/>
              <w:rPr>
                <w:rFonts w:eastAsia="Calibri"/>
              </w:rPr>
            </w:pPr>
            <w:r w:rsidRPr="00CB6F40">
              <w:rPr>
                <w:rFonts w:eastAsia="Calibri"/>
              </w:rPr>
              <w:t>Planar</w:t>
            </w:r>
          </w:p>
          <w:p w14:paraId="3AFE7007" w14:textId="77777777" w:rsidR="0077553E" w:rsidRPr="00CB6F40" w:rsidRDefault="0077553E" w:rsidP="002438C5">
            <w:pPr>
              <w:spacing w:before="40" w:after="120"/>
              <w:ind w:right="113"/>
              <w:rPr>
                <w:rFonts w:eastAsia="Calibri"/>
              </w:rPr>
            </w:pPr>
            <w:r w:rsidRPr="00CB6F40">
              <w:rPr>
                <w:rFonts w:eastAsia="Calibri"/>
              </w:rPr>
              <w:t>Rollover</w:t>
            </w:r>
            <w:r w:rsidRPr="00CB6F40">
              <w:rPr>
                <w:rStyle w:val="FootnoteReference"/>
                <w:rFonts w:eastAsia="Calibri"/>
                <w:b/>
                <w:bCs/>
              </w:rPr>
              <w:footnoteReference w:customMarkFollows="1" w:id="4"/>
              <w:t>11</w:t>
            </w:r>
          </w:p>
          <w:p w14:paraId="4E1C921C" w14:textId="77777777" w:rsidR="0077553E" w:rsidRPr="00CB6F40" w:rsidRDefault="0077553E" w:rsidP="002438C5">
            <w:pPr>
              <w:spacing w:before="40" w:after="120"/>
              <w:ind w:right="113"/>
              <w:rPr>
                <w:rFonts w:eastAsia="SimSun"/>
                <w:lang w:eastAsia="zh-CN"/>
              </w:rPr>
            </w:pPr>
          </w:p>
        </w:tc>
      </w:tr>
      <w:tr w:rsidR="0077553E" w:rsidRPr="00CB6F40" w14:paraId="3925A0AC" w14:textId="77777777" w:rsidTr="002438C5">
        <w:trPr>
          <w:cantSplit/>
        </w:trPr>
        <w:tc>
          <w:tcPr>
            <w:tcW w:w="1363" w:type="dxa"/>
            <w:tcBorders>
              <w:top w:val="single" w:sz="4" w:space="0" w:color="auto"/>
              <w:left w:val="nil"/>
              <w:bottom w:val="single" w:sz="4" w:space="0" w:color="auto"/>
              <w:right w:val="nil"/>
            </w:tcBorders>
            <w:hideMark/>
          </w:tcPr>
          <w:p w14:paraId="54BD660D" w14:textId="77777777" w:rsidR="0077553E" w:rsidRPr="00CB6F40" w:rsidRDefault="0077553E" w:rsidP="002438C5">
            <w:pPr>
              <w:spacing w:before="40" w:after="120"/>
              <w:ind w:right="113"/>
              <w:rPr>
                <w:rFonts w:eastAsia="Calibri"/>
                <w:lang w:eastAsia="en-US"/>
              </w:rPr>
            </w:pPr>
            <w:r w:rsidRPr="00CB6F40">
              <w:rPr>
                <w:rFonts w:eastAsia="Calibri"/>
              </w:rPr>
              <w:t>Longitudinal acceleration</w:t>
            </w:r>
          </w:p>
          <w:p w14:paraId="0100DFF6" w14:textId="77777777" w:rsidR="0077553E" w:rsidRPr="00CB6F40" w:rsidRDefault="0077553E" w:rsidP="002438C5">
            <w:pPr>
              <w:spacing w:before="40" w:after="120"/>
              <w:ind w:right="113"/>
              <w:rPr>
                <w:rFonts w:eastAsia="Calibri"/>
              </w:rPr>
            </w:pPr>
            <w:r w:rsidRPr="00CB6F40">
              <w:rPr>
                <w:rFonts w:eastAsia="Calibri"/>
              </w:rPr>
              <w:t>(post-crash)</w:t>
            </w:r>
          </w:p>
        </w:tc>
        <w:tc>
          <w:tcPr>
            <w:tcW w:w="1273" w:type="dxa"/>
            <w:tcBorders>
              <w:top w:val="single" w:sz="4" w:space="0" w:color="auto"/>
              <w:left w:val="nil"/>
              <w:bottom w:val="single" w:sz="4" w:space="0" w:color="auto"/>
              <w:right w:val="nil"/>
            </w:tcBorders>
            <w:hideMark/>
          </w:tcPr>
          <w:p w14:paraId="199C8EAD" w14:textId="77777777" w:rsidR="0077553E" w:rsidRPr="00CB6F40" w:rsidRDefault="0077553E" w:rsidP="002438C5">
            <w:pPr>
              <w:spacing w:before="40" w:after="120"/>
              <w:ind w:right="113"/>
              <w:rPr>
                <w:rFonts w:eastAsia="Calibri"/>
              </w:rPr>
            </w:pPr>
            <w:r w:rsidRPr="00CB6F40">
              <w:rPr>
                <w:rFonts w:eastAsia="Calibri"/>
              </w:rPr>
              <w:t xml:space="preserve">If </w:t>
            </w:r>
            <w:proofErr w:type="gramStart"/>
            <w:r w:rsidRPr="00CB6F40">
              <w:rPr>
                <w:rFonts w:eastAsia="Calibri"/>
              </w:rPr>
              <w:t>Recorded</w:t>
            </w:r>
            <w:proofErr w:type="gramEnd"/>
          </w:p>
        </w:tc>
        <w:tc>
          <w:tcPr>
            <w:tcW w:w="1273" w:type="dxa"/>
            <w:tcBorders>
              <w:top w:val="single" w:sz="4" w:space="0" w:color="auto"/>
              <w:left w:val="nil"/>
              <w:bottom w:val="single" w:sz="4" w:space="0" w:color="auto"/>
              <w:right w:val="nil"/>
            </w:tcBorders>
            <w:shd w:val="clear" w:color="auto" w:fill="FFFFFF"/>
            <w:hideMark/>
          </w:tcPr>
          <w:p w14:paraId="261A4011" w14:textId="77777777" w:rsidR="0077553E" w:rsidRPr="00CB6F40" w:rsidRDefault="0077553E" w:rsidP="002438C5">
            <w:pPr>
              <w:spacing w:before="40" w:after="120"/>
              <w:ind w:right="113"/>
              <w:rPr>
                <w:rFonts w:eastAsia="Calibri"/>
              </w:rPr>
            </w:pPr>
            <w:r w:rsidRPr="00CB6F40">
              <w:rPr>
                <w:rFonts w:eastAsia="Calibri"/>
              </w:rPr>
              <w:t xml:space="preserve">0–250 </w:t>
            </w:r>
            <w:proofErr w:type="spellStart"/>
            <w:r w:rsidRPr="00CB6F40">
              <w:rPr>
                <w:rFonts w:eastAsia="Calibri"/>
              </w:rPr>
              <w:t>ms</w:t>
            </w:r>
            <w:proofErr w:type="spellEnd"/>
            <w:r w:rsidRPr="00CB6F40">
              <w:rPr>
                <w:rFonts w:eastAsia="Calibri"/>
              </w:rPr>
              <w:t xml:space="preserve"> or 0 to End of Event Time plus 30 </w:t>
            </w:r>
            <w:proofErr w:type="spellStart"/>
            <w:r w:rsidRPr="00CB6F40">
              <w:rPr>
                <w:rFonts w:eastAsia="Calibri"/>
              </w:rPr>
              <w:t>ms</w:t>
            </w:r>
            <w:proofErr w:type="spellEnd"/>
            <w:r w:rsidRPr="00CB6F40">
              <w:rPr>
                <w:rFonts w:eastAsia="Calibri"/>
              </w:rPr>
              <w:t>, whichever is shorter.</w:t>
            </w:r>
          </w:p>
        </w:tc>
        <w:tc>
          <w:tcPr>
            <w:tcW w:w="1091" w:type="dxa"/>
            <w:tcBorders>
              <w:top w:val="single" w:sz="4" w:space="0" w:color="auto"/>
              <w:left w:val="nil"/>
              <w:bottom w:val="single" w:sz="4" w:space="0" w:color="auto"/>
              <w:right w:val="nil"/>
            </w:tcBorders>
            <w:shd w:val="clear" w:color="auto" w:fill="FFFFFF"/>
            <w:hideMark/>
          </w:tcPr>
          <w:p w14:paraId="58189A83" w14:textId="77777777" w:rsidR="0077553E" w:rsidRPr="00CB6F40" w:rsidRDefault="0077553E" w:rsidP="002438C5">
            <w:pPr>
              <w:spacing w:before="40" w:after="120"/>
              <w:ind w:right="113"/>
              <w:rPr>
                <w:rFonts w:eastAsia="Calibri"/>
              </w:rPr>
            </w:pPr>
            <w:r w:rsidRPr="00CB6F40">
              <w:rPr>
                <w:rFonts w:eastAsia="Calibri"/>
              </w:rPr>
              <w:t>500</w:t>
            </w:r>
          </w:p>
        </w:tc>
        <w:tc>
          <w:tcPr>
            <w:tcW w:w="1455" w:type="dxa"/>
            <w:tcBorders>
              <w:top w:val="single" w:sz="4" w:space="0" w:color="auto"/>
              <w:left w:val="nil"/>
              <w:bottom w:val="single" w:sz="4" w:space="0" w:color="auto"/>
              <w:right w:val="nil"/>
            </w:tcBorders>
            <w:shd w:val="clear" w:color="auto" w:fill="FFFFFF"/>
            <w:hideMark/>
          </w:tcPr>
          <w:p w14:paraId="42EC7CFA" w14:textId="77777777" w:rsidR="0077553E" w:rsidRPr="00CB6F40" w:rsidRDefault="0077553E" w:rsidP="002438C5">
            <w:pPr>
              <w:spacing w:before="40" w:after="120"/>
              <w:ind w:right="113"/>
              <w:rPr>
                <w:rFonts w:eastAsia="Calibri"/>
              </w:rPr>
            </w:pPr>
            <w:r w:rsidRPr="00CB6F40">
              <w:rPr>
                <w:rFonts w:eastAsia="Calibri"/>
              </w:rPr>
              <w:t>-50 to +50g</w:t>
            </w:r>
          </w:p>
        </w:tc>
        <w:tc>
          <w:tcPr>
            <w:tcW w:w="1000" w:type="dxa"/>
            <w:tcBorders>
              <w:top w:val="single" w:sz="4" w:space="0" w:color="auto"/>
              <w:left w:val="nil"/>
              <w:bottom w:val="single" w:sz="4" w:space="0" w:color="auto"/>
              <w:right w:val="nil"/>
            </w:tcBorders>
            <w:shd w:val="clear" w:color="auto" w:fill="FFFFFF"/>
            <w:hideMark/>
          </w:tcPr>
          <w:p w14:paraId="05835BD7" w14:textId="77777777" w:rsidR="0077553E" w:rsidRPr="00CB6F40" w:rsidRDefault="0077553E" w:rsidP="002438C5">
            <w:pPr>
              <w:spacing w:before="40" w:after="120"/>
              <w:ind w:right="113"/>
              <w:rPr>
                <w:rFonts w:eastAsia="Calibri"/>
                <w:spacing w:val="-2"/>
              </w:rPr>
            </w:pPr>
            <w:r w:rsidRPr="00CB6F40">
              <w:rPr>
                <w:rFonts w:eastAsia="Calibri"/>
                <w:spacing w:val="-2"/>
              </w:rPr>
              <w:t>+/- 10%</w:t>
            </w:r>
            <w:r w:rsidRPr="00CB6F40">
              <w:rPr>
                <w:rFonts w:eastAsia="Calibri"/>
                <w:b/>
                <w:spacing w:val="-2"/>
                <w:vertAlign w:val="superscript"/>
              </w:rPr>
              <w:t>10</w:t>
            </w:r>
            <w:r w:rsidRPr="00CB6F40">
              <w:rPr>
                <w:rFonts w:eastAsia="Calibri"/>
                <w:spacing w:val="-2"/>
                <w:u w:val="single"/>
              </w:rPr>
              <w:t xml:space="preserve"> </w:t>
            </w:r>
          </w:p>
        </w:tc>
        <w:tc>
          <w:tcPr>
            <w:tcW w:w="1182" w:type="dxa"/>
            <w:tcBorders>
              <w:top w:val="single" w:sz="4" w:space="0" w:color="auto"/>
              <w:left w:val="nil"/>
              <w:bottom w:val="single" w:sz="4" w:space="0" w:color="auto"/>
              <w:right w:val="nil"/>
            </w:tcBorders>
            <w:shd w:val="clear" w:color="auto" w:fill="FFFFFF"/>
            <w:hideMark/>
          </w:tcPr>
          <w:p w14:paraId="1B66F27E" w14:textId="77777777" w:rsidR="0077553E" w:rsidRPr="00CB6F40" w:rsidRDefault="0077553E" w:rsidP="002438C5">
            <w:pPr>
              <w:spacing w:before="40" w:after="120"/>
              <w:ind w:right="113"/>
              <w:rPr>
                <w:rFonts w:eastAsia="Calibri"/>
              </w:rPr>
            </w:pPr>
            <w:r w:rsidRPr="00CB6F40">
              <w:rPr>
                <w:rFonts w:eastAsia="SimSun"/>
                <w:lang w:eastAsia="zh-CN"/>
              </w:rPr>
              <w:t xml:space="preserve">1 g1 </w:t>
            </w:r>
          </w:p>
        </w:tc>
        <w:tc>
          <w:tcPr>
            <w:tcW w:w="1000" w:type="dxa"/>
            <w:tcBorders>
              <w:top w:val="single" w:sz="4" w:space="0" w:color="auto"/>
              <w:left w:val="nil"/>
              <w:bottom w:val="single" w:sz="4" w:space="0" w:color="auto"/>
              <w:right w:val="nil"/>
            </w:tcBorders>
            <w:shd w:val="clear" w:color="auto" w:fill="FFFFFF"/>
            <w:hideMark/>
          </w:tcPr>
          <w:p w14:paraId="577185C4" w14:textId="77777777" w:rsidR="0077553E" w:rsidRPr="00CB6F40" w:rsidRDefault="0077553E" w:rsidP="002438C5">
            <w:pPr>
              <w:spacing w:before="40" w:after="120"/>
              <w:ind w:right="113"/>
              <w:rPr>
                <w:rFonts w:eastAsia="SimSun"/>
                <w:lang w:eastAsia="zh-CN"/>
              </w:rPr>
            </w:pPr>
            <w:r w:rsidRPr="00CB6F40">
              <w:rPr>
                <w:rFonts w:eastAsia="Calibri"/>
              </w:rPr>
              <w:t>Planar</w:t>
            </w:r>
          </w:p>
        </w:tc>
      </w:tr>
    </w:tbl>
    <w:p w14:paraId="7391B29C" w14:textId="77777777" w:rsidR="0077553E" w:rsidRPr="00CB6F40" w:rsidRDefault="0077553E" w:rsidP="0077553E">
      <w:pPr>
        <w:rPr>
          <w:lang w:eastAsia="en-US"/>
        </w:rPr>
      </w:pPr>
      <w:r w:rsidRPr="00CB6F40">
        <w:rPr>
          <w:lang w:eastAsia="en-US"/>
        </w:rPr>
        <w:t>…"</w:t>
      </w:r>
    </w:p>
    <w:p w14:paraId="11C143C2" w14:textId="77777777" w:rsidR="00524E0D" w:rsidRPr="00CB6F40" w:rsidRDefault="00524E0D" w:rsidP="00524E0D">
      <w:pPr>
        <w:ind w:left="1134"/>
        <w:rPr>
          <w:i/>
          <w:iCs/>
        </w:rPr>
      </w:pPr>
      <w:r w:rsidRPr="00CB6F40">
        <w:rPr>
          <w:i/>
          <w:iCs/>
        </w:rPr>
        <w:t>Footnotes 10 and subsequent</w:t>
      </w:r>
      <w:r w:rsidRPr="00CB6F40">
        <w:rPr>
          <w:iCs/>
        </w:rPr>
        <w:t xml:space="preserve">, renumber as </w:t>
      </w:r>
      <w:r w:rsidRPr="00CB6F40">
        <w:rPr>
          <w:i/>
          <w:iCs/>
        </w:rPr>
        <w:t>Footnote 12 and further</w:t>
      </w:r>
      <w:r w:rsidRPr="00CB6F40">
        <w:rPr>
          <w:iCs/>
        </w:rPr>
        <w:t>.</w:t>
      </w:r>
    </w:p>
    <w:p w14:paraId="4923EA90" w14:textId="77777777" w:rsidR="00524E0D" w:rsidRPr="00CB6F40" w:rsidRDefault="00524E0D" w:rsidP="00524E0D">
      <w:pPr>
        <w:pStyle w:val="HChG"/>
        <w:rPr>
          <w:b w:val="0"/>
        </w:rPr>
      </w:pPr>
      <w:r w:rsidRPr="00CB6F40">
        <w:lastRenderedPageBreak/>
        <w:tab/>
        <w:t>II.</w:t>
      </w:r>
      <w:r w:rsidRPr="00CB6F40">
        <w:tab/>
        <w:t>Justification</w:t>
      </w:r>
    </w:p>
    <w:p w14:paraId="237E0D1E" w14:textId="35C5DBCD" w:rsidR="000707B7" w:rsidRPr="00CB6F40" w:rsidRDefault="000707B7" w:rsidP="000707B7">
      <w:pPr>
        <w:pStyle w:val="SingleTxtG"/>
        <w:numPr>
          <w:ilvl w:val="0"/>
          <w:numId w:val="20"/>
        </w:numPr>
        <w:ind w:left="1134" w:firstLine="0"/>
      </w:pPr>
      <w:bookmarkStart w:id="3" w:name="_Hlk124258670"/>
      <w:r w:rsidRPr="00CB6F40">
        <w:t xml:space="preserve">There are multiple ways in which the acceleration data accuracy tolerance can be applied.  This </w:t>
      </w:r>
      <w:r w:rsidR="00035F6B">
        <w:t xml:space="preserve">can potentially lead to different interpretations when applied by </w:t>
      </w:r>
      <w:r w:rsidRPr="00CB6F40">
        <w:t>type-approval authorities.  To resolve this the IWG specified that the currently specified accuracy tolerance be specified as "+/- 10 per cent of the full range of the accelerometer used in the ECU containing the EDR function".</w:t>
      </w:r>
    </w:p>
    <w:bookmarkEnd w:id="3"/>
    <w:p w14:paraId="35CA0740" w14:textId="77777777" w:rsidR="000707B7" w:rsidRPr="00CB6F40" w:rsidRDefault="000707B7" w:rsidP="000707B7">
      <w:pPr>
        <w:pStyle w:val="SingleTxtG"/>
        <w:numPr>
          <w:ilvl w:val="0"/>
          <w:numId w:val="20"/>
        </w:numPr>
        <w:ind w:left="1134" w:firstLine="0"/>
      </w:pPr>
      <w:r w:rsidRPr="00CB6F40">
        <w:t>In addition, since it is difficult to verify the acceleration sensor accuracy in crash tests, the IWG agreed to adopt a component test.  Since differences in sampling rates between the EDR and the test bench may exist, a time shifting algorithm was also specified.</w:t>
      </w:r>
    </w:p>
    <w:p w14:paraId="2284E371" w14:textId="77777777" w:rsidR="000707B7" w:rsidRPr="00CB6F40" w:rsidRDefault="000707B7" w:rsidP="000707B7">
      <w:pPr>
        <w:pStyle w:val="SingleTxtG"/>
        <w:numPr>
          <w:ilvl w:val="0"/>
          <w:numId w:val="20"/>
        </w:numPr>
        <w:ind w:left="1134" w:firstLine="0"/>
      </w:pPr>
      <w:r w:rsidRPr="00CB6F40">
        <w:t>Since lateral acceleration in rollover events are not recorded using the same sensors as used for lateral air bag deployments, the format requirements are not appropriate and thus a footnote was added to clarify that the format for lateral acceleration in rollover events is at the option of the manufacturer.</w:t>
      </w:r>
    </w:p>
    <w:p w14:paraId="5F161A93" w14:textId="7EA7C856" w:rsidR="000707B7" w:rsidRPr="00CB6F40" w:rsidRDefault="000707B7" w:rsidP="000707B7">
      <w:pPr>
        <w:pStyle w:val="SingleTxtG"/>
        <w:numPr>
          <w:ilvl w:val="0"/>
          <w:numId w:val="20"/>
        </w:numPr>
        <w:ind w:left="1134" w:firstLine="0"/>
      </w:pPr>
      <w:r w:rsidRPr="00CB6F40">
        <w:t xml:space="preserve">For added </w:t>
      </w:r>
      <w:r w:rsidR="003F22B2" w:rsidRPr="00CB6F40">
        <w:t>clari</w:t>
      </w:r>
      <w:r w:rsidR="003F22B2">
        <w:t>t</w:t>
      </w:r>
      <w:r w:rsidR="003F22B2" w:rsidRPr="00CB6F40">
        <w:t xml:space="preserve">y </w:t>
      </w:r>
      <w:r w:rsidRPr="00CB6F40">
        <w:t xml:space="preserve">an annex was added to include an illustration of the </w:t>
      </w:r>
      <w:r w:rsidR="00135850">
        <w:t>l</w:t>
      </w:r>
      <w:r w:rsidRPr="00CB6F40">
        <w:t xml:space="preserve">ateral and </w:t>
      </w:r>
      <w:r w:rsidR="00135850">
        <w:t>l</w:t>
      </w:r>
      <w:r w:rsidRPr="00CB6F40">
        <w:t>ongitudinal acceleration data element acceptant corridor.</w:t>
      </w:r>
    </w:p>
    <w:p w14:paraId="18D558DA" w14:textId="77777777" w:rsidR="00524E0D" w:rsidRPr="00CB6F40" w:rsidRDefault="00524E0D" w:rsidP="00524E0D">
      <w:pPr>
        <w:spacing w:before="240"/>
        <w:jc w:val="center"/>
        <w:rPr>
          <w:u w:val="single"/>
        </w:rPr>
      </w:pPr>
      <w:r w:rsidRPr="00CB6F40">
        <w:rPr>
          <w:u w:val="single"/>
        </w:rPr>
        <w:tab/>
      </w:r>
      <w:r w:rsidRPr="00CB6F40">
        <w:rPr>
          <w:u w:val="single"/>
        </w:rPr>
        <w:tab/>
      </w:r>
      <w:r w:rsidRPr="00CB6F40">
        <w:rPr>
          <w:u w:val="single"/>
        </w:rPr>
        <w:tab/>
      </w:r>
    </w:p>
    <w:p w14:paraId="4BBE6CB3" w14:textId="77777777" w:rsidR="00524E0D" w:rsidRPr="00CB6F40" w:rsidRDefault="00524E0D" w:rsidP="00524E0D"/>
    <w:p w14:paraId="04B0F312" w14:textId="77777777" w:rsidR="001C6663" w:rsidRPr="00CB6F40" w:rsidRDefault="001C6663" w:rsidP="00646352">
      <w:pPr>
        <w:tabs>
          <w:tab w:val="center" w:pos="4819"/>
        </w:tabs>
        <w:spacing w:before="120"/>
      </w:pPr>
    </w:p>
    <w:sectPr w:rsidR="001C6663" w:rsidRPr="00CB6F40" w:rsidSect="00646352">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703C" w14:textId="77777777" w:rsidR="005C0D14" w:rsidRDefault="005C0D14"/>
  </w:endnote>
  <w:endnote w:type="continuationSeparator" w:id="0">
    <w:p w14:paraId="5DC6AD7F" w14:textId="77777777" w:rsidR="005C0D14" w:rsidRDefault="005C0D14"/>
  </w:endnote>
  <w:endnote w:type="continuationNotice" w:id="1">
    <w:p w14:paraId="1798444F" w14:textId="77777777" w:rsidR="005C0D14" w:rsidRDefault="005C0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2630" w14:textId="08C82816" w:rsidR="00646352" w:rsidRPr="00646352" w:rsidRDefault="00646352" w:rsidP="00646352">
    <w:pPr>
      <w:pStyle w:val="Footer"/>
      <w:tabs>
        <w:tab w:val="right" w:pos="9638"/>
      </w:tabs>
      <w:rPr>
        <w:sz w:val="18"/>
      </w:rPr>
    </w:pPr>
    <w:r w:rsidRPr="00646352">
      <w:rPr>
        <w:b/>
        <w:sz w:val="18"/>
      </w:rPr>
      <w:fldChar w:fldCharType="begin"/>
    </w:r>
    <w:r w:rsidRPr="00646352">
      <w:rPr>
        <w:b/>
        <w:sz w:val="18"/>
      </w:rPr>
      <w:instrText xml:space="preserve"> PAGE  \* MERGEFORMAT </w:instrText>
    </w:r>
    <w:r w:rsidRPr="00646352">
      <w:rPr>
        <w:b/>
        <w:sz w:val="18"/>
      </w:rPr>
      <w:fldChar w:fldCharType="separate"/>
    </w:r>
    <w:r w:rsidRPr="00646352">
      <w:rPr>
        <w:b/>
        <w:noProof/>
        <w:sz w:val="18"/>
      </w:rPr>
      <w:t>2</w:t>
    </w:r>
    <w:r w:rsidRPr="0064635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C218" w14:textId="4EBB5F91" w:rsidR="00646352" w:rsidRPr="00646352" w:rsidRDefault="00646352" w:rsidP="00646352">
    <w:pPr>
      <w:pStyle w:val="Footer"/>
      <w:tabs>
        <w:tab w:val="right" w:pos="9638"/>
      </w:tabs>
      <w:rPr>
        <w:b/>
        <w:sz w:val="18"/>
      </w:rPr>
    </w:pPr>
    <w:r>
      <w:tab/>
    </w:r>
    <w:r w:rsidRPr="00646352">
      <w:rPr>
        <w:b/>
        <w:sz w:val="18"/>
      </w:rPr>
      <w:fldChar w:fldCharType="begin"/>
    </w:r>
    <w:r w:rsidRPr="00646352">
      <w:rPr>
        <w:b/>
        <w:sz w:val="18"/>
      </w:rPr>
      <w:instrText xml:space="preserve"> PAGE  \* MERGEFORMAT </w:instrText>
    </w:r>
    <w:r w:rsidRPr="00646352">
      <w:rPr>
        <w:b/>
        <w:sz w:val="18"/>
      </w:rPr>
      <w:fldChar w:fldCharType="separate"/>
    </w:r>
    <w:r w:rsidRPr="00646352">
      <w:rPr>
        <w:b/>
        <w:noProof/>
        <w:sz w:val="18"/>
      </w:rPr>
      <w:t>3</w:t>
    </w:r>
    <w:r w:rsidRPr="0064635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778E" w14:textId="00616AC2" w:rsidR="004E0D38" w:rsidRDefault="004E0D38" w:rsidP="004E0D38">
    <w:pPr>
      <w:pStyle w:val="Footer"/>
    </w:pPr>
    <w:r w:rsidRPr="0027112F">
      <w:rPr>
        <w:noProof/>
        <w:lang w:val="en-US"/>
      </w:rPr>
      <w:drawing>
        <wp:anchor distT="0" distB="0" distL="114300" distR="114300" simplePos="0" relativeHeight="251659264" behindDoc="0" locked="1" layoutInCell="1" allowOverlap="1" wp14:anchorId="0387B3E7" wp14:editId="080D46C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44950DF" w14:textId="043DA981" w:rsidR="004E0D38" w:rsidRPr="004E0D38" w:rsidRDefault="004E0D38" w:rsidP="004E0D38">
    <w:pPr>
      <w:pStyle w:val="Footer"/>
      <w:ind w:right="1134"/>
      <w:rPr>
        <w:sz w:val="20"/>
      </w:rPr>
    </w:pPr>
    <w:r>
      <w:rPr>
        <w:sz w:val="20"/>
      </w:rPr>
      <w:t>GE.23-00454(E)</w:t>
    </w:r>
    <w:r>
      <w:rPr>
        <w:noProof/>
        <w:sz w:val="20"/>
      </w:rPr>
      <w:drawing>
        <wp:anchor distT="0" distB="0" distL="114300" distR="114300" simplePos="0" relativeHeight="251660288" behindDoc="0" locked="0" layoutInCell="1" allowOverlap="1" wp14:anchorId="155564D5" wp14:editId="70E0E9BA">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EFA7" w14:textId="77777777" w:rsidR="005C0D14" w:rsidRPr="000B175B" w:rsidRDefault="005C0D14" w:rsidP="000B175B">
      <w:pPr>
        <w:tabs>
          <w:tab w:val="right" w:pos="2155"/>
        </w:tabs>
        <w:spacing w:after="80"/>
        <w:ind w:left="680"/>
        <w:rPr>
          <w:u w:val="single"/>
        </w:rPr>
      </w:pPr>
      <w:r>
        <w:rPr>
          <w:u w:val="single"/>
        </w:rPr>
        <w:tab/>
      </w:r>
    </w:p>
  </w:footnote>
  <w:footnote w:type="continuationSeparator" w:id="0">
    <w:p w14:paraId="205F5C3C" w14:textId="77777777" w:rsidR="005C0D14" w:rsidRPr="00FC68B7" w:rsidRDefault="005C0D14" w:rsidP="00FC68B7">
      <w:pPr>
        <w:tabs>
          <w:tab w:val="left" w:pos="2155"/>
        </w:tabs>
        <w:spacing w:after="80"/>
        <w:ind w:left="680"/>
        <w:rPr>
          <w:u w:val="single"/>
        </w:rPr>
      </w:pPr>
      <w:r>
        <w:rPr>
          <w:u w:val="single"/>
        </w:rPr>
        <w:tab/>
      </w:r>
    </w:p>
  </w:footnote>
  <w:footnote w:type="continuationNotice" w:id="1">
    <w:p w14:paraId="21EFA23F" w14:textId="77777777" w:rsidR="005C0D14" w:rsidRDefault="005C0D14"/>
  </w:footnote>
  <w:footnote w:id="2">
    <w:p w14:paraId="17D83499" w14:textId="77777777" w:rsidR="00646352" w:rsidRPr="00EA370C" w:rsidRDefault="00646352" w:rsidP="00646352">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 xml:space="preserve">2023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3</w:t>
      </w:r>
      <w:r w:rsidRPr="005936E3">
        <w:rPr>
          <w:szCs w:val="18"/>
          <w:lang w:val="en-US"/>
        </w:rPr>
        <w:t xml:space="preserve"> (</w:t>
      </w:r>
      <w:r w:rsidRPr="00CC0197">
        <w:rPr>
          <w:lang w:val="en-US"/>
        </w:rPr>
        <w:t>A/77/6 (Sect. 20), table 20.6)</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76D9231F" w14:textId="05BD99D6" w:rsidR="0077553E" w:rsidRPr="00641712" w:rsidRDefault="0077553E" w:rsidP="0077553E">
      <w:pPr>
        <w:pStyle w:val="FootnoteText"/>
        <w:rPr>
          <w:lang w:val="en-US"/>
        </w:rPr>
      </w:pPr>
      <w:r>
        <w:tab/>
      </w:r>
      <w:r w:rsidRPr="00C1356C">
        <w:rPr>
          <w:rStyle w:val="FootnoteReference"/>
          <w:b/>
          <w:bCs/>
        </w:rPr>
        <w:t>10</w:t>
      </w:r>
      <w:r>
        <w:t xml:space="preserve"> </w:t>
      </w:r>
      <w:bookmarkStart w:id="2" w:name="_Hlk121042371"/>
      <w:r>
        <w:tab/>
      </w:r>
      <w:r w:rsidRPr="00080CF2">
        <w:rPr>
          <w:b/>
        </w:rPr>
        <w:t>+/- 10</w:t>
      </w:r>
      <w:r w:rsidR="00772D26">
        <w:rPr>
          <w:b/>
        </w:rPr>
        <w:t xml:space="preserve"> per cent</w:t>
      </w:r>
      <w:r w:rsidR="00772D26" w:rsidRPr="00080CF2">
        <w:rPr>
          <w:b/>
        </w:rPr>
        <w:t xml:space="preserve"> </w:t>
      </w:r>
      <w:r w:rsidRPr="00080CF2">
        <w:rPr>
          <w:b/>
        </w:rPr>
        <w:t>of the full range of the accelerometer used in the E</w:t>
      </w:r>
      <w:r>
        <w:rPr>
          <w:b/>
        </w:rPr>
        <w:t xml:space="preserve">lectronic </w:t>
      </w:r>
      <w:r w:rsidRPr="00080CF2">
        <w:rPr>
          <w:b/>
        </w:rPr>
        <w:t>C</w:t>
      </w:r>
      <w:r>
        <w:rPr>
          <w:b/>
        </w:rPr>
        <w:t>ontrol Unit (EC</w:t>
      </w:r>
      <w:r w:rsidRPr="00080CF2">
        <w:rPr>
          <w:b/>
        </w:rPr>
        <w:t>U</w:t>
      </w:r>
      <w:r>
        <w:rPr>
          <w:b/>
        </w:rPr>
        <w:t>)</w:t>
      </w:r>
      <w:r w:rsidRPr="00080CF2">
        <w:rPr>
          <w:b/>
        </w:rPr>
        <w:t xml:space="preserve"> containing the EDR function</w:t>
      </w:r>
      <w:bookmarkEnd w:id="2"/>
      <w:r w:rsidRPr="00080CF2">
        <w:rPr>
          <w:b/>
        </w:rPr>
        <w:t xml:space="preserve"> as specified in </w:t>
      </w:r>
      <w:r>
        <w:rPr>
          <w:b/>
          <w:bCs/>
        </w:rPr>
        <w:t>paragraph</w:t>
      </w:r>
      <w:r w:rsidRPr="00080CF2">
        <w:rPr>
          <w:b/>
        </w:rPr>
        <w:t xml:space="preserve"> 6.1.5</w:t>
      </w:r>
      <w:r>
        <w:rPr>
          <w:b/>
        </w:rPr>
        <w:t>.</w:t>
      </w:r>
    </w:p>
  </w:footnote>
  <w:footnote w:id="4">
    <w:p w14:paraId="03255FFD" w14:textId="55C34D54" w:rsidR="0077553E" w:rsidRPr="00641712" w:rsidRDefault="0077553E" w:rsidP="0077553E">
      <w:pPr>
        <w:pStyle w:val="FootnoteText"/>
        <w:rPr>
          <w:lang w:val="en-US"/>
        </w:rPr>
      </w:pPr>
      <w:r>
        <w:rPr>
          <w:b/>
          <w:bCs/>
        </w:rPr>
        <w:tab/>
      </w:r>
      <w:r w:rsidRPr="00121B70">
        <w:rPr>
          <w:rStyle w:val="FootnoteReference"/>
          <w:b/>
          <w:bCs/>
        </w:rPr>
        <w:t>11</w:t>
      </w:r>
      <w:r w:rsidRPr="00121B70">
        <w:rPr>
          <w:b/>
          <w:bCs/>
        </w:rPr>
        <w:t xml:space="preserve"> </w:t>
      </w:r>
      <w:r>
        <w:rPr>
          <w:b/>
          <w:bCs/>
        </w:rPr>
        <w:tab/>
      </w:r>
      <w:r w:rsidRPr="00080CF2">
        <w:rPr>
          <w:b/>
        </w:rPr>
        <w:t>Format for lateral acceleration recorded in rollover is at the option of the manufacturer</w:t>
      </w:r>
      <w:r w:rsidR="00772D26">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59A1" w14:textId="1460BF15" w:rsidR="00646352" w:rsidRPr="00646352" w:rsidRDefault="001267CD">
    <w:pPr>
      <w:pStyle w:val="Header"/>
    </w:pPr>
    <w:r>
      <w:t>ECE/TRANS/WP.29/GRSG/2023/12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7322" w14:textId="37131437" w:rsidR="00646352" w:rsidRPr="00646352" w:rsidRDefault="001267CD" w:rsidP="00646352">
    <w:pPr>
      <w:pStyle w:val="Header"/>
      <w:jc w:val="right"/>
    </w:pPr>
    <w:r>
      <w:t>ECE/TRANS/WP.29/GRSG/2023/12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0B93083"/>
    <w:multiLevelType w:val="hybridMultilevel"/>
    <w:tmpl w:val="F4CA9A90"/>
    <w:lvl w:ilvl="0" w:tplc="05EA3F3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7"/>
  </w:num>
  <w:num w:numId="16">
    <w:abstractNumId w:val="14"/>
  </w:num>
  <w:num w:numId="17">
    <w:abstractNumId w:val="18"/>
  </w:num>
  <w:num w:numId="18">
    <w:abstractNumId w:val="19"/>
  </w:num>
  <w:num w:numId="19">
    <w:abstractNumId w:val="11"/>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pt-B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52"/>
    <w:rsid w:val="00002A7D"/>
    <w:rsid w:val="000038A8"/>
    <w:rsid w:val="00005DF3"/>
    <w:rsid w:val="00006790"/>
    <w:rsid w:val="00027624"/>
    <w:rsid w:val="00035F6B"/>
    <w:rsid w:val="00050F6B"/>
    <w:rsid w:val="000678CD"/>
    <w:rsid w:val="000707B7"/>
    <w:rsid w:val="00072C8C"/>
    <w:rsid w:val="00081CE0"/>
    <w:rsid w:val="00084D30"/>
    <w:rsid w:val="00090320"/>
    <w:rsid w:val="000931C0"/>
    <w:rsid w:val="00097003"/>
    <w:rsid w:val="000A2E09"/>
    <w:rsid w:val="000B175B"/>
    <w:rsid w:val="000B3A0F"/>
    <w:rsid w:val="000B6BF2"/>
    <w:rsid w:val="000C40EE"/>
    <w:rsid w:val="000E0415"/>
    <w:rsid w:val="000F7715"/>
    <w:rsid w:val="001267CD"/>
    <w:rsid w:val="00135850"/>
    <w:rsid w:val="00156B99"/>
    <w:rsid w:val="00156D4D"/>
    <w:rsid w:val="00166124"/>
    <w:rsid w:val="00184DDA"/>
    <w:rsid w:val="001900CD"/>
    <w:rsid w:val="001A0452"/>
    <w:rsid w:val="001B4B04"/>
    <w:rsid w:val="001B5875"/>
    <w:rsid w:val="001C4B9C"/>
    <w:rsid w:val="001C512B"/>
    <w:rsid w:val="001C6663"/>
    <w:rsid w:val="001C7895"/>
    <w:rsid w:val="001D26DF"/>
    <w:rsid w:val="001E41D4"/>
    <w:rsid w:val="001F086A"/>
    <w:rsid w:val="001F1599"/>
    <w:rsid w:val="001F19C4"/>
    <w:rsid w:val="002043F0"/>
    <w:rsid w:val="00211E0B"/>
    <w:rsid w:val="00232575"/>
    <w:rsid w:val="00247258"/>
    <w:rsid w:val="00257CAC"/>
    <w:rsid w:val="002641DB"/>
    <w:rsid w:val="0027237A"/>
    <w:rsid w:val="00280B15"/>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3F22B2"/>
    <w:rsid w:val="003F7AC9"/>
    <w:rsid w:val="00413520"/>
    <w:rsid w:val="004325CB"/>
    <w:rsid w:val="00440A07"/>
    <w:rsid w:val="00462880"/>
    <w:rsid w:val="00476F24"/>
    <w:rsid w:val="004A5D33"/>
    <w:rsid w:val="004C33FF"/>
    <w:rsid w:val="004C55B0"/>
    <w:rsid w:val="004D4E91"/>
    <w:rsid w:val="004E0D38"/>
    <w:rsid w:val="004F6BA0"/>
    <w:rsid w:val="00503BEA"/>
    <w:rsid w:val="00524E0D"/>
    <w:rsid w:val="00533616"/>
    <w:rsid w:val="00535ABA"/>
    <w:rsid w:val="0053768B"/>
    <w:rsid w:val="005420F2"/>
    <w:rsid w:val="0054285C"/>
    <w:rsid w:val="00584173"/>
    <w:rsid w:val="00595520"/>
    <w:rsid w:val="005A44B9"/>
    <w:rsid w:val="005B1BA0"/>
    <w:rsid w:val="005B3DB3"/>
    <w:rsid w:val="005C0268"/>
    <w:rsid w:val="005C0D14"/>
    <w:rsid w:val="005D15CA"/>
    <w:rsid w:val="005E159D"/>
    <w:rsid w:val="005F08DF"/>
    <w:rsid w:val="005F3066"/>
    <w:rsid w:val="005F3E61"/>
    <w:rsid w:val="00604DDD"/>
    <w:rsid w:val="006115CC"/>
    <w:rsid w:val="00611FC4"/>
    <w:rsid w:val="006176FB"/>
    <w:rsid w:val="00630FCB"/>
    <w:rsid w:val="00640B26"/>
    <w:rsid w:val="00641712"/>
    <w:rsid w:val="00646352"/>
    <w:rsid w:val="0065766B"/>
    <w:rsid w:val="006770B2"/>
    <w:rsid w:val="00686A48"/>
    <w:rsid w:val="0068763C"/>
    <w:rsid w:val="006940E1"/>
    <w:rsid w:val="006A13ED"/>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72D26"/>
    <w:rsid w:val="0077553E"/>
    <w:rsid w:val="00780C68"/>
    <w:rsid w:val="007959FE"/>
    <w:rsid w:val="007A0CF1"/>
    <w:rsid w:val="007B6BA5"/>
    <w:rsid w:val="007C3390"/>
    <w:rsid w:val="007C42D8"/>
    <w:rsid w:val="007C4F4B"/>
    <w:rsid w:val="007D6F65"/>
    <w:rsid w:val="007D7362"/>
    <w:rsid w:val="007F090C"/>
    <w:rsid w:val="007F5CE2"/>
    <w:rsid w:val="007F6611"/>
    <w:rsid w:val="00810BAC"/>
    <w:rsid w:val="008159B6"/>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109B8"/>
    <w:rsid w:val="00926E47"/>
    <w:rsid w:val="00947162"/>
    <w:rsid w:val="009610D0"/>
    <w:rsid w:val="0096375C"/>
    <w:rsid w:val="009662E6"/>
    <w:rsid w:val="0097095E"/>
    <w:rsid w:val="0098592B"/>
    <w:rsid w:val="00985FC4"/>
    <w:rsid w:val="00990766"/>
    <w:rsid w:val="00991261"/>
    <w:rsid w:val="009964C4"/>
    <w:rsid w:val="009A7B81"/>
    <w:rsid w:val="009B7EB7"/>
    <w:rsid w:val="009D01C0"/>
    <w:rsid w:val="009D6A08"/>
    <w:rsid w:val="009E0A16"/>
    <w:rsid w:val="009E6CB7"/>
    <w:rsid w:val="009E7970"/>
    <w:rsid w:val="009F2EAC"/>
    <w:rsid w:val="009F57E3"/>
    <w:rsid w:val="00A10F4F"/>
    <w:rsid w:val="00A11067"/>
    <w:rsid w:val="00A1704A"/>
    <w:rsid w:val="00A36AC2"/>
    <w:rsid w:val="00A425EB"/>
    <w:rsid w:val="00A642D4"/>
    <w:rsid w:val="00A72F22"/>
    <w:rsid w:val="00A733BC"/>
    <w:rsid w:val="00A748A6"/>
    <w:rsid w:val="00A76A69"/>
    <w:rsid w:val="00A879A4"/>
    <w:rsid w:val="00AA0FF8"/>
    <w:rsid w:val="00AC0F2C"/>
    <w:rsid w:val="00AC502A"/>
    <w:rsid w:val="00AE1E26"/>
    <w:rsid w:val="00AE1F28"/>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D0235"/>
    <w:rsid w:val="00BE36A9"/>
    <w:rsid w:val="00BE618E"/>
    <w:rsid w:val="00BE7BEC"/>
    <w:rsid w:val="00BF0A5A"/>
    <w:rsid w:val="00BF0E63"/>
    <w:rsid w:val="00BF12A3"/>
    <w:rsid w:val="00BF16D7"/>
    <w:rsid w:val="00BF2373"/>
    <w:rsid w:val="00BF279B"/>
    <w:rsid w:val="00C0389F"/>
    <w:rsid w:val="00C044E2"/>
    <w:rsid w:val="00C048CB"/>
    <w:rsid w:val="00C066F3"/>
    <w:rsid w:val="00C463DD"/>
    <w:rsid w:val="00C745C3"/>
    <w:rsid w:val="00C978F5"/>
    <w:rsid w:val="00CA24A4"/>
    <w:rsid w:val="00CB348D"/>
    <w:rsid w:val="00CB6F40"/>
    <w:rsid w:val="00CD46F5"/>
    <w:rsid w:val="00CE4A8F"/>
    <w:rsid w:val="00CF071D"/>
    <w:rsid w:val="00D0123D"/>
    <w:rsid w:val="00D15B04"/>
    <w:rsid w:val="00D17E9F"/>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4DFB"/>
    <w:rsid w:val="00DF7CAE"/>
    <w:rsid w:val="00E1088B"/>
    <w:rsid w:val="00E249A0"/>
    <w:rsid w:val="00E423C0"/>
    <w:rsid w:val="00E431DC"/>
    <w:rsid w:val="00E6414C"/>
    <w:rsid w:val="00E7260F"/>
    <w:rsid w:val="00E81270"/>
    <w:rsid w:val="00E8702D"/>
    <w:rsid w:val="00E905F4"/>
    <w:rsid w:val="00E916A9"/>
    <w:rsid w:val="00E916DE"/>
    <w:rsid w:val="00E925AD"/>
    <w:rsid w:val="00E96630"/>
    <w:rsid w:val="00EA25C6"/>
    <w:rsid w:val="00ED18DC"/>
    <w:rsid w:val="00ED6201"/>
    <w:rsid w:val="00ED7A2A"/>
    <w:rsid w:val="00EF1D7F"/>
    <w:rsid w:val="00EF342A"/>
    <w:rsid w:val="00F0137E"/>
    <w:rsid w:val="00F04E44"/>
    <w:rsid w:val="00F21786"/>
    <w:rsid w:val="00F25D06"/>
    <w:rsid w:val="00F31CFF"/>
    <w:rsid w:val="00F3742B"/>
    <w:rsid w:val="00F41FDB"/>
    <w:rsid w:val="00F47CFC"/>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B0EF"/>
  <w15:docId w15:val="{6AEFF42D-0423-4DA4-B0A9-4B488F86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uiPriority w:val="99"/>
    <w:locked/>
    <w:rsid w:val="00646352"/>
    <w:rPr>
      <w:b/>
      <w:sz w:val="28"/>
      <w:lang w:val="en-GB"/>
    </w:rPr>
  </w:style>
  <w:style w:type="character" w:customStyle="1" w:styleId="SingleTxtGChar">
    <w:name w:val="_ Single Txt_G Char"/>
    <w:link w:val="SingleTxtG"/>
    <w:qFormat/>
    <w:locked/>
    <w:rsid w:val="00DF4DFB"/>
    <w:rPr>
      <w:lang w:val="en-GB"/>
    </w:rPr>
  </w:style>
  <w:style w:type="character" w:styleId="CommentReference">
    <w:name w:val="annotation reference"/>
    <w:basedOn w:val="DefaultParagraphFont"/>
    <w:semiHidden/>
    <w:unhideWhenUsed/>
    <w:rsid w:val="008159B6"/>
    <w:rPr>
      <w:sz w:val="16"/>
      <w:szCs w:val="16"/>
    </w:rPr>
  </w:style>
  <w:style w:type="paragraph" w:styleId="CommentText">
    <w:name w:val="annotation text"/>
    <w:basedOn w:val="Normal"/>
    <w:link w:val="CommentTextChar"/>
    <w:semiHidden/>
    <w:unhideWhenUsed/>
    <w:rsid w:val="008159B6"/>
    <w:pPr>
      <w:spacing w:line="240" w:lineRule="auto"/>
    </w:pPr>
  </w:style>
  <w:style w:type="character" w:customStyle="1" w:styleId="CommentTextChar">
    <w:name w:val="Comment Text Char"/>
    <w:basedOn w:val="DefaultParagraphFont"/>
    <w:link w:val="CommentText"/>
    <w:semiHidden/>
    <w:rsid w:val="008159B6"/>
    <w:rPr>
      <w:lang w:val="en-GB"/>
    </w:rPr>
  </w:style>
  <w:style w:type="paragraph" w:styleId="CommentSubject">
    <w:name w:val="annotation subject"/>
    <w:basedOn w:val="CommentText"/>
    <w:next w:val="CommentText"/>
    <w:link w:val="CommentSubjectChar"/>
    <w:semiHidden/>
    <w:unhideWhenUsed/>
    <w:rsid w:val="000B6BF2"/>
    <w:rPr>
      <w:b/>
      <w:bCs/>
    </w:rPr>
  </w:style>
  <w:style w:type="character" w:customStyle="1" w:styleId="CommentSubjectChar">
    <w:name w:val="Comment Subject Char"/>
    <w:basedOn w:val="CommentTextChar"/>
    <w:link w:val="CommentSubject"/>
    <w:semiHidden/>
    <w:rsid w:val="000B6BF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BD3FB-AEC1-4411-96B6-537AC8F18AF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2B24CE7-DBA8-4AB5-8068-AD4ABBE2E90A}">
  <ds:schemaRefs>
    <ds:schemaRef ds:uri="http://schemas.microsoft.com/sharepoint/v3/contenttype/forms"/>
  </ds:schemaRefs>
</ds:datastoreItem>
</file>

<file path=customXml/itemProps4.xml><?xml version="1.0" encoding="utf-8"?>
<ds:datastoreItem xmlns:ds="http://schemas.openxmlformats.org/officeDocument/2006/customXml" ds:itemID="{2AD21754-3B78-4861-9B69-5AF03298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5227</Characters>
  <Application>Microsoft Office Word</Application>
  <DocSecurity>0</DocSecurity>
  <Lines>143</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ECE/TRANS/WP.29/GRSG/2023/12</vt:lpstr>
      <vt:lpstr/>
    </vt:vector>
  </TitlesOfParts>
  <Company>CSD</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ECE/TRANS/WP.29/GRSG/2023/12</dc:title>
  <dc:subject>2300454</dc:subject>
  <dc:creator>Edoardo Gianotti</dc:creator>
  <cp:keywords/>
  <dc:description/>
  <cp:lastModifiedBy>Don Canete Martin</cp:lastModifiedBy>
  <cp:revision>2</cp:revision>
  <cp:lastPrinted>2023-01-10T16:12:00Z</cp:lastPrinted>
  <dcterms:created xsi:type="dcterms:W3CDTF">2023-01-11T14:14:00Z</dcterms:created>
  <dcterms:modified xsi:type="dcterms:W3CDTF">2023-01-11T14:14:00Z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