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BDD8709" w14:textId="77777777" w:rsidTr="00C97039">
        <w:trPr>
          <w:trHeight w:hRule="exact" w:val="851"/>
        </w:trPr>
        <w:tc>
          <w:tcPr>
            <w:tcW w:w="1276" w:type="dxa"/>
            <w:tcBorders>
              <w:bottom w:val="single" w:sz="4" w:space="0" w:color="auto"/>
            </w:tcBorders>
          </w:tcPr>
          <w:p w14:paraId="55149AE6" w14:textId="77777777" w:rsidR="00F35BAF" w:rsidRPr="00DB58B5" w:rsidRDefault="00F35BAF" w:rsidP="005E1A48"/>
        </w:tc>
        <w:tc>
          <w:tcPr>
            <w:tcW w:w="2268" w:type="dxa"/>
            <w:tcBorders>
              <w:bottom w:val="single" w:sz="4" w:space="0" w:color="auto"/>
            </w:tcBorders>
            <w:vAlign w:val="bottom"/>
          </w:tcPr>
          <w:p w14:paraId="12873D5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94875D6" w14:textId="2E12A2F2" w:rsidR="00F35BAF" w:rsidRPr="00DB58B5" w:rsidRDefault="005E1A48" w:rsidP="005E1A48">
            <w:pPr>
              <w:jc w:val="right"/>
            </w:pPr>
            <w:r w:rsidRPr="005E1A48">
              <w:rPr>
                <w:sz w:val="40"/>
              </w:rPr>
              <w:t>ECE</w:t>
            </w:r>
            <w:r>
              <w:t>/TRANS/WP.29/GRSG/2023/4</w:t>
            </w:r>
          </w:p>
        </w:tc>
      </w:tr>
      <w:tr w:rsidR="00F35BAF" w:rsidRPr="00DB58B5" w14:paraId="6FB2E098" w14:textId="77777777" w:rsidTr="00C97039">
        <w:trPr>
          <w:trHeight w:hRule="exact" w:val="2835"/>
        </w:trPr>
        <w:tc>
          <w:tcPr>
            <w:tcW w:w="1276" w:type="dxa"/>
            <w:tcBorders>
              <w:top w:val="single" w:sz="4" w:space="0" w:color="auto"/>
              <w:bottom w:val="single" w:sz="12" w:space="0" w:color="auto"/>
            </w:tcBorders>
          </w:tcPr>
          <w:p w14:paraId="1C921427" w14:textId="77777777" w:rsidR="00F35BAF" w:rsidRPr="00DB58B5" w:rsidRDefault="00F35BAF" w:rsidP="00C97039">
            <w:pPr>
              <w:spacing w:before="120"/>
              <w:jc w:val="center"/>
            </w:pPr>
            <w:r>
              <w:rPr>
                <w:noProof/>
                <w:lang w:eastAsia="fr-CH"/>
              </w:rPr>
              <w:drawing>
                <wp:inline distT="0" distB="0" distL="0" distR="0" wp14:anchorId="19160EA9" wp14:editId="7E3D157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1BD24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AC3A338" w14:textId="77777777" w:rsidR="00F35BAF" w:rsidRDefault="005E1A48" w:rsidP="00C97039">
            <w:pPr>
              <w:spacing w:before="240"/>
            </w:pPr>
            <w:proofErr w:type="spellStart"/>
            <w:r>
              <w:t>Distr</w:t>
            </w:r>
            <w:proofErr w:type="spellEnd"/>
            <w:r>
              <w:t>. générale</w:t>
            </w:r>
          </w:p>
          <w:p w14:paraId="3E89E015" w14:textId="77777777" w:rsidR="005E1A48" w:rsidRDefault="005E1A48" w:rsidP="005E1A48">
            <w:pPr>
              <w:spacing w:line="240" w:lineRule="exact"/>
            </w:pPr>
            <w:r>
              <w:t>6 janvier 2023</w:t>
            </w:r>
          </w:p>
          <w:p w14:paraId="5BB0A49A" w14:textId="77777777" w:rsidR="005E1A48" w:rsidRDefault="005E1A48" w:rsidP="005E1A48">
            <w:pPr>
              <w:spacing w:line="240" w:lineRule="exact"/>
            </w:pPr>
            <w:r>
              <w:t>Français</w:t>
            </w:r>
          </w:p>
          <w:p w14:paraId="655E5A16" w14:textId="10727EF4" w:rsidR="005E1A48" w:rsidRPr="00DB58B5" w:rsidRDefault="005E1A48" w:rsidP="005E1A48">
            <w:pPr>
              <w:spacing w:line="240" w:lineRule="exact"/>
            </w:pPr>
            <w:r>
              <w:t>Original : anglais</w:t>
            </w:r>
          </w:p>
        </w:tc>
      </w:tr>
    </w:tbl>
    <w:p w14:paraId="3C5F28EC" w14:textId="77777777" w:rsidR="007F20FA" w:rsidRPr="000312C0" w:rsidRDefault="007F20FA" w:rsidP="007F20FA">
      <w:pPr>
        <w:spacing w:before="120"/>
        <w:rPr>
          <w:b/>
          <w:sz w:val="28"/>
          <w:szCs w:val="28"/>
        </w:rPr>
      </w:pPr>
      <w:r w:rsidRPr="000312C0">
        <w:rPr>
          <w:b/>
          <w:sz w:val="28"/>
          <w:szCs w:val="28"/>
        </w:rPr>
        <w:t>Commission économique pour l’Europe</w:t>
      </w:r>
    </w:p>
    <w:p w14:paraId="29B1A965" w14:textId="77777777" w:rsidR="007F20FA" w:rsidRDefault="007F20FA" w:rsidP="007F20FA">
      <w:pPr>
        <w:spacing w:before="120"/>
        <w:rPr>
          <w:sz w:val="28"/>
          <w:szCs w:val="28"/>
        </w:rPr>
      </w:pPr>
      <w:r w:rsidRPr="00685843">
        <w:rPr>
          <w:sz w:val="28"/>
          <w:szCs w:val="28"/>
        </w:rPr>
        <w:t>Comité des transports intérieurs</w:t>
      </w:r>
    </w:p>
    <w:p w14:paraId="747D8215" w14:textId="37D952EC" w:rsidR="005E1A48" w:rsidRPr="005E1A48" w:rsidRDefault="005E1A48" w:rsidP="005E1A48">
      <w:pPr>
        <w:spacing w:before="120"/>
        <w:rPr>
          <w:sz w:val="28"/>
          <w:szCs w:val="28"/>
        </w:rPr>
      </w:pPr>
      <w:r w:rsidRPr="005E1A48">
        <w:rPr>
          <w:b/>
          <w:bCs/>
          <w:sz w:val="24"/>
          <w:szCs w:val="24"/>
          <w:lang w:val="fr-FR"/>
        </w:rPr>
        <w:t xml:space="preserve">Forum mondial de l’harmonisation des Règlements </w:t>
      </w:r>
      <w:r>
        <w:rPr>
          <w:b/>
          <w:bCs/>
          <w:sz w:val="24"/>
          <w:szCs w:val="24"/>
          <w:lang w:val="fr-FR"/>
        </w:rPr>
        <w:br/>
      </w:r>
      <w:r w:rsidRPr="005E1A48">
        <w:rPr>
          <w:b/>
          <w:bCs/>
          <w:sz w:val="24"/>
          <w:szCs w:val="24"/>
          <w:lang w:val="fr-FR"/>
        </w:rPr>
        <w:t>concernant les véhicules</w:t>
      </w:r>
      <w:r w:rsidRPr="005E1A48">
        <w:rPr>
          <w:sz w:val="24"/>
          <w:szCs w:val="24"/>
          <w:lang w:val="fr-FR"/>
        </w:rPr>
        <w:t xml:space="preserve"> </w:t>
      </w:r>
    </w:p>
    <w:p w14:paraId="0DF4569E" w14:textId="7AF02CD7" w:rsidR="005E1A48" w:rsidRPr="009C2F47" w:rsidRDefault="005E1A48" w:rsidP="005E1A48">
      <w:pPr>
        <w:spacing w:before="120"/>
        <w:rPr>
          <w:b/>
          <w:bCs/>
        </w:rPr>
      </w:pPr>
      <w:r w:rsidRPr="009C2F47">
        <w:rPr>
          <w:b/>
          <w:bCs/>
          <w:lang w:val="fr-FR"/>
        </w:rPr>
        <w:t>Groupe de travail des dispositions générales de sécurité</w:t>
      </w:r>
    </w:p>
    <w:p w14:paraId="71ABAFF5" w14:textId="77777777" w:rsidR="005E1A48" w:rsidRPr="009C2F47" w:rsidRDefault="005E1A48" w:rsidP="005E1A48">
      <w:pPr>
        <w:spacing w:before="120"/>
        <w:rPr>
          <w:b/>
        </w:rPr>
      </w:pPr>
      <w:r w:rsidRPr="009C2F47">
        <w:rPr>
          <w:b/>
          <w:bCs/>
          <w:lang w:val="fr-FR"/>
        </w:rPr>
        <w:t>125</w:t>
      </w:r>
      <w:r w:rsidRPr="009C2F47">
        <w:rPr>
          <w:b/>
          <w:bCs/>
          <w:vertAlign w:val="superscript"/>
          <w:lang w:val="fr-FR"/>
        </w:rPr>
        <w:t>e</w:t>
      </w:r>
      <w:r w:rsidRPr="009C2F47">
        <w:rPr>
          <w:b/>
          <w:bCs/>
          <w:lang w:val="fr-FR"/>
        </w:rPr>
        <w:t xml:space="preserve"> session</w:t>
      </w:r>
      <w:r w:rsidRPr="009C2F47">
        <w:rPr>
          <w:lang w:val="fr-FR"/>
        </w:rPr>
        <w:t xml:space="preserve"> </w:t>
      </w:r>
    </w:p>
    <w:p w14:paraId="628A2B8F" w14:textId="08DB6398" w:rsidR="005E1A48" w:rsidRPr="009C2F47" w:rsidRDefault="005E1A48" w:rsidP="005E1A48">
      <w:pPr>
        <w:rPr>
          <w:bCs/>
        </w:rPr>
      </w:pPr>
      <w:r w:rsidRPr="009C2F47">
        <w:rPr>
          <w:lang w:val="fr-FR"/>
        </w:rPr>
        <w:t>Genève, 27-31</w:t>
      </w:r>
      <w:r>
        <w:rPr>
          <w:lang w:val="fr-FR"/>
        </w:rPr>
        <w:t> </w:t>
      </w:r>
      <w:r w:rsidRPr="009C2F47">
        <w:rPr>
          <w:lang w:val="fr-FR"/>
        </w:rPr>
        <w:t>mars 2023</w:t>
      </w:r>
    </w:p>
    <w:p w14:paraId="69B5F9F8" w14:textId="77777777" w:rsidR="005E1A48" w:rsidRPr="009C2F47" w:rsidRDefault="005E1A48" w:rsidP="005E1A48">
      <w:pPr>
        <w:rPr>
          <w:bCs/>
        </w:rPr>
      </w:pPr>
      <w:r w:rsidRPr="009C2F47">
        <w:rPr>
          <w:lang w:val="fr-FR"/>
        </w:rPr>
        <w:t>Point 7 c) de l’ordre du jour provisoire</w:t>
      </w:r>
    </w:p>
    <w:p w14:paraId="054383F3" w14:textId="0530C352" w:rsidR="005E1A48" w:rsidRPr="009C2F47" w:rsidRDefault="005E1A48" w:rsidP="005E1A48">
      <w:pPr>
        <w:rPr>
          <w:b/>
          <w:bCs/>
        </w:rPr>
      </w:pPr>
      <w:r w:rsidRPr="009C2F47">
        <w:rPr>
          <w:b/>
          <w:bCs/>
          <w:lang w:val="fr-FR"/>
        </w:rPr>
        <w:t xml:space="preserve">Amendements aux Règlements sur les dispositifs de protection </w:t>
      </w:r>
      <w:r>
        <w:rPr>
          <w:b/>
          <w:bCs/>
          <w:lang w:val="fr-FR"/>
        </w:rPr>
        <w:br/>
      </w:r>
      <w:r w:rsidRPr="009C2F47">
        <w:rPr>
          <w:b/>
          <w:bCs/>
          <w:lang w:val="fr-FR"/>
        </w:rPr>
        <w:t>contre</w:t>
      </w:r>
      <w:r w:rsidRPr="009C2F47">
        <w:rPr>
          <w:lang w:val="fr-FR"/>
        </w:rPr>
        <w:t xml:space="preserve"> </w:t>
      </w:r>
      <w:r w:rsidRPr="009C2F47">
        <w:rPr>
          <w:b/>
          <w:bCs/>
          <w:lang w:val="fr-FR"/>
        </w:rPr>
        <w:t xml:space="preserve">une utilisation non autorisée, les dispositifs </w:t>
      </w:r>
      <w:r>
        <w:rPr>
          <w:b/>
          <w:bCs/>
          <w:lang w:val="fr-FR"/>
        </w:rPr>
        <w:br/>
      </w:r>
      <w:r w:rsidRPr="009C2F47">
        <w:rPr>
          <w:b/>
          <w:bCs/>
          <w:lang w:val="fr-FR"/>
        </w:rPr>
        <w:t>d’immobilisation et les systèmes d’alarme pour véhicules :</w:t>
      </w:r>
      <w:r w:rsidRPr="009C2F47">
        <w:rPr>
          <w:lang w:val="fr-FR"/>
        </w:rPr>
        <w:t xml:space="preserve"> </w:t>
      </w:r>
    </w:p>
    <w:p w14:paraId="0A29C77D" w14:textId="22ABE7E6" w:rsidR="005E1A48" w:rsidRPr="009C2F47" w:rsidRDefault="005E1A48" w:rsidP="005E1A48">
      <w:pPr>
        <w:rPr>
          <w:b/>
          <w:bCs/>
        </w:rPr>
      </w:pPr>
      <w:r w:rsidRPr="009C2F47">
        <w:rPr>
          <w:b/>
          <w:bCs/>
          <w:lang w:val="fr-FR"/>
        </w:rPr>
        <w:t>Règlement ONU n</w:t>
      </w:r>
      <w:r w:rsidRPr="005E1A48">
        <w:rPr>
          <w:b/>
          <w:bCs/>
          <w:vertAlign w:val="superscript"/>
          <w:lang w:val="fr-FR"/>
        </w:rPr>
        <w:t>o</w:t>
      </w:r>
      <w:r>
        <w:rPr>
          <w:b/>
          <w:bCs/>
          <w:lang w:val="fr-FR"/>
        </w:rPr>
        <w:t> </w:t>
      </w:r>
      <w:r w:rsidRPr="009C2F47">
        <w:rPr>
          <w:b/>
          <w:bCs/>
          <w:lang w:val="fr-FR"/>
        </w:rPr>
        <w:t>162 (Dispositifs d’immobilisation)</w:t>
      </w:r>
    </w:p>
    <w:p w14:paraId="7FD6C173" w14:textId="7DF639CB" w:rsidR="005E1A48" w:rsidRPr="009C2F47" w:rsidRDefault="005E1A48" w:rsidP="005E1A48">
      <w:pPr>
        <w:pStyle w:val="HChG"/>
        <w:rPr>
          <w:sz w:val="24"/>
          <w:szCs w:val="24"/>
        </w:rPr>
      </w:pPr>
      <w:r w:rsidRPr="009C2F47">
        <w:rPr>
          <w:lang w:val="fr-FR"/>
        </w:rPr>
        <w:tab/>
      </w:r>
      <w:r w:rsidRPr="009C2F47">
        <w:rPr>
          <w:lang w:val="fr-FR"/>
        </w:rPr>
        <w:tab/>
        <w:t xml:space="preserve">Proposition de complément 5 à la version originale </w:t>
      </w:r>
      <w:r>
        <w:rPr>
          <w:lang w:val="fr-FR"/>
        </w:rPr>
        <w:br/>
      </w:r>
      <w:r w:rsidRPr="009C2F47">
        <w:rPr>
          <w:lang w:val="fr-FR"/>
        </w:rPr>
        <w:t>du Règlement ONU n</w:t>
      </w:r>
      <w:r w:rsidRPr="005E1A48">
        <w:rPr>
          <w:vertAlign w:val="superscript"/>
          <w:lang w:val="fr-FR"/>
        </w:rPr>
        <w:t>o</w:t>
      </w:r>
      <w:r>
        <w:rPr>
          <w:lang w:val="fr-FR"/>
        </w:rPr>
        <w:t> </w:t>
      </w:r>
      <w:r w:rsidRPr="009C2F47">
        <w:rPr>
          <w:lang w:val="fr-FR"/>
        </w:rPr>
        <w:t>162 (Dispositifs d’immobilisation)</w:t>
      </w:r>
    </w:p>
    <w:p w14:paraId="6CC85E13" w14:textId="10008239" w:rsidR="005E1A48" w:rsidRPr="009C2F47" w:rsidRDefault="005E1A48" w:rsidP="005E1A48">
      <w:pPr>
        <w:pStyle w:val="H1G"/>
      </w:pPr>
      <w:r w:rsidRPr="009C2F47">
        <w:rPr>
          <w:lang w:val="fr-FR"/>
        </w:rPr>
        <w:tab/>
      </w:r>
      <w:r w:rsidRPr="009C2F47">
        <w:rPr>
          <w:lang w:val="fr-FR"/>
        </w:rPr>
        <w:tab/>
        <w:t xml:space="preserve">Communication de l’expert de l’Organisation internationale </w:t>
      </w:r>
      <w:r>
        <w:rPr>
          <w:lang w:val="fr-FR"/>
        </w:rPr>
        <w:br/>
      </w:r>
      <w:r w:rsidRPr="009C2F47">
        <w:rPr>
          <w:lang w:val="fr-FR"/>
        </w:rPr>
        <w:t>des constructeurs d’automobiles</w:t>
      </w:r>
      <w:r w:rsidRPr="005E1A48">
        <w:rPr>
          <w:b w:val="0"/>
          <w:bCs/>
          <w:sz w:val="20"/>
          <w:szCs w:val="16"/>
          <w:lang w:val="fr-FR"/>
        </w:rPr>
        <w:footnoteReference w:customMarkFollows="1" w:id="2"/>
        <w:t>*</w:t>
      </w:r>
    </w:p>
    <w:p w14:paraId="5DCDDE22" w14:textId="38A4CDB2" w:rsidR="005E1A48" w:rsidRPr="009C2F47" w:rsidRDefault="005E1A48" w:rsidP="005E1A48">
      <w:pPr>
        <w:pStyle w:val="SingleTxtG"/>
        <w:ind w:firstLine="567"/>
      </w:pPr>
      <w:r w:rsidRPr="009C2F47">
        <w:rPr>
          <w:lang w:val="fr-FR"/>
        </w:rPr>
        <w:t>Le texte ci-après, établi par l’expert de l’Organisation internationale des constructeurs d’automobiles (OICA), vise à harmoniser le renvoi au Règlement ONU n</w:t>
      </w:r>
      <w:r w:rsidRPr="005E1A48">
        <w:rPr>
          <w:vertAlign w:val="superscript"/>
          <w:lang w:val="fr-FR"/>
        </w:rPr>
        <w:t>o</w:t>
      </w:r>
      <w:r>
        <w:rPr>
          <w:lang w:val="fr-FR"/>
        </w:rPr>
        <w:t> </w:t>
      </w:r>
      <w:r w:rsidRPr="009C2F47">
        <w:rPr>
          <w:lang w:val="fr-FR"/>
        </w:rPr>
        <w:t>10 (Compatibilité électromagnétique). Il est fondé sur le document informel GRSG-124-24, qui a été distribué à la 124</w:t>
      </w:r>
      <w:r w:rsidRPr="005E1A48">
        <w:rPr>
          <w:vertAlign w:val="superscript"/>
          <w:lang w:val="fr-FR"/>
        </w:rPr>
        <w:t>e</w:t>
      </w:r>
      <w:r>
        <w:rPr>
          <w:lang w:val="fr-FR"/>
        </w:rPr>
        <w:t> </w:t>
      </w:r>
      <w:r w:rsidRPr="009C2F47">
        <w:rPr>
          <w:lang w:val="fr-FR"/>
        </w:rPr>
        <w:t>session du Groupe de travail des dispositions générales de sécurité (GRSG). Les modifications qu’il est proposé d’apporter au texte actuel du Règlement ONU figurent en caractères gras pour les ajouts et biffés pour les suppressions.</w:t>
      </w:r>
    </w:p>
    <w:p w14:paraId="3DCFB976" w14:textId="572CDFAF" w:rsidR="005E1A48" w:rsidRDefault="005E1A48">
      <w:pPr>
        <w:suppressAutoHyphens w:val="0"/>
        <w:kinsoku/>
        <w:overflowPunct/>
        <w:autoSpaceDE/>
        <w:autoSpaceDN/>
        <w:adjustRightInd/>
        <w:snapToGrid/>
        <w:spacing w:after="200" w:line="276" w:lineRule="auto"/>
      </w:pPr>
      <w:r>
        <w:br w:type="page"/>
      </w:r>
    </w:p>
    <w:p w14:paraId="650AA80D" w14:textId="08D87E34" w:rsidR="005E1A48" w:rsidRPr="009C2F47" w:rsidRDefault="005E1A48" w:rsidP="005E1A48">
      <w:pPr>
        <w:pStyle w:val="HChG"/>
      </w:pPr>
      <w:bookmarkStart w:id="0" w:name="_Hlk50446194"/>
      <w:bookmarkStart w:id="1" w:name="_Hlk50446402"/>
      <w:r>
        <w:rPr>
          <w:lang w:val="fr-FR"/>
        </w:rPr>
        <w:lastRenderedPageBreak/>
        <w:tab/>
      </w:r>
      <w:r w:rsidRPr="009C2F47">
        <w:rPr>
          <w:lang w:val="fr-FR"/>
        </w:rPr>
        <w:t>I.</w:t>
      </w:r>
      <w:r w:rsidRPr="009C2F47">
        <w:rPr>
          <w:lang w:val="fr-FR"/>
        </w:rPr>
        <w:tab/>
        <w:t xml:space="preserve">Proposition </w:t>
      </w:r>
    </w:p>
    <w:bookmarkEnd w:id="0"/>
    <w:bookmarkEnd w:id="1"/>
    <w:p w14:paraId="64DDDFCD" w14:textId="77777777" w:rsidR="005E1A48" w:rsidRPr="009C2F47" w:rsidRDefault="005E1A48" w:rsidP="005E1A48">
      <w:pPr>
        <w:pStyle w:val="SingleTxtG"/>
        <w:rPr>
          <w:b/>
        </w:rPr>
      </w:pPr>
      <w:r w:rsidRPr="005E1A48">
        <w:rPr>
          <w:i/>
          <w:iCs/>
          <w:lang w:val="fr-FR"/>
        </w:rPr>
        <w:t>Annexe 7, paragraphe 4.1</w:t>
      </w:r>
      <w:r w:rsidRPr="009C2F47">
        <w:rPr>
          <w:lang w:val="fr-FR"/>
        </w:rPr>
        <w:t>, lire :</w:t>
      </w:r>
    </w:p>
    <w:p w14:paraId="2EDF9696" w14:textId="77777777" w:rsidR="005E1A48" w:rsidRPr="009C2F47" w:rsidRDefault="005E1A48" w:rsidP="005E1A48">
      <w:pPr>
        <w:pStyle w:val="SingleTxtG"/>
        <w:tabs>
          <w:tab w:val="left" w:pos="2268"/>
        </w:tabs>
      </w:pPr>
      <w:r w:rsidRPr="009C2F47">
        <w:rPr>
          <w:lang w:val="fr-FR"/>
        </w:rPr>
        <w:t>« 4.</w:t>
      </w:r>
      <w:r w:rsidRPr="009C2F47">
        <w:rPr>
          <w:lang w:val="fr-FR"/>
        </w:rPr>
        <w:tab/>
        <w:t>Émissions rayonnées</w:t>
      </w:r>
    </w:p>
    <w:p w14:paraId="52A0CD89" w14:textId="765497B1" w:rsidR="005E1A48" w:rsidRPr="009C2F47" w:rsidRDefault="005E1A48" w:rsidP="005E1A48">
      <w:pPr>
        <w:pStyle w:val="SingleTxtG"/>
        <w:ind w:left="2268"/>
      </w:pPr>
      <w:r w:rsidRPr="009C2F47">
        <w:rPr>
          <w:lang w:val="fr-FR"/>
        </w:rPr>
        <w:t>Les essais doivent être effectués conformément aux prescriptions techniques et aux dispositions transitoires du Règlement ONU n</w:t>
      </w:r>
      <w:r w:rsidRPr="005E1A48">
        <w:rPr>
          <w:vertAlign w:val="superscript"/>
          <w:lang w:val="fr-FR"/>
        </w:rPr>
        <w:t>o</w:t>
      </w:r>
      <w:r>
        <w:rPr>
          <w:lang w:val="fr-FR"/>
        </w:rPr>
        <w:t> </w:t>
      </w:r>
      <w:r w:rsidRPr="009C2F47">
        <w:rPr>
          <w:lang w:val="fr-FR"/>
        </w:rPr>
        <w:t xml:space="preserve">10, série </w:t>
      </w:r>
      <w:r w:rsidRPr="009C2F47">
        <w:rPr>
          <w:strike/>
          <w:lang w:val="fr-FR"/>
        </w:rPr>
        <w:t xml:space="preserve">04 </w:t>
      </w:r>
      <w:r w:rsidRPr="009C2F47">
        <w:rPr>
          <w:b/>
          <w:bCs/>
          <w:lang w:val="fr-FR"/>
        </w:rPr>
        <w:t>06</w:t>
      </w:r>
      <w:r w:rsidRPr="009C2F47">
        <w:rPr>
          <w:lang w:val="fr-FR"/>
        </w:rPr>
        <w:t xml:space="preserve"> d’amendements, et aux méthodes d’essai décrites aux annexes 4 et 5 pour les véhicules ou aux annexes 7 et 8 pour un sous-ensemble électrique/électronique (SEEE).</w:t>
      </w:r>
    </w:p>
    <w:p w14:paraId="7DF9E0D3" w14:textId="77777777" w:rsidR="005E1A48" w:rsidRPr="009C2F47" w:rsidRDefault="005E1A48" w:rsidP="005E1A48">
      <w:pPr>
        <w:pStyle w:val="SingleTxtG"/>
        <w:ind w:left="2268"/>
        <w:rPr>
          <w:b/>
        </w:rPr>
      </w:pPr>
      <w:r w:rsidRPr="009C2F47">
        <w:rPr>
          <w:lang w:val="fr-FR"/>
        </w:rPr>
        <w:t>Le dispositif d’immobilisation doit être à l’état activé. ».</w:t>
      </w:r>
    </w:p>
    <w:p w14:paraId="7632F99B" w14:textId="45740E39" w:rsidR="005E1A48" w:rsidRPr="009C2F47" w:rsidRDefault="005E1A48" w:rsidP="005E1A48">
      <w:pPr>
        <w:pStyle w:val="HChG"/>
        <w:rPr>
          <w:rFonts w:asciiTheme="majorBidi" w:hAnsiTheme="majorBidi" w:cstheme="majorBidi"/>
          <w:szCs w:val="28"/>
        </w:rPr>
      </w:pPr>
      <w:r>
        <w:rPr>
          <w:lang w:val="fr-FR"/>
        </w:rPr>
        <w:tab/>
      </w:r>
      <w:r w:rsidRPr="009C2F47">
        <w:rPr>
          <w:lang w:val="fr-FR"/>
        </w:rPr>
        <w:t>II.</w:t>
      </w:r>
      <w:r w:rsidRPr="009C2F47">
        <w:rPr>
          <w:lang w:val="fr-FR"/>
        </w:rPr>
        <w:tab/>
        <w:t>Justification</w:t>
      </w:r>
    </w:p>
    <w:p w14:paraId="1C9EB25C" w14:textId="4941D757" w:rsidR="005E1A48" w:rsidRDefault="005E1A48" w:rsidP="005E1A48">
      <w:pPr>
        <w:pStyle w:val="SingleTxtG"/>
        <w:ind w:firstLine="567"/>
        <w:rPr>
          <w:lang w:val="fr-FR"/>
        </w:rPr>
      </w:pPr>
      <w:r w:rsidRPr="009C2F47">
        <w:rPr>
          <w:lang w:val="fr-FR"/>
        </w:rPr>
        <w:t>La présente proposition vise à aligner les trois Règlements ONU issus de la scission du Règlement ONU n</w:t>
      </w:r>
      <w:r w:rsidRPr="005E1A48">
        <w:rPr>
          <w:vertAlign w:val="superscript"/>
          <w:lang w:val="fr-FR"/>
        </w:rPr>
        <w:t>o</w:t>
      </w:r>
      <w:r>
        <w:rPr>
          <w:lang w:val="fr-FR"/>
        </w:rPr>
        <w:t> </w:t>
      </w:r>
      <w:r w:rsidRPr="009C2F47">
        <w:rPr>
          <w:lang w:val="fr-FR"/>
        </w:rPr>
        <w:t>116, et plus précisément le renvoi au Règlement ONU n</w:t>
      </w:r>
      <w:r w:rsidRPr="005E1A48">
        <w:rPr>
          <w:vertAlign w:val="superscript"/>
          <w:lang w:val="fr-FR"/>
        </w:rPr>
        <w:t>o</w:t>
      </w:r>
      <w:r>
        <w:rPr>
          <w:lang w:val="fr-FR"/>
        </w:rPr>
        <w:t> </w:t>
      </w:r>
      <w:r w:rsidRPr="009C2F47">
        <w:rPr>
          <w:lang w:val="fr-FR"/>
        </w:rPr>
        <w:t>10 (Compatibilité électromagnétique) qui y figure.</w:t>
      </w:r>
    </w:p>
    <w:p w14:paraId="09015657" w14:textId="7571A15A" w:rsidR="005E1A48" w:rsidRPr="005E1A48" w:rsidRDefault="005E1A48" w:rsidP="005E1A48">
      <w:pPr>
        <w:pStyle w:val="SingleTxtG"/>
        <w:spacing w:before="240" w:after="0"/>
        <w:jc w:val="center"/>
        <w:rPr>
          <w:u w:val="single"/>
        </w:rPr>
      </w:pPr>
      <w:r>
        <w:rPr>
          <w:u w:val="single"/>
        </w:rPr>
        <w:tab/>
      </w:r>
      <w:r>
        <w:rPr>
          <w:u w:val="single"/>
        </w:rPr>
        <w:tab/>
      </w:r>
      <w:r>
        <w:rPr>
          <w:u w:val="single"/>
        </w:rPr>
        <w:tab/>
      </w:r>
      <w:r>
        <w:rPr>
          <w:u w:val="single"/>
        </w:rPr>
        <w:tab/>
      </w:r>
    </w:p>
    <w:sectPr w:rsidR="005E1A48" w:rsidRPr="005E1A48" w:rsidSect="005E1A4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C037" w14:textId="77777777" w:rsidR="00D57302" w:rsidRDefault="00D57302" w:rsidP="00F95C08">
      <w:pPr>
        <w:spacing w:line="240" w:lineRule="auto"/>
      </w:pPr>
    </w:p>
  </w:endnote>
  <w:endnote w:type="continuationSeparator" w:id="0">
    <w:p w14:paraId="13FE6F7F" w14:textId="77777777" w:rsidR="00D57302" w:rsidRPr="00AC3823" w:rsidRDefault="00D57302" w:rsidP="00AC3823">
      <w:pPr>
        <w:pStyle w:val="Pieddepage"/>
      </w:pPr>
    </w:p>
  </w:endnote>
  <w:endnote w:type="continuationNotice" w:id="1">
    <w:p w14:paraId="0B2A8069" w14:textId="77777777" w:rsidR="00D57302" w:rsidRDefault="00D573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6ED3" w14:textId="484523FE" w:rsidR="005E1A48" w:rsidRPr="005E1A48" w:rsidRDefault="005E1A48" w:rsidP="005E1A48">
    <w:pPr>
      <w:pStyle w:val="Pieddepage"/>
      <w:tabs>
        <w:tab w:val="right" w:pos="9638"/>
      </w:tabs>
    </w:pPr>
    <w:r w:rsidRPr="005E1A48">
      <w:rPr>
        <w:b/>
        <w:sz w:val="18"/>
      </w:rPr>
      <w:fldChar w:fldCharType="begin"/>
    </w:r>
    <w:r w:rsidRPr="005E1A48">
      <w:rPr>
        <w:b/>
        <w:sz w:val="18"/>
      </w:rPr>
      <w:instrText xml:space="preserve"> PAGE  \* MERGEFORMAT </w:instrText>
    </w:r>
    <w:r w:rsidRPr="005E1A48">
      <w:rPr>
        <w:b/>
        <w:sz w:val="18"/>
      </w:rPr>
      <w:fldChar w:fldCharType="separate"/>
    </w:r>
    <w:r w:rsidRPr="005E1A48">
      <w:rPr>
        <w:b/>
        <w:noProof/>
        <w:sz w:val="18"/>
      </w:rPr>
      <w:t>2</w:t>
    </w:r>
    <w:r w:rsidRPr="005E1A48">
      <w:rPr>
        <w:b/>
        <w:sz w:val="18"/>
      </w:rPr>
      <w:fldChar w:fldCharType="end"/>
    </w:r>
    <w:r>
      <w:rPr>
        <w:b/>
        <w:sz w:val="18"/>
      </w:rPr>
      <w:tab/>
    </w:r>
    <w:r>
      <w:t>GE.23-00231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7804" w14:textId="7BF107B3" w:rsidR="005E1A48" w:rsidRPr="005E1A48" w:rsidRDefault="005E1A48" w:rsidP="005E1A48">
    <w:pPr>
      <w:pStyle w:val="Pieddepage"/>
      <w:tabs>
        <w:tab w:val="right" w:pos="9638"/>
      </w:tabs>
      <w:rPr>
        <w:b/>
        <w:sz w:val="18"/>
      </w:rPr>
    </w:pPr>
    <w:r>
      <w:t>GE.23-00231</w:t>
    </w:r>
    <w:r>
      <w:tab/>
    </w:r>
    <w:r w:rsidRPr="005E1A48">
      <w:rPr>
        <w:b/>
        <w:sz w:val="18"/>
      </w:rPr>
      <w:fldChar w:fldCharType="begin"/>
    </w:r>
    <w:r w:rsidRPr="005E1A48">
      <w:rPr>
        <w:b/>
        <w:sz w:val="18"/>
      </w:rPr>
      <w:instrText xml:space="preserve"> PAGE  \* MERGEFORMAT </w:instrText>
    </w:r>
    <w:r w:rsidRPr="005E1A48">
      <w:rPr>
        <w:b/>
        <w:sz w:val="18"/>
      </w:rPr>
      <w:fldChar w:fldCharType="separate"/>
    </w:r>
    <w:r w:rsidRPr="005E1A48">
      <w:rPr>
        <w:b/>
        <w:noProof/>
        <w:sz w:val="18"/>
      </w:rPr>
      <w:t>3</w:t>
    </w:r>
    <w:r w:rsidRPr="005E1A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5542" w14:textId="2B497198" w:rsidR="007F20FA" w:rsidRPr="005E1A48" w:rsidRDefault="005E1A48" w:rsidP="005E1A4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29E90A7" wp14:editId="550D8F3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23-00231  (F)</w:t>
    </w:r>
    <w:r>
      <w:rPr>
        <w:noProof/>
        <w:sz w:val="20"/>
      </w:rPr>
      <w:drawing>
        <wp:anchor distT="0" distB="0" distL="114300" distR="114300" simplePos="0" relativeHeight="251660288" behindDoc="0" locked="0" layoutInCell="1" allowOverlap="1" wp14:anchorId="719C411E" wp14:editId="002BF7D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060223    060223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CD57E" w14:textId="77777777" w:rsidR="00D57302" w:rsidRPr="00AC3823" w:rsidRDefault="00D57302" w:rsidP="00AC3823">
      <w:pPr>
        <w:pStyle w:val="Pieddepage"/>
        <w:tabs>
          <w:tab w:val="right" w:pos="2155"/>
        </w:tabs>
        <w:spacing w:after="80" w:line="240" w:lineRule="atLeast"/>
        <w:ind w:left="680"/>
        <w:rPr>
          <w:u w:val="single"/>
        </w:rPr>
      </w:pPr>
      <w:r>
        <w:rPr>
          <w:u w:val="single"/>
        </w:rPr>
        <w:tab/>
      </w:r>
    </w:p>
  </w:footnote>
  <w:footnote w:type="continuationSeparator" w:id="0">
    <w:p w14:paraId="0539DFC2" w14:textId="77777777" w:rsidR="00D57302" w:rsidRPr="00AC3823" w:rsidRDefault="00D57302" w:rsidP="00AC3823">
      <w:pPr>
        <w:pStyle w:val="Pieddepage"/>
        <w:tabs>
          <w:tab w:val="right" w:pos="2155"/>
        </w:tabs>
        <w:spacing w:after="80" w:line="240" w:lineRule="atLeast"/>
        <w:ind w:left="680"/>
        <w:rPr>
          <w:u w:val="single"/>
        </w:rPr>
      </w:pPr>
      <w:r>
        <w:rPr>
          <w:u w:val="single"/>
        </w:rPr>
        <w:tab/>
      </w:r>
    </w:p>
  </w:footnote>
  <w:footnote w:type="continuationNotice" w:id="1">
    <w:p w14:paraId="5F75E3EB" w14:textId="77777777" w:rsidR="00D57302" w:rsidRPr="00AC3823" w:rsidRDefault="00D57302">
      <w:pPr>
        <w:spacing w:line="240" w:lineRule="auto"/>
        <w:rPr>
          <w:sz w:val="2"/>
          <w:szCs w:val="2"/>
        </w:rPr>
      </w:pPr>
    </w:p>
  </w:footnote>
  <w:footnote w:id="2">
    <w:p w14:paraId="16F852C2" w14:textId="4478CD45" w:rsidR="005E1A48" w:rsidRDefault="005E1A48" w:rsidP="005E1A48">
      <w:pPr>
        <w:pStyle w:val="Notedebasdepage"/>
        <w:rPr>
          <w:lang w:val="fr-FR"/>
        </w:rPr>
      </w:pPr>
      <w:r>
        <w:rPr>
          <w:lang w:val="fr-FR"/>
        </w:rPr>
        <w:tab/>
      </w:r>
      <w:r w:rsidRPr="005E1A48">
        <w:rPr>
          <w:sz w:val="20"/>
          <w:szCs w:val="22"/>
          <w:lang w:val="fr-FR"/>
        </w:rPr>
        <w:t>*</w:t>
      </w:r>
      <w:r w:rsidRPr="005E1A48">
        <w:rPr>
          <w:sz w:val="20"/>
          <w:szCs w:val="22"/>
          <w:lang w:val="fr-FR"/>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p w14:paraId="6967A0C3" w14:textId="77777777" w:rsidR="005E1A48" w:rsidRPr="00EA370C" w:rsidRDefault="005E1A48" w:rsidP="005E1A48">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CCCF" w14:textId="1F7E6850" w:rsidR="005E1A48" w:rsidRPr="005E1A48" w:rsidRDefault="005E1A48">
    <w:pPr>
      <w:pStyle w:val="En-tte"/>
    </w:pPr>
    <w:fldSimple w:instr=" TITLE  \* MERGEFORMAT ">
      <w:r w:rsidR="005E0091">
        <w:t>ECE/TRANS/WP.29/GRSG/2023/4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53C9" w14:textId="43214DB8" w:rsidR="005E1A48" w:rsidRPr="005E1A48" w:rsidRDefault="005E1A48" w:rsidP="005E1A48">
    <w:pPr>
      <w:pStyle w:val="En-tte"/>
      <w:jc w:val="right"/>
    </w:pPr>
    <w:fldSimple w:instr=" TITLE  \* MERGEFORMAT ">
      <w:r w:rsidR="005E0091">
        <w:t>ECE/TRANS/WP.29/GRSG/2023/4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664168247">
    <w:abstractNumId w:val="12"/>
  </w:num>
  <w:num w:numId="2" w16cid:durableId="1192650974">
    <w:abstractNumId w:val="11"/>
  </w:num>
  <w:num w:numId="3" w16cid:durableId="1846288668">
    <w:abstractNumId w:val="10"/>
  </w:num>
  <w:num w:numId="4" w16cid:durableId="493764249">
    <w:abstractNumId w:val="8"/>
  </w:num>
  <w:num w:numId="5" w16cid:durableId="772015493">
    <w:abstractNumId w:val="3"/>
  </w:num>
  <w:num w:numId="6" w16cid:durableId="854460175">
    <w:abstractNumId w:val="2"/>
  </w:num>
  <w:num w:numId="7" w16cid:durableId="291794669">
    <w:abstractNumId w:val="1"/>
  </w:num>
  <w:num w:numId="8" w16cid:durableId="1737168158">
    <w:abstractNumId w:val="0"/>
  </w:num>
  <w:num w:numId="9" w16cid:durableId="42562940">
    <w:abstractNumId w:val="9"/>
  </w:num>
  <w:num w:numId="10" w16cid:durableId="821388240">
    <w:abstractNumId w:val="7"/>
  </w:num>
  <w:num w:numId="11" w16cid:durableId="514271867">
    <w:abstractNumId w:val="6"/>
  </w:num>
  <w:num w:numId="12" w16cid:durableId="1526627542">
    <w:abstractNumId w:val="5"/>
  </w:num>
  <w:num w:numId="13" w16cid:durableId="2079597637">
    <w:abstractNumId w:val="4"/>
  </w:num>
  <w:num w:numId="14" w16cid:durableId="164907578">
    <w:abstractNumId w:val="12"/>
  </w:num>
  <w:num w:numId="15" w16cid:durableId="176116400">
    <w:abstractNumId w:val="11"/>
  </w:num>
  <w:num w:numId="16" w16cid:durableId="14836162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02"/>
    <w:rsid w:val="00017F94"/>
    <w:rsid w:val="00023842"/>
    <w:rsid w:val="000334F9"/>
    <w:rsid w:val="00045FEB"/>
    <w:rsid w:val="0007796D"/>
    <w:rsid w:val="000B7790"/>
    <w:rsid w:val="00111F2F"/>
    <w:rsid w:val="0014365E"/>
    <w:rsid w:val="00143C66"/>
    <w:rsid w:val="00176178"/>
    <w:rsid w:val="001F2AC5"/>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4F6A68"/>
    <w:rsid w:val="005505B7"/>
    <w:rsid w:val="00573BE5"/>
    <w:rsid w:val="00586ED3"/>
    <w:rsid w:val="00596AA9"/>
    <w:rsid w:val="005E0091"/>
    <w:rsid w:val="005E1A48"/>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57302"/>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62758"/>
  <w15:docId w15:val="{4AB5B83A-9ECF-4906-915E-5066E39C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3</TotalTime>
  <Pages>2</Pages>
  <Words>286</Words>
  <Characters>1727</Characters>
  <Application>Microsoft Office Word</Application>
  <DocSecurity>0</DocSecurity>
  <Lines>46</Lines>
  <Paragraphs>26</Paragraphs>
  <ScaleCrop>false</ScaleCrop>
  <HeadingPairs>
    <vt:vector size="2" baseType="variant">
      <vt:variant>
        <vt:lpstr>Titre</vt:lpstr>
      </vt:variant>
      <vt:variant>
        <vt:i4>1</vt:i4>
      </vt:variant>
    </vt:vector>
  </HeadingPairs>
  <TitlesOfParts>
    <vt:vector size="1" baseType="lpstr">
      <vt:lpstr>ECE/TRANS/WP.29/GRSG/2023/4</vt:lpstr>
    </vt:vector>
  </TitlesOfParts>
  <Company>DCM</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ECE/TRANS/WP.29/GRSG/2023/4</dc:title>
  <dc:subject/>
  <dc:creator>Christine CHAUTAGNAT</dc:creator>
  <cp:keywords/>
  <cp:lastModifiedBy>Christine Chautagnat</cp:lastModifiedBy>
  <cp:revision>3</cp:revision>
  <cp:lastPrinted>2023-02-06T11:57:00Z</cp:lastPrinted>
  <dcterms:created xsi:type="dcterms:W3CDTF">2023-02-06T11:56:00Z</dcterms:created>
  <dcterms:modified xsi:type="dcterms:W3CDTF">2023-02-06T11:58:00Z</dcterms:modified>
</cp:coreProperties>
</file>