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C3EA5" w:rsidRPr="002C3EA5" w14:paraId="0912985D" w14:textId="77777777" w:rsidTr="00C97039">
        <w:trPr>
          <w:trHeight w:hRule="exact" w:val="851"/>
        </w:trPr>
        <w:tc>
          <w:tcPr>
            <w:tcW w:w="1276" w:type="dxa"/>
            <w:tcBorders>
              <w:bottom w:val="single" w:sz="4" w:space="0" w:color="auto"/>
            </w:tcBorders>
          </w:tcPr>
          <w:p w14:paraId="6D90D327" w14:textId="77777777" w:rsidR="00F35BAF" w:rsidRPr="002C3EA5" w:rsidRDefault="00F35BAF" w:rsidP="005268AE"/>
        </w:tc>
        <w:tc>
          <w:tcPr>
            <w:tcW w:w="2268" w:type="dxa"/>
            <w:tcBorders>
              <w:bottom w:val="single" w:sz="4" w:space="0" w:color="auto"/>
            </w:tcBorders>
            <w:vAlign w:val="bottom"/>
          </w:tcPr>
          <w:p w14:paraId="68017255" w14:textId="77777777" w:rsidR="00F35BAF" w:rsidRPr="002C3EA5" w:rsidRDefault="00F35BAF" w:rsidP="00C97039">
            <w:pPr>
              <w:spacing w:after="80" w:line="300" w:lineRule="exact"/>
              <w:rPr>
                <w:sz w:val="28"/>
              </w:rPr>
            </w:pPr>
            <w:r w:rsidRPr="002C3EA5">
              <w:rPr>
                <w:sz w:val="28"/>
              </w:rPr>
              <w:t>Nations Unies</w:t>
            </w:r>
          </w:p>
        </w:tc>
        <w:tc>
          <w:tcPr>
            <w:tcW w:w="6095" w:type="dxa"/>
            <w:gridSpan w:val="2"/>
            <w:tcBorders>
              <w:bottom w:val="single" w:sz="4" w:space="0" w:color="auto"/>
            </w:tcBorders>
            <w:vAlign w:val="bottom"/>
          </w:tcPr>
          <w:p w14:paraId="1A8C07C4" w14:textId="29B2E0FA" w:rsidR="00F35BAF" w:rsidRPr="002C3EA5" w:rsidRDefault="005268AE" w:rsidP="005268AE">
            <w:pPr>
              <w:jc w:val="right"/>
            </w:pPr>
            <w:r w:rsidRPr="002C3EA5">
              <w:rPr>
                <w:sz w:val="40"/>
              </w:rPr>
              <w:t>ECE</w:t>
            </w:r>
            <w:r w:rsidRPr="002C3EA5">
              <w:t>/TRANS/WP.29/GRSG/2023/2</w:t>
            </w:r>
          </w:p>
        </w:tc>
      </w:tr>
      <w:tr w:rsidR="002C3EA5" w:rsidRPr="002C3EA5" w14:paraId="0C1C508F" w14:textId="77777777" w:rsidTr="00C97039">
        <w:trPr>
          <w:trHeight w:hRule="exact" w:val="2835"/>
        </w:trPr>
        <w:tc>
          <w:tcPr>
            <w:tcW w:w="1276" w:type="dxa"/>
            <w:tcBorders>
              <w:top w:val="single" w:sz="4" w:space="0" w:color="auto"/>
              <w:bottom w:val="single" w:sz="12" w:space="0" w:color="auto"/>
            </w:tcBorders>
          </w:tcPr>
          <w:p w14:paraId="296BD711" w14:textId="77777777" w:rsidR="00F35BAF" w:rsidRPr="002C3EA5" w:rsidRDefault="00F35BAF" w:rsidP="00C97039">
            <w:pPr>
              <w:spacing w:before="120"/>
              <w:jc w:val="center"/>
            </w:pPr>
            <w:r w:rsidRPr="002C3EA5">
              <w:rPr>
                <w:noProof/>
                <w:lang w:eastAsia="fr-CH"/>
              </w:rPr>
              <w:drawing>
                <wp:inline distT="0" distB="0" distL="0" distR="0" wp14:anchorId="79850334" wp14:editId="7ED8EC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267241" w14:textId="77777777" w:rsidR="00F35BAF" w:rsidRPr="002C3EA5" w:rsidRDefault="00F35BAF" w:rsidP="00C97039">
            <w:pPr>
              <w:spacing w:before="120" w:line="420" w:lineRule="exact"/>
              <w:rPr>
                <w:b/>
                <w:sz w:val="40"/>
                <w:szCs w:val="40"/>
              </w:rPr>
            </w:pPr>
            <w:r w:rsidRPr="002C3EA5">
              <w:rPr>
                <w:b/>
                <w:sz w:val="40"/>
                <w:szCs w:val="40"/>
              </w:rPr>
              <w:t>Conseil économique et social</w:t>
            </w:r>
          </w:p>
        </w:tc>
        <w:tc>
          <w:tcPr>
            <w:tcW w:w="2835" w:type="dxa"/>
            <w:tcBorders>
              <w:top w:val="single" w:sz="4" w:space="0" w:color="auto"/>
              <w:bottom w:val="single" w:sz="12" w:space="0" w:color="auto"/>
            </w:tcBorders>
          </w:tcPr>
          <w:p w14:paraId="0C06573C" w14:textId="77777777" w:rsidR="00F35BAF" w:rsidRPr="002C3EA5" w:rsidRDefault="005268AE" w:rsidP="00C97039">
            <w:pPr>
              <w:spacing w:before="240"/>
            </w:pPr>
            <w:proofErr w:type="spellStart"/>
            <w:r w:rsidRPr="002C3EA5">
              <w:t>Distr</w:t>
            </w:r>
            <w:proofErr w:type="spellEnd"/>
            <w:r w:rsidRPr="002C3EA5">
              <w:t>. générale</w:t>
            </w:r>
          </w:p>
          <w:p w14:paraId="706BE83F" w14:textId="77777777" w:rsidR="005268AE" w:rsidRPr="002C3EA5" w:rsidRDefault="005268AE" w:rsidP="005268AE">
            <w:pPr>
              <w:spacing w:line="240" w:lineRule="exact"/>
            </w:pPr>
            <w:r w:rsidRPr="002C3EA5">
              <w:t>6 janvier 2023</w:t>
            </w:r>
          </w:p>
          <w:p w14:paraId="5601E1BB" w14:textId="77777777" w:rsidR="005268AE" w:rsidRPr="002C3EA5" w:rsidRDefault="005268AE" w:rsidP="005268AE">
            <w:pPr>
              <w:spacing w:line="240" w:lineRule="exact"/>
            </w:pPr>
            <w:r w:rsidRPr="002C3EA5">
              <w:t>Français</w:t>
            </w:r>
          </w:p>
          <w:p w14:paraId="42FA019A" w14:textId="57042373" w:rsidR="005268AE" w:rsidRPr="002C3EA5" w:rsidRDefault="005268AE" w:rsidP="005268AE">
            <w:pPr>
              <w:spacing w:line="240" w:lineRule="exact"/>
            </w:pPr>
            <w:r w:rsidRPr="002C3EA5">
              <w:t>Original : anglais</w:t>
            </w:r>
          </w:p>
        </w:tc>
      </w:tr>
    </w:tbl>
    <w:p w14:paraId="354B28BC" w14:textId="77777777" w:rsidR="007F20FA" w:rsidRPr="002C3EA5" w:rsidRDefault="007F20FA" w:rsidP="007F20FA">
      <w:pPr>
        <w:spacing w:before="120"/>
        <w:rPr>
          <w:b/>
          <w:sz w:val="28"/>
          <w:szCs w:val="28"/>
        </w:rPr>
      </w:pPr>
      <w:r w:rsidRPr="002C3EA5">
        <w:rPr>
          <w:b/>
          <w:sz w:val="28"/>
          <w:szCs w:val="28"/>
        </w:rPr>
        <w:t>Commission économique pour l’Europe</w:t>
      </w:r>
    </w:p>
    <w:p w14:paraId="1F668346" w14:textId="77777777" w:rsidR="007F20FA" w:rsidRPr="002C3EA5" w:rsidRDefault="007F20FA" w:rsidP="007F20FA">
      <w:pPr>
        <w:spacing w:before="120"/>
        <w:rPr>
          <w:sz w:val="28"/>
          <w:szCs w:val="28"/>
        </w:rPr>
      </w:pPr>
      <w:r w:rsidRPr="002C3EA5">
        <w:rPr>
          <w:sz w:val="28"/>
          <w:szCs w:val="28"/>
        </w:rPr>
        <w:t>Comité des transports intérieurs</w:t>
      </w:r>
    </w:p>
    <w:p w14:paraId="129D0975" w14:textId="58D85F90" w:rsidR="006E3E52" w:rsidRPr="002C3EA5" w:rsidRDefault="006E3E52" w:rsidP="006E3E52">
      <w:pPr>
        <w:spacing w:before="120"/>
        <w:rPr>
          <w:sz w:val="28"/>
          <w:szCs w:val="28"/>
          <w:lang w:val="fr-FR"/>
        </w:rPr>
      </w:pPr>
      <w:r w:rsidRPr="002C3EA5">
        <w:rPr>
          <w:b/>
          <w:bCs/>
          <w:sz w:val="24"/>
          <w:szCs w:val="24"/>
          <w:lang w:val="fr-FR"/>
        </w:rPr>
        <w:t xml:space="preserve">Forum mondial de l’harmonisation des Règlements </w:t>
      </w:r>
      <w:r w:rsidR="002C3EA5">
        <w:rPr>
          <w:b/>
          <w:bCs/>
          <w:sz w:val="24"/>
          <w:szCs w:val="24"/>
          <w:lang w:val="fr-FR"/>
        </w:rPr>
        <w:br/>
      </w:r>
      <w:r w:rsidRPr="002C3EA5">
        <w:rPr>
          <w:b/>
          <w:bCs/>
          <w:sz w:val="24"/>
          <w:szCs w:val="24"/>
          <w:lang w:val="fr-FR"/>
        </w:rPr>
        <w:t>concernant les véhicules</w:t>
      </w:r>
      <w:r w:rsidRPr="002C3EA5">
        <w:rPr>
          <w:sz w:val="24"/>
          <w:szCs w:val="24"/>
          <w:lang w:val="fr-FR"/>
        </w:rPr>
        <w:t xml:space="preserve"> </w:t>
      </w:r>
    </w:p>
    <w:p w14:paraId="2D8083FA" w14:textId="7FD6EFA6" w:rsidR="006E3E52" w:rsidRPr="002C3EA5" w:rsidRDefault="006E3E52" w:rsidP="006E3E52">
      <w:pPr>
        <w:tabs>
          <w:tab w:val="left" w:pos="7256"/>
        </w:tabs>
        <w:spacing w:before="120" w:after="120"/>
        <w:rPr>
          <w:b/>
          <w:bCs/>
          <w:lang w:val="fr-FR"/>
        </w:rPr>
      </w:pPr>
      <w:r w:rsidRPr="002C3EA5">
        <w:rPr>
          <w:b/>
          <w:bCs/>
          <w:lang w:val="fr-FR"/>
        </w:rPr>
        <w:t>Groupe de travail des dispositions générales de sécurité</w:t>
      </w:r>
    </w:p>
    <w:p w14:paraId="3653E9AF" w14:textId="77777777" w:rsidR="006E3E52" w:rsidRPr="002C3EA5" w:rsidRDefault="006E3E52" w:rsidP="006E3E52">
      <w:pPr>
        <w:rPr>
          <w:b/>
          <w:lang w:val="fr-FR"/>
        </w:rPr>
      </w:pPr>
      <w:r w:rsidRPr="002C3EA5">
        <w:rPr>
          <w:b/>
          <w:bCs/>
          <w:lang w:val="fr-FR"/>
        </w:rPr>
        <w:t>125</w:t>
      </w:r>
      <w:r w:rsidRPr="002C3EA5">
        <w:rPr>
          <w:b/>
          <w:bCs/>
          <w:vertAlign w:val="superscript"/>
          <w:lang w:val="fr-FR"/>
        </w:rPr>
        <w:t>e</w:t>
      </w:r>
      <w:r w:rsidRPr="002C3EA5">
        <w:rPr>
          <w:b/>
          <w:bCs/>
          <w:lang w:val="fr-FR"/>
        </w:rPr>
        <w:t xml:space="preserve"> session</w:t>
      </w:r>
      <w:r w:rsidRPr="002C3EA5">
        <w:rPr>
          <w:lang w:val="fr-FR"/>
        </w:rPr>
        <w:t xml:space="preserve"> </w:t>
      </w:r>
    </w:p>
    <w:p w14:paraId="4C38AC93" w14:textId="77777777" w:rsidR="006E3E52" w:rsidRPr="002C3EA5" w:rsidRDefault="006E3E52" w:rsidP="006E3E52">
      <w:pPr>
        <w:rPr>
          <w:bCs/>
          <w:lang w:val="fr-FR"/>
        </w:rPr>
      </w:pPr>
      <w:r w:rsidRPr="002C3EA5">
        <w:rPr>
          <w:lang w:val="fr-FR"/>
        </w:rPr>
        <w:t>Genève, 27-31 mars 2023</w:t>
      </w:r>
    </w:p>
    <w:p w14:paraId="3541609D" w14:textId="77777777" w:rsidR="006E3E52" w:rsidRPr="002C3EA5" w:rsidRDefault="006E3E52" w:rsidP="006E3E52">
      <w:pPr>
        <w:rPr>
          <w:bCs/>
          <w:lang w:val="fr-FR"/>
        </w:rPr>
      </w:pPr>
      <w:r w:rsidRPr="002C3EA5">
        <w:rPr>
          <w:lang w:val="fr-FR"/>
        </w:rPr>
        <w:t>Point 5 de l’ordre du jour provisoire</w:t>
      </w:r>
    </w:p>
    <w:p w14:paraId="28243F61" w14:textId="77777777" w:rsidR="006E3E52" w:rsidRPr="002C3EA5" w:rsidRDefault="006E3E52" w:rsidP="006E3E52">
      <w:pPr>
        <w:rPr>
          <w:b/>
          <w:bCs/>
          <w:lang w:val="fr-FR"/>
        </w:rPr>
      </w:pPr>
      <w:r w:rsidRPr="002C3EA5">
        <w:rPr>
          <w:b/>
          <w:bCs/>
          <w:lang w:val="fr-FR"/>
        </w:rPr>
        <w:t>Règlement ONU n</w:t>
      </w:r>
      <w:r w:rsidRPr="002C3EA5">
        <w:rPr>
          <w:b/>
          <w:bCs/>
          <w:vertAlign w:val="superscript"/>
          <w:lang w:val="fr-FR"/>
        </w:rPr>
        <w:t>o</w:t>
      </w:r>
      <w:r w:rsidRPr="002C3EA5">
        <w:rPr>
          <w:b/>
          <w:bCs/>
          <w:lang w:val="fr-FR"/>
        </w:rPr>
        <w:t xml:space="preserve"> 66 (Résistance de la superstructure (autobus))</w:t>
      </w:r>
      <w:r w:rsidRPr="002C3EA5">
        <w:rPr>
          <w:lang w:val="fr-FR"/>
        </w:rPr>
        <w:t xml:space="preserve"> </w:t>
      </w:r>
    </w:p>
    <w:p w14:paraId="11A025A3" w14:textId="269A2425" w:rsidR="006E3E52" w:rsidRPr="002C3EA5" w:rsidRDefault="006E3E52" w:rsidP="001B6531">
      <w:pPr>
        <w:pStyle w:val="HChG"/>
        <w:rPr>
          <w:sz w:val="36"/>
          <w:szCs w:val="36"/>
          <w:lang w:val="fr-FR"/>
        </w:rPr>
      </w:pPr>
      <w:r w:rsidRPr="002C3EA5">
        <w:rPr>
          <w:lang w:val="fr-FR"/>
        </w:rPr>
        <w:tab/>
      </w:r>
      <w:r w:rsidRPr="002C3EA5">
        <w:rPr>
          <w:lang w:val="fr-FR"/>
        </w:rPr>
        <w:tab/>
        <w:t xml:space="preserve">Proposition de complément 1 à la série 02 d’amendements </w:t>
      </w:r>
      <w:r w:rsidR="001B6531">
        <w:rPr>
          <w:lang w:val="fr-FR"/>
        </w:rPr>
        <w:br/>
      </w:r>
      <w:r w:rsidRPr="002C3EA5">
        <w:rPr>
          <w:lang w:val="fr-FR"/>
        </w:rPr>
        <w:t>au Règlement ONU n</w:t>
      </w:r>
      <w:r w:rsidRPr="002C3EA5">
        <w:rPr>
          <w:vertAlign w:val="superscript"/>
          <w:lang w:val="fr-FR"/>
        </w:rPr>
        <w:t>o</w:t>
      </w:r>
      <w:r w:rsidR="001B6531">
        <w:rPr>
          <w:lang w:val="fr-FR"/>
        </w:rPr>
        <w:t> </w:t>
      </w:r>
      <w:r w:rsidRPr="002C3EA5">
        <w:rPr>
          <w:lang w:val="fr-FR"/>
        </w:rPr>
        <w:t xml:space="preserve">66 (Résistance de la superstructure </w:t>
      </w:r>
      <w:r w:rsidR="001B6531">
        <w:rPr>
          <w:lang w:val="fr-FR"/>
        </w:rPr>
        <w:br/>
      </w:r>
      <w:r w:rsidRPr="002C3EA5">
        <w:rPr>
          <w:lang w:val="fr-FR"/>
        </w:rPr>
        <w:t>(autobus))</w:t>
      </w:r>
    </w:p>
    <w:p w14:paraId="47D096EF" w14:textId="1ED181BF" w:rsidR="006E3E52" w:rsidRPr="002C3EA5" w:rsidRDefault="006E3E52" w:rsidP="001B6531">
      <w:pPr>
        <w:pStyle w:val="H1G"/>
        <w:rPr>
          <w:sz w:val="32"/>
          <w:lang w:val="fr-FR"/>
        </w:rPr>
      </w:pPr>
      <w:r w:rsidRPr="002C3EA5">
        <w:rPr>
          <w:lang w:val="fr-FR"/>
        </w:rPr>
        <w:tab/>
      </w:r>
      <w:r w:rsidRPr="002C3EA5">
        <w:rPr>
          <w:lang w:val="fr-FR"/>
        </w:rPr>
        <w:tab/>
        <w:t>Communication de l’expert de la Fédération de Russie</w:t>
      </w:r>
      <w:r w:rsidRPr="001B6531">
        <w:rPr>
          <w:b w:val="0"/>
          <w:bCs/>
          <w:sz w:val="20"/>
          <w:lang w:val="fr-FR"/>
        </w:rPr>
        <w:footnoteReference w:customMarkFollows="1" w:id="2"/>
        <w:t>*</w:t>
      </w:r>
    </w:p>
    <w:p w14:paraId="283B3BEC" w14:textId="77777777" w:rsidR="006E3E52" w:rsidRPr="002C3EA5" w:rsidRDefault="006E3E52" w:rsidP="006E3E52">
      <w:pPr>
        <w:pStyle w:val="SingleTxtG"/>
        <w:suppressAutoHyphens w:val="0"/>
        <w:ind w:left="1140" w:firstLine="561"/>
        <w:rPr>
          <w:lang w:val="fr-FR"/>
        </w:rPr>
      </w:pPr>
      <w:r w:rsidRPr="002C3EA5">
        <w:rPr>
          <w:lang w:val="fr-FR"/>
        </w:rPr>
        <w:t>Le texte ci-après, établi par l’expert de la Fédération de Russie, vise à autoriser des vérifications supplémentaires en matière de sécurité passive à l’échelle nationale. Il est fondé sur le document informel GRSG 124-28, distribué à la 124</w:t>
      </w:r>
      <w:r w:rsidRPr="002C3EA5">
        <w:rPr>
          <w:vertAlign w:val="superscript"/>
          <w:lang w:val="fr-FR"/>
        </w:rPr>
        <w:t>e</w:t>
      </w:r>
      <w:r w:rsidRPr="002C3EA5">
        <w:rPr>
          <w:lang w:val="fr-FR"/>
        </w:rPr>
        <w:t xml:space="preserve"> session du Groupe de travail des dispositions générales de sécurité (GRSG). Les modifications qu’il est proposé d’apporter au texte actuel du Règlement ONU figurent en caractères gras pour les ajouts et biffés pour les suppressions.</w:t>
      </w:r>
    </w:p>
    <w:p w14:paraId="7200302C" w14:textId="73DAC909" w:rsidR="006E3E52" w:rsidRPr="002C3EA5" w:rsidRDefault="006E3E52">
      <w:pPr>
        <w:suppressAutoHyphens w:val="0"/>
        <w:kinsoku/>
        <w:overflowPunct/>
        <w:autoSpaceDE/>
        <w:autoSpaceDN/>
        <w:adjustRightInd/>
        <w:snapToGrid/>
        <w:spacing w:after="200" w:line="276" w:lineRule="auto"/>
        <w:rPr>
          <w:lang w:val="fr-FR"/>
        </w:rPr>
      </w:pPr>
      <w:r w:rsidRPr="002C3EA5">
        <w:rPr>
          <w:lang w:val="fr-FR"/>
        </w:rPr>
        <w:br w:type="page"/>
      </w:r>
    </w:p>
    <w:p w14:paraId="4B97B0CD" w14:textId="77777777" w:rsidR="006E3E52" w:rsidRPr="002C3EA5" w:rsidRDefault="006E3E52" w:rsidP="00613473">
      <w:pPr>
        <w:pStyle w:val="HChG"/>
        <w:rPr>
          <w:sz w:val="40"/>
          <w:lang w:val="fr-FR"/>
        </w:rPr>
      </w:pPr>
      <w:bookmarkStart w:id="0" w:name="_Hlk50446194"/>
      <w:bookmarkStart w:id="1" w:name="_Hlk50446402"/>
      <w:r w:rsidRPr="002C3EA5">
        <w:rPr>
          <w:lang w:val="fr-FR"/>
        </w:rPr>
        <w:lastRenderedPageBreak/>
        <w:tab/>
        <w:t>I.</w:t>
      </w:r>
      <w:r w:rsidRPr="002C3EA5">
        <w:rPr>
          <w:lang w:val="fr-FR"/>
        </w:rPr>
        <w:tab/>
        <w:t xml:space="preserve">Proposition </w:t>
      </w:r>
    </w:p>
    <w:bookmarkEnd w:id="0"/>
    <w:bookmarkEnd w:id="1"/>
    <w:p w14:paraId="156694E6" w14:textId="77777777" w:rsidR="006E3E52" w:rsidRPr="002C3EA5" w:rsidRDefault="006E3E52" w:rsidP="00613473">
      <w:pPr>
        <w:pStyle w:val="SingleTxtG"/>
        <w:rPr>
          <w:rFonts w:eastAsia="Calibri"/>
          <w:lang w:val="fr-FR"/>
        </w:rPr>
      </w:pPr>
      <w:r w:rsidRPr="00613473">
        <w:rPr>
          <w:i/>
          <w:iCs/>
          <w:lang w:val="fr-FR"/>
        </w:rPr>
        <w:t>Ajouter le nouveau paragraphe 1.3</w:t>
      </w:r>
      <w:r w:rsidRPr="002C3EA5">
        <w:rPr>
          <w:lang w:val="fr-FR"/>
        </w:rPr>
        <w:t>, libellé comme suit :</w:t>
      </w:r>
    </w:p>
    <w:p w14:paraId="1B6AE8AA" w14:textId="77777777" w:rsidR="006E3E52" w:rsidRPr="002C3EA5" w:rsidRDefault="006E3E52" w:rsidP="00621156">
      <w:pPr>
        <w:pStyle w:val="HChG"/>
        <w:rPr>
          <w:lang w:val="fr-FR"/>
        </w:rPr>
      </w:pPr>
      <w:r w:rsidRPr="002C3EA5">
        <w:rPr>
          <w:lang w:val="fr-FR"/>
        </w:rPr>
        <w:tab/>
      </w:r>
      <w:r w:rsidRPr="002C3EA5">
        <w:rPr>
          <w:lang w:val="fr-FR"/>
        </w:rPr>
        <w:tab/>
      </w:r>
      <w:r w:rsidRPr="00613473">
        <w:rPr>
          <w:b w:val="0"/>
          <w:bCs/>
          <w:sz w:val="20"/>
          <w:lang w:val="fr-FR"/>
        </w:rPr>
        <w:t>« </w:t>
      </w:r>
      <w:r w:rsidRPr="002C3EA5">
        <w:rPr>
          <w:bCs/>
          <w:lang w:val="fr-FR"/>
        </w:rPr>
        <w:t>1.</w:t>
      </w:r>
      <w:r w:rsidRPr="002C3EA5">
        <w:rPr>
          <w:lang w:val="fr-FR"/>
        </w:rPr>
        <w:tab/>
      </w:r>
      <w:r w:rsidRPr="002C3EA5">
        <w:rPr>
          <w:lang w:val="fr-FR"/>
        </w:rPr>
        <w:tab/>
      </w:r>
      <w:r w:rsidRPr="002C3EA5">
        <w:rPr>
          <w:bCs/>
          <w:lang w:val="fr-FR"/>
        </w:rPr>
        <w:t>Domaine d’application</w:t>
      </w:r>
    </w:p>
    <w:p w14:paraId="6F6C8291" w14:textId="77777777" w:rsidR="006E3E52" w:rsidRPr="002C3EA5" w:rsidRDefault="006E3E52" w:rsidP="00DE51E0">
      <w:pPr>
        <w:pStyle w:val="SingleTxtG"/>
        <w:ind w:left="2268" w:hanging="1134"/>
        <w:rPr>
          <w:lang w:val="fr-FR"/>
        </w:rPr>
      </w:pPr>
      <w:r w:rsidRPr="002C3EA5">
        <w:rPr>
          <w:lang w:val="fr-FR"/>
        </w:rPr>
        <w:t>1.1</w:t>
      </w:r>
      <w:r w:rsidRPr="002C3EA5">
        <w:rPr>
          <w:lang w:val="fr-FR"/>
        </w:rPr>
        <w:tab/>
        <w:t>Le présent Règlement s’applique aux véhicules rigides ou articulés à un seul étage des catégories M</w:t>
      </w:r>
      <w:r w:rsidRPr="002C3EA5">
        <w:rPr>
          <w:vertAlign w:val="subscript"/>
          <w:lang w:val="fr-FR"/>
        </w:rPr>
        <w:t>2</w:t>
      </w:r>
      <w:r w:rsidRPr="002C3EA5">
        <w:rPr>
          <w:lang w:val="fr-FR"/>
        </w:rPr>
        <w:t xml:space="preserve"> ou M</w:t>
      </w:r>
      <w:r w:rsidRPr="002C3EA5">
        <w:rPr>
          <w:vertAlign w:val="subscript"/>
          <w:lang w:val="fr-FR"/>
        </w:rPr>
        <w:t>3</w:t>
      </w:r>
      <w:r w:rsidRPr="002C3EA5">
        <w:rPr>
          <w:lang w:val="fr-FR"/>
        </w:rPr>
        <w:t>, classe II ou III, ou classe B pouvant transporter plus de 16 voyageurs</w:t>
      </w:r>
      <w:r w:rsidRPr="00232C49">
        <w:rPr>
          <w:sz w:val="18"/>
          <w:szCs w:val="18"/>
          <w:vertAlign w:val="superscript"/>
          <w:lang w:val="fr-FR"/>
        </w:rPr>
        <w:t>1</w:t>
      </w:r>
      <w:r w:rsidRPr="002C3EA5">
        <w:rPr>
          <w:lang w:val="fr-FR"/>
        </w:rPr>
        <w:t>.</w:t>
      </w:r>
    </w:p>
    <w:p w14:paraId="30D9F973" w14:textId="77777777" w:rsidR="006E3E52" w:rsidRPr="002C3EA5" w:rsidRDefault="006E3E52" w:rsidP="00DE51E0">
      <w:pPr>
        <w:pStyle w:val="SingleTxtG"/>
        <w:ind w:left="2268" w:hanging="1134"/>
        <w:rPr>
          <w:szCs w:val="24"/>
          <w:lang w:val="fr-FR"/>
        </w:rPr>
      </w:pPr>
      <w:r w:rsidRPr="002C3EA5">
        <w:rPr>
          <w:lang w:val="fr-FR"/>
        </w:rPr>
        <w:t>1.2</w:t>
      </w:r>
      <w:r w:rsidRPr="002C3EA5">
        <w:rPr>
          <w:lang w:val="fr-FR"/>
        </w:rPr>
        <w:tab/>
        <w:t>À la demande du constructeur, le présent Règlement peut aussi s’appliquer à tout autre véhicule des catégories M</w:t>
      </w:r>
      <w:r w:rsidRPr="002C3EA5">
        <w:rPr>
          <w:vertAlign w:val="subscript"/>
          <w:lang w:val="fr-FR"/>
        </w:rPr>
        <w:t>2</w:t>
      </w:r>
      <w:r w:rsidRPr="002C3EA5">
        <w:rPr>
          <w:lang w:val="fr-FR"/>
        </w:rPr>
        <w:t xml:space="preserve"> ou M</w:t>
      </w:r>
      <w:r w:rsidRPr="002C3EA5">
        <w:rPr>
          <w:vertAlign w:val="subscript"/>
          <w:lang w:val="fr-FR"/>
        </w:rPr>
        <w:t>3</w:t>
      </w:r>
      <w:r w:rsidRPr="002C3EA5">
        <w:rPr>
          <w:lang w:val="fr-FR"/>
        </w:rPr>
        <w:t xml:space="preserve"> non mentionné au paragraphe 1.1.</w:t>
      </w:r>
    </w:p>
    <w:p w14:paraId="35438586" w14:textId="77777777" w:rsidR="006E3E52" w:rsidRPr="002C3EA5" w:rsidRDefault="006E3E52" w:rsidP="00DE51E0">
      <w:pPr>
        <w:pStyle w:val="SingleTxtG"/>
        <w:ind w:left="2268" w:hanging="1134"/>
        <w:rPr>
          <w:b/>
          <w:i/>
          <w:iCs/>
          <w:lang w:val="fr-FR"/>
        </w:rPr>
      </w:pPr>
      <w:r w:rsidRPr="002C3EA5">
        <w:rPr>
          <w:b/>
          <w:bCs/>
          <w:lang w:val="fr-FR"/>
        </w:rPr>
        <w:t>1.3</w:t>
      </w:r>
      <w:r w:rsidRPr="002C3EA5">
        <w:rPr>
          <w:lang w:val="fr-FR"/>
        </w:rPr>
        <w:tab/>
      </w:r>
      <w:r w:rsidRPr="002C3EA5">
        <w:rPr>
          <w:b/>
          <w:bCs/>
          <w:lang w:val="fr-FR"/>
        </w:rPr>
        <w:t>Les prescriptions nationales des Parties contractantes peuvent s’appliquer à l’évaluation du bon fonctionnement des trappes d’évacuation et de l’efficacité des mesures de sécurité permettant d’éviter les blessures dans le compartiment voyageurs après l’essai physique de renversement</w:t>
      </w:r>
      <w:r w:rsidRPr="002C3EA5">
        <w:rPr>
          <w:lang w:val="fr-FR"/>
        </w:rPr>
        <w:t>. ».</w:t>
      </w:r>
    </w:p>
    <w:p w14:paraId="7A6629DC" w14:textId="64C7CAE8" w:rsidR="006E3E52" w:rsidRPr="002C3EA5" w:rsidRDefault="00F121D7" w:rsidP="00F121D7">
      <w:pPr>
        <w:pStyle w:val="HChG"/>
        <w:rPr>
          <w:lang w:val="fr-FR"/>
        </w:rPr>
      </w:pPr>
      <w:r>
        <w:rPr>
          <w:lang w:val="fr-FR"/>
        </w:rPr>
        <w:tab/>
      </w:r>
      <w:r w:rsidR="006E3E52" w:rsidRPr="002C3EA5">
        <w:rPr>
          <w:lang w:val="fr-FR"/>
        </w:rPr>
        <w:t>II.</w:t>
      </w:r>
      <w:r w:rsidR="006E3E52" w:rsidRPr="002C3EA5">
        <w:rPr>
          <w:lang w:val="fr-FR"/>
        </w:rPr>
        <w:tab/>
        <w:t>Justification</w:t>
      </w:r>
    </w:p>
    <w:p w14:paraId="3C60E85D" w14:textId="77777777" w:rsidR="006E3E52" w:rsidRPr="002C3EA5" w:rsidRDefault="006E3E52" w:rsidP="00F121D7">
      <w:pPr>
        <w:pStyle w:val="SingleTxtG"/>
        <w:rPr>
          <w:lang w:val="fr-FR"/>
        </w:rPr>
      </w:pPr>
      <w:r w:rsidRPr="002C3EA5">
        <w:rPr>
          <w:lang w:val="fr-FR"/>
        </w:rPr>
        <w:t>1.</w:t>
      </w:r>
      <w:r w:rsidRPr="002C3EA5">
        <w:rPr>
          <w:lang w:val="fr-FR"/>
        </w:rPr>
        <w:tab/>
        <w:t>Le Règlement ONU n</w:t>
      </w:r>
      <w:r w:rsidRPr="002C3EA5">
        <w:rPr>
          <w:vertAlign w:val="superscript"/>
          <w:lang w:val="fr-FR"/>
        </w:rPr>
        <w:t>o</w:t>
      </w:r>
      <w:r w:rsidRPr="002C3EA5">
        <w:rPr>
          <w:lang w:val="fr-FR"/>
        </w:rPr>
        <w:t> 66 contient des prescriptions et décrit des méthodes pour l’évaluation de la résistance d’une superstructure. Différentes méthodes d’essai sont autorisées conformément à ce Règlement, mais l’essai sur un véhicule complet est considéré comme étant la méthode de référence.</w:t>
      </w:r>
    </w:p>
    <w:p w14:paraId="6CBF12F8" w14:textId="77777777" w:rsidR="006E3E52" w:rsidRPr="002C3EA5" w:rsidRDefault="006E3E52" w:rsidP="00F121D7">
      <w:pPr>
        <w:pStyle w:val="SingleTxtG"/>
        <w:rPr>
          <w:lang w:val="fr-FR"/>
        </w:rPr>
      </w:pPr>
      <w:r w:rsidRPr="002C3EA5">
        <w:rPr>
          <w:lang w:val="fr-FR"/>
        </w:rPr>
        <w:t>2.</w:t>
      </w:r>
      <w:r w:rsidRPr="002C3EA5">
        <w:rPr>
          <w:lang w:val="fr-FR"/>
        </w:rPr>
        <w:tab/>
        <w:t>Lorsque des essais grandeur nature sont effectués sur un véhicule complet, il est proposé d’autoriser des vérifications supplémentaires en matière de sécurité passive au niveau national, concernant par exemple la préservation des supports des sièges, les objets dangereux qui rentrent dans l’espace de survie et se déplacent à l’intérieur de celui-ci et le bon fonctionnement des trappes d’évacuation.</w:t>
      </w:r>
    </w:p>
    <w:p w14:paraId="7947B677" w14:textId="14B7A346" w:rsidR="006E3E52" w:rsidRPr="002C3EA5" w:rsidRDefault="006E3E52" w:rsidP="00F121D7">
      <w:pPr>
        <w:pStyle w:val="SingleTxtG"/>
        <w:rPr>
          <w:lang w:val="fr-FR"/>
        </w:rPr>
      </w:pPr>
      <w:r w:rsidRPr="002C3EA5">
        <w:rPr>
          <w:lang w:val="fr-FR"/>
        </w:rPr>
        <w:t>3.</w:t>
      </w:r>
      <w:r w:rsidRPr="002C3EA5">
        <w:rPr>
          <w:lang w:val="fr-FR"/>
        </w:rPr>
        <w:tab/>
        <w:t>La présente proposition s’inspire du paragraphe 1.4 de la première partie (Champ d’application) du Règlement ONU n</w:t>
      </w:r>
      <w:r w:rsidRPr="002C3EA5">
        <w:rPr>
          <w:vertAlign w:val="superscript"/>
          <w:lang w:val="fr-FR"/>
        </w:rPr>
        <w:t>o</w:t>
      </w:r>
      <w:r w:rsidR="00985F0F">
        <w:rPr>
          <w:lang w:val="fr-FR"/>
        </w:rPr>
        <w:t> </w:t>
      </w:r>
      <w:r w:rsidRPr="002C3EA5">
        <w:rPr>
          <w:lang w:val="fr-FR"/>
        </w:rPr>
        <w:t xml:space="preserve">144. </w:t>
      </w:r>
    </w:p>
    <w:p w14:paraId="2B5F4FCA" w14:textId="195A4A83" w:rsidR="00F9573C" w:rsidRPr="002C3EA5" w:rsidRDefault="006E3E52" w:rsidP="006E3E52">
      <w:pPr>
        <w:pStyle w:val="SingleTxtG"/>
        <w:spacing w:before="240" w:after="0"/>
        <w:jc w:val="center"/>
        <w:rPr>
          <w:u w:val="single"/>
          <w:lang w:val="fr-FR"/>
        </w:rPr>
      </w:pPr>
      <w:r w:rsidRPr="002C3EA5">
        <w:rPr>
          <w:u w:val="single"/>
          <w:lang w:val="fr-FR"/>
        </w:rPr>
        <w:tab/>
      </w:r>
      <w:r w:rsidRPr="002C3EA5">
        <w:rPr>
          <w:u w:val="single"/>
          <w:lang w:val="fr-FR"/>
        </w:rPr>
        <w:tab/>
      </w:r>
      <w:r w:rsidRPr="002C3EA5">
        <w:rPr>
          <w:u w:val="single"/>
          <w:lang w:val="fr-FR"/>
        </w:rPr>
        <w:tab/>
      </w:r>
      <w:r w:rsidRPr="002C3EA5">
        <w:rPr>
          <w:u w:val="single"/>
          <w:lang w:val="fr-FR"/>
        </w:rPr>
        <w:tab/>
      </w:r>
    </w:p>
    <w:sectPr w:rsidR="00F9573C" w:rsidRPr="002C3EA5" w:rsidSect="005268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695E" w14:textId="77777777" w:rsidR="00F91F95" w:rsidRDefault="00F91F95" w:rsidP="00F95C08">
      <w:pPr>
        <w:spacing w:line="240" w:lineRule="auto"/>
      </w:pPr>
    </w:p>
  </w:endnote>
  <w:endnote w:type="continuationSeparator" w:id="0">
    <w:p w14:paraId="145A9194" w14:textId="77777777" w:rsidR="00F91F95" w:rsidRPr="00AC3823" w:rsidRDefault="00F91F95" w:rsidP="00AC3823">
      <w:pPr>
        <w:pStyle w:val="Pieddepage"/>
      </w:pPr>
    </w:p>
  </w:endnote>
  <w:endnote w:type="continuationNotice" w:id="1">
    <w:p w14:paraId="2BDAABFD" w14:textId="77777777" w:rsidR="00F91F95" w:rsidRDefault="00F91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1AD" w14:textId="07449F49" w:rsidR="005268AE" w:rsidRPr="005268AE" w:rsidRDefault="005268AE" w:rsidP="005268AE">
    <w:pPr>
      <w:pStyle w:val="Pieddepage"/>
      <w:tabs>
        <w:tab w:val="right" w:pos="9638"/>
      </w:tabs>
    </w:pPr>
    <w:r w:rsidRPr="005268AE">
      <w:rPr>
        <w:b/>
        <w:sz w:val="18"/>
      </w:rPr>
      <w:fldChar w:fldCharType="begin"/>
    </w:r>
    <w:r w:rsidRPr="005268AE">
      <w:rPr>
        <w:b/>
        <w:sz w:val="18"/>
      </w:rPr>
      <w:instrText xml:space="preserve"> PAGE  \* MERGEFORMAT </w:instrText>
    </w:r>
    <w:r w:rsidRPr="005268AE">
      <w:rPr>
        <w:b/>
        <w:sz w:val="18"/>
      </w:rPr>
      <w:fldChar w:fldCharType="separate"/>
    </w:r>
    <w:r w:rsidRPr="005268AE">
      <w:rPr>
        <w:b/>
        <w:noProof/>
        <w:sz w:val="18"/>
      </w:rPr>
      <w:t>2</w:t>
    </w:r>
    <w:r w:rsidRPr="005268AE">
      <w:rPr>
        <w:b/>
        <w:sz w:val="18"/>
      </w:rPr>
      <w:fldChar w:fldCharType="end"/>
    </w:r>
    <w:r>
      <w:rPr>
        <w:b/>
        <w:sz w:val="18"/>
      </w:rPr>
      <w:tab/>
    </w:r>
    <w:r>
      <w:t>GE.23-00206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2BF7" w14:textId="41C96C55" w:rsidR="005268AE" w:rsidRPr="005268AE" w:rsidRDefault="005268AE" w:rsidP="005268AE">
    <w:pPr>
      <w:pStyle w:val="Pieddepage"/>
      <w:tabs>
        <w:tab w:val="right" w:pos="9638"/>
      </w:tabs>
      <w:rPr>
        <w:b/>
        <w:sz w:val="18"/>
      </w:rPr>
    </w:pPr>
    <w:r>
      <w:t>GE.23-00206</w:t>
    </w:r>
    <w:r>
      <w:tab/>
    </w:r>
    <w:r w:rsidRPr="005268AE">
      <w:rPr>
        <w:b/>
        <w:sz w:val="18"/>
      </w:rPr>
      <w:fldChar w:fldCharType="begin"/>
    </w:r>
    <w:r w:rsidRPr="005268AE">
      <w:rPr>
        <w:b/>
        <w:sz w:val="18"/>
      </w:rPr>
      <w:instrText xml:space="preserve"> PAGE  \* MERGEFORMAT </w:instrText>
    </w:r>
    <w:r w:rsidRPr="005268AE">
      <w:rPr>
        <w:b/>
        <w:sz w:val="18"/>
      </w:rPr>
      <w:fldChar w:fldCharType="separate"/>
    </w:r>
    <w:r w:rsidRPr="005268AE">
      <w:rPr>
        <w:b/>
        <w:noProof/>
        <w:sz w:val="18"/>
      </w:rPr>
      <w:t>3</w:t>
    </w:r>
    <w:r w:rsidRPr="005268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C48" w14:textId="4687AF7C" w:rsidR="007F20FA" w:rsidRPr="005268AE" w:rsidRDefault="005268AE" w:rsidP="005268A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55B61B" wp14:editId="4AC2C9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23-00206  (F)</w:t>
    </w:r>
    <w:r>
      <w:rPr>
        <w:noProof/>
        <w:sz w:val="20"/>
      </w:rPr>
      <w:drawing>
        <wp:anchor distT="0" distB="0" distL="114300" distR="114300" simplePos="0" relativeHeight="251660288" behindDoc="0" locked="0" layoutInCell="1" allowOverlap="1" wp14:anchorId="25053C52" wp14:editId="63D7EF6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060223    060223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71D7" w14:textId="77777777" w:rsidR="00F91F95" w:rsidRPr="00AC3823" w:rsidRDefault="00F91F95" w:rsidP="00AC3823">
      <w:pPr>
        <w:pStyle w:val="Pieddepage"/>
        <w:tabs>
          <w:tab w:val="right" w:pos="2155"/>
        </w:tabs>
        <w:spacing w:after="80" w:line="240" w:lineRule="atLeast"/>
        <w:ind w:left="680"/>
        <w:rPr>
          <w:u w:val="single"/>
        </w:rPr>
      </w:pPr>
      <w:r>
        <w:rPr>
          <w:u w:val="single"/>
        </w:rPr>
        <w:tab/>
      </w:r>
    </w:p>
  </w:footnote>
  <w:footnote w:type="continuationSeparator" w:id="0">
    <w:p w14:paraId="040ACD08" w14:textId="77777777" w:rsidR="00F91F95" w:rsidRPr="00AC3823" w:rsidRDefault="00F91F95" w:rsidP="00AC3823">
      <w:pPr>
        <w:pStyle w:val="Pieddepage"/>
        <w:tabs>
          <w:tab w:val="right" w:pos="2155"/>
        </w:tabs>
        <w:spacing w:after="80" w:line="240" w:lineRule="atLeast"/>
        <w:ind w:left="680"/>
        <w:rPr>
          <w:u w:val="single"/>
        </w:rPr>
      </w:pPr>
      <w:r>
        <w:rPr>
          <w:u w:val="single"/>
        </w:rPr>
        <w:tab/>
      </w:r>
    </w:p>
  </w:footnote>
  <w:footnote w:type="continuationNotice" w:id="1">
    <w:p w14:paraId="19F1AF53" w14:textId="77777777" w:rsidR="00F91F95" w:rsidRPr="00AC3823" w:rsidRDefault="00F91F95">
      <w:pPr>
        <w:spacing w:line="240" w:lineRule="auto"/>
        <w:rPr>
          <w:sz w:val="2"/>
          <w:szCs w:val="2"/>
        </w:rPr>
      </w:pPr>
    </w:p>
  </w:footnote>
  <w:footnote w:id="2">
    <w:p w14:paraId="03769232" w14:textId="77777777" w:rsidR="006E3E52" w:rsidRPr="00EA370C" w:rsidRDefault="006E3E52" w:rsidP="006E3E52">
      <w:pPr>
        <w:pStyle w:val="Notedebasdepage"/>
      </w:pPr>
      <w:r>
        <w:rPr>
          <w:lang w:val="fr-FR"/>
        </w:rPr>
        <w:tab/>
      </w:r>
      <w:r w:rsidRPr="001B6531">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A9E" w14:textId="5692ABC2" w:rsidR="005268AE" w:rsidRPr="005268AE" w:rsidRDefault="005268AE">
    <w:pPr>
      <w:pStyle w:val="En-tte"/>
    </w:pPr>
    <w:fldSimple w:instr=" TITLE  \* MERGEFORMAT ">
      <w:r>
        <w:t>ECE/TRANS/WP.29/GRSG/2023/2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8DD8" w14:textId="3258741C" w:rsidR="005268AE" w:rsidRPr="005268AE" w:rsidRDefault="005268AE" w:rsidP="005268AE">
    <w:pPr>
      <w:pStyle w:val="En-tte"/>
      <w:jc w:val="right"/>
    </w:pPr>
    <w:fldSimple w:instr=" TITLE  \* MERGEFORMAT ">
      <w:r>
        <w:t>ECE/TRANS/WP.29/GRSG/2023/2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21700958">
    <w:abstractNumId w:val="12"/>
  </w:num>
  <w:num w:numId="2" w16cid:durableId="473185402">
    <w:abstractNumId w:val="11"/>
  </w:num>
  <w:num w:numId="3" w16cid:durableId="19163489">
    <w:abstractNumId w:val="10"/>
  </w:num>
  <w:num w:numId="4" w16cid:durableId="1712614608">
    <w:abstractNumId w:val="8"/>
  </w:num>
  <w:num w:numId="5" w16cid:durableId="1389456892">
    <w:abstractNumId w:val="3"/>
  </w:num>
  <w:num w:numId="6" w16cid:durableId="1169439606">
    <w:abstractNumId w:val="2"/>
  </w:num>
  <w:num w:numId="7" w16cid:durableId="196506046">
    <w:abstractNumId w:val="1"/>
  </w:num>
  <w:num w:numId="8" w16cid:durableId="1414350210">
    <w:abstractNumId w:val="0"/>
  </w:num>
  <w:num w:numId="9" w16cid:durableId="402065217">
    <w:abstractNumId w:val="9"/>
  </w:num>
  <w:num w:numId="10" w16cid:durableId="220559494">
    <w:abstractNumId w:val="7"/>
  </w:num>
  <w:num w:numId="11" w16cid:durableId="1147359560">
    <w:abstractNumId w:val="6"/>
  </w:num>
  <w:num w:numId="12" w16cid:durableId="1041858475">
    <w:abstractNumId w:val="5"/>
  </w:num>
  <w:num w:numId="13" w16cid:durableId="489372963">
    <w:abstractNumId w:val="4"/>
  </w:num>
  <w:num w:numId="14" w16cid:durableId="1298339072">
    <w:abstractNumId w:val="12"/>
  </w:num>
  <w:num w:numId="15" w16cid:durableId="2048410548">
    <w:abstractNumId w:val="11"/>
  </w:num>
  <w:num w:numId="16" w16cid:durableId="394858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95"/>
    <w:rsid w:val="00017F94"/>
    <w:rsid w:val="00023842"/>
    <w:rsid w:val="000334F9"/>
    <w:rsid w:val="00045FEB"/>
    <w:rsid w:val="0007796D"/>
    <w:rsid w:val="000B7790"/>
    <w:rsid w:val="00111F2F"/>
    <w:rsid w:val="0014365E"/>
    <w:rsid w:val="00143C66"/>
    <w:rsid w:val="00176178"/>
    <w:rsid w:val="001B6531"/>
    <w:rsid w:val="001F525A"/>
    <w:rsid w:val="00201148"/>
    <w:rsid w:val="00223272"/>
    <w:rsid w:val="00232C49"/>
    <w:rsid w:val="0024779E"/>
    <w:rsid w:val="00257168"/>
    <w:rsid w:val="002744B8"/>
    <w:rsid w:val="002832AC"/>
    <w:rsid w:val="002C3EA5"/>
    <w:rsid w:val="002D7C93"/>
    <w:rsid w:val="00305801"/>
    <w:rsid w:val="003916DE"/>
    <w:rsid w:val="00421996"/>
    <w:rsid w:val="00441C3B"/>
    <w:rsid w:val="00446FE5"/>
    <w:rsid w:val="00452396"/>
    <w:rsid w:val="00477EB2"/>
    <w:rsid w:val="004837D8"/>
    <w:rsid w:val="004E2EED"/>
    <w:rsid w:val="004E468C"/>
    <w:rsid w:val="005268AE"/>
    <w:rsid w:val="005505B7"/>
    <w:rsid w:val="00573BE5"/>
    <w:rsid w:val="00586ED3"/>
    <w:rsid w:val="00596AA9"/>
    <w:rsid w:val="00613473"/>
    <w:rsid w:val="00621156"/>
    <w:rsid w:val="006E3E52"/>
    <w:rsid w:val="0071601D"/>
    <w:rsid w:val="007A62E6"/>
    <w:rsid w:val="007F20FA"/>
    <w:rsid w:val="0080684C"/>
    <w:rsid w:val="00871C75"/>
    <w:rsid w:val="008776DC"/>
    <w:rsid w:val="008D5EF9"/>
    <w:rsid w:val="009446C0"/>
    <w:rsid w:val="009705C8"/>
    <w:rsid w:val="00985F0F"/>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51E0"/>
    <w:rsid w:val="00DF6678"/>
    <w:rsid w:val="00E0299A"/>
    <w:rsid w:val="00E4318B"/>
    <w:rsid w:val="00E85C74"/>
    <w:rsid w:val="00EA6547"/>
    <w:rsid w:val="00ED7237"/>
    <w:rsid w:val="00EF2E22"/>
    <w:rsid w:val="00F121D7"/>
    <w:rsid w:val="00F35BAF"/>
    <w:rsid w:val="00F660DF"/>
    <w:rsid w:val="00F91F9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57A94"/>
  <w15:docId w15:val="{5844CE6E-5985-4684-A91A-F07C9493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E3E52"/>
    <w:rPr>
      <w:rFonts w:ascii="Times New Roman" w:eastAsiaTheme="minorHAnsi" w:hAnsi="Times New Roman" w:cs="Times New Roman"/>
      <w:sz w:val="20"/>
      <w:szCs w:val="20"/>
      <w:lang w:eastAsia="en-US"/>
    </w:rPr>
  </w:style>
  <w:style w:type="character" w:customStyle="1" w:styleId="HChGChar">
    <w:name w:val="_ H _Ch_G Char"/>
    <w:link w:val="HChG"/>
    <w:rsid w:val="006E3E52"/>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6E3E52"/>
    <w:pPr>
      <w:spacing w:after="120"/>
      <w:ind w:left="2268" w:right="1134" w:hanging="1134"/>
      <w:jc w:val="both"/>
    </w:pPr>
    <w:rPr>
      <w:lang w:val="en-GB"/>
    </w:rPr>
  </w:style>
  <w:style w:type="character" w:customStyle="1" w:styleId="paraChar">
    <w:name w:val="para Char"/>
    <w:link w:val="para"/>
    <w:rsid w:val="006E3E52"/>
    <w:rPr>
      <w:rFonts w:ascii="Times New Roman" w:eastAsiaTheme="minorHAnsi" w:hAnsi="Times New Roman" w:cs="Times New Roman"/>
      <w:sz w:val="20"/>
      <w:szCs w:val="20"/>
      <w:lang w:val="en-GB" w:eastAsia="en-US"/>
    </w:rPr>
  </w:style>
  <w:style w:type="paragraph" w:customStyle="1" w:styleId="Para0">
    <w:name w:val="Para"/>
    <w:basedOn w:val="Normal"/>
    <w:qFormat/>
    <w:rsid w:val="006E3E52"/>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340</Words>
  <Characters>2384</Characters>
  <Application>Microsoft Office Word</Application>
  <DocSecurity>0</DocSecurity>
  <Lines>198</Lines>
  <Paragraphs>108</Paragraphs>
  <ScaleCrop>false</ScaleCrop>
  <HeadingPairs>
    <vt:vector size="2" baseType="variant">
      <vt:variant>
        <vt:lpstr>Titre</vt:lpstr>
      </vt:variant>
      <vt:variant>
        <vt:i4>1</vt:i4>
      </vt:variant>
    </vt:vector>
  </HeadingPairs>
  <TitlesOfParts>
    <vt:vector size="1" baseType="lpstr">
      <vt:lpstr>ECE/TRANS/WP.29/GRSG/2023/2</vt:lpstr>
    </vt:vector>
  </TitlesOfParts>
  <Company>DCM</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ECE/TRANS/WP.29/GRSG/2023/2</dc:title>
  <dc:subject/>
  <dc:creator>Nathalie VITTOZ</dc:creator>
  <cp:keywords/>
  <cp:lastModifiedBy>Nathalie Vittoz</cp:lastModifiedBy>
  <cp:revision>2</cp:revision>
  <cp:lastPrinted>2014-05-14T10:59:00Z</cp:lastPrinted>
  <dcterms:created xsi:type="dcterms:W3CDTF">2023-02-06T09:38:00Z</dcterms:created>
  <dcterms:modified xsi:type="dcterms:W3CDTF">2023-02-06T09:38:00Z</dcterms:modified>
</cp:coreProperties>
</file>