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08B4CC6C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3DD60123" w14:textId="77777777" w:rsidR="002D5AAC" w:rsidRDefault="002D5AAC" w:rsidP="004D0FE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55F6812B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6CC62636" w14:textId="75FDF998" w:rsidR="002D5AAC" w:rsidRDefault="004D0FE1" w:rsidP="004D0FE1">
            <w:pPr>
              <w:jc w:val="right"/>
            </w:pPr>
            <w:r w:rsidRPr="004D0FE1">
              <w:rPr>
                <w:sz w:val="40"/>
              </w:rPr>
              <w:t>ECE</w:t>
            </w:r>
            <w:r>
              <w:t>/TRANS/WP.29/GRSG/2023/1</w:t>
            </w:r>
          </w:p>
        </w:tc>
      </w:tr>
      <w:tr w:rsidR="002D5AAC" w:rsidRPr="007D3E09" w14:paraId="10BE3B0F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B1306CE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8F0D8DB" wp14:editId="1ABBEFC6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3F8CFD2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6D50C86B" w14:textId="77777777" w:rsidR="002D5AAC" w:rsidRDefault="004D0FE1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28E770BF" w14:textId="61660659" w:rsidR="004D0FE1" w:rsidRDefault="004D0FE1" w:rsidP="004D0FE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6 January 2023</w:t>
            </w:r>
          </w:p>
          <w:p w14:paraId="38F89CE7" w14:textId="77777777" w:rsidR="004D0FE1" w:rsidRDefault="004D0FE1" w:rsidP="004D0FE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3B4993F7" w14:textId="30C702C8" w:rsidR="004D0FE1" w:rsidRPr="008D53B6" w:rsidRDefault="004D0FE1" w:rsidP="004D0FE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6CEC5722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1037C9FB" w14:textId="77777777" w:rsidR="004D0FE1" w:rsidRPr="004D0FE1" w:rsidRDefault="004D0FE1" w:rsidP="004D0FE1">
      <w:pPr>
        <w:spacing w:before="120"/>
        <w:rPr>
          <w:sz w:val="28"/>
          <w:szCs w:val="28"/>
        </w:rPr>
      </w:pPr>
      <w:r w:rsidRPr="004D0FE1">
        <w:rPr>
          <w:sz w:val="28"/>
          <w:szCs w:val="28"/>
        </w:rPr>
        <w:t>Комитет по внутреннему транспорту</w:t>
      </w:r>
    </w:p>
    <w:p w14:paraId="474C5A01" w14:textId="05FF42FE" w:rsidR="004D0FE1" w:rsidRPr="004D0FE1" w:rsidRDefault="004D0FE1" w:rsidP="004D0FE1">
      <w:pPr>
        <w:spacing w:before="120"/>
        <w:rPr>
          <w:b/>
          <w:sz w:val="24"/>
          <w:szCs w:val="24"/>
        </w:rPr>
      </w:pPr>
      <w:r w:rsidRPr="004D0FE1">
        <w:rPr>
          <w:b/>
          <w:bCs/>
          <w:sz w:val="24"/>
          <w:szCs w:val="24"/>
        </w:rPr>
        <w:t xml:space="preserve">Всемирный форум для согласования правил </w:t>
      </w:r>
      <w:r>
        <w:rPr>
          <w:b/>
          <w:bCs/>
          <w:sz w:val="24"/>
          <w:szCs w:val="24"/>
        </w:rPr>
        <w:br/>
      </w:r>
      <w:r w:rsidRPr="004D0FE1">
        <w:rPr>
          <w:b/>
          <w:bCs/>
          <w:sz w:val="24"/>
          <w:szCs w:val="24"/>
        </w:rPr>
        <w:t>в области транспортных средств</w:t>
      </w:r>
    </w:p>
    <w:p w14:paraId="5725BE90" w14:textId="2CB9CFF5" w:rsidR="004D0FE1" w:rsidRPr="00CC658C" w:rsidRDefault="004D0FE1" w:rsidP="004D0FE1">
      <w:pPr>
        <w:spacing w:before="120"/>
        <w:rPr>
          <w:b/>
        </w:rPr>
      </w:pPr>
      <w:r>
        <w:rPr>
          <w:b/>
          <w:bCs/>
        </w:rPr>
        <w:t xml:space="preserve">Рабочая группа по общим предписаниям, </w:t>
      </w:r>
      <w:r>
        <w:rPr>
          <w:b/>
          <w:bCs/>
        </w:rPr>
        <w:br/>
        <w:t>касающимся безопасности</w:t>
      </w:r>
    </w:p>
    <w:p w14:paraId="5E0C9139" w14:textId="77777777" w:rsidR="004D0FE1" w:rsidRPr="00CC658C" w:rsidRDefault="004D0FE1" w:rsidP="004D0FE1">
      <w:pPr>
        <w:spacing w:before="120"/>
        <w:rPr>
          <w:b/>
        </w:rPr>
      </w:pPr>
      <w:r>
        <w:rPr>
          <w:b/>
          <w:bCs/>
        </w:rPr>
        <w:t>Сто двадцать пятая сессия</w:t>
      </w:r>
    </w:p>
    <w:p w14:paraId="232C1BAA" w14:textId="13D7CC0F" w:rsidR="004D0FE1" w:rsidRPr="00CC658C" w:rsidRDefault="004D0FE1" w:rsidP="004D0FE1">
      <w:r>
        <w:t>Женева, 27</w:t>
      </w:r>
      <w:r w:rsidRPr="000F1FD9">
        <w:t>–</w:t>
      </w:r>
      <w:r>
        <w:t>31 марта 2023 года</w:t>
      </w:r>
    </w:p>
    <w:p w14:paraId="6E2E0812" w14:textId="77777777" w:rsidR="004D0FE1" w:rsidRPr="00CC658C" w:rsidRDefault="004D0FE1" w:rsidP="004D0FE1">
      <w:r>
        <w:t>Пункт 1 предварительной повестки дня</w:t>
      </w:r>
    </w:p>
    <w:p w14:paraId="76F88708" w14:textId="77777777" w:rsidR="004D0FE1" w:rsidRPr="00CC658C" w:rsidRDefault="004D0FE1" w:rsidP="004D0FE1">
      <w:pPr>
        <w:rPr>
          <w:b/>
        </w:rPr>
      </w:pPr>
      <w:r>
        <w:rPr>
          <w:b/>
          <w:bCs/>
        </w:rPr>
        <w:t>Утверждение повестки дня</w:t>
      </w:r>
    </w:p>
    <w:p w14:paraId="37613EB5" w14:textId="7C618181" w:rsidR="004D0FE1" w:rsidRPr="00CC658C" w:rsidRDefault="004D0FE1" w:rsidP="004D0FE1">
      <w:pPr>
        <w:pStyle w:val="HChG"/>
        <w:tabs>
          <w:tab w:val="clear" w:pos="851"/>
        </w:tabs>
        <w:ind w:firstLine="0"/>
      </w:pPr>
      <w:r>
        <w:t>Предварительная повестка дня сто двадцать пятой сессии</w:t>
      </w:r>
      <w:r w:rsidRPr="004D0FE1">
        <w:rPr>
          <w:rStyle w:val="aa"/>
          <w:b w:val="0"/>
          <w:sz w:val="20"/>
          <w:vertAlign w:val="baseline"/>
        </w:rPr>
        <w:footnoteReference w:customMarkFollows="1" w:id="1"/>
        <w:t xml:space="preserve">* </w:t>
      </w:r>
      <w:r w:rsidRPr="004D0FE1">
        <w:rPr>
          <w:rStyle w:val="aa"/>
          <w:b w:val="0"/>
          <w:sz w:val="20"/>
          <w:vertAlign w:val="baseline"/>
        </w:rPr>
        <w:footnoteReference w:customMarkFollows="1" w:id="2"/>
        <w:t>**</w:t>
      </w:r>
      <w:r w:rsidRPr="004D0FE1">
        <w:rPr>
          <w:b w:val="0"/>
          <w:bCs/>
          <w:sz w:val="20"/>
        </w:rPr>
        <w:t>,</w:t>
      </w:r>
      <w:r>
        <w:t xml:space="preserve"> </w:t>
      </w:r>
    </w:p>
    <w:p w14:paraId="28AF88E3" w14:textId="6E4C56A0" w:rsidR="004D0FE1" w:rsidRPr="00CC658C" w:rsidRDefault="004D0FE1" w:rsidP="0038151A">
      <w:pPr>
        <w:pStyle w:val="SingleTxtG"/>
        <w:jc w:val="left"/>
      </w:pPr>
      <w:r>
        <w:t>которая состоится во Дворце Наций в Женеве, начнется в 14 ч 30 мин (ЦЕВ)</w:t>
      </w:r>
      <w:r w:rsidR="004D3255" w:rsidRPr="004D3255">
        <w:t xml:space="preserve"> </w:t>
      </w:r>
      <w:r>
        <w:br/>
        <w:t>в понедельник, 27 марта 2023 года, и завершится в 12 ч 30 мин 31 марта 2023 года</w:t>
      </w:r>
    </w:p>
    <w:p w14:paraId="71232BDA" w14:textId="77777777" w:rsidR="004D0FE1" w:rsidRPr="00CC658C" w:rsidRDefault="004D0FE1" w:rsidP="004D0FE1">
      <w:pPr>
        <w:pStyle w:val="SingleTxtG"/>
        <w:rPr>
          <w:b/>
          <w:bCs/>
        </w:rPr>
      </w:pPr>
      <w:r w:rsidRPr="00CC658C">
        <w:br w:type="page"/>
      </w:r>
    </w:p>
    <w:p w14:paraId="6D563DA8" w14:textId="77777777" w:rsidR="004D0FE1" w:rsidRPr="00CC658C" w:rsidRDefault="004D0FE1" w:rsidP="004D0FE1">
      <w:pPr>
        <w:pStyle w:val="HChG"/>
        <w:tabs>
          <w:tab w:val="clear" w:pos="851"/>
        </w:tabs>
        <w:ind w:hanging="567"/>
      </w:pPr>
      <w:r>
        <w:rPr>
          <w:bCs/>
        </w:rPr>
        <w:lastRenderedPageBreak/>
        <w:t>I.</w:t>
      </w:r>
      <w:r>
        <w:tab/>
      </w:r>
      <w:r>
        <w:rPr>
          <w:bCs/>
        </w:rPr>
        <w:t>Предварительная повестка дня</w:t>
      </w:r>
    </w:p>
    <w:p w14:paraId="208852CA" w14:textId="77777777" w:rsidR="004D0FE1" w:rsidRPr="00CC658C" w:rsidRDefault="004D0FE1" w:rsidP="004D0FE1">
      <w:pPr>
        <w:pStyle w:val="SingleTxtG"/>
        <w:widowControl w:val="0"/>
        <w:spacing w:after="80"/>
        <w:ind w:left="1138"/>
      </w:pPr>
      <w:bookmarkStart w:id="0" w:name="_Hlk29905306"/>
      <w:r>
        <w:t>1.</w:t>
      </w:r>
      <w:r>
        <w:tab/>
        <w:t xml:space="preserve">Утверждение повестки дня. </w:t>
      </w:r>
    </w:p>
    <w:p w14:paraId="28DCD37F" w14:textId="77777777" w:rsidR="004D0FE1" w:rsidRPr="00CC658C" w:rsidRDefault="004D0FE1" w:rsidP="004D0FE1">
      <w:pPr>
        <w:pStyle w:val="SingleTxtG"/>
        <w:widowControl w:val="0"/>
        <w:spacing w:after="80"/>
        <w:ind w:left="1140"/>
      </w:pPr>
      <w:r>
        <w:t>2.</w:t>
      </w:r>
      <w:r>
        <w:tab/>
        <w:t>Поправки к правилам, касающимся городских и междугородных автобусов:</w:t>
      </w:r>
    </w:p>
    <w:p w14:paraId="3AAA66E2" w14:textId="77777777" w:rsidR="004D0FE1" w:rsidRPr="00CC658C" w:rsidRDefault="004D0FE1" w:rsidP="004D0FE1">
      <w:pPr>
        <w:pStyle w:val="SingleTxtG"/>
        <w:widowControl w:val="0"/>
        <w:spacing w:after="80"/>
      </w:pPr>
      <w:r>
        <w:tab/>
      </w:r>
      <w:r>
        <w:tab/>
        <w:t>Правила № 107 ООН (транспортные средства категорий M</w:t>
      </w:r>
      <w:r>
        <w:rPr>
          <w:vertAlign w:val="subscript"/>
        </w:rPr>
        <w:t>2</w:t>
      </w:r>
      <w:r>
        <w:t xml:space="preserve"> и M</w:t>
      </w:r>
      <w:r>
        <w:rPr>
          <w:vertAlign w:val="subscript"/>
        </w:rPr>
        <w:t>3</w:t>
      </w:r>
      <w:r>
        <w:t>).</w:t>
      </w:r>
    </w:p>
    <w:p w14:paraId="3639CB56" w14:textId="77777777" w:rsidR="004D0FE1" w:rsidRPr="00CC658C" w:rsidRDefault="004D0FE1" w:rsidP="004D0FE1">
      <w:pPr>
        <w:pStyle w:val="SingleTxtG"/>
        <w:spacing w:after="80"/>
        <w:ind w:left="1140"/>
      </w:pPr>
      <w:r>
        <w:t>3.</w:t>
      </w:r>
      <w:r>
        <w:tab/>
        <w:t xml:space="preserve">Поправки к правилам, касающимся безопасных </w:t>
      </w:r>
      <w:proofErr w:type="spellStart"/>
      <w:r>
        <w:t>стекловых</w:t>
      </w:r>
      <w:proofErr w:type="spellEnd"/>
      <w:r>
        <w:t xml:space="preserve"> материалов:</w:t>
      </w:r>
    </w:p>
    <w:p w14:paraId="623A76E9" w14:textId="77777777" w:rsidR="004D0FE1" w:rsidRPr="00CC658C" w:rsidRDefault="004D0FE1" w:rsidP="004D0FE1">
      <w:pPr>
        <w:pStyle w:val="SingleTxtG"/>
        <w:spacing w:after="80"/>
        <w:ind w:left="2265" w:hanging="564"/>
      </w:pPr>
      <w:r>
        <w:t>a)</w:t>
      </w:r>
      <w:r>
        <w:tab/>
        <w:t xml:space="preserve">Глобальные технические правила № 6 ООН (безопасные </w:t>
      </w:r>
      <w:proofErr w:type="spellStart"/>
      <w:r>
        <w:t>стекловые</w:t>
      </w:r>
      <w:proofErr w:type="spellEnd"/>
      <w:r>
        <w:t xml:space="preserve"> материалы);</w:t>
      </w:r>
    </w:p>
    <w:p w14:paraId="77F0AC39" w14:textId="77777777" w:rsidR="004D0FE1" w:rsidRPr="00CC658C" w:rsidRDefault="004D0FE1" w:rsidP="004D0FE1">
      <w:pPr>
        <w:pStyle w:val="SingleTxtG"/>
        <w:spacing w:after="80"/>
        <w:ind w:left="1140" w:firstLine="561"/>
      </w:pPr>
      <w:r>
        <w:t>b)</w:t>
      </w:r>
      <w:r>
        <w:tab/>
        <w:t xml:space="preserve">Правила № 43 ООН (безопасные </w:t>
      </w:r>
      <w:proofErr w:type="spellStart"/>
      <w:r>
        <w:t>стекловые</w:t>
      </w:r>
      <w:proofErr w:type="spellEnd"/>
      <w:r>
        <w:t xml:space="preserve"> материалы).</w:t>
      </w:r>
    </w:p>
    <w:p w14:paraId="670BEFE7" w14:textId="77777777" w:rsidR="004D0FE1" w:rsidRPr="00CC658C" w:rsidRDefault="004D0FE1" w:rsidP="001662E8">
      <w:pPr>
        <w:pStyle w:val="SingleTxtG"/>
        <w:spacing w:after="80"/>
        <w:ind w:left="1701" w:hanging="561"/>
      </w:pPr>
      <w:r>
        <w:t>4.</w:t>
      </w:r>
      <w:r>
        <w:tab/>
        <w:t>Предупреждение о присутствии уязвимых участников дорожного движения в непосредственной близости:</w:t>
      </w:r>
    </w:p>
    <w:p w14:paraId="4FFF7205" w14:textId="77777777" w:rsidR="004D0FE1" w:rsidRPr="00CC658C" w:rsidRDefault="004D0FE1" w:rsidP="004D0FE1">
      <w:pPr>
        <w:pStyle w:val="SingleTxtG"/>
        <w:spacing w:after="80"/>
        <w:ind w:left="1701"/>
      </w:pPr>
      <w:r>
        <w:t>a)</w:t>
      </w:r>
      <w:r>
        <w:tab/>
        <w:t>Правила № 46 ООН (устройства непрямого обзора);</w:t>
      </w:r>
    </w:p>
    <w:p w14:paraId="15C60262" w14:textId="77777777" w:rsidR="004D0FE1" w:rsidRPr="00CC658C" w:rsidRDefault="004D0FE1" w:rsidP="004D0FE1">
      <w:pPr>
        <w:pStyle w:val="SingleTxtG"/>
        <w:spacing w:after="80"/>
        <w:ind w:left="1701"/>
      </w:pPr>
      <w:r>
        <w:t>b)</w:t>
      </w:r>
      <w:r>
        <w:tab/>
        <w:t>Правила № 158 ООН (движение задним ходом);</w:t>
      </w:r>
    </w:p>
    <w:p w14:paraId="685637E6" w14:textId="77777777" w:rsidR="004D0FE1" w:rsidRPr="00CC658C" w:rsidRDefault="004D0FE1" w:rsidP="004D0FE1">
      <w:pPr>
        <w:pStyle w:val="SingleTxtG"/>
        <w:spacing w:after="80"/>
        <w:ind w:left="1140" w:firstLine="561"/>
      </w:pPr>
      <w:r>
        <w:t>c)</w:t>
      </w:r>
      <w:r>
        <w:tab/>
        <w:t>Правила № 159 ООН (система информирования при трогании с места);</w:t>
      </w:r>
    </w:p>
    <w:p w14:paraId="4EAB6BA3" w14:textId="77777777" w:rsidR="004D0FE1" w:rsidRPr="00CC658C" w:rsidRDefault="004D0FE1" w:rsidP="004D0FE1">
      <w:pPr>
        <w:pStyle w:val="SingleTxtG"/>
        <w:spacing w:after="80"/>
        <w:ind w:left="2250" w:hanging="549"/>
      </w:pPr>
      <w:r>
        <w:t>d)</w:t>
      </w:r>
      <w:r>
        <w:tab/>
        <w:t>Правила № [166] ООН (присутствие уязвимых участников дорожного движения в непосредственной близости спереди и сбоку);</w:t>
      </w:r>
    </w:p>
    <w:p w14:paraId="214D3A70" w14:textId="77777777" w:rsidR="004D0FE1" w:rsidRPr="00CC658C" w:rsidRDefault="004D0FE1" w:rsidP="004D0FE1">
      <w:pPr>
        <w:pStyle w:val="SingleTxtG"/>
        <w:spacing w:after="80"/>
        <w:ind w:left="2250" w:hanging="549"/>
      </w:pPr>
      <w:r>
        <w:t>e)</w:t>
      </w:r>
      <w:r>
        <w:tab/>
        <w:t>Правила № [167] ООН (прямой обзор уязвимых участников дорожного движения).</w:t>
      </w:r>
      <w:bookmarkStart w:id="1" w:name="_Hlk123552663"/>
      <w:bookmarkEnd w:id="1"/>
    </w:p>
    <w:p w14:paraId="2AC79595" w14:textId="77777777" w:rsidR="004D0FE1" w:rsidRPr="00CC658C" w:rsidRDefault="004D0FE1" w:rsidP="004D0FE1">
      <w:pPr>
        <w:pStyle w:val="SingleTxtG"/>
        <w:spacing w:after="80"/>
        <w:ind w:left="1140"/>
      </w:pPr>
      <w:r>
        <w:t>5.</w:t>
      </w:r>
      <w:r>
        <w:tab/>
        <w:t>Правила № 66 ООН (прочность силовой структуры (автобусы)).</w:t>
      </w:r>
    </w:p>
    <w:p w14:paraId="45C24620" w14:textId="77777777" w:rsidR="004D0FE1" w:rsidRPr="00CC658C" w:rsidRDefault="004D0FE1" w:rsidP="004D0FE1">
      <w:pPr>
        <w:pStyle w:val="SingleTxtG"/>
        <w:spacing w:after="80"/>
        <w:ind w:left="1140"/>
      </w:pPr>
      <w:r>
        <w:t>6.</w:t>
      </w:r>
      <w:r>
        <w:tab/>
        <w:t>Поправки к правилам, касающимся газомоторных транспортных средств:</w:t>
      </w:r>
    </w:p>
    <w:p w14:paraId="49092107" w14:textId="77777777" w:rsidR="004D0FE1" w:rsidRPr="00CC658C" w:rsidRDefault="004D0FE1" w:rsidP="004D0FE1">
      <w:pPr>
        <w:pStyle w:val="SingleTxtG"/>
        <w:spacing w:after="80"/>
        <w:ind w:left="2265" w:hanging="564"/>
      </w:pPr>
      <w:r>
        <w:t>a)</w:t>
      </w:r>
      <w:r>
        <w:tab/>
        <w:t>Правила № 67 ООН (транспортные средства, работающие на сжиженном нефтяном газе);</w:t>
      </w:r>
    </w:p>
    <w:p w14:paraId="7E44D67E" w14:textId="77777777" w:rsidR="004D0FE1" w:rsidRPr="00CC658C" w:rsidRDefault="004D0FE1" w:rsidP="004D0FE1">
      <w:pPr>
        <w:pStyle w:val="SingleTxtG"/>
        <w:spacing w:after="80"/>
        <w:ind w:left="2265" w:hanging="1125"/>
      </w:pPr>
      <w:r>
        <w:tab/>
        <w:t>b)</w:t>
      </w:r>
      <w:r>
        <w:tab/>
        <w:t>Правила № 110 ООН (транспортные средства, работающие на компримированном природном газе и сжиженном природном газе).</w:t>
      </w:r>
    </w:p>
    <w:p w14:paraId="31E58E85" w14:textId="77777777" w:rsidR="004D0FE1" w:rsidRPr="00005138" w:rsidRDefault="004D0FE1" w:rsidP="004D0FE1">
      <w:pPr>
        <w:pStyle w:val="SingleTxtG"/>
        <w:spacing w:after="80"/>
        <w:ind w:left="1701" w:hanging="561"/>
      </w:pPr>
      <w:bookmarkStart w:id="2" w:name="_Hlk61888374"/>
      <w:r>
        <w:t>7.</w:t>
      </w:r>
      <w:r>
        <w:tab/>
      </w:r>
      <w:r w:rsidRPr="00005138">
        <w:t xml:space="preserve">Поправки к правилам, касающимся устройств для предотвращения несанкционированного использования, </w:t>
      </w:r>
      <w:proofErr w:type="spellStart"/>
      <w:r w:rsidRPr="00005138">
        <w:t>иммобилизаторов</w:t>
      </w:r>
      <w:proofErr w:type="spellEnd"/>
      <w:r w:rsidRPr="00005138">
        <w:t xml:space="preserve"> и систем охранной сигнализации транспортных средств:</w:t>
      </w:r>
    </w:p>
    <w:p w14:paraId="4E9949C6" w14:textId="77777777" w:rsidR="004D0FE1" w:rsidRPr="00CC658C" w:rsidRDefault="004D0FE1" w:rsidP="004D0FE1">
      <w:pPr>
        <w:pStyle w:val="SingleTxtG"/>
        <w:spacing w:after="80"/>
        <w:ind w:left="2265" w:hanging="564"/>
      </w:pPr>
      <w:r w:rsidRPr="00005138">
        <w:t>a)</w:t>
      </w:r>
      <w:r w:rsidRPr="00005138">
        <w:tab/>
        <w:t>Правила №</w:t>
      </w:r>
      <w:r>
        <w:t xml:space="preserve"> 116 ООН (противоугонные системы и системы охранной сигнализации);</w:t>
      </w:r>
    </w:p>
    <w:p w14:paraId="69B01961" w14:textId="77777777" w:rsidR="004D0FE1" w:rsidRPr="00CC658C" w:rsidRDefault="004D0FE1" w:rsidP="004D0FE1">
      <w:pPr>
        <w:pStyle w:val="SingleTxtG"/>
        <w:spacing w:after="80"/>
        <w:ind w:left="2265" w:hanging="564"/>
      </w:pPr>
      <w:r>
        <w:t>b)</w:t>
      </w:r>
      <w:r>
        <w:tab/>
        <w:t>Правила № 161 ООН (устройства против несанкционированного использования);</w:t>
      </w:r>
    </w:p>
    <w:p w14:paraId="23CA8006" w14:textId="77777777" w:rsidR="004D0FE1" w:rsidRPr="00CC658C" w:rsidRDefault="004D0FE1" w:rsidP="004D0FE1">
      <w:pPr>
        <w:pStyle w:val="SingleTxtG"/>
        <w:spacing w:after="80"/>
        <w:ind w:left="1701"/>
      </w:pPr>
      <w:r>
        <w:t>c)</w:t>
      </w:r>
      <w:r>
        <w:tab/>
        <w:t>Правила № 162 ООН (</w:t>
      </w:r>
      <w:proofErr w:type="spellStart"/>
      <w:r>
        <w:t>иммобилизаторы</w:t>
      </w:r>
      <w:proofErr w:type="spellEnd"/>
      <w:r>
        <w:t>);</w:t>
      </w:r>
    </w:p>
    <w:p w14:paraId="2A9E1B3B" w14:textId="77777777" w:rsidR="004D0FE1" w:rsidRPr="00CC658C" w:rsidRDefault="004D0FE1" w:rsidP="004D0FE1">
      <w:pPr>
        <w:pStyle w:val="SingleTxtG"/>
        <w:spacing w:after="80"/>
        <w:ind w:left="2265" w:hanging="564"/>
      </w:pPr>
      <w:r>
        <w:t>d)</w:t>
      </w:r>
      <w:r>
        <w:tab/>
        <w:t>Правила № 163 ООН (системы охранной сигнализации транспортных средств).</w:t>
      </w:r>
    </w:p>
    <w:p w14:paraId="0E8770FE" w14:textId="77777777" w:rsidR="004D0FE1" w:rsidRPr="00CC658C" w:rsidRDefault="004D0FE1" w:rsidP="004D0FE1">
      <w:pPr>
        <w:pStyle w:val="SingleTxtG"/>
        <w:spacing w:after="80"/>
        <w:ind w:left="1140"/>
      </w:pPr>
      <w:bookmarkStart w:id="3" w:name="_Hlk123551457"/>
      <w:bookmarkEnd w:id="2"/>
      <w:r>
        <w:t>8.</w:t>
      </w:r>
      <w:r>
        <w:tab/>
        <w:t>Правила № 122 ООН (системы отопления).</w:t>
      </w:r>
    </w:p>
    <w:bookmarkEnd w:id="3"/>
    <w:p w14:paraId="7D06697B" w14:textId="77777777" w:rsidR="004D0FE1" w:rsidRPr="00CC658C" w:rsidRDefault="004D0FE1" w:rsidP="004D0FE1">
      <w:pPr>
        <w:pStyle w:val="SingleTxtG"/>
        <w:spacing w:after="80"/>
        <w:ind w:left="1140"/>
      </w:pPr>
      <w:r>
        <w:t>9.</w:t>
      </w:r>
      <w:r>
        <w:tab/>
        <w:t>Правила № 125 ООН (поле обзора водителя спереди).</w:t>
      </w:r>
    </w:p>
    <w:p w14:paraId="7A099023" w14:textId="77777777" w:rsidR="004D0FE1" w:rsidRPr="00CC658C" w:rsidRDefault="004D0FE1" w:rsidP="004D0FE1">
      <w:pPr>
        <w:pStyle w:val="SingleTxtG"/>
        <w:spacing w:after="80"/>
        <w:ind w:left="1140"/>
      </w:pPr>
      <w:r>
        <w:t>10.</w:t>
      </w:r>
      <w:r>
        <w:tab/>
        <w:t>Регистратор данных о событиях:</w:t>
      </w:r>
    </w:p>
    <w:p w14:paraId="5BEB83AD" w14:textId="77777777" w:rsidR="004D0FE1" w:rsidRPr="00CC658C" w:rsidRDefault="004D0FE1" w:rsidP="004D0FE1">
      <w:pPr>
        <w:pStyle w:val="SingleTxtG"/>
        <w:spacing w:after="80"/>
        <w:ind w:left="2265" w:hanging="564"/>
      </w:pPr>
      <w:r>
        <w:t>a)</w:t>
      </w:r>
      <w:r>
        <w:tab/>
        <w:t>Руководящие указания в отношении эксплуатационных характеристик регистраторов данных о событиях, которые могут быть приняты в рамках резолюций и правил, касающихся соглашений 1958 и 1998 годов;</w:t>
      </w:r>
    </w:p>
    <w:p w14:paraId="75277284" w14:textId="77777777" w:rsidR="004D0FE1" w:rsidRPr="00CC658C" w:rsidRDefault="004D0FE1" w:rsidP="004D0FE1">
      <w:pPr>
        <w:pStyle w:val="SingleTxtG"/>
        <w:spacing w:after="80"/>
        <w:ind w:left="1701"/>
      </w:pPr>
      <w:r>
        <w:t>b)</w:t>
      </w:r>
      <w:r>
        <w:tab/>
        <w:t>Правила № 160 ООН (регистратор данных о событиях);</w:t>
      </w:r>
    </w:p>
    <w:p w14:paraId="056116A9" w14:textId="7F49D9C2" w:rsidR="004D0FE1" w:rsidRPr="004C498F" w:rsidRDefault="004D0FE1" w:rsidP="004D0FE1">
      <w:pPr>
        <w:pStyle w:val="SingleTxtG"/>
        <w:spacing w:after="80"/>
        <w:ind w:left="2265" w:hanging="564"/>
      </w:pPr>
      <w:r>
        <w:t>c)</w:t>
      </w:r>
      <w:r>
        <w:tab/>
        <w:t>новые правила ООН, касающиеся регистратора данных о событиях для большегрузных транспортных средств</w:t>
      </w:r>
      <w:r w:rsidR="004C498F" w:rsidRPr="004C498F">
        <w:t>.</w:t>
      </w:r>
    </w:p>
    <w:p w14:paraId="78AF09AA" w14:textId="77777777" w:rsidR="004D0FE1" w:rsidRPr="00CC658C" w:rsidRDefault="004D0FE1" w:rsidP="00D572DD">
      <w:pPr>
        <w:pStyle w:val="SingleTxtG"/>
        <w:spacing w:after="80"/>
        <w:ind w:left="1701" w:hanging="561"/>
      </w:pPr>
      <w:r>
        <w:t>11.</w:t>
      </w:r>
      <w:r>
        <w:tab/>
        <w:t>Правила № 0 ООН (международная система официального утверждения типа комплектного транспортного средства).</w:t>
      </w:r>
    </w:p>
    <w:p w14:paraId="6E12A867" w14:textId="77777777" w:rsidR="004D0FE1" w:rsidRPr="00CC658C" w:rsidRDefault="004D0FE1" w:rsidP="00D572DD">
      <w:pPr>
        <w:pStyle w:val="SingleTxtG"/>
        <w:spacing w:after="80"/>
        <w:ind w:left="1701" w:hanging="561"/>
      </w:pPr>
      <w:r>
        <w:t>12.</w:t>
      </w:r>
      <w:r>
        <w:tab/>
        <w:t>Сводная резолюция о конструкции транспортных средств.</w:t>
      </w:r>
    </w:p>
    <w:p w14:paraId="5CD37C1D" w14:textId="77777777" w:rsidR="004D0FE1" w:rsidRPr="00CC658C" w:rsidRDefault="004D0FE1" w:rsidP="00D572DD">
      <w:pPr>
        <w:pStyle w:val="SingleTxtG"/>
        <w:spacing w:after="80"/>
        <w:ind w:left="1701" w:hanging="561"/>
      </w:pPr>
      <w:r>
        <w:t>13.</w:t>
      </w:r>
      <w:r>
        <w:tab/>
        <w:t>Специальная резолюция № 1, касающаяся общих определений категорий, масс и размеров транспортных средств.</w:t>
      </w:r>
    </w:p>
    <w:p w14:paraId="384D58C0" w14:textId="77777777" w:rsidR="004D0FE1" w:rsidRPr="00CC658C" w:rsidRDefault="004D0FE1" w:rsidP="004D0FE1">
      <w:pPr>
        <w:pStyle w:val="SingleTxtG"/>
        <w:spacing w:after="80"/>
        <w:ind w:left="1140"/>
      </w:pPr>
      <w:r>
        <w:t>14.</w:t>
      </w:r>
      <w:r>
        <w:tab/>
        <w:t>Обмен мнениями по вопросу об автоматизации транспортных средств.</w:t>
      </w:r>
    </w:p>
    <w:p w14:paraId="0A528D07" w14:textId="77777777" w:rsidR="004D0FE1" w:rsidRPr="00CC658C" w:rsidRDefault="004D0FE1" w:rsidP="004D0FE1">
      <w:pPr>
        <w:pStyle w:val="SingleTxtG"/>
        <w:spacing w:after="80"/>
        <w:ind w:left="1140"/>
      </w:pPr>
      <w:r>
        <w:lastRenderedPageBreak/>
        <w:t>15.</w:t>
      </w:r>
      <w:r>
        <w:tab/>
        <w:t>Прочие вопросы:</w:t>
      </w:r>
    </w:p>
    <w:p w14:paraId="1BF8FFC4" w14:textId="77777777" w:rsidR="004D0FE1" w:rsidRPr="00CC658C" w:rsidRDefault="004D0FE1" w:rsidP="004D0FE1">
      <w:pPr>
        <w:pStyle w:val="SingleTxtG"/>
        <w:spacing w:after="80"/>
        <w:ind w:left="2265" w:hanging="564"/>
      </w:pPr>
      <w:r>
        <w:t>a)</w:t>
      </w:r>
      <w:r>
        <w:tab/>
        <w:t>обмен мнениями о будущей деятельности Рабочей группы по общим предписаниям, касающимся безопасности;</w:t>
      </w:r>
    </w:p>
    <w:p w14:paraId="3A78BAD9" w14:textId="77777777" w:rsidR="004D0FE1" w:rsidRPr="00CC658C" w:rsidRDefault="004D0FE1" w:rsidP="004D0FE1">
      <w:pPr>
        <w:pStyle w:val="SingleTxtG"/>
        <w:spacing w:after="80"/>
        <w:ind w:left="1701"/>
      </w:pPr>
      <w:r>
        <w:t>b)</w:t>
      </w:r>
      <w:r>
        <w:tab/>
        <w:t>периодические технические осмотры;</w:t>
      </w:r>
    </w:p>
    <w:p w14:paraId="44A4FCF6" w14:textId="3DDEA6A9" w:rsidR="004D0FE1" w:rsidRPr="0038151A" w:rsidRDefault="004D0FE1" w:rsidP="004D0FE1">
      <w:pPr>
        <w:pStyle w:val="SingleTxtG"/>
        <w:spacing w:after="80"/>
        <w:ind w:left="2265" w:hanging="564"/>
      </w:pPr>
      <w:r>
        <w:t>c)</w:t>
      </w:r>
      <w:r>
        <w:tab/>
        <w:t>основные вопросы, рассмотренные на сессиях Всемирного форума для согласования правил в области транспортных средств, состоявшихся в ноябре 2022 года и марте 2023 года</w:t>
      </w:r>
      <w:r w:rsidR="0038151A" w:rsidRPr="0038151A">
        <w:t>;</w:t>
      </w:r>
    </w:p>
    <w:p w14:paraId="088932F3" w14:textId="77777777" w:rsidR="004D0FE1" w:rsidRPr="00CC658C" w:rsidRDefault="004D0FE1" w:rsidP="004D0FE1">
      <w:pPr>
        <w:pStyle w:val="SingleTxtG"/>
        <w:spacing w:after="80"/>
        <w:ind w:left="1701"/>
      </w:pPr>
      <w:r>
        <w:t>d)</w:t>
      </w:r>
      <w:r>
        <w:tab/>
        <w:t>объемный механизм определения точки H;</w:t>
      </w:r>
    </w:p>
    <w:p w14:paraId="127455FE" w14:textId="77777777" w:rsidR="004D0FE1" w:rsidRPr="00CC658C" w:rsidRDefault="004D0FE1" w:rsidP="0038151A">
      <w:pPr>
        <w:pStyle w:val="SingleTxtG"/>
        <w:spacing w:after="80"/>
        <w:ind w:left="1701"/>
      </w:pPr>
      <w:r>
        <w:t>e)</w:t>
      </w:r>
      <w:r>
        <w:tab/>
        <w:t>прочие вопросы.</w:t>
      </w:r>
    </w:p>
    <w:bookmarkEnd w:id="0"/>
    <w:p w14:paraId="1413B037" w14:textId="77777777" w:rsidR="004D0FE1" w:rsidRPr="00CC658C" w:rsidRDefault="004D0FE1" w:rsidP="004D0FE1">
      <w:pPr>
        <w:pStyle w:val="HChG"/>
      </w:pPr>
      <w:r>
        <w:rPr>
          <w:bCs/>
        </w:rPr>
        <w:tab/>
        <w:t>II.</w:t>
      </w:r>
      <w:r>
        <w:tab/>
      </w:r>
      <w:r>
        <w:tab/>
      </w:r>
      <w:r>
        <w:rPr>
          <w:bCs/>
        </w:rPr>
        <w:t>Аннотации</w:t>
      </w:r>
    </w:p>
    <w:p w14:paraId="525BF7A2" w14:textId="77777777" w:rsidR="004D0FE1" w:rsidRPr="00CC658C" w:rsidRDefault="004D0FE1" w:rsidP="004D0FE1">
      <w:pPr>
        <w:pStyle w:val="H1G"/>
      </w:pPr>
      <w:r>
        <w:rPr>
          <w:bCs/>
        </w:rPr>
        <w:tab/>
        <w:t>1.</w:t>
      </w:r>
      <w:r>
        <w:tab/>
      </w:r>
      <w:r>
        <w:rPr>
          <w:bCs/>
        </w:rPr>
        <w:t>Утверждение повестки дня</w:t>
      </w:r>
    </w:p>
    <w:p w14:paraId="2D37F0E6" w14:textId="3092D1AD" w:rsidR="004D0FE1" w:rsidRPr="00CC658C" w:rsidRDefault="004D0FE1" w:rsidP="0038151A">
      <w:pPr>
        <w:pStyle w:val="SingleTxtG"/>
        <w:spacing w:before="120"/>
        <w:rPr>
          <w:spacing w:val="-2"/>
        </w:rPr>
      </w:pPr>
      <w:r>
        <w:tab/>
        <w:t>В соответствии с правилом 7 главы III правил процедуры (ECE/TRANS/WP.29/</w:t>
      </w:r>
      <w:r w:rsidR="00736E1A" w:rsidRPr="00736E1A">
        <w:t xml:space="preserve"> </w:t>
      </w:r>
      <w:r>
        <w:t>690/Rev.2) Всемирного форума для согласования правил в области транспортных средств (WP.29) первым пунктом предварительной повестки дня является утверждение повестки дня.</w:t>
      </w:r>
    </w:p>
    <w:p w14:paraId="5621625F" w14:textId="77777777" w:rsidR="004D0FE1" w:rsidRPr="00CC658C" w:rsidRDefault="004D0FE1" w:rsidP="004D0FE1">
      <w:pPr>
        <w:pStyle w:val="af3"/>
        <w:ind w:left="1137"/>
        <w:rPr>
          <w:lang w:val="ru-RU"/>
        </w:rPr>
      </w:pPr>
      <w:r>
        <w:rPr>
          <w:b/>
          <w:bCs/>
          <w:lang w:val="ru-RU"/>
        </w:rPr>
        <w:t>Документация:</w:t>
      </w:r>
      <w:r>
        <w:rPr>
          <w:lang w:val="ru-RU"/>
        </w:rPr>
        <w:tab/>
        <w:t>ECE/TRANS/WP.29/GRSG/2023/1</w:t>
      </w:r>
    </w:p>
    <w:p w14:paraId="59C7C6E7" w14:textId="77777777" w:rsidR="004D0FE1" w:rsidRPr="00CC658C" w:rsidRDefault="004D0FE1" w:rsidP="004D0FE1">
      <w:pPr>
        <w:pStyle w:val="H1G"/>
      </w:pPr>
      <w:r>
        <w:rPr>
          <w:bCs/>
        </w:rPr>
        <w:tab/>
        <w:t>2.</w:t>
      </w:r>
      <w:r>
        <w:tab/>
      </w:r>
      <w:r>
        <w:rPr>
          <w:bCs/>
        </w:rPr>
        <w:t>Поправки к правилам, касающимся городских и междугородных автобусов</w:t>
      </w:r>
    </w:p>
    <w:p w14:paraId="60267770" w14:textId="77777777" w:rsidR="004D0FE1" w:rsidRPr="00CC658C" w:rsidRDefault="004D0FE1" w:rsidP="004D0FE1">
      <w:pPr>
        <w:pStyle w:val="H23G"/>
        <w:rPr>
          <w:color w:val="000000" w:themeColor="text1"/>
        </w:rPr>
      </w:pPr>
      <w:r>
        <w:tab/>
      </w:r>
      <w:r>
        <w:tab/>
      </w:r>
      <w:r>
        <w:rPr>
          <w:bCs/>
        </w:rPr>
        <w:t>Правила № 107 ООН (транспортные средства категорий M</w:t>
      </w:r>
      <w:r>
        <w:rPr>
          <w:bCs/>
          <w:vertAlign w:val="subscript"/>
        </w:rPr>
        <w:t>2</w:t>
      </w:r>
      <w:r>
        <w:rPr>
          <w:bCs/>
        </w:rPr>
        <w:t xml:space="preserve"> и M</w:t>
      </w:r>
      <w:r>
        <w:rPr>
          <w:bCs/>
          <w:vertAlign w:val="subscript"/>
        </w:rPr>
        <w:t>3</w:t>
      </w:r>
      <w:r>
        <w:rPr>
          <w:bCs/>
        </w:rPr>
        <w:t>)</w:t>
      </w:r>
    </w:p>
    <w:p w14:paraId="3EC0F6A1" w14:textId="77777777" w:rsidR="004D0FE1" w:rsidRPr="00CC658C" w:rsidRDefault="004D0FE1" w:rsidP="00B00054">
      <w:pPr>
        <w:pStyle w:val="SingleTxtG"/>
        <w:widowControl w:val="0"/>
        <w:spacing w:before="120"/>
        <w:ind w:firstLine="567"/>
        <w:rPr>
          <w:color w:val="000000" w:themeColor="text1"/>
        </w:rPr>
      </w:pPr>
      <w:r>
        <w:t>GRSG, возможно, пожелает заслушать сообщение экспертов Рабочей группы по пассивной безопасности (GRSP) об итогах недавних совещаний неофициальной рабочей группы (НРГ) по «обеспечению безопасности детей в городских и междугородных автобусах» в целях разработки правил ООН в рамках Соглашения 1958 года.</w:t>
      </w:r>
    </w:p>
    <w:p w14:paraId="0BC24A65" w14:textId="77777777" w:rsidR="004D0FE1" w:rsidRPr="00CC658C" w:rsidRDefault="004D0FE1" w:rsidP="00B00054">
      <w:pPr>
        <w:pStyle w:val="SingleTxtG"/>
        <w:widowControl w:val="0"/>
        <w:spacing w:before="120"/>
        <w:ind w:firstLine="567"/>
        <w:rPr>
          <w:color w:val="000000" w:themeColor="text1"/>
        </w:rPr>
      </w:pPr>
      <w:r>
        <w:t xml:space="preserve">GRSG решила продолжить обсуждение технических требований к автономным челночным транспортным средствам в целях рассмотрения вопроса о применимости существующих требований или о введении новых категорий таких транспортных средств. </w:t>
      </w:r>
    </w:p>
    <w:p w14:paraId="37ACB83E" w14:textId="77777777" w:rsidR="004D0FE1" w:rsidRPr="00CC658C" w:rsidRDefault="004D0FE1" w:rsidP="004D0FE1">
      <w:pPr>
        <w:pStyle w:val="H1G"/>
        <w:ind w:hanging="425"/>
        <w:rPr>
          <w:color w:val="000000" w:themeColor="text1"/>
        </w:rPr>
      </w:pPr>
      <w:r>
        <w:rPr>
          <w:bCs/>
        </w:rPr>
        <w:t>3.</w:t>
      </w:r>
      <w:r>
        <w:tab/>
      </w:r>
      <w:r>
        <w:rPr>
          <w:bCs/>
        </w:rPr>
        <w:t xml:space="preserve">Поправки к правилам, касающимся безопасных </w:t>
      </w:r>
      <w:proofErr w:type="spellStart"/>
      <w:r>
        <w:rPr>
          <w:bCs/>
        </w:rPr>
        <w:t>стекловых</w:t>
      </w:r>
      <w:proofErr w:type="spellEnd"/>
      <w:r>
        <w:rPr>
          <w:bCs/>
        </w:rPr>
        <w:t xml:space="preserve"> материалов</w:t>
      </w:r>
    </w:p>
    <w:p w14:paraId="7824FB29" w14:textId="77777777" w:rsidR="004D0FE1" w:rsidRPr="00CC658C" w:rsidRDefault="004D0FE1" w:rsidP="004D0FE1">
      <w:pPr>
        <w:pStyle w:val="H23G"/>
        <w:keepNext w:val="0"/>
        <w:keepLines w:val="0"/>
        <w:rPr>
          <w:color w:val="000000" w:themeColor="text1"/>
        </w:rPr>
      </w:pPr>
      <w:r>
        <w:rPr>
          <w:bCs/>
        </w:rPr>
        <w:tab/>
        <w:t>a)</w:t>
      </w:r>
      <w:r>
        <w:tab/>
      </w:r>
      <w:r>
        <w:rPr>
          <w:bCs/>
        </w:rPr>
        <w:t xml:space="preserve">Глобальные технические правила № 6 ООН (безопасные </w:t>
      </w:r>
      <w:proofErr w:type="spellStart"/>
      <w:r>
        <w:rPr>
          <w:bCs/>
        </w:rPr>
        <w:t>стекловые</w:t>
      </w:r>
      <w:proofErr w:type="spellEnd"/>
      <w:r>
        <w:rPr>
          <w:bCs/>
        </w:rPr>
        <w:t xml:space="preserve"> материалы)</w:t>
      </w:r>
    </w:p>
    <w:p w14:paraId="3DC44F87" w14:textId="77777777" w:rsidR="004D0FE1" w:rsidRPr="00CC658C" w:rsidRDefault="004D0FE1" w:rsidP="00B00054">
      <w:pPr>
        <w:spacing w:before="120" w:after="120"/>
        <w:ind w:left="1134" w:right="1134" w:firstLine="567"/>
        <w:jc w:val="both"/>
        <w:rPr>
          <w:color w:val="000000" w:themeColor="text1"/>
        </w:rPr>
      </w:pPr>
      <w:r>
        <w:t>GRSG, возможно, пожелает рассмотреть предложения по изменению Глобальных технических правил № 6 ООН, если таковые будут направлены.</w:t>
      </w:r>
    </w:p>
    <w:p w14:paraId="2F2BBCCB" w14:textId="77777777" w:rsidR="004D0FE1" w:rsidRPr="00CC658C" w:rsidRDefault="004D0FE1" w:rsidP="004D0FE1">
      <w:pPr>
        <w:pStyle w:val="H23G"/>
        <w:keepNext w:val="0"/>
        <w:keepLines w:val="0"/>
        <w:rPr>
          <w:color w:val="000000" w:themeColor="text1"/>
        </w:rPr>
      </w:pPr>
      <w:r>
        <w:rPr>
          <w:bCs/>
        </w:rPr>
        <w:tab/>
        <w:t>b)</w:t>
      </w:r>
      <w:r>
        <w:tab/>
      </w:r>
      <w:r>
        <w:rPr>
          <w:bCs/>
        </w:rPr>
        <w:t xml:space="preserve">Правила № 43 ООН (безопасные </w:t>
      </w:r>
      <w:proofErr w:type="spellStart"/>
      <w:r>
        <w:rPr>
          <w:bCs/>
        </w:rPr>
        <w:t>стекловые</w:t>
      </w:r>
      <w:proofErr w:type="spellEnd"/>
      <w:r>
        <w:rPr>
          <w:bCs/>
        </w:rPr>
        <w:t xml:space="preserve"> материалы)</w:t>
      </w:r>
    </w:p>
    <w:p w14:paraId="3BF68DEA" w14:textId="77777777" w:rsidR="004D0FE1" w:rsidRPr="00CC658C" w:rsidRDefault="004D0FE1" w:rsidP="00B00054">
      <w:pPr>
        <w:pStyle w:val="SingleTxtG"/>
        <w:widowControl w:val="0"/>
        <w:ind w:firstLine="567"/>
        <w:rPr>
          <w:color w:val="000000" w:themeColor="text1"/>
        </w:rPr>
      </w:pPr>
      <w:r>
        <w:t>GRSG решила рассмотреть предложение по поправкам к Правилам № 43 ООН, представленное экспертом от Республики Корея (ECE/TRANS/WP.29/GRSG/2023/7), которое предусматривает исключение в зоне I возможного матового затемнения в местах испытания на лобовом стекле транспортных средств, а также нацелено на обеспечение тщательной согласованности между соглашениями 1958 и 1998 годов.</w:t>
      </w:r>
    </w:p>
    <w:p w14:paraId="7CAF1F7F" w14:textId="77777777" w:rsidR="004D0FE1" w:rsidRPr="00CC658C" w:rsidRDefault="004D0FE1" w:rsidP="004D0FE1">
      <w:pPr>
        <w:pStyle w:val="SingleTxtG"/>
        <w:widowControl w:val="0"/>
        <w:spacing w:before="120"/>
        <w:ind w:left="2835" w:hanging="1674"/>
        <w:jc w:val="left"/>
        <w:rPr>
          <w:color w:val="000000" w:themeColor="text1"/>
        </w:rPr>
      </w:pPr>
      <w:r>
        <w:rPr>
          <w:b/>
          <w:bCs/>
        </w:rPr>
        <w:t>Документация:</w:t>
      </w:r>
      <w:r>
        <w:tab/>
        <w:t>ECE/TRANS/WP.29/GRSG/103, пункт 10 ECE/TRANS/WP.29/GRSG/2023/7</w:t>
      </w:r>
    </w:p>
    <w:p w14:paraId="65585501" w14:textId="77777777" w:rsidR="004D0FE1" w:rsidRPr="00CC658C" w:rsidRDefault="004D0FE1" w:rsidP="004D0FE1">
      <w:pPr>
        <w:pStyle w:val="H1G"/>
        <w:rPr>
          <w:color w:val="000000" w:themeColor="text1"/>
        </w:rPr>
      </w:pPr>
      <w:r>
        <w:rPr>
          <w:bCs/>
        </w:rPr>
        <w:lastRenderedPageBreak/>
        <w:tab/>
        <w:t>4.</w:t>
      </w:r>
      <w:r>
        <w:tab/>
      </w:r>
      <w:r>
        <w:rPr>
          <w:bCs/>
        </w:rPr>
        <w:t>Предупреждение о присутствии уязвимых участников дорожного движения в непосредственной близости</w:t>
      </w:r>
    </w:p>
    <w:p w14:paraId="08C1E999" w14:textId="18059470" w:rsidR="004D0FE1" w:rsidRPr="00797D34" w:rsidRDefault="004D0FE1" w:rsidP="003638C7">
      <w:pPr>
        <w:pStyle w:val="SingleTxtG"/>
        <w:widowControl w:val="0"/>
        <w:ind w:firstLine="567"/>
        <w:rPr>
          <w:b/>
          <w:color w:val="000000" w:themeColor="text1"/>
        </w:rPr>
      </w:pPr>
      <w:r w:rsidRPr="00797D34">
        <w:t>GRSG, возможно, пожелает получить информацию о результатах работы</w:t>
      </w:r>
      <w:r w:rsidR="005352F0" w:rsidRPr="005352F0">
        <w:rPr>
          <w:b/>
        </w:rPr>
        <w:t xml:space="preserve"> </w:t>
      </w:r>
      <w:r>
        <w:br/>
      </w:r>
      <w:r w:rsidRPr="00797D34">
        <w:t>НРГ по предупреждению о присутствии уязвимых участников дорожного движения в непосредственной близости (</w:t>
      </w:r>
      <w:proofErr w:type="spellStart"/>
      <w:r w:rsidRPr="00797D34">
        <w:t>VRU-Proxi</w:t>
      </w:r>
      <w:proofErr w:type="spellEnd"/>
      <w:r w:rsidRPr="00797D34">
        <w:t>), касающейся совершенствования Правил</w:t>
      </w:r>
      <w:r>
        <w:t> </w:t>
      </w:r>
      <w:r w:rsidRPr="00797D34">
        <w:t>№</w:t>
      </w:r>
      <w:r>
        <w:t> </w:t>
      </w:r>
      <w:r w:rsidRPr="00797D34">
        <w:t>158 ООН в части положений о временных помехах видимости поля монитора, а также информацию об этапе 2 разработки Правил № 167 ООН, касающихся прямого обзора.</w:t>
      </w:r>
    </w:p>
    <w:p w14:paraId="122B4B15" w14:textId="0DAD7517" w:rsidR="004D0FE1" w:rsidRPr="00CC658C" w:rsidRDefault="003638C7" w:rsidP="00C70360">
      <w:pPr>
        <w:pStyle w:val="H23G"/>
        <w:rPr>
          <w:color w:val="000000" w:themeColor="text1"/>
        </w:rPr>
      </w:pPr>
      <w:bookmarkStart w:id="4" w:name="_Hlk109224902"/>
      <w:r>
        <w:rPr>
          <w:color w:val="000000" w:themeColor="text1"/>
        </w:rPr>
        <w:tab/>
      </w:r>
      <w:r w:rsidR="00553455" w:rsidRPr="00CC658C">
        <w:rPr>
          <w:color w:val="000000" w:themeColor="text1"/>
        </w:rPr>
        <w:t>a)</w:t>
      </w:r>
      <w:r w:rsidR="00553455" w:rsidRPr="00CC658C">
        <w:rPr>
          <w:color w:val="000000" w:themeColor="text1"/>
        </w:rPr>
        <w:tab/>
      </w:r>
      <w:r w:rsidR="004D0FE1">
        <w:t>Правила № 46 ООН (устройства непрямого обзора)</w:t>
      </w:r>
    </w:p>
    <w:p w14:paraId="21EC1675" w14:textId="41D9DBCA" w:rsidR="004D0FE1" w:rsidRPr="00CC658C" w:rsidRDefault="004D0FE1" w:rsidP="003638C7">
      <w:pPr>
        <w:pStyle w:val="SingleTxtG"/>
        <w:widowControl w:val="0"/>
        <w:ind w:firstLine="567"/>
        <w:rPr>
          <w:color w:val="000000" w:themeColor="text1"/>
        </w:rPr>
      </w:pPr>
      <w:r>
        <w:t>GRSG решила возобновить рассмотрение предложения по поправкам к Правилам № 46 ООН, представленного экспертом от Международной организации предприятий автомобильной промышленности (МОПАП) и предусматривающего введение положений, учитывающих транспортные средства с центральным расположением руля категорий M</w:t>
      </w:r>
      <w:r>
        <w:rPr>
          <w:vertAlign w:val="subscript"/>
        </w:rPr>
        <w:t>2</w:t>
      </w:r>
      <w:r>
        <w:t>, M</w:t>
      </w:r>
      <w:r>
        <w:rPr>
          <w:vertAlign w:val="subscript"/>
        </w:rPr>
        <w:t>3</w:t>
      </w:r>
      <w:r>
        <w:t>, N</w:t>
      </w:r>
      <w:r>
        <w:rPr>
          <w:vertAlign w:val="subscript"/>
        </w:rPr>
        <w:t>2</w:t>
      </w:r>
      <w:r>
        <w:t>, N</w:t>
      </w:r>
      <w:r>
        <w:rPr>
          <w:vertAlign w:val="subscript"/>
        </w:rPr>
        <w:t xml:space="preserve">3 </w:t>
      </w:r>
      <w:r>
        <w:t>(документ ECE/TRANS/WP.29/GRSG/</w:t>
      </w:r>
      <w:r w:rsidR="0030264E" w:rsidRPr="0030264E">
        <w:t xml:space="preserve"> </w:t>
      </w:r>
      <w:r>
        <w:t>2023/9, основанный на документе GRSG-124-20-Rev.1).</w:t>
      </w:r>
    </w:p>
    <w:p w14:paraId="79265853" w14:textId="77777777" w:rsidR="004D0FE1" w:rsidRPr="00CC658C" w:rsidRDefault="004D0FE1" w:rsidP="00B441C8">
      <w:pPr>
        <w:pStyle w:val="SingleTxtG"/>
        <w:widowControl w:val="0"/>
        <w:spacing w:before="120"/>
        <w:ind w:left="2841" w:hanging="1701"/>
        <w:jc w:val="left"/>
        <w:rPr>
          <w:color w:val="000000" w:themeColor="text1"/>
        </w:rPr>
      </w:pPr>
      <w:r>
        <w:rPr>
          <w:b/>
          <w:bCs/>
        </w:rPr>
        <w:t>Документация:</w:t>
      </w:r>
      <w:r>
        <w:tab/>
        <w:t>ECE/TRANS/WP.29/GRSG/103, пункт 42 ECE/TRANS/WP.29/GRSG/2023/9</w:t>
      </w:r>
    </w:p>
    <w:p w14:paraId="4F174F7A" w14:textId="77777777" w:rsidR="004D0FE1" w:rsidRPr="00CC658C" w:rsidRDefault="004D0FE1" w:rsidP="00C70360">
      <w:pPr>
        <w:pStyle w:val="H23G"/>
        <w:rPr>
          <w:color w:val="000000" w:themeColor="text1"/>
        </w:rPr>
      </w:pPr>
      <w:r>
        <w:tab/>
        <w:t>b)</w:t>
      </w:r>
      <w:r>
        <w:tab/>
        <w:t>Правила № 158 ООН (движение задним ходом)</w:t>
      </w:r>
    </w:p>
    <w:p w14:paraId="4C50E7BE" w14:textId="77777777" w:rsidR="004D0FE1" w:rsidRPr="00CC658C" w:rsidRDefault="004D0FE1" w:rsidP="003638C7">
      <w:pPr>
        <w:pStyle w:val="SingleTxtG"/>
        <w:ind w:firstLine="567"/>
        <w:rPr>
          <w:color w:val="000000" w:themeColor="text1"/>
        </w:rPr>
      </w:pPr>
      <w:r>
        <w:t xml:space="preserve">GRSG, возможно, пожелает возобновить рассмотрение вопроса о новых Правилах № [165] ООН, касающихся предупреждения о движении задним ходом, со ссылкой на Правила № 158 ООН в части требований к переключателю временной остановки работы. Тем временем GRSG рассчитывает обсудить новое предложение по поправкам к пункту 16.1.3.1 Правил № 158 ООН, пересмотренное </w:t>
      </w:r>
      <w:proofErr w:type="spellStart"/>
      <w:r>
        <w:t>НРГ</w:t>
      </w:r>
      <w:proofErr w:type="spellEnd"/>
      <w:r>
        <w:t xml:space="preserve"> по </w:t>
      </w:r>
      <w:proofErr w:type="spellStart"/>
      <w:r>
        <w:t>VRU-Proxi</w:t>
      </w:r>
      <w:proofErr w:type="spellEnd"/>
      <w:r>
        <w:t>, если таковое поступит.</w:t>
      </w:r>
    </w:p>
    <w:p w14:paraId="56D7377E" w14:textId="77777777" w:rsidR="004D0FE1" w:rsidRPr="00CC658C" w:rsidRDefault="004D0FE1" w:rsidP="004D0FE1">
      <w:pPr>
        <w:pStyle w:val="SingleTxtG"/>
        <w:ind w:left="2835" w:hanging="1701"/>
        <w:jc w:val="left"/>
        <w:rPr>
          <w:bCs/>
          <w:color w:val="000000" w:themeColor="text1"/>
        </w:rPr>
      </w:pPr>
      <w:r>
        <w:rPr>
          <w:b/>
          <w:bCs/>
        </w:rPr>
        <w:t>Документация:</w:t>
      </w:r>
      <w:r>
        <w:tab/>
        <w:t>ECE/TRANS/WP.29/GRSG/103, пункт 12</w:t>
      </w:r>
    </w:p>
    <w:p w14:paraId="1978C3F4" w14:textId="77777777" w:rsidR="004D0FE1" w:rsidRPr="00CC658C" w:rsidRDefault="004D0FE1" w:rsidP="004D0FE1">
      <w:pPr>
        <w:pStyle w:val="H23G"/>
        <w:rPr>
          <w:color w:val="000000" w:themeColor="text1"/>
        </w:rPr>
      </w:pPr>
      <w:bookmarkStart w:id="5" w:name="_Hlk61956637"/>
      <w:bookmarkEnd w:id="4"/>
      <w:r>
        <w:rPr>
          <w:bCs/>
        </w:rPr>
        <w:tab/>
        <w:t>c)</w:t>
      </w:r>
      <w:r>
        <w:tab/>
      </w:r>
      <w:r>
        <w:rPr>
          <w:bCs/>
        </w:rPr>
        <w:t>Правила № 159 ООН (система информирования при трогании с места)</w:t>
      </w:r>
      <w:bookmarkEnd w:id="5"/>
    </w:p>
    <w:p w14:paraId="49021FB0" w14:textId="77777777" w:rsidR="004D0FE1" w:rsidRPr="00CC658C" w:rsidRDefault="004D0FE1" w:rsidP="00C70360">
      <w:pPr>
        <w:pStyle w:val="SingleTxtG"/>
        <w:ind w:firstLine="567"/>
        <w:rPr>
          <w:color w:val="000000" w:themeColor="text1"/>
        </w:rPr>
      </w:pPr>
      <w:r>
        <w:t xml:space="preserve">GRSG, возможно, пожелает рассмотреть предложения о внесении поправок в Правила № 159 ООН, если таковые будут представлены. </w:t>
      </w:r>
    </w:p>
    <w:p w14:paraId="718677AE" w14:textId="77777777" w:rsidR="004D0FE1" w:rsidRPr="00CC658C" w:rsidRDefault="004D0FE1" w:rsidP="004D0FE1">
      <w:pPr>
        <w:pStyle w:val="H23G"/>
        <w:rPr>
          <w:color w:val="000000" w:themeColor="text1"/>
        </w:rPr>
      </w:pPr>
      <w:r>
        <w:rPr>
          <w:bCs/>
        </w:rPr>
        <w:tab/>
        <w:t>d)</w:t>
      </w:r>
      <w:r>
        <w:tab/>
      </w:r>
      <w:r>
        <w:rPr>
          <w:bCs/>
        </w:rPr>
        <w:t>Правила № [166] ООН (присутствие уязвимых участников дорожного движения в непосредственной близости спереди и сбоку)</w:t>
      </w:r>
    </w:p>
    <w:p w14:paraId="4EAA38C2" w14:textId="1AF69AFC" w:rsidR="004D0FE1" w:rsidRPr="00CC658C" w:rsidRDefault="004D0FE1" w:rsidP="004D0FE1">
      <w:pPr>
        <w:pStyle w:val="SingleTxtG"/>
        <w:ind w:firstLine="567"/>
        <w:rPr>
          <w:color w:val="000000" w:themeColor="text1"/>
        </w:rPr>
      </w:pPr>
      <w:r>
        <w:t>GRSG решила рассмотреть предложение по поправкам (дополнение/</w:t>
      </w:r>
      <w:r w:rsidR="0002671D">
        <w:br/>
      </w:r>
      <w:r>
        <w:t xml:space="preserve">поправки новой серии), заявленное экспертом от Российской федерации, </w:t>
      </w:r>
      <w:r w:rsidR="0002671D">
        <w:br/>
      </w:r>
      <w:r>
        <w:t>к Правилам № [166] ООН (присутствие УУДД в непосредственной близости спереди и сбоку), если таковое будет представлено.</w:t>
      </w:r>
    </w:p>
    <w:p w14:paraId="73504FB4" w14:textId="77777777" w:rsidR="004D0FE1" w:rsidRPr="00CC658C" w:rsidRDefault="004D0FE1" w:rsidP="004D0FE1">
      <w:pPr>
        <w:pStyle w:val="SingleTxtG"/>
        <w:rPr>
          <w:bCs/>
          <w:color w:val="000000" w:themeColor="text1"/>
        </w:rPr>
      </w:pPr>
      <w:r>
        <w:rPr>
          <w:b/>
          <w:bCs/>
        </w:rPr>
        <w:t>Документация:</w:t>
      </w:r>
      <w:r>
        <w:tab/>
        <w:t>ECE/TRANS/WP.29/GRSG/103, пункт 14</w:t>
      </w:r>
    </w:p>
    <w:p w14:paraId="6B0E9570" w14:textId="77777777" w:rsidR="004D0FE1" w:rsidRPr="00CC658C" w:rsidRDefault="004D0FE1" w:rsidP="004D0FE1">
      <w:pPr>
        <w:pStyle w:val="H23G"/>
        <w:rPr>
          <w:color w:val="000000" w:themeColor="text1"/>
        </w:rPr>
      </w:pPr>
      <w:r>
        <w:rPr>
          <w:bCs/>
        </w:rPr>
        <w:tab/>
        <w:t>e)</w:t>
      </w:r>
      <w:r>
        <w:tab/>
      </w:r>
      <w:r>
        <w:rPr>
          <w:bCs/>
        </w:rPr>
        <w:t>Правила № [167] ООН (прямой обзор уязвимых участников дорожного движения)</w:t>
      </w:r>
    </w:p>
    <w:p w14:paraId="2987DD01" w14:textId="59FA8002" w:rsidR="004D0FE1" w:rsidRPr="00C85A7A" w:rsidRDefault="007D3E09" w:rsidP="00C70360">
      <w:pPr>
        <w:pStyle w:val="SingleTxtG"/>
        <w:ind w:firstLine="567"/>
      </w:pPr>
      <w:proofErr w:type="spellStart"/>
      <w:r w:rsidRPr="007D3E09">
        <w:t>GRSG</w:t>
      </w:r>
      <w:proofErr w:type="spellEnd"/>
      <w:r w:rsidRPr="007D3E09">
        <w:t xml:space="preserve">, возможно, пожелает рассмотреть предложение по поправкам к Правилам № [167] ООН, представленное экспертами от </w:t>
      </w:r>
      <w:proofErr w:type="spellStart"/>
      <w:r w:rsidRPr="007D3E09">
        <w:t>НРГ</w:t>
      </w:r>
      <w:proofErr w:type="spellEnd"/>
      <w:r w:rsidRPr="007D3E09">
        <w:t xml:space="preserve"> по </w:t>
      </w:r>
      <w:proofErr w:type="spellStart"/>
      <w:r w:rsidRPr="007D3E09">
        <w:t>VRU-Proxi</w:t>
      </w:r>
      <w:proofErr w:type="spellEnd"/>
      <w:r w:rsidRPr="007D3E09">
        <w:t xml:space="preserve"> (</w:t>
      </w:r>
      <w:proofErr w:type="spellStart"/>
      <w:r w:rsidRPr="007D3E09">
        <w:t>ECE</w:t>
      </w:r>
      <w:proofErr w:type="spellEnd"/>
      <w:r w:rsidRPr="007D3E09">
        <w:t>/TRANS/WP.29/</w:t>
      </w:r>
      <w:proofErr w:type="spellStart"/>
      <w:r w:rsidRPr="007D3E09">
        <w:t>GRSG</w:t>
      </w:r>
      <w:proofErr w:type="spellEnd"/>
      <w:r w:rsidRPr="007D3E09">
        <w:t>/2023/10).</w:t>
      </w:r>
    </w:p>
    <w:p w14:paraId="5C3637D1" w14:textId="77777777" w:rsidR="004D0FE1" w:rsidRPr="00AA57C1" w:rsidRDefault="004D0FE1" w:rsidP="004D0FE1">
      <w:pPr>
        <w:pStyle w:val="SingleTxtG"/>
      </w:pPr>
      <w:r w:rsidRPr="00C85A7A">
        <w:rPr>
          <w:b/>
          <w:bCs/>
        </w:rPr>
        <w:t>Документация:</w:t>
      </w:r>
      <w:r w:rsidRPr="00C85A7A">
        <w:rPr>
          <w:b/>
          <w:bCs/>
        </w:rPr>
        <w:tab/>
      </w:r>
      <w:r w:rsidRPr="00C85A7A">
        <w:t>ECE/TRANS/WP.29/GRSG/2023/10</w:t>
      </w:r>
      <w:r w:rsidRPr="00AA57C1">
        <w:t xml:space="preserve"> </w:t>
      </w:r>
    </w:p>
    <w:p w14:paraId="27083F91" w14:textId="77777777" w:rsidR="004D0FE1" w:rsidRPr="00CC658C" w:rsidRDefault="004D0FE1" w:rsidP="004D0FE1">
      <w:pPr>
        <w:pStyle w:val="H1G"/>
      </w:pPr>
      <w:r>
        <w:rPr>
          <w:bCs/>
        </w:rPr>
        <w:tab/>
        <w:t>5.</w:t>
      </w:r>
      <w:r>
        <w:tab/>
      </w:r>
      <w:r>
        <w:rPr>
          <w:bCs/>
        </w:rPr>
        <w:t>Правила № 66 ООН (прочность силовой структуры (автобусы))</w:t>
      </w:r>
    </w:p>
    <w:p w14:paraId="027B7412" w14:textId="62099290" w:rsidR="004D0FE1" w:rsidRPr="00CC658C" w:rsidRDefault="004D0FE1" w:rsidP="00C70360">
      <w:pPr>
        <w:pStyle w:val="SingleTxtG"/>
        <w:ind w:firstLine="567"/>
      </w:pPr>
      <w:r>
        <w:t xml:space="preserve">GRSG, возможно, пожелает возобновить рассмотрение предложения по поправкам к Правилам № 66 ООН, представленного экспертом Российской </w:t>
      </w:r>
      <w:r w:rsidR="00D90F26">
        <w:br/>
      </w:r>
      <w:r>
        <w:t xml:space="preserve">Федерации (документ ECE/TRANS/WP.29/GRSG/2023/2, основанный на </w:t>
      </w:r>
      <w:r w:rsidR="00D90F26">
        <w:br/>
      </w:r>
      <w:r>
        <w:lastRenderedPageBreak/>
        <w:t>документе</w:t>
      </w:r>
      <w:r w:rsidR="00D90F26" w:rsidRPr="00D90F26">
        <w:t xml:space="preserve"> </w:t>
      </w:r>
      <w:r>
        <w:t>GRSG-124-28) и предусматривающего разрешение дополнительных проверок на пассивную безопасность на национальном уровне.</w:t>
      </w:r>
    </w:p>
    <w:p w14:paraId="55209A93" w14:textId="77777777" w:rsidR="004D0FE1" w:rsidRPr="00CC658C" w:rsidRDefault="004D0FE1" w:rsidP="00DF70D9">
      <w:pPr>
        <w:pStyle w:val="SingleTxtG"/>
        <w:ind w:left="2790" w:hanging="1656"/>
        <w:jc w:val="left"/>
        <w:rPr>
          <w:bCs/>
        </w:rPr>
      </w:pPr>
      <w:r>
        <w:rPr>
          <w:b/>
          <w:bCs/>
        </w:rPr>
        <w:t>Документация:</w:t>
      </w:r>
      <w:r>
        <w:tab/>
        <w:t>ECE/TRANS/WP.29/GRSG/103, пункт 17 ECE/TRANS/WP.29/GRSG/2023/2</w:t>
      </w:r>
    </w:p>
    <w:p w14:paraId="5ED6D08B" w14:textId="77777777" w:rsidR="004D0FE1" w:rsidRPr="00CC658C" w:rsidRDefault="004D0FE1" w:rsidP="00487407">
      <w:pPr>
        <w:pStyle w:val="H1G"/>
        <w:rPr>
          <w:color w:val="000000" w:themeColor="text1"/>
        </w:rPr>
      </w:pPr>
      <w:r>
        <w:tab/>
        <w:t>6.</w:t>
      </w:r>
      <w:r>
        <w:tab/>
      </w:r>
      <w:r>
        <w:tab/>
        <w:t xml:space="preserve">Поправки к правилам, касающимся газомоторных транспортных средств </w:t>
      </w:r>
    </w:p>
    <w:p w14:paraId="720B5EDA" w14:textId="77777777" w:rsidR="004D0FE1" w:rsidRPr="00CC658C" w:rsidRDefault="004D0FE1" w:rsidP="004D0FE1">
      <w:pPr>
        <w:pStyle w:val="H23G"/>
        <w:rPr>
          <w:color w:val="000000" w:themeColor="text1"/>
        </w:rPr>
      </w:pPr>
      <w:r>
        <w:rPr>
          <w:bCs/>
        </w:rPr>
        <w:tab/>
        <w:t>a)</w:t>
      </w:r>
      <w:r>
        <w:tab/>
      </w:r>
      <w:r>
        <w:rPr>
          <w:bCs/>
        </w:rPr>
        <w:t>Правила № 67 ООН (транспортные средства, работающие на сжиженном нефтяном газе)</w:t>
      </w:r>
    </w:p>
    <w:p w14:paraId="3942C2CA" w14:textId="77777777" w:rsidR="004D0FE1" w:rsidRPr="00CC658C" w:rsidRDefault="004D0FE1" w:rsidP="00C70360">
      <w:pPr>
        <w:spacing w:before="120" w:after="120"/>
        <w:ind w:left="1134" w:right="1134" w:firstLine="567"/>
        <w:jc w:val="both"/>
        <w:rPr>
          <w:color w:val="000000" w:themeColor="text1"/>
        </w:rPr>
      </w:pPr>
      <w:r>
        <w:tab/>
        <w:t>GRSG, возможно, пожелает рассмотреть предложения о внесении поправок в Правила № 67 ООН, если таковые будут представлены.</w:t>
      </w:r>
    </w:p>
    <w:p w14:paraId="513780F2" w14:textId="5BC0D815" w:rsidR="004D0FE1" w:rsidRPr="00CC658C" w:rsidRDefault="004D0FE1" w:rsidP="004D0FE1">
      <w:pPr>
        <w:pStyle w:val="H23G"/>
        <w:rPr>
          <w:color w:val="000000" w:themeColor="text1"/>
        </w:rPr>
      </w:pPr>
      <w:r>
        <w:rPr>
          <w:bCs/>
        </w:rPr>
        <w:tab/>
        <w:t>b)</w:t>
      </w:r>
      <w:r>
        <w:tab/>
      </w:r>
      <w:r>
        <w:rPr>
          <w:bCs/>
        </w:rPr>
        <w:t>Правила № 110 ООН (транспортные средства, работающие на</w:t>
      </w:r>
      <w:r w:rsidR="003A4F2C">
        <w:rPr>
          <w:bCs/>
          <w:lang w:val="en-US"/>
        </w:rPr>
        <w:t> </w:t>
      </w:r>
      <w:r>
        <w:rPr>
          <w:bCs/>
        </w:rPr>
        <w:t>компримированном природном газе и сжиженном природном газе)</w:t>
      </w:r>
    </w:p>
    <w:p w14:paraId="595A9B47" w14:textId="79363ACD" w:rsidR="004D0FE1" w:rsidRPr="00CC658C" w:rsidRDefault="004D0FE1" w:rsidP="00283672">
      <w:pPr>
        <w:spacing w:before="120" w:after="120"/>
        <w:ind w:left="1134" w:right="1134" w:firstLine="567"/>
        <w:jc w:val="both"/>
        <w:rPr>
          <w:rFonts w:eastAsia="Times New Roman"/>
        </w:rPr>
      </w:pPr>
      <w:r>
        <w:t>GRSG решила сохранить в повестке дня</w:t>
      </w:r>
      <w:r w:rsidR="003A4F2C" w:rsidRPr="003A4F2C">
        <w:t xml:space="preserve"> </w:t>
      </w:r>
      <w:r>
        <w:t>— для возможной дальнейшей разработки</w:t>
      </w:r>
      <w:r w:rsidR="003A4F2C" w:rsidRPr="003A4F2C">
        <w:t xml:space="preserve"> </w:t>
      </w:r>
      <w:r>
        <w:t>—</w:t>
      </w:r>
      <w:r w:rsidR="003A4F2C" w:rsidRPr="003A4F2C">
        <w:t xml:space="preserve"> </w:t>
      </w:r>
      <w:r>
        <w:t xml:space="preserve">предложение по дополнению 4 к поправкам серии 04 </w:t>
      </w:r>
      <w:r w:rsidR="003A4F2C">
        <w:br/>
      </w:r>
      <w:r>
        <w:t>к Правилам № 110 ООН (GRSG-124-32), представленное для рассмотрения и голосования на сессиях WP.29 и AC.1 в июне 2023 года.</w:t>
      </w:r>
    </w:p>
    <w:p w14:paraId="0403EB0F" w14:textId="77777777" w:rsidR="004D0FE1" w:rsidRPr="00CC658C" w:rsidRDefault="004D0FE1" w:rsidP="004D0FE1">
      <w:pPr>
        <w:pStyle w:val="SingleTxtG"/>
        <w:ind w:left="2790" w:hanging="1656"/>
        <w:jc w:val="left"/>
        <w:rPr>
          <w:bCs/>
        </w:rPr>
      </w:pPr>
      <w:r>
        <w:rPr>
          <w:b/>
          <w:bCs/>
        </w:rPr>
        <w:t>Документация:</w:t>
      </w:r>
      <w:r>
        <w:tab/>
        <w:t>ECE/TRANS/WP.29/GRSG/103, пункт 21</w:t>
      </w:r>
      <w:r>
        <w:br/>
        <w:t>GRSG-124-32</w:t>
      </w:r>
    </w:p>
    <w:p w14:paraId="255D4005" w14:textId="38C2FA7F" w:rsidR="004D0FE1" w:rsidRPr="00CC658C" w:rsidRDefault="004D0FE1" w:rsidP="00487407">
      <w:pPr>
        <w:pStyle w:val="H1G"/>
      </w:pPr>
      <w:r>
        <w:tab/>
        <w:t>7.</w:t>
      </w:r>
      <w:r>
        <w:tab/>
        <w:t>Поправки к правилам, касающимся устройств для</w:t>
      </w:r>
      <w:r w:rsidR="007B0EAD">
        <w:rPr>
          <w:lang w:val="en-US"/>
        </w:rPr>
        <w:t> </w:t>
      </w:r>
      <w:r>
        <w:t xml:space="preserve">предотвращения несанкционированного использования, </w:t>
      </w:r>
      <w:proofErr w:type="spellStart"/>
      <w:r>
        <w:t>иммобилизаторов</w:t>
      </w:r>
      <w:proofErr w:type="spellEnd"/>
      <w:r>
        <w:t xml:space="preserve"> и систем охранной сигнализации транспортных средств </w:t>
      </w:r>
    </w:p>
    <w:p w14:paraId="056DC1AF" w14:textId="77777777" w:rsidR="004D0FE1" w:rsidRPr="00CC658C" w:rsidRDefault="004D0FE1" w:rsidP="00283672">
      <w:pPr>
        <w:pStyle w:val="H23G"/>
      </w:pPr>
      <w:r>
        <w:rPr>
          <w:bCs/>
        </w:rPr>
        <w:tab/>
        <w:t>a)</w:t>
      </w:r>
      <w:r>
        <w:tab/>
      </w:r>
      <w:r>
        <w:tab/>
      </w:r>
      <w:r>
        <w:rPr>
          <w:bCs/>
        </w:rPr>
        <w:t>Правила № 116 ООН (противоугонные системы и системы охранной сигнализации)</w:t>
      </w:r>
    </w:p>
    <w:p w14:paraId="5EABFD16" w14:textId="77777777" w:rsidR="004D0FE1" w:rsidRPr="00CC658C" w:rsidRDefault="004D0FE1" w:rsidP="00486BA3">
      <w:pPr>
        <w:pStyle w:val="SingleTxtG"/>
        <w:widowControl w:val="0"/>
        <w:spacing w:before="120"/>
        <w:rPr>
          <w:color w:val="000000" w:themeColor="text1"/>
        </w:rPr>
      </w:pPr>
      <w:r>
        <w:tab/>
        <w:t>GRSG, возможно, пожелает рассмотреть предложения о внесении поправок в Правила № 116 ООН, если таковые будут представлены.</w:t>
      </w:r>
    </w:p>
    <w:p w14:paraId="07191CC6" w14:textId="77777777" w:rsidR="004D0FE1" w:rsidRPr="00CC658C" w:rsidRDefault="004D0FE1" w:rsidP="004D0FE1">
      <w:pPr>
        <w:pStyle w:val="H23G"/>
      </w:pPr>
      <w:r>
        <w:rPr>
          <w:bCs/>
        </w:rPr>
        <w:tab/>
        <w:t>b)</w:t>
      </w:r>
      <w:r>
        <w:tab/>
      </w:r>
      <w:r>
        <w:tab/>
      </w:r>
      <w:r>
        <w:rPr>
          <w:bCs/>
        </w:rPr>
        <w:t>Правила № 161 ООН (устройства против несанкционированного использования)</w:t>
      </w:r>
    </w:p>
    <w:p w14:paraId="69717AFE" w14:textId="3A2037A4" w:rsidR="004D0FE1" w:rsidRPr="00CC658C" w:rsidRDefault="004D0FE1" w:rsidP="00486BA3">
      <w:pPr>
        <w:pStyle w:val="SingleTxtG"/>
        <w:widowControl w:val="0"/>
        <w:spacing w:before="120"/>
        <w:ind w:firstLine="567"/>
      </w:pPr>
      <w:r>
        <w:t>GRSG решила возобновить рассмотрение предложения по согласованию ссылки на Правила № 10 ООН (электромагнитная совместимость) (документ ECE/TRANS/WP.29/GRSG/2023/3, основанный на документе GRSG-124-25), которое появилось в результате разделения Правил № 116 ООН.</w:t>
      </w:r>
    </w:p>
    <w:p w14:paraId="418862C7" w14:textId="77777777" w:rsidR="004D0FE1" w:rsidRPr="00CC658C" w:rsidRDefault="004D0FE1" w:rsidP="000B7CBE">
      <w:pPr>
        <w:pStyle w:val="SingleTxtG"/>
        <w:widowControl w:val="0"/>
        <w:spacing w:before="120"/>
        <w:ind w:left="2835" w:hanging="1701"/>
        <w:jc w:val="left"/>
      </w:pPr>
      <w:r>
        <w:rPr>
          <w:b/>
          <w:bCs/>
        </w:rPr>
        <w:t>Документация:</w:t>
      </w:r>
      <w:r>
        <w:tab/>
        <w:t>ECE/TRANS/WP.29/GRSG/103, пункт 22 ECE/TRANS/WP.29/GRSG/2023/3</w:t>
      </w:r>
    </w:p>
    <w:p w14:paraId="2842337A" w14:textId="77777777" w:rsidR="004D0FE1" w:rsidRPr="00CC658C" w:rsidRDefault="004D0FE1" w:rsidP="004D0FE1">
      <w:pPr>
        <w:pStyle w:val="H23G"/>
      </w:pPr>
      <w:r>
        <w:rPr>
          <w:bCs/>
        </w:rPr>
        <w:tab/>
        <w:t>c)</w:t>
      </w:r>
      <w:r>
        <w:tab/>
      </w:r>
      <w:r>
        <w:tab/>
      </w:r>
      <w:r>
        <w:rPr>
          <w:bCs/>
        </w:rPr>
        <w:t>Правила № 162 ООН (</w:t>
      </w:r>
      <w:proofErr w:type="spellStart"/>
      <w:r>
        <w:rPr>
          <w:bCs/>
        </w:rPr>
        <w:t>иммобилизаторы</w:t>
      </w:r>
      <w:proofErr w:type="spellEnd"/>
      <w:r>
        <w:rPr>
          <w:bCs/>
        </w:rPr>
        <w:t>)</w:t>
      </w:r>
    </w:p>
    <w:p w14:paraId="0EBD983B" w14:textId="77777777" w:rsidR="004D0FE1" w:rsidRPr="00CC658C" w:rsidRDefault="004D0FE1" w:rsidP="00486BA3">
      <w:pPr>
        <w:pStyle w:val="SingleTxtG"/>
        <w:widowControl w:val="0"/>
        <w:spacing w:before="120"/>
        <w:ind w:firstLine="567"/>
      </w:pPr>
      <w:r>
        <w:t>GRSG решила возобновить рассмотрение предложения по согласованию ссылки на Правила № 10 ООН (электромагнитная совместимость) (документ ECE/TRANS/WP.29/GRSG/2023/4, основанный на документе GRSG-124-24).</w:t>
      </w:r>
    </w:p>
    <w:p w14:paraId="1A85B8CC" w14:textId="77777777" w:rsidR="004D0FE1" w:rsidRPr="00CC658C" w:rsidRDefault="004D0FE1" w:rsidP="000B7CBE">
      <w:pPr>
        <w:pStyle w:val="SingleTxtG"/>
        <w:widowControl w:val="0"/>
        <w:spacing w:before="120"/>
        <w:ind w:left="2835" w:hanging="1701"/>
        <w:jc w:val="left"/>
      </w:pPr>
      <w:r>
        <w:rPr>
          <w:b/>
          <w:bCs/>
        </w:rPr>
        <w:t>Документация:</w:t>
      </w:r>
      <w:r>
        <w:tab/>
        <w:t>ECE/TRANS/WP.29/GRSG/103, пункт 23 ECE/TRANS/WP.29/GRSG/2023/4</w:t>
      </w:r>
    </w:p>
    <w:p w14:paraId="170F27C7" w14:textId="77777777" w:rsidR="004D0FE1" w:rsidRPr="00CC658C" w:rsidRDefault="004D0FE1" w:rsidP="004D0FE1">
      <w:pPr>
        <w:pStyle w:val="H23G"/>
        <w:rPr>
          <w:color w:val="000000" w:themeColor="text1"/>
        </w:rPr>
      </w:pPr>
      <w:r>
        <w:rPr>
          <w:bCs/>
        </w:rPr>
        <w:tab/>
        <w:t>d)</w:t>
      </w:r>
      <w:r>
        <w:tab/>
      </w:r>
      <w:r>
        <w:rPr>
          <w:bCs/>
        </w:rPr>
        <w:t>Правила № 163 ООН (системы охранной сигнализации транспортных средств)</w:t>
      </w:r>
    </w:p>
    <w:p w14:paraId="3B75C394" w14:textId="77777777" w:rsidR="004D0FE1" w:rsidRPr="00CC658C" w:rsidRDefault="004D0FE1" w:rsidP="00486BA3">
      <w:pPr>
        <w:pStyle w:val="SingleTxtG"/>
        <w:widowControl w:val="0"/>
        <w:spacing w:before="120"/>
        <w:ind w:firstLine="567"/>
        <w:rPr>
          <w:color w:val="000000" w:themeColor="text1"/>
        </w:rPr>
      </w:pPr>
      <w:r>
        <w:t>GRSG, возможно, пожелает рассмотреть предложения о внесении поправок в Правила № 163 ООН, если таковые будут представлены.</w:t>
      </w:r>
    </w:p>
    <w:p w14:paraId="2FDCC6C7" w14:textId="77777777" w:rsidR="004D0FE1" w:rsidRPr="00CC658C" w:rsidRDefault="004D0FE1" w:rsidP="004D0FE1">
      <w:pPr>
        <w:pStyle w:val="H1G"/>
        <w:rPr>
          <w:color w:val="000000" w:themeColor="text1"/>
        </w:rPr>
      </w:pPr>
      <w:r>
        <w:rPr>
          <w:bCs/>
        </w:rPr>
        <w:lastRenderedPageBreak/>
        <w:tab/>
        <w:t>8.</w:t>
      </w:r>
      <w:r>
        <w:tab/>
      </w:r>
      <w:r>
        <w:rPr>
          <w:bCs/>
        </w:rPr>
        <w:t>Правила № 122 ООН (системы отопления)</w:t>
      </w:r>
    </w:p>
    <w:p w14:paraId="43C29B1B" w14:textId="77777777" w:rsidR="004D0FE1" w:rsidRPr="00CC658C" w:rsidRDefault="004D0FE1" w:rsidP="00195586">
      <w:pPr>
        <w:pStyle w:val="SingleTxtG"/>
        <w:widowControl w:val="0"/>
        <w:ind w:firstLine="567"/>
        <w:rPr>
          <w:rFonts w:asciiTheme="majorBidi" w:hAnsiTheme="majorBidi" w:cstheme="majorBidi"/>
        </w:rPr>
      </w:pPr>
      <w:r>
        <w:t>GRSG решила возобновить рассмотрение внесенного экспертом от Республики Корея предложения о разрешении использования новой технологии (излучающего обогревателя) в качестве системы отопления для целей максимального повышения энергоэффективности электромобилей (документ ECE/TRANS/WP.29/GRSG/2023/8, основанный на документах GRSG-124-04 и GRSG-124-05).</w:t>
      </w:r>
    </w:p>
    <w:p w14:paraId="1BC53A58" w14:textId="77777777" w:rsidR="004D0FE1" w:rsidRPr="00CC658C" w:rsidRDefault="004D0FE1" w:rsidP="000465C7">
      <w:pPr>
        <w:pStyle w:val="SingleTxtG"/>
        <w:widowControl w:val="0"/>
        <w:spacing w:before="120"/>
        <w:ind w:left="2835" w:hanging="1701"/>
        <w:jc w:val="left"/>
      </w:pPr>
      <w:r>
        <w:rPr>
          <w:b/>
          <w:bCs/>
        </w:rPr>
        <w:t>Документация:</w:t>
      </w:r>
      <w:r>
        <w:tab/>
        <w:t>ECE/TRANS/WP.29/GRSG/103, пункт 41 ECE/TRANS/WP.29/GRSG/2023/8</w:t>
      </w:r>
    </w:p>
    <w:p w14:paraId="785C0C25" w14:textId="77777777" w:rsidR="004D0FE1" w:rsidRPr="00CC658C" w:rsidRDefault="004D0FE1" w:rsidP="004D0FE1">
      <w:pPr>
        <w:pStyle w:val="H1G"/>
        <w:rPr>
          <w:color w:val="000000" w:themeColor="text1"/>
        </w:rPr>
      </w:pPr>
      <w:r>
        <w:rPr>
          <w:bCs/>
        </w:rPr>
        <w:tab/>
        <w:t>9.</w:t>
      </w:r>
      <w:r>
        <w:tab/>
      </w:r>
      <w:r>
        <w:rPr>
          <w:bCs/>
        </w:rPr>
        <w:t>Правила № 125 ООН (поле обзора водителя спереди)</w:t>
      </w:r>
      <w:bookmarkStart w:id="6" w:name="_Hlk46313585"/>
      <w:bookmarkEnd w:id="6"/>
    </w:p>
    <w:p w14:paraId="7E4AE0E6" w14:textId="77777777" w:rsidR="004D0FE1" w:rsidRPr="0006262B" w:rsidRDefault="004D0FE1" w:rsidP="00195586">
      <w:pPr>
        <w:pStyle w:val="H23G"/>
        <w:keepNext w:val="0"/>
        <w:keepLines w:val="0"/>
        <w:ind w:firstLine="567"/>
        <w:jc w:val="both"/>
        <w:rPr>
          <w:b w:val="0"/>
          <w:color w:val="000000" w:themeColor="text1"/>
        </w:rPr>
      </w:pPr>
      <w:r w:rsidRPr="0006262B">
        <w:rPr>
          <w:b w:val="0"/>
          <w:lang w:eastAsia="en-US"/>
        </w:rPr>
        <w:t>GRSG, возможно, пожелает получить информацию о результа</w:t>
      </w:r>
      <w:r w:rsidRPr="0006262B">
        <w:rPr>
          <w:b w:val="0"/>
        </w:rPr>
        <w:t>тах работы</w:t>
      </w:r>
      <w:r>
        <w:rPr>
          <w:b w:val="0"/>
        </w:rPr>
        <w:br/>
      </w:r>
      <w:r w:rsidRPr="0006262B">
        <w:rPr>
          <w:b w:val="0"/>
        </w:rPr>
        <w:t>НРГ по вспомогательным системам обеспечения поля обзора (FVA) водителей.</w:t>
      </w:r>
    </w:p>
    <w:p w14:paraId="19A2C255" w14:textId="77777777" w:rsidR="004D0FE1" w:rsidRPr="00CC658C" w:rsidRDefault="004D0FE1" w:rsidP="000465C7">
      <w:pPr>
        <w:ind w:left="567" w:firstLine="567"/>
      </w:pPr>
      <w:r>
        <w:rPr>
          <w:b/>
          <w:bCs/>
        </w:rPr>
        <w:t>Документация:</w:t>
      </w:r>
      <w:r>
        <w:tab/>
        <w:t>ECE/TRANS/WP.29/GRSG/103, пункт 28</w:t>
      </w:r>
    </w:p>
    <w:p w14:paraId="1405E437" w14:textId="77777777" w:rsidR="004D0FE1" w:rsidRPr="00CC658C" w:rsidRDefault="004D0FE1" w:rsidP="004D0FE1">
      <w:pPr>
        <w:pStyle w:val="H1G"/>
        <w:rPr>
          <w:color w:val="000000" w:themeColor="text1"/>
        </w:rPr>
      </w:pPr>
      <w:r>
        <w:rPr>
          <w:bCs/>
        </w:rPr>
        <w:tab/>
        <w:t>10.</w:t>
      </w:r>
      <w:r>
        <w:tab/>
      </w:r>
      <w:r>
        <w:rPr>
          <w:bCs/>
        </w:rPr>
        <w:t>Регистратор данных о событиях</w:t>
      </w:r>
    </w:p>
    <w:p w14:paraId="4110C156" w14:textId="77777777" w:rsidR="004D0FE1" w:rsidRPr="00CC658C" w:rsidRDefault="004D0FE1" w:rsidP="004D0FE1">
      <w:pPr>
        <w:pStyle w:val="H23G"/>
        <w:rPr>
          <w:color w:val="000000" w:themeColor="text1"/>
        </w:rPr>
      </w:pPr>
      <w:r>
        <w:rPr>
          <w:bCs/>
        </w:rPr>
        <w:tab/>
        <w:t>a)</w:t>
      </w:r>
      <w:r>
        <w:tab/>
      </w:r>
      <w:r>
        <w:rPr>
          <w:bCs/>
        </w:rPr>
        <w:t>Руководящие указания в отношении эксплуатационных характеристик регистраторов данных о событиях, которые могут быть приняты в рамках резолюций и правил, касающихся соглашений 1958 и 1998 годов</w:t>
      </w:r>
    </w:p>
    <w:p w14:paraId="3AD5D24A" w14:textId="6E22AAFC" w:rsidR="004D0FE1" w:rsidRPr="00CC658C" w:rsidRDefault="004D0FE1" w:rsidP="00F41E90">
      <w:pPr>
        <w:pStyle w:val="SingleTxtG"/>
        <w:widowControl w:val="0"/>
        <w:spacing w:before="120"/>
        <w:ind w:firstLine="567"/>
      </w:pPr>
      <w:r>
        <w:t xml:space="preserve">GRSG, возможно, пожелает рассмотреть предложение по поправкам к руководящим указаниям в </w:t>
      </w:r>
      <w:r w:rsidRPr="007A213B">
        <w:t>отношении эксплуатационных характеристик регистраторов данных о событиях (РДС), которые могут быть приняты в рамках резолюций и правил, касающихся соглашений 1958 и 1998 годов, представленное экспертами от НРГ по РДС/системе хранения данных для автоматизированных транспортных средств (СХДАВ) с целью пересмотреть и уточнить положения, касающиеся точности данных об ускорении (ECE/TRANS/WP.29/GRSG/2023/12). GRSG, возможно, пожелает также рассмотреть предложение по руководящим указаниям в отношении эксплуатационных характеристик регистраторов данных о событиях для большегрузных транспортных средств, которые могут быть приняты в рамках резолюций и правил, касающихся соглашений 1958 и 1998 годов (ECE/TRANS/WP.29/GRSG/2023/14).</w:t>
      </w:r>
    </w:p>
    <w:p w14:paraId="37F136C0" w14:textId="77777777" w:rsidR="004D0FE1" w:rsidRPr="000F1FD9" w:rsidRDefault="004D0FE1" w:rsidP="004B594F">
      <w:pPr>
        <w:pStyle w:val="SingleTxtG"/>
        <w:widowControl w:val="0"/>
        <w:spacing w:before="120"/>
        <w:ind w:left="2835" w:hanging="1701"/>
        <w:jc w:val="left"/>
      </w:pPr>
      <w:r>
        <w:rPr>
          <w:b/>
          <w:bCs/>
        </w:rPr>
        <w:t>Документация</w:t>
      </w:r>
      <w:r w:rsidRPr="000F1FD9">
        <w:rPr>
          <w:b/>
          <w:bCs/>
        </w:rPr>
        <w:t>:</w:t>
      </w:r>
      <w:r w:rsidRPr="000F1FD9">
        <w:tab/>
      </w:r>
      <w:r w:rsidRPr="00EE20C3">
        <w:rPr>
          <w:lang w:val="en-US"/>
        </w:rPr>
        <w:t>ECE</w:t>
      </w:r>
      <w:r w:rsidRPr="000F1FD9">
        <w:t>/</w:t>
      </w:r>
      <w:r w:rsidRPr="00EE20C3">
        <w:rPr>
          <w:lang w:val="en-US"/>
        </w:rPr>
        <w:t>TRANS</w:t>
      </w:r>
      <w:r w:rsidRPr="000F1FD9">
        <w:t>/</w:t>
      </w:r>
      <w:r w:rsidRPr="00EE20C3">
        <w:rPr>
          <w:lang w:val="en-US"/>
        </w:rPr>
        <w:t>WP</w:t>
      </w:r>
      <w:r w:rsidRPr="000F1FD9">
        <w:t>.29/</w:t>
      </w:r>
      <w:r w:rsidRPr="00EE20C3">
        <w:rPr>
          <w:lang w:val="en-US"/>
        </w:rPr>
        <w:t>GRSG</w:t>
      </w:r>
      <w:r w:rsidRPr="000F1FD9">
        <w:t xml:space="preserve">/2023/12 </w:t>
      </w:r>
      <w:r w:rsidRPr="00EE20C3">
        <w:rPr>
          <w:lang w:val="en-US"/>
        </w:rPr>
        <w:t>ECE</w:t>
      </w:r>
      <w:r w:rsidRPr="000F1FD9">
        <w:t>/</w:t>
      </w:r>
      <w:r w:rsidRPr="00EE20C3">
        <w:rPr>
          <w:lang w:val="en-US"/>
        </w:rPr>
        <w:t>TRANS</w:t>
      </w:r>
      <w:r w:rsidRPr="000F1FD9">
        <w:t>/</w:t>
      </w:r>
      <w:r w:rsidRPr="00EE20C3">
        <w:rPr>
          <w:lang w:val="en-US"/>
        </w:rPr>
        <w:t>WP</w:t>
      </w:r>
      <w:r w:rsidRPr="000F1FD9">
        <w:t>.29/</w:t>
      </w:r>
      <w:r w:rsidRPr="00EE20C3">
        <w:rPr>
          <w:lang w:val="en-US"/>
        </w:rPr>
        <w:t>GRSG</w:t>
      </w:r>
      <w:r w:rsidRPr="000F1FD9">
        <w:t>/2023/14</w:t>
      </w:r>
    </w:p>
    <w:p w14:paraId="3BCE43BC" w14:textId="08303650" w:rsidR="004D0FE1" w:rsidRPr="00CC658C" w:rsidRDefault="004D0FE1" w:rsidP="00553455">
      <w:pPr>
        <w:pStyle w:val="H23G"/>
        <w:rPr>
          <w:color w:val="000000" w:themeColor="text1"/>
        </w:rPr>
      </w:pPr>
      <w:r w:rsidRPr="000F1FD9">
        <w:tab/>
      </w:r>
      <w:r>
        <w:t>b)</w:t>
      </w:r>
      <w:r>
        <w:tab/>
        <w:t>Правила № 160 ООН (регистратор данных о событиях)</w:t>
      </w:r>
    </w:p>
    <w:p w14:paraId="730950EB" w14:textId="77777777" w:rsidR="004D0FE1" w:rsidRPr="00CC658C" w:rsidRDefault="004D0FE1" w:rsidP="00093D15">
      <w:pPr>
        <w:pStyle w:val="SingleTxtG"/>
        <w:widowControl w:val="0"/>
        <w:spacing w:before="120"/>
        <w:ind w:firstLine="567"/>
      </w:pPr>
      <w:r>
        <w:t>GRSG, возможно, пожелает рассмотреть предложение по поправкам к положениям Правил № 160 ООН, внесенное экспертами от НРГ по РДС/СХДАВ, для пересмотра и уточнения положений, касающихся точности данных об ускорении (документы ECE/TRANS/WP.29/GRSG/2023/11 и ECE/TRANS/WP.29/GRSG/2023/15).</w:t>
      </w:r>
    </w:p>
    <w:p w14:paraId="47724E77" w14:textId="77777777" w:rsidR="004D0FE1" w:rsidRPr="000F1FD9" w:rsidRDefault="004D0FE1" w:rsidP="00B836FF">
      <w:pPr>
        <w:pStyle w:val="SingleTxtG"/>
        <w:widowControl w:val="0"/>
        <w:spacing w:before="120"/>
        <w:ind w:left="2835" w:hanging="1701"/>
        <w:jc w:val="left"/>
      </w:pPr>
      <w:r>
        <w:rPr>
          <w:b/>
          <w:bCs/>
        </w:rPr>
        <w:t>Документация</w:t>
      </w:r>
      <w:r w:rsidRPr="000F1FD9">
        <w:rPr>
          <w:b/>
          <w:bCs/>
        </w:rPr>
        <w:t>:</w:t>
      </w:r>
      <w:r w:rsidRPr="000F1FD9">
        <w:tab/>
      </w:r>
      <w:r w:rsidRPr="00EE20C3">
        <w:rPr>
          <w:lang w:val="en-US"/>
        </w:rPr>
        <w:t>ECE</w:t>
      </w:r>
      <w:r w:rsidRPr="000F1FD9">
        <w:t>/</w:t>
      </w:r>
      <w:r w:rsidRPr="00EE20C3">
        <w:rPr>
          <w:lang w:val="en-US"/>
        </w:rPr>
        <w:t>TRANS</w:t>
      </w:r>
      <w:r w:rsidRPr="000F1FD9">
        <w:t>/</w:t>
      </w:r>
      <w:r w:rsidRPr="00EE20C3">
        <w:rPr>
          <w:lang w:val="en-US"/>
        </w:rPr>
        <w:t>WP</w:t>
      </w:r>
      <w:r w:rsidRPr="000F1FD9">
        <w:t>.29/</w:t>
      </w:r>
      <w:r w:rsidRPr="00EE20C3">
        <w:rPr>
          <w:lang w:val="en-US"/>
        </w:rPr>
        <w:t>GRSG</w:t>
      </w:r>
      <w:r w:rsidRPr="000F1FD9">
        <w:t xml:space="preserve">/2023/11 </w:t>
      </w:r>
      <w:r w:rsidRPr="00EE20C3">
        <w:rPr>
          <w:lang w:val="en-US"/>
        </w:rPr>
        <w:t>ECE</w:t>
      </w:r>
      <w:r w:rsidRPr="000F1FD9">
        <w:t>/</w:t>
      </w:r>
      <w:r w:rsidRPr="00EE20C3">
        <w:rPr>
          <w:lang w:val="en-US"/>
        </w:rPr>
        <w:t>TRANS</w:t>
      </w:r>
      <w:r w:rsidRPr="000F1FD9">
        <w:t>/</w:t>
      </w:r>
      <w:r w:rsidRPr="00EE20C3">
        <w:rPr>
          <w:lang w:val="en-US"/>
        </w:rPr>
        <w:t>WP</w:t>
      </w:r>
      <w:r w:rsidRPr="000F1FD9">
        <w:t>.29/</w:t>
      </w:r>
      <w:r w:rsidRPr="00EE20C3">
        <w:rPr>
          <w:lang w:val="en-US"/>
        </w:rPr>
        <w:t>GRSG</w:t>
      </w:r>
      <w:r w:rsidRPr="000F1FD9">
        <w:t>/2023/15</w:t>
      </w:r>
    </w:p>
    <w:p w14:paraId="07391841" w14:textId="087AF461" w:rsidR="004D0FE1" w:rsidRPr="00CC658C" w:rsidRDefault="00553455" w:rsidP="00553455">
      <w:pPr>
        <w:pStyle w:val="H23G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  <w:lang w:val="en-US"/>
        </w:rPr>
        <w:t>c</w:t>
      </w:r>
      <w:r w:rsidRPr="00CC658C">
        <w:rPr>
          <w:color w:val="000000" w:themeColor="text1"/>
        </w:rPr>
        <w:t>)</w:t>
      </w:r>
      <w:r w:rsidRPr="00CC658C">
        <w:rPr>
          <w:color w:val="000000" w:themeColor="text1"/>
        </w:rPr>
        <w:tab/>
      </w:r>
      <w:r w:rsidR="004D0FE1">
        <w:t>Новые правила ООН, касающиеся регистратора данных о событиях для</w:t>
      </w:r>
      <w:r w:rsidR="00EB3865">
        <w:rPr>
          <w:lang w:val="en-US"/>
        </w:rPr>
        <w:t> </w:t>
      </w:r>
      <w:r w:rsidR="004D0FE1">
        <w:t>большегрузных транспортных средств</w:t>
      </w:r>
    </w:p>
    <w:p w14:paraId="3464341B" w14:textId="1C9C06D1" w:rsidR="004D0FE1" w:rsidRPr="00CC658C" w:rsidRDefault="00EB3865" w:rsidP="00093D15">
      <w:pPr>
        <w:pStyle w:val="af3"/>
        <w:ind w:left="1134" w:right="1134"/>
        <w:jc w:val="both"/>
        <w:rPr>
          <w:lang w:val="ru-RU"/>
        </w:rPr>
      </w:pPr>
      <w:r>
        <w:rPr>
          <w:lang w:val="ru-RU"/>
        </w:rPr>
        <w:tab/>
      </w:r>
      <w:r w:rsidR="004D0FE1">
        <w:rPr>
          <w:lang w:val="ru-RU"/>
        </w:rPr>
        <w:tab/>
        <w:t>GRSG, возможно, пожелает рассмотреть предложение по новым правилам ООН, касающимся регистраторов данных о событиях (РДС) для большегрузных транспортных средств, представленное экспертами от НРГ по РДС/СХДАВ (ECE/TRANS/WP.29/GRSG/2023/13).</w:t>
      </w:r>
    </w:p>
    <w:p w14:paraId="032FB605" w14:textId="77777777" w:rsidR="004D0FE1" w:rsidRPr="00CC658C" w:rsidRDefault="004D0FE1" w:rsidP="004D0FE1">
      <w:pPr>
        <w:pStyle w:val="SingleTxtG"/>
        <w:widowControl w:val="0"/>
        <w:spacing w:before="120"/>
        <w:ind w:left="2880" w:hanging="1746"/>
        <w:jc w:val="left"/>
      </w:pPr>
      <w:r>
        <w:rPr>
          <w:b/>
          <w:bCs/>
        </w:rPr>
        <w:t>Документация:</w:t>
      </w:r>
      <w:r>
        <w:tab/>
        <w:t>ECE/TRANS/WP.29/GRSG/2023/13</w:t>
      </w:r>
    </w:p>
    <w:p w14:paraId="586698DC" w14:textId="77777777" w:rsidR="004D0FE1" w:rsidRPr="00CC658C" w:rsidRDefault="004D0FE1" w:rsidP="00FC1039">
      <w:pPr>
        <w:pStyle w:val="H1G"/>
        <w:rPr>
          <w:color w:val="000000" w:themeColor="text1"/>
        </w:rPr>
      </w:pPr>
      <w:r>
        <w:lastRenderedPageBreak/>
        <w:tab/>
        <w:t>11.</w:t>
      </w:r>
      <w:r>
        <w:tab/>
        <w:t>Правила № 0 ООН (международная система официального утверждения типа комплектного транспортного средства)</w:t>
      </w:r>
    </w:p>
    <w:p w14:paraId="73030EDB" w14:textId="77777777" w:rsidR="004D0FE1" w:rsidRPr="00CC658C" w:rsidRDefault="004D0FE1" w:rsidP="00093D15">
      <w:pPr>
        <w:pStyle w:val="SingleTxtG"/>
        <w:ind w:firstLine="567"/>
        <w:rPr>
          <w:rFonts w:asciiTheme="majorBidi" w:hAnsiTheme="majorBidi" w:cstheme="majorBidi"/>
          <w:color w:val="000000" w:themeColor="text1"/>
        </w:rPr>
      </w:pPr>
      <w:r>
        <w:t>GRSG будет проинформирована об итогах недавних совещаний НРГ по МОУТКТС и о последующей деятельности GRSG по новым приоритетам на этапе 2 МОУТКТС, в частности о правилах ООН, находящихся в ведении GRSG, которые должны быть включены в приложение 4 к Правилам № 0 ООН. Кроме того, GRSG решила возобновить обсуждение вопроса об использовании уникального идентификатора (УИ) на основе согласованного WP.29 принципа, согласно которому любой запрет на использование УИ должен быть четко указан в соответствующих правилах ООН.</w:t>
      </w:r>
    </w:p>
    <w:p w14:paraId="575DDDB8" w14:textId="77777777" w:rsidR="004D0FE1" w:rsidRPr="00CC658C" w:rsidRDefault="004D0FE1" w:rsidP="00BA31BC">
      <w:pPr>
        <w:pStyle w:val="SingleTxtG"/>
        <w:rPr>
          <w:color w:val="000000" w:themeColor="text1"/>
        </w:rPr>
      </w:pPr>
      <w:r>
        <w:rPr>
          <w:b/>
          <w:bCs/>
        </w:rPr>
        <w:t>Документация:</w:t>
      </w:r>
      <w:r>
        <w:tab/>
        <w:t>ECE/TRANS/WP.29/GRSG/102, пункт 55</w:t>
      </w:r>
    </w:p>
    <w:p w14:paraId="470FC6EB" w14:textId="77777777" w:rsidR="004D0FE1" w:rsidRPr="00CC658C" w:rsidRDefault="004D0FE1" w:rsidP="00223F7A">
      <w:pPr>
        <w:pStyle w:val="H1G"/>
      </w:pPr>
      <w:r>
        <w:tab/>
        <w:t>12.</w:t>
      </w:r>
      <w:r>
        <w:tab/>
        <w:t xml:space="preserve">Сводная резолюция о конструкции транспортных средств </w:t>
      </w:r>
    </w:p>
    <w:p w14:paraId="434EEE80" w14:textId="5BC01508" w:rsidR="004D0FE1" w:rsidRPr="00CC658C" w:rsidRDefault="004D0FE1" w:rsidP="00093D15">
      <w:pPr>
        <w:pStyle w:val="SingleTxtG"/>
        <w:ind w:firstLine="567"/>
      </w:pPr>
      <w:r>
        <w:t>GRSG решила возобновить рассмотрение пересмотренного предложения, представленного экспертом от Международной ассоциации изготовителей автомобильных кузовов и прицепов (МАИАКП), по поправкам к Сводной резолюции о конструкции транспортных средств (СР.3) (документ ECE/TRANS/WP.29/GRSG/</w:t>
      </w:r>
      <w:r w:rsidR="00223F7A" w:rsidRPr="00223F7A">
        <w:t xml:space="preserve"> </w:t>
      </w:r>
      <w:r>
        <w:t>2023/5, основанный на документе GRSG-124-12).</w:t>
      </w:r>
    </w:p>
    <w:p w14:paraId="46208921" w14:textId="77777777" w:rsidR="004D0FE1" w:rsidRPr="00CC658C" w:rsidRDefault="004D0FE1" w:rsidP="00223F7A">
      <w:pPr>
        <w:pStyle w:val="SingleTxtG"/>
        <w:ind w:left="2835" w:hanging="1701"/>
        <w:jc w:val="left"/>
      </w:pPr>
      <w:r>
        <w:rPr>
          <w:b/>
          <w:bCs/>
        </w:rPr>
        <w:t>Документация:</w:t>
      </w:r>
      <w:r>
        <w:tab/>
        <w:t>ECE/TRANS/WP.29/GRSG/103, пункт 32 ECE/TRANS/WP.29/GRSG/2023/5</w:t>
      </w:r>
    </w:p>
    <w:p w14:paraId="69398EA7" w14:textId="77777777" w:rsidR="004D0FE1" w:rsidRPr="00CC658C" w:rsidRDefault="004D0FE1" w:rsidP="004D0FE1">
      <w:pPr>
        <w:pStyle w:val="H1G"/>
        <w:rPr>
          <w:color w:val="000000" w:themeColor="text1"/>
        </w:rPr>
      </w:pPr>
      <w:r>
        <w:rPr>
          <w:bCs/>
        </w:rPr>
        <w:tab/>
        <w:t>13.</w:t>
      </w:r>
      <w:r>
        <w:tab/>
      </w:r>
      <w:r>
        <w:rPr>
          <w:bCs/>
        </w:rPr>
        <w:t>Специальная резолюция № 1, касающаяся общих определений категорий, масс и размеров транспортных средств</w:t>
      </w:r>
    </w:p>
    <w:p w14:paraId="60228A70" w14:textId="16B1402D" w:rsidR="004D0FE1" w:rsidRPr="00CC658C" w:rsidRDefault="004D0FE1" w:rsidP="002604DC">
      <w:pPr>
        <w:pStyle w:val="SingleTxtG"/>
        <w:ind w:firstLine="567"/>
        <w:rPr>
          <w:color w:val="000000" w:themeColor="text1"/>
          <w:szCs w:val="23"/>
        </w:rPr>
      </w:pPr>
      <w:r>
        <w:t>GRSG решила возобновить рассмотрение предложения по поправкам к Специальной резолюции № 1, касающейся общих определений категорий, масс и размеров транспортных средств (СпР.1) (заменяет документ ECE/TRANS/WP.29/</w:t>
      </w:r>
      <w:r w:rsidR="00D70279" w:rsidRPr="00D70279">
        <w:t xml:space="preserve"> </w:t>
      </w:r>
      <w:r>
        <w:t>GRSG/2022/18), если таковое будет представлено.</w:t>
      </w:r>
    </w:p>
    <w:p w14:paraId="2825C880" w14:textId="77777777" w:rsidR="004D0FE1" w:rsidRPr="00CC658C" w:rsidRDefault="004D0FE1" w:rsidP="002604DC">
      <w:pPr>
        <w:pStyle w:val="SingleTxtG"/>
        <w:ind w:left="2835" w:hanging="1701"/>
        <w:jc w:val="left"/>
        <w:rPr>
          <w:color w:val="000000" w:themeColor="text1"/>
        </w:rPr>
      </w:pPr>
      <w:r>
        <w:rPr>
          <w:b/>
          <w:bCs/>
        </w:rPr>
        <w:t>Документация:</w:t>
      </w:r>
      <w:r>
        <w:tab/>
        <w:t>ECE/TRANS/WP.29/GRSG/103, пункт 33 (ECE/TRANS/WP.29/GRSG/2022/18)</w:t>
      </w:r>
    </w:p>
    <w:p w14:paraId="4C8999DC" w14:textId="77777777" w:rsidR="004D0FE1" w:rsidRPr="00CC658C" w:rsidRDefault="004D0FE1" w:rsidP="004D0FE1">
      <w:pPr>
        <w:pStyle w:val="H1G"/>
        <w:rPr>
          <w:color w:val="000000" w:themeColor="text1"/>
        </w:rPr>
      </w:pPr>
      <w:r>
        <w:rPr>
          <w:bCs/>
        </w:rPr>
        <w:tab/>
        <w:t>14.</w:t>
      </w:r>
      <w:r>
        <w:tab/>
      </w:r>
      <w:r>
        <w:rPr>
          <w:bCs/>
        </w:rPr>
        <w:t>Обмен мнениями по вопросу об автоматизации транспортных средств</w:t>
      </w:r>
    </w:p>
    <w:p w14:paraId="55E07213" w14:textId="157DB0E0" w:rsidR="004D0FE1" w:rsidRPr="00CC658C" w:rsidRDefault="004D0FE1" w:rsidP="000A2007">
      <w:pPr>
        <w:spacing w:after="120"/>
        <w:ind w:left="1134" w:right="1134" w:firstLine="567"/>
        <w:jc w:val="both"/>
        <w:rPr>
          <w:rFonts w:asciiTheme="majorBidi" w:eastAsia="Times New Roman" w:hAnsiTheme="majorBidi" w:cstheme="majorBidi"/>
        </w:rPr>
      </w:pPr>
      <w:r>
        <w:t xml:space="preserve">GRSG решила возобновить рассмотрение результатов работы целевой группы по регламентационному скринингу автоматизированных транспортных средств </w:t>
      </w:r>
      <w:r w:rsidR="000A2007">
        <w:br/>
      </w:r>
      <w:r>
        <w:t>(ЦГ по АВРС) в отношении правил, относящихся к ведению GRSG, и вопроса о скоординированном подходе, согласованном Председателем данной ЦГ с председателями ЦГ в рамках других рабочих групп.</w:t>
      </w:r>
    </w:p>
    <w:p w14:paraId="1E8524FC" w14:textId="77777777" w:rsidR="004D0FE1" w:rsidRPr="00CC658C" w:rsidRDefault="004D0FE1" w:rsidP="004D0FE1">
      <w:pPr>
        <w:spacing w:after="120"/>
        <w:ind w:left="1134" w:right="1134" w:hanging="9"/>
        <w:jc w:val="both"/>
        <w:rPr>
          <w:color w:val="000000" w:themeColor="text1"/>
        </w:rPr>
      </w:pPr>
      <w:r>
        <w:rPr>
          <w:b/>
          <w:bCs/>
        </w:rPr>
        <w:t>Документация:</w:t>
      </w:r>
      <w:r>
        <w:tab/>
        <w:t>ECE/TRANS/WP.29/GRSG/103, пункт 35</w:t>
      </w:r>
    </w:p>
    <w:p w14:paraId="74E8A877" w14:textId="77777777" w:rsidR="004D0FE1" w:rsidRPr="00CC658C" w:rsidRDefault="004D0FE1" w:rsidP="004D0FE1">
      <w:pPr>
        <w:pStyle w:val="H1G"/>
      </w:pPr>
      <w:r>
        <w:rPr>
          <w:bCs/>
        </w:rPr>
        <w:tab/>
        <w:t>15.</w:t>
      </w:r>
      <w:r>
        <w:tab/>
      </w:r>
      <w:r>
        <w:rPr>
          <w:bCs/>
        </w:rPr>
        <w:t>Прочие вопросы</w:t>
      </w:r>
    </w:p>
    <w:p w14:paraId="1C93E407" w14:textId="77777777" w:rsidR="004D0FE1" w:rsidRPr="00CC658C" w:rsidRDefault="004D0FE1" w:rsidP="004D0FE1">
      <w:pPr>
        <w:pStyle w:val="H23G"/>
      </w:pPr>
      <w:r>
        <w:rPr>
          <w:bCs/>
        </w:rPr>
        <w:tab/>
        <w:t>a)</w:t>
      </w:r>
      <w:r>
        <w:tab/>
      </w:r>
      <w:r>
        <w:tab/>
      </w:r>
      <w:r>
        <w:rPr>
          <w:bCs/>
        </w:rPr>
        <w:t>Обмен мнениями о будущей деятельности Рабочей группы по общим предписаниям, касающимся безопасности</w:t>
      </w:r>
    </w:p>
    <w:p w14:paraId="709FB1B0" w14:textId="77777777" w:rsidR="004D0FE1" w:rsidRPr="00CC658C" w:rsidRDefault="004D0FE1" w:rsidP="00660E49">
      <w:pPr>
        <w:spacing w:after="120"/>
        <w:ind w:left="1134" w:right="1134" w:firstLine="567"/>
        <w:jc w:val="both"/>
      </w:pPr>
      <w:r>
        <w:t>GRSG, возможно, пожелает рассмотреть перечень приоритетов для будущей работы.</w:t>
      </w:r>
    </w:p>
    <w:p w14:paraId="3970A247" w14:textId="77777777" w:rsidR="004D0FE1" w:rsidRPr="00CC658C" w:rsidRDefault="004D0FE1" w:rsidP="00660E49">
      <w:pPr>
        <w:pStyle w:val="H23G"/>
      </w:pPr>
      <w:r>
        <w:tab/>
        <w:t>b)</w:t>
      </w:r>
      <w:r>
        <w:tab/>
        <w:t>Периодические технические осмотры</w:t>
      </w:r>
    </w:p>
    <w:p w14:paraId="310E42A7" w14:textId="77777777" w:rsidR="004D0FE1" w:rsidRPr="00CC658C" w:rsidRDefault="004D0FE1" w:rsidP="004D0FE1">
      <w:pPr>
        <w:pStyle w:val="af3"/>
        <w:spacing w:before="120" w:after="120"/>
        <w:ind w:left="1140" w:right="1134" w:firstLine="561"/>
        <w:jc w:val="both"/>
        <w:rPr>
          <w:rFonts w:eastAsia="Times New Roman"/>
          <w:lang w:val="ru-RU"/>
        </w:rPr>
      </w:pPr>
      <w:r>
        <w:rPr>
          <w:lang w:val="ru-RU"/>
        </w:rPr>
        <w:t xml:space="preserve">Ожидается, что GRSG возобновит обсуждение пересмотренного предложения, внесенного экспертом от Российской Федерации, в котором предлагается новое </w:t>
      </w:r>
      <w:r>
        <w:rPr>
          <w:lang w:val="ru-RU"/>
        </w:rPr>
        <w:lastRenderedPageBreak/>
        <w:t>предписание (Соглашение 1997 года), подготовленное НРГ по периодическим техническим осмотрам (ПТО), для введения ПТО систем вызова экстренных оперативных служб (СВЭС), предназначенных для установки на транспортных средствах категорий M</w:t>
      </w:r>
      <w:r>
        <w:rPr>
          <w:vertAlign w:val="subscript"/>
          <w:lang w:val="ru-RU"/>
        </w:rPr>
        <w:t>1</w:t>
      </w:r>
      <w:r>
        <w:rPr>
          <w:lang w:val="ru-RU"/>
        </w:rPr>
        <w:t xml:space="preserve"> и N</w:t>
      </w:r>
      <w:r>
        <w:rPr>
          <w:vertAlign w:val="subscript"/>
          <w:lang w:val="ru-RU"/>
        </w:rPr>
        <w:t>1</w:t>
      </w:r>
      <w:r>
        <w:rPr>
          <w:lang w:val="ru-RU"/>
        </w:rPr>
        <w:t>, на которые распространяются положения Правил № 144 ООН (документ ECE/TRANS/WP.29/GRSG/2023/6, основанный на документе GRSG-124-11).</w:t>
      </w:r>
    </w:p>
    <w:p w14:paraId="0B1FD7BD" w14:textId="77777777" w:rsidR="004D0FE1" w:rsidRPr="00CC658C" w:rsidRDefault="004D0FE1" w:rsidP="00660E49">
      <w:pPr>
        <w:pStyle w:val="SingleTxtG"/>
        <w:ind w:left="2835" w:hanging="1701"/>
        <w:jc w:val="left"/>
      </w:pPr>
      <w:r>
        <w:rPr>
          <w:b/>
          <w:bCs/>
        </w:rPr>
        <w:t>Документация:</w:t>
      </w:r>
      <w:r>
        <w:tab/>
        <w:t>ECE/TRANS/WP.29/GRSG/103, пункт 38 ECE/TRANS/WP.29/GRSG/2023/6</w:t>
      </w:r>
    </w:p>
    <w:p w14:paraId="5FA423AF" w14:textId="54E43E3E" w:rsidR="004D0FE1" w:rsidRPr="00CC658C" w:rsidRDefault="00E72E8E" w:rsidP="00E72E8E">
      <w:pPr>
        <w:pStyle w:val="H23G"/>
      </w:pPr>
      <w:r>
        <w:tab/>
      </w:r>
      <w:r w:rsidR="004D0FE1">
        <w:t>c)</w:t>
      </w:r>
      <w:r w:rsidR="004D0FE1">
        <w:tab/>
        <w:t>Основные вопросы, рассмотренные на сессиях Всемирного форума для</w:t>
      </w:r>
      <w:r>
        <w:rPr>
          <w:lang w:val="en-US"/>
        </w:rPr>
        <w:t> </w:t>
      </w:r>
      <w:r w:rsidR="004D0FE1">
        <w:t>согласования правил в области транспортных средств, состоявшихся в</w:t>
      </w:r>
      <w:r>
        <w:rPr>
          <w:lang w:val="en-US"/>
        </w:rPr>
        <w:t> </w:t>
      </w:r>
      <w:r w:rsidR="004D0FE1">
        <w:t>ноябре 2022 года и марте 2023 года</w:t>
      </w:r>
    </w:p>
    <w:p w14:paraId="36F9C8FE" w14:textId="77777777" w:rsidR="004D0FE1" w:rsidRPr="00CC658C" w:rsidRDefault="004D0FE1" w:rsidP="00C642D9">
      <w:pPr>
        <w:pStyle w:val="SingleTxtG"/>
        <w:ind w:firstLine="567"/>
      </w:pPr>
      <w:r>
        <w:t>GRSG будет кратко проинформирована секретариатом об основных вопросах, рассмотренных на указанных сессиях Всемирного форума для согласования правил в области транспортных средств (WP.29), которые касаются GRSG и прочих общих тем.</w:t>
      </w:r>
    </w:p>
    <w:p w14:paraId="27A078A3" w14:textId="77777777" w:rsidR="004D0FE1" w:rsidRPr="00CC658C" w:rsidRDefault="004D0FE1" w:rsidP="004D0FE1">
      <w:pPr>
        <w:pStyle w:val="H23G"/>
      </w:pPr>
      <w:r>
        <w:rPr>
          <w:bCs/>
        </w:rPr>
        <w:tab/>
        <w:t>d)</w:t>
      </w:r>
      <w:r>
        <w:tab/>
      </w:r>
      <w:r>
        <w:rPr>
          <w:bCs/>
        </w:rPr>
        <w:t>Объемный механизм определения точки Н</w:t>
      </w:r>
    </w:p>
    <w:p w14:paraId="5240E02D" w14:textId="77777777" w:rsidR="004D0FE1" w:rsidRPr="00CC658C" w:rsidRDefault="004D0FE1" w:rsidP="002604DC">
      <w:pPr>
        <w:spacing w:line="240" w:lineRule="auto"/>
        <w:ind w:left="1134" w:right="1134" w:firstLine="567"/>
        <w:jc w:val="both"/>
      </w:pPr>
      <w:r>
        <w:t>GRSP решила продолжить рассмотрение вопроса о недостаточной согласованности объемных механизмов определения точки H, с тем чтобы помочь GRSG в достижении общего понимания и поиске соответствующих решений.</w:t>
      </w:r>
    </w:p>
    <w:p w14:paraId="77033939" w14:textId="58044B8D" w:rsidR="004D0FE1" w:rsidRPr="00486A77" w:rsidRDefault="004D0FE1" w:rsidP="00486A77">
      <w:pPr>
        <w:pStyle w:val="SingleTxtG"/>
        <w:spacing w:before="120" w:line="240" w:lineRule="auto"/>
        <w:rPr>
          <w:bCs/>
        </w:rPr>
      </w:pPr>
      <w:r>
        <w:rPr>
          <w:b/>
          <w:bCs/>
        </w:rPr>
        <w:t>Документация</w:t>
      </w:r>
      <w:r w:rsidR="00486A77" w:rsidRPr="00486A77">
        <w:rPr>
          <w:b/>
          <w:bCs/>
        </w:rPr>
        <w:t>:</w:t>
      </w:r>
      <w:r w:rsidR="00486A77" w:rsidRPr="00486A77">
        <w:tab/>
      </w:r>
      <w:r w:rsidRPr="00486A77">
        <w:rPr>
          <w:lang w:val="en-US"/>
        </w:rPr>
        <w:t>ECE</w:t>
      </w:r>
      <w:r w:rsidRPr="00486A77">
        <w:t>/</w:t>
      </w:r>
      <w:r w:rsidRPr="00486A77">
        <w:rPr>
          <w:lang w:val="en-US"/>
        </w:rPr>
        <w:t>TRANS</w:t>
      </w:r>
      <w:r w:rsidRPr="00486A77">
        <w:t>/</w:t>
      </w:r>
      <w:r w:rsidRPr="00486A77">
        <w:rPr>
          <w:lang w:val="en-US"/>
        </w:rPr>
        <w:t>WP</w:t>
      </w:r>
      <w:r w:rsidRPr="00486A77">
        <w:t>.29/</w:t>
      </w:r>
      <w:r w:rsidRPr="00486A77">
        <w:rPr>
          <w:lang w:val="en-US"/>
        </w:rPr>
        <w:t>GRSG</w:t>
      </w:r>
      <w:r w:rsidRPr="00486A77">
        <w:t xml:space="preserve">/103, </w:t>
      </w:r>
      <w:r>
        <w:t>пункт</w:t>
      </w:r>
      <w:r w:rsidRPr="00486A77">
        <w:t xml:space="preserve"> 43</w:t>
      </w:r>
    </w:p>
    <w:p w14:paraId="51B739EA" w14:textId="77777777" w:rsidR="004D0FE1" w:rsidRPr="00CC658C" w:rsidRDefault="004D0FE1" w:rsidP="004D0FE1">
      <w:pPr>
        <w:pStyle w:val="H23G"/>
      </w:pPr>
      <w:r w:rsidRPr="00486A77">
        <w:rPr>
          <w:bCs/>
        </w:rPr>
        <w:tab/>
      </w:r>
      <w:r>
        <w:rPr>
          <w:bCs/>
        </w:rPr>
        <w:t>e)</w:t>
      </w:r>
      <w:r>
        <w:tab/>
      </w:r>
      <w:r>
        <w:rPr>
          <w:bCs/>
        </w:rPr>
        <w:t>Прочие вопросы</w:t>
      </w:r>
    </w:p>
    <w:p w14:paraId="7D35A9BC" w14:textId="77777777" w:rsidR="004D0FE1" w:rsidRPr="00CC658C" w:rsidRDefault="004D0FE1" w:rsidP="002604DC">
      <w:pPr>
        <w:pStyle w:val="SingleTxtG"/>
        <w:ind w:firstLine="567"/>
      </w:pPr>
      <w:r>
        <w:t>GRSG рассмотрит при необходимости любые другие вопросы.</w:t>
      </w:r>
    </w:p>
    <w:p w14:paraId="42B58617" w14:textId="0A6E8CF4" w:rsidR="00E12C5F" w:rsidRPr="004D0FE1" w:rsidRDefault="004D0FE1" w:rsidP="004D0FE1">
      <w:pPr>
        <w:spacing w:before="240"/>
        <w:ind w:left="1134" w:right="1134"/>
        <w:jc w:val="center"/>
        <w:rPr>
          <w:u w:val="single"/>
        </w:rPr>
      </w:pPr>
      <w:r w:rsidRPr="00CC658C">
        <w:rPr>
          <w:u w:val="single"/>
        </w:rPr>
        <w:tab/>
      </w:r>
      <w:r w:rsidRPr="00CC658C">
        <w:rPr>
          <w:u w:val="single"/>
        </w:rPr>
        <w:tab/>
      </w:r>
      <w:r w:rsidRPr="00CC658C">
        <w:rPr>
          <w:u w:val="single"/>
        </w:rPr>
        <w:tab/>
      </w:r>
      <w:r w:rsidRPr="00CC658C">
        <w:rPr>
          <w:u w:val="single"/>
        </w:rPr>
        <w:tab/>
      </w:r>
    </w:p>
    <w:sectPr w:rsidR="00E12C5F" w:rsidRPr="004D0FE1" w:rsidSect="004D0F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900B" w14:textId="77777777" w:rsidR="008B1D14" w:rsidRPr="00A312BC" w:rsidRDefault="008B1D14" w:rsidP="00A312BC"/>
  </w:endnote>
  <w:endnote w:type="continuationSeparator" w:id="0">
    <w:p w14:paraId="7AAADA67" w14:textId="77777777" w:rsidR="008B1D14" w:rsidRPr="00A312BC" w:rsidRDefault="008B1D14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2D17" w14:textId="4371110E" w:rsidR="004D0FE1" w:rsidRPr="004D0FE1" w:rsidRDefault="004D0FE1">
    <w:pPr>
      <w:pStyle w:val="a8"/>
    </w:pPr>
    <w:r w:rsidRPr="004D0FE1">
      <w:rPr>
        <w:b/>
        <w:sz w:val="18"/>
      </w:rPr>
      <w:fldChar w:fldCharType="begin"/>
    </w:r>
    <w:r w:rsidRPr="004D0FE1">
      <w:rPr>
        <w:b/>
        <w:sz w:val="18"/>
      </w:rPr>
      <w:instrText xml:space="preserve"> PAGE  \* MERGEFORMAT </w:instrText>
    </w:r>
    <w:r w:rsidRPr="004D0FE1">
      <w:rPr>
        <w:b/>
        <w:sz w:val="18"/>
      </w:rPr>
      <w:fldChar w:fldCharType="separate"/>
    </w:r>
    <w:r w:rsidRPr="004D0FE1">
      <w:rPr>
        <w:b/>
        <w:noProof/>
        <w:sz w:val="18"/>
      </w:rPr>
      <w:t>2</w:t>
    </w:r>
    <w:r w:rsidRPr="004D0FE1">
      <w:rPr>
        <w:b/>
        <w:sz w:val="18"/>
      </w:rPr>
      <w:fldChar w:fldCharType="end"/>
    </w:r>
    <w:r>
      <w:rPr>
        <w:b/>
        <w:sz w:val="18"/>
      </w:rPr>
      <w:tab/>
    </w:r>
    <w:r>
      <w:t>GE.23-00203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F355" w14:textId="28A6DBE3" w:rsidR="004D0FE1" w:rsidRPr="004D0FE1" w:rsidRDefault="004D0FE1" w:rsidP="004D0FE1">
    <w:pPr>
      <w:pStyle w:val="a8"/>
      <w:tabs>
        <w:tab w:val="clear" w:pos="9639"/>
        <w:tab w:val="right" w:pos="9638"/>
      </w:tabs>
      <w:rPr>
        <w:b/>
        <w:sz w:val="18"/>
      </w:rPr>
    </w:pPr>
    <w:r>
      <w:t>GE.23-00203</w:t>
    </w:r>
    <w:r>
      <w:tab/>
    </w:r>
    <w:r w:rsidRPr="004D0FE1">
      <w:rPr>
        <w:b/>
        <w:sz w:val="18"/>
      </w:rPr>
      <w:fldChar w:fldCharType="begin"/>
    </w:r>
    <w:r w:rsidRPr="004D0FE1">
      <w:rPr>
        <w:b/>
        <w:sz w:val="18"/>
      </w:rPr>
      <w:instrText xml:space="preserve"> PAGE  \* MERGEFORMAT </w:instrText>
    </w:r>
    <w:r w:rsidRPr="004D0FE1">
      <w:rPr>
        <w:b/>
        <w:sz w:val="18"/>
      </w:rPr>
      <w:fldChar w:fldCharType="separate"/>
    </w:r>
    <w:r w:rsidRPr="004D0FE1">
      <w:rPr>
        <w:b/>
        <w:noProof/>
        <w:sz w:val="18"/>
      </w:rPr>
      <w:t>3</w:t>
    </w:r>
    <w:r w:rsidRPr="004D0FE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D8F0" w14:textId="2C38EEE6" w:rsidR="00042B72" w:rsidRPr="004D0FE1" w:rsidRDefault="004D0FE1" w:rsidP="004D0FE1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00E2CC18" wp14:editId="2735D0C2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23-00203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7C7FC19" wp14:editId="198D2945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110123  </w:t>
    </w:r>
    <w:r w:rsidR="000F1FD9">
      <w:rPr>
        <w:lang w:val="en-US"/>
      </w:rPr>
      <w:t>3</w:t>
    </w:r>
    <w:r w:rsidR="007D3E09">
      <w:rPr>
        <w:lang w:val="en-US"/>
      </w:rPr>
      <w:t>1</w:t>
    </w:r>
    <w:r>
      <w:rPr>
        <w:lang w:val="en-US"/>
      </w:rPr>
      <w:t>0123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4AD5" w14:textId="77777777" w:rsidR="008B1D14" w:rsidRPr="001075E9" w:rsidRDefault="008B1D14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C2FC0E2" w14:textId="77777777" w:rsidR="008B1D14" w:rsidRDefault="008B1D14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4901380F" w14:textId="7E9E2C3C" w:rsidR="004D0FE1" w:rsidRPr="00CC658C" w:rsidRDefault="004D0FE1" w:rsidP="004D0FE1">
      <w:pPr>
        <w:pStyle w:val="ad"/>
      </w:pPr>
      <w:r>
        <w:tab/>
      </w:r>
      <w:r w:rsidRPr="005F3007">
        <w:rPr>
          <w:sz w:val="20"/>
        </w:rPr>
        <w:t>*</w:t>
      </w:r>
      <w:r>
        <w:tab/>
        <w:t>До сессии документы можно загрузить с веб-сайта Отдела устойчивого транспорта ЕЭК (URL: </w:t>
      </w:r>
      <w:hyperlink r:id="rId1" w:history="1">
        <w:r w:rsidR="00AD7D0D" w:rsidRPr="009C15BA">
          <w:rPr>
            <w:rStyle w:val="af1"/>
          </w:rPr>
          <w:t>https://unece.org/info/events/event/374856</w:t>
        </w:r>
      </w:hyperlink>
      <w:r>
        <w:t xml:space="preserve">). С переводом официальных документов делегаты могут ознакомиться через новую общедоступную систему официальной документации (СОД) на следующем веб-сайте: </w:t>
      </w:r>
      <w:hyperlink r:id="rId2" w:history="1">
        <w:r w:rsidR="00AD7D0D" w:rsidRPr="009C15BA">
          <w:rPr>
            <w:rStyle w:val="af1"/>
          </w:rPr>
          <w:t>http://documents.un.org/</w:t>
        </w:r>
      </w:hyperlink>
      <w:r>
        <w:t>.</w:t>
      </w:r>
    </w:p>
  </w:footnote>
  <w:footnote w:id="2">
    <w:p w14:paraId="4ED079D4" w14:textId="779D411D" w:rsidR="004D0FE1" w:rsidRPr="00CC658C" w:rsidRDefault="004D0FE1" w:rsidP="004D0FE1">
      <w:pPr>
        <w:pStyle w:val="ad"/>
      </w:pPr>
      <w:r>
        <w:tab/>
      </w:r>
      <w:r w:rsidRPr="005F3007">
        <w:rPr>
          <w:sz w:val="20"/>
        </w:rPr>
        <w:t>**</w:t>
      </w:r>
      <w:r>
        <w:t xml:space="preserve"> </w:t>
      </w:r>
      <w:r>
        <w:tab/>
        <w:t xml:space="preserve">Делегатов просят зарегистрироваться онлайн с помощью системы регистрации </w:t>
      </w:r>
      <w:r w:rsidR="00AD7D0D">
        <w:br/>
      </w:r>
      <w:r>
        <w:t>на веб-сайте ЕЭК (</w:t>
      </w:r>
      <w:hyperlink r:id="rId3" w:history="1">
        <w:r w:rsidR="00AD7D0D" w:rsidRPr="009C15BA">
          <w:rPr>
            <w:rStyle w:val="af1"/>
          </w:rPr>
          <w:t>https://indico.un.org/event/1002088/</w:t>
        </w:r>
      </w:hyperlink>
      <w:r>
        <w:t xml:space="preserve">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FFB1" w14:textId="2EB923F3" w:rsidR="004D0FE1" w:rsidRPr="004D0FE1" w:rsidRDefault="005424AD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r w:rsidR="00B47C07">
      <w:t>ECE</w:t>
    </w:r>
    <w:proofErr w:type="spellEnd"/>
    <w:r w:rsidR="00B47C07">
      <w:t>/TRANS/WP.29/</w:t>
    </w:r>
    <w:proofErr w:type="spellStart"/>
    <w:r w:rsidR="00B47C07">
      <w:t>GRSG</w:t>
    </w:r>
    <w:proofErr w:type="spellEnd"/>
    <w:r w:rsidR="00B47C07">
      <w:t>/2023/1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BE58" w14:textId="4362CC30" w:rsidR="004D0FE1" w:rsidRPr="004D0FE1" w:rsidRDefault="005424AD" w:rsidP="004D0FE1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r w:rsidR="00B47C07">
      <w:t>ECE</w:t>
    </w:r>
    <w:proofErr w:type="spellEnd"/>
    <w:r w:rsidR="00B47C07">
      <w:t>/TRANS/WP.29/</w:t>
    </w:r>
    <w:proofErr w:type="spellStart"/>
    <w:r w:rsidR="00B47C07">
      <w:t>GRSG</w:t>
    </w:r>
    <w:proofErr w:type="spellEnd"/>
    <w:r w:rsidR="00B47C07">
      <w:t>/2023/1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81EE" w14:textId="77777777" w:rsidR="004D0FE1" w:rsidRDefault="004D0FE1" w:rsidP="004D0FE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503E2"/>
    <w:multiLevelType w:val="hybridMultilevel"/>
    <w:tmpl w:val="938E49D6"/>
    <w:lvl w:ilvl="0" w:tplc="1870DAC0">
      <w:start w:val="1"/>
      <w:numFmt w:val="lowerLetter"/>
      <w:lvlText w:val="%1)"/>
      <w:lvlJc w:val="left"/>
      <w:pPr>
        <w:ind w:left="1140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11408"/>
    <w:multiLevelType w:val="hybridMultilevel"/>
    <w:tmpl w:val="C04250BE"/>
    <w:lvl w:ilvl="0" w:tplc="4DC27494">
      <w:start w:val="1"/>
      <w:numFmt w:val="lowerLetter"/>
      <w:lvlText w:val="%1)"/>
      <w:lvlJc w:val="left"/>
      <w:pPr>
        <w:ind w:left="1361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02364303">
    <w:abstractNumId w:val="18"/>
  </w:num>
  <w:num w:numId="2" w16cid:durableId="1196112607">
    <w:abstractNumId w:val="11"/>
  </w:num>
  <w:num w:numId="3" w16cid:durableId="2082605644">
    <w:abstractNumId w:val="10"/>
  </w:num>
  <w:num w:numId="4" w16cid:durableId="982004410">
    <w:abstractNumId w:val="19"/>
  </w:num>
  <w:num w:numId="5" w16cid:durableId="1040059485">
    <w:abstractNumId w:val="15"/>
  </w:num>
  <w:num w:numId="6" w16cid:durableId="374039791">
    <w:abstractNumId w:val="8"/>
  </w:num>
  <w:num w:numId="7" w16cid:durableId="292029326">
    <w:abstractNumId w:val="3"/>
  </w:num>
  <w:num w:numId="8" w16cid:durableId="1344019031">
    <w:abstractNumId w:val="2"/>
  </w:num>
  <w:num w:numId="9" w16cid:durableId="497774590">
    <w:abstractNumId w:val="1"/>
  </w:num>
  <w:num w:numId="10" w16cid:durableId="1990287667">
    <w:abstractNumId w:val="0"/>
  </w:num>
  <w:num w:numId="11" w16cid:durableId="1073816056">
    <w:abstractNumId w:val="9"/>
  </w:num>
  <w:num w:numId="12" w16cid:durableId="384110994">
    <w:abstractNumId w:val="7"/>
  </w:num>
  <w:num w:numId="13" w16cid:durableId="1958103101">
    <w:abstractNumId w:val="6"/>
  </w:num>
  <w:num w:numId="14" w16cid:durableId="1457066221">
    <w:abstractNumId w:val="5"/>
  </w:num>
  <w:num w:numId="15" w16cid:durableId="2093892922">
    <w:abstractNumId w:val="4"/>
  </w:num>
  <w:num w:numId="16" w16cid:durableId="71049617">
    <w:abstractNumId w:val="17"/>
  </w:num>
  <w:num w:numId="17" w16cid:durableId="1066025033">
    <w:abstractNumId w:val="13"/>
  </w:num>
  <w:num w:numId="18" w16cid:durableId="76439066">
    <w:abstractNumId w:val="16"/>
  </w:num>
  <w:num w:numId="19" w16cid:durableId="177542505">
    <w:abstractNumId w:val="17"/>
  </w:num>
  <w:num w:numId="20" w16cid:durableId="1912349089">
    <w:abstractNumId w:val="13"/>
  </w:num>
  <w:num w:numId="21" w16cid:durableId="669910483">
    <w:abstractNumId w:val="16"/>
  </w:num>
  <w:num w:numId="22" w16cid:durableId="1224558580">
    <w:abstractNumId w:val="12"/>
  </w:num>
  <w:num w:numId="23" w16cid:durableId="168855840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14"/>
    <w:rsid w:val="0002671D"/>
    <w:rsid w:val="00033EE1"/>
    <w:rsid w:val="00042B72"/>
    <w:rsid w:val="000465C7"/>
    <w:rsid w:val="000558BD"/>
    <w:rsid w:val="00063B37"/>
    <w:rsid w:val="00093D15"/>
    <w:rsid w:val="000A2007"/>
    <w:rsid w:val="000B57E7"/>
    <w:rsid w:val="000B6373"/>
    <w:rsid w:val="000B7CBE"/>
    <w:rsid w:val="000D728A"/>
    <w:rsid w:val="000E4E5B"/>
    <w:rsid w:val="000F09DF"/>
    <w:rsid w:val="000F1FD9"/>
    <w:rsid w:val="000F61B2"/>
    <w:rsid w:val="001075E9"/>
    <w:rsid w:val="0014152F"/>
    <w:rsid w:val="001662E8"/>
    <w:rsid w:val="00180183"/>
    <w:rsid w:val="0018024D"/>
    <w:rsid w:val="0018649F"/>
    <w:rsid w:val="00195586"/>
    <w:rsid w:val="00196389"/>
    <w:rsid w:val="001B3EF6"/>
    <w:rsid w:val="001C7A89"/>
    <w:rsid w:val="00223F7A"/>
    <w:rsid w:val="00255343"/>
    <w:rsid w:val="002604DC"/>
    <w:rsid w:val="0027151D"/>
    <w:rsid w:val="002825BC"/>
    <w:rsid w:val="00283672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264E"/>
    <w:rsid w:val="00305C08"/>
    <w:rsid w:val="00307FB6"/>
    <w:rsid w:val="00317339"/>
    <w:rsid w:val="00322004"/>
    <w:rsid w:val="003402C2"/>
    <w:rsid w:val="00357A67"/>
    <w:rsid w:val="003638C7"/>
    <w:rsid w:val="0038151A"/>
    <w:rsid w:val="00381C24"/>
    <w:rsid w:val="00387CD4"/>
    <w:rsid w:val="003958D0"/>
    <w:rsid w:val="003A0D43"/>
    <w:rsid w:val="003A2E04"/>
    <w:rsid w:val="003A48CE"/>
    <w:rsid w:val="003A4F2C"/>
    <w:rsid w:val="003B00E5"/>
    <w:rsid w:val="003E0B46"/>
    <w:rsid w:val="00407B78"/>
    <w:rsid w:val="00424203"/>
    <w:rsid w:val="00452493"/>
    <w:rsid w:val="00453318"/>
    <w:rsid w:val="00454AF2"/>
    <w:rsid w:val="00454E07"/>
    <w:rsid w:val="00464F5A"/>
    <w:rsid w:val="00472C5C"/>
    <w:rsid w:val="00485F8A"/>
    <w:rsid w:val="00486A77"/>
    <w:rsid w:val="00486BA3"/>
    <w:rsid w:val="00487407"/>
    <w:rsid w:val="004B594F"/>
    <w:rsid w:val="004C498F"/>
    <w:rsid w:val="004D0FE1"/>
    <w:rsid w:val="004D3255"/>
    <w:rsid w:val="004E05B7"/>
    <w:rsid w:val="0050108D"/>
    <w:rsid w:val="00513081"/>
    <w:rsid w:val="00517901"/>
    <w:rsid w:val="00526683"/>
    <w:rsid w:val="00526DB8"/>
    <w:rsid w:val="005352F0"/>
    <w:rsid w:val="005424AD"/>
    <w:rsid w:val="00553455"/>
    <w:rsid w:val="005639C1"/>
    <w:rsid w:val="005709E0"/>
    <w:rsid w:val="00572E19"/>
    <w:rsid w:val="005961C8"/>
    <w:rsid w:val="005966F1"/>
    <w:rsid w:val="005D7914"/>
    <w:rsid w:val="005E2B41"/>
    <w:rsid w:val="005F0B42"/>
    <w:rsid w:val="005F3007"/>
    <w:rsid w:val="00617A43"/>
    <w:rsid w:val="00630534"/>
    <w:rsid w:val="006345DB"/>
    <w:rsid w:val="00640F49"/>
    <w:rsid w:val="00660E49"/>
    <w:rsid w:val="00680D03"/>
    <w:rsid w:val="00681A10"/>
    <w:rsid w:val="006A1ED8"/>
    <w:rsid w:val="006B062C"/>
    <w:rsid w:val="006C2031"/>
    <w:rsid w:val="006D461A"/>
    <w:rsid w:val="006F1DAD"/>
    <w:rsid w:val="006F35EE"/>
    <w:rsid w:val="007021FF"/>
    <w:rsid w:val="007116E3"/>
    <w:rsid w:val="00712895"/>
    <w:rsid w:val="00734ACB"/>
    <w:rsid w:val="00736E1A"/>
    <w:rsid w:val="00757357"/>
    <w:rsid w:val="00792497"/>
    <w:rsid w:val="007B0EAD"/>
    <w:rsid w:val="007D3E09"/>
    <w:rsid w:val="00806737"/>
    <w:rsid w:val="00825F8D"/>
    <w:rsid w:val="00834B71"/>
    <w:rsid w:val="0086445C"/>
    <w:rsid w:val="00894693"/>
    <w:rsid w:val="008A08D7"/>
    <w:rsid w:val="008A1639"/>
    <w:rsid w:val="008A37C8"/>
    <w:rsid w:val="008B1D14"/>
    <w:rsid w:val="008B6909"/>
    <w:rsid w:val="008D53B6"/>
    <w:rsid w:val="008F7609"/>
    <w:rsid w:val="00906890"/>
    <w:rsid w:val="00911BE4"/>
    <w:rsid w:val="00951972"/>
    <w:rsid w:val="009608F3"/>
    <w:rsid w:val="009A24AC"/>
    <w:rsid w:val="009B178B"/>
    <w:rsid w:val="009C59D7"/>
    <w:rsid w:val="009C6FE6"/>
    <w:rsid w:val="009D7E7D"/>
    <w:rsid w:val="00A0441C"/>
    <w:rsid w:val="00A0775B"/>
    <w:rsid w:val="00A14DA8"/>
    <w:rsid w:val="00A312BC"/>
    <w:rsid w:val="00A84021"/>
    <w:rsid w:val="00A84D35"/>
    <w:rsid w:val="00A917B3"/>
    <w:rsid w:val="00AB4B51"/>
    <w:rsid w:val="00AD7D0D"/>
    <w:rsid w:val="00B00054"/>
    <w:rsid w:val="00B10CC7"/>
    <w:rsid w:val="00B36DF7"/>
    <w:rsid w:val="00B441C8"/>
    <w:rsid w:val="00B47C07"/>
    <w:rsid w:val="00B539E7"/>
    <w:rsid w:val="00B62458"/>
    <w:rsid w:val="00B836FF"/>
    <w:rsid w:val="00BA31BC"/>
    <w:rsid w:val="00BC18B2"/>
    <w:rsid w:val="00BD33EE"/>
    <w:rsid w:val="00BE1CC7"/>
    <w:rsid w:val="00C03D54"/>
    <w:rsid w:val="00C106D6"/>
    <w:rsid w:val="00C119AE"/>
    <w:rsid w:val="00C14C03"/>
    <w:rsid w:val="00C60DFB"/>
    <w:rsid w:val="00C60F0C"/>
    <w:rsid w:val="00C642D9"/>
    <w:rsid w:val="00C6749A"/>
    <w:rsid w:val="00C70360"/>
    <w:rsid w:val="00C71E84"/>
    <w:rsid w:val="00C805C9"/>
    <w:rsid w:val="00C85A7A"/>
    <w:rsid w:val="00C92939"/>
    <w:rsid w:val="00CA1679"/>
    <w:rsid w:val="00CB151C"/>
    <w:rsid w:val="00CE5A1A"/>
    <w:rsid w:val="00CF55F6"/>
    <w:rsid w:val="00D33D63"/>
    <w:rsid w:val="00D5253A"/>
    <w:rsid w:val="00D572DD"/>
    <w:rsid w:val="00D66BC4"/>
    <w:rsid w:val="00D70279"/>
    <w:rsid w:val="00D873A8"/>
    <w:rsid w:val="00D90028"/>
    <w:rsid w:val="00D90138"/>
    <w:rsid w:val="00D90F26"/>
    <w:rsid w:val="00D9145B"/>
    <w:rsid w:val="00DB2C01"/>
    <w:rsid w:val="00DC59B8"/>
    <w:rsid w:val="00DD78D1"/>
    <w:rsid w:val="00DE32CD"/>
    <w:rsid w:val="00DF5767"/>
    <w:rsid w:val="00DF70D9"/>
    <w:rsid w:val="00DF71B9"/>
    <w:rsid w:val="00E12C5F"/>
    <w:rsid w:val="00E41C6F"/>
    <w:rsid w:val="00E67CFE"/>
    <w:rsid w:val="00E72E8E"/>
    <w:rsid w:val="00E73F76"/>
    <w:rsid w:val="00EA2C9F"/>
    <w:rsid w:val="00EA420E"/>
    <w:rsid w:val="00EB3865"/>
    <w:rsid w:val="00ED0BDA"/>
    <w:rsid w:val="00EE142A"/>
    <w:rsid w:val="00EF1360"/>
    <w:rsid w:val="00EF3220"/>
    <w:rsid w:val="00F2523A"/>
    <w:rsid w:val="00F41E90"/>
    <w:rsid w:val="00F43903"/>
    <w:rsid w:val="00F94155"/>
    <w:rsid w:val="00F9783F"/>
    <w:rsid w:val="00FC1039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3989D"/>
  <w15:docId w15:val="{D12EB300-6FB5-4CBA-B348-66DCFD1A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rsid w:val="004D0FE1"/>
    <w:rPr>
      <w:lang w:val="ru-RU" w:eastAsia="en-US"/>
    </w:rPr>
  </w:style>
  <w:style w:type="character" w:customStyle="1" w:styleId="HChGChar">
    <w:name w:val="_ H _Ch_G Char"/>
    <w:link w:val="HChG"/>
    <w:rsid w:val="004D0FE1"/>
    <w:rPr>
      <w:b/>
      <w:sz w:val="28"/>
      <w:lang w:val="ru-RU" w:eastAsia="ru-RU"/>
    </w:rPr>
  </w:style>
  <w:style w:type="paragraph" w:styleId="af3">
    <w:name w:val="List Paragraph"/>
    <w:basedOn w:val="a"/>
    <w:uiPriority w:val="34"/>
    <w:qFormat/>
    <w:rsid w:val="004D0FE1"/>
    <w:pPr>
      <w:ind w:left="720"/>
      <w:contextualSpacing/>
    </w:pPr>
    <w:rPr>
      <w:rFonts w:eastAsiaTheme="minorEastAsia" w:cs="Times New Roman"/>
      <w:szCs w:val="20"/>
      <w:lang w:val="en-GB"/>
    </w:rPr>
  </w:style>
  <w:style w:type="character" w:styleId="af4">
    <w:name w:val="Unresolved Mention"/>
    <w:basedOn w:val="a0"/>
    <w:uiPriority w:val="99"/>
    <w:semiHidden/>
    <w:unhideWhenUsed/>
    <w:rsid w:val="00AD7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ndico.un.org/event/1002088/" TargetMode="External"/><Relationship Id="rId2" Type="http://schemas.openxmlformats.org/officeDocument/2006/relationships/hyperlink" Target="http://documents.un.org/" TargetMode="External"/><Relationship Id="rId1" Type="http://schemas.openxmlformats.org/officeDocument/2006/relationships/hyperlink" Target="https://unece.org/info/events/event/37485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8</Pages>
  <Words>2223</Words>
  <Characters>14298</Characters>
  <Application>Microsoft Office Word</Application>
  <DocSecurity>0</DocSecurity>
  <Lines>234</Lines>
  <Paragraphs>40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16481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ECE/TRANS/WP.29/GRSG/2023/1</dc:title>
  <dc:subject/>
  <dc:creator>Shuvalova NATALIA</dc:creator>
  <cp:keywords/>
  <cp:lastModifiedBy>Anna Petelina</cp:lastModifiedBy>
  <cp:revision>3</cp:revision>
  <cp:lastPrinted>2023-01-31T16:40:00Z</cp:lastPrinted>
  <dcterms:created xsi:type="dcterms:W3CDTF">2023-01-31T16:40:00Z</dcterms:created>
  <dcterms:modified xsi:type="dcterms:W3CDTF">2023-01-31T16:41:00Z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