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3CF82BAB" w:rsidR="00B60659" w:rsidRPr="00882EBF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882EBF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EBF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882EBF">
        <w:rPr>
          <w:rFonts w:ascii="Arial" w:eastAsia="Arial" w:hAnsi="Arial" w:cs="Arial"/>
          <w:bCs/>
          <w:szCs w:val="24"/>
        </w:rPr>
        <w:t>3</w:t>
      </w:r>
      <w:r w:rsidRPr="00882EBF">
        <w:rPr>
          <w:rFonts w:ascii="Arial" w:eastAsia="Arial" w:hAnsi="Arial" w:cs="Arial"/>
          <w:bCs/>
          <w:szCs w:val="24"/>
          <w:lang w:eastAsia="de-DE"/>
        </w:rPr>
        <w:t>/</w:t>
      </w:r>
      <w:r w:rsidR="00B827ED" w:rsidRPr="00882EBF">
        <w:rPr>
          <w:rFonts w:ascii="Arial" w:eastAsia="Arial" w:hAnsi="Arial" w:cs="Arial"/>
          <w:bCs/>
          <w:szCs w:val="24"/>
          <w:lang w:eastAsia="de-DE"/>
        </w:rPr>
        <w:t>21</w:t>
      </w:r>
    </w:p>
    <w:p w14:paraId="7C27E3DD" w14:textId="77777777" w:rsidR="00B60659" w:rsidRPr="00882EBF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882EBF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54F1BE2B" w:rsidR="00B60659" w:rsidRPr="00882EBF" w:rsidRDefault="00B827ED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882EBF">
        <w:rPr>
          <w:rFonts w:ascii="Arial" w:hAnsi="Arial" w:cs="Arial"/>
          <w:szCs w:val="24"/>
          <w:lang w:eastAsia="de-DE"/>
        </w:rPr>
        <w:t>10</w:t>
      </w:r>
      <w:r w:rsidR="008C5274" w:rsidRPr="00882EBF">
        <w:rPr>
          <w:rFonts w:ascii="Arial" w:hAnsi="Arial" w:cs="Arial"/>
          <w:szCs w:val="24"/>
          <w:lang w:eastAsia="de-DE"/>
        </w:rPr>
        <w:t>. Mai 2023</w:t>
      </w:r>
    </w:p>
    <w:p w14:paraId="1BCCEA4C" w14:textId="52EBFCBA" w:rsidR="00B60659" w:rsidRPr="00882EBF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882EBF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882EBF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C5274" w:rsidRPr="00882EBF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882EBF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882EBF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882EBF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882EBF">
        <w:rPr>
          <w:rFonts w:ascii="Arial" w:eastAsia="Calibri" w:hAnsi="Arial"/>
          <w:sz w:val="16"/>
        </w:rPr>
        <w:t xml:space="preserve">BINNENWASSERSTRAẞEN (ADN) </w:t>
      </w:r>
      <w:r w:rsidRPr="00882EBF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882EBF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882EBF">
        <w:rPr>
          <w:rFonts w:ascii="Arial" w:hAnsi="Arial"/>
          <w:sz w:val="16"/>
          <w:szCs w:val="24"/>
        </w:rPr>
        <w:t>(4</w:t>
      </w:r>
      <w:r w:rsidR="008C5274" w:rsidRPr="00882EBF">
        <w:rPr>
          <w:rFonts w:ascii="Arial" w:hAnsi="Arial"/>
          <w:sz w:val="16"/>
          <w:szCs w:val="24"/>
        </w:rPr>
        <w:t>2</w:t>
      </w:r>
      <w:r w:rsidRPr="00882EBF">
        <w:rPr>
          <w:rFonts w:ascii="Arial" w:hAnsi="Arial"/>
          <w:sz w:val="16"/>
          <w:szCs w:val="24"/>
        </w:rPr>
        <w:t>. Tagung, Genf, 2</w:t>
      </w:r>
      <w:r w:rsidR="008C5274" w:rsidRPr="00882EBF">
        <w:rPr>
          <w:rFonts w:ascii="Arial" w:hAnsi="Arial"/>
          <w:sz w:val="16"/>
          <w:szCs w:val="24"/>
        </w:rPr>
        <w:t>1</w:t>
      </w:r>
      <w:r w:rsidRPr="00882EBF">
        <w:rPr>
          <w:rFonts w:ascii="Arial" w:hAnsi="Arial"/>
          <w:sz w:val="16"/>
          <w:szCs w:val="24"/>
        </w:rPr>
        <w:t>. – 2</w:t>
      </w:r>
      <w:r w:rsidR="008C5274" w:rsidRPr="00882EBF">
        <w:rPr>
          <w:rFonts w:ascii="Arial" w:hAnsi="Arial"/>
          <w:sz w:val="16"/>
          <w:szCs w:val="24"/>
        </w:rPr>
        <w:t>5</w:t>
      </w:r>
      <w:r w:rsidRPr="00882EBF">
        <w:rPr>
          <w:rFonts w:ascii="Arial" w:hAnsi="Arial"/>
          <w:sz w:val="16"/>
          <w:szCs w:val="24"/>
        </w:rPr>
        <w:t>.</w:t>
      </w:r>
      <w:r w:rsidR="008C5274" w:rsidRPr="00882EBF">
        <w:rPr>
          <w:rFonts w:ascii="Arial" w:hAnsi="Arial"/>
          <w:sz w:val="16"/>
          <w:szCs w:val="24"/>
        </w:rPr>
        <w:t xml:space="preserve"> August</w:t>
      </w:r>
      <w:r w:rsidRPr="00882EBF">
        <w:rPr>
          <w:rFonts w:ascii="Arial" w:hAnsi="Arial"/>
          <w:sz w:val="16"/>
          <w:szCs w:val="24"/>
        </w:rPr>
        <w:t xml:space="preserve"> 2023)</w:t>
      </w:r>
    </w:p>
    <w:p w14:paraId="01501DC6" w14:textId="135237A4" w:rsidR="00B60659" w:rsidRPr="00882EBF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882EBF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 w:rsidRPr="00882EBF">
        <w:rPr>
          <w:rFonts w:ascii="Arial" w:hAnsi="Arial" w:cs="Arial"/>
          <w:sz w:val="16"/>
          <w:szCs w:val="16"/>
          <w:lang w:eastAsia="en-US"/>
        </w:rPr>
        <w:t>4 b)</w:t>
      </w:r>
      <w:r w:rsidRPr="00882EBF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882EBF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882EBF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882EBF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6C280DEA" w14:textId="0982D604" w:rsidR="008D3DAE" w:rsidRPr="00882EBF" w:rsidRDefault="00B827ED" w:rsidP="008D3DAE">
      <w:pPr>
        <w:spacing w:line="276" w:lineRule="auto"/>
        <w:ind w:firstLine="0"/>
        <w:jc w:val="left"/>
        <w:rPr>
          <w:b/>
          <w:sz w:val="28"/>
        </w:rPr>
      </w:pPr>
      <w:r w:rsidRPr="00882EBF">
        <w:rPr>
          <w:b/>
          <w:sz w:val="28"/>
        </w:rPr>
        <w:t>Änderung zu Absatz 9.3.x.51 c)</w:t>
      </w:r>
    </w:p>
    <w:p w14:paraId="57AABC0C" w14:textId="77777777" w:rsidR="008D3DAE" w:rsidRPr="00882EBF" w:rsidRDefault="008D3DAE" w:rsidP="008D3DAE">
      <w:pPr>
        <w:spacing w:line="276" w:lineRule="auto"/>
        <w:ind w:firstLine="0"/>
        <w:jc w:val="left"/>
        <w:rPr>
          <w:sz w:val="22"/>
          <w:szCs w:val="24"/>
        </w:rPr>
      </w:pPr>
    </w:p>
    <w:p w14:paraId="4BFD03E2" w14:textId="6C1A01C1" w:rsidR="008D3DAE" w:rsidRPr="00882EBF" w:rsidRDefault="00B827ED" w:rsidP="008D3DAE">
      <w:pPr>
        <w:spacing w:after="120"/>
        <w:ind w:firstLine="0"/>
        <w:jc w:val="left"/>
        <w:rPr>
          <w:b/>
          <w:sz w:val="24"/>
        </w:rPr>
      </w:pPr>
      <w:r w:rsidRPr="00882EBF">
        <w:rPr>
          <w:b/>
          <w:sz w:val="24"/>
        </w:rPr>
        <w:t>Vorgelegt von den Empfohlenen ADN-Klassifikationsgesellschaften</w:t>
      </w:r>
      <w:r w:rsidR="008D3DAE" w:rsidRPr="00882EBF">
        <w:rPr>
          <w:b/>
          <w:sz w:val="24"/>
        </w:rPr>
        <w:t xml:space="preserve"> </w:t>
      </w:r>
      <w:r w:rsidR="008D3DAE" w:rsidRPr="00882EBF">
        <w:rPr>
          <w:b/>
          <w:sz w:val="24"/>
        </w:rPr>
        <w:footnoteReference w:customMarkFollows="1" w:id="1"/>
        <w:t xml:space="preserve">*, </w:t>
      </w:r>
      <w:r w:rsidR="008D3DAE" w:rsidRPr="00882EBF">
        <w:rPr>
          <w:b/>
          <w:sz w:val="24"/>
        </w:rPr>
        <w:footnoteReference w:customMarkFollows="1" w:id="2"/>
        <w:t>**</w:t>
      </w:r>
    </w:p>
    <w:p w14:paraId="0EC8594F" w14:textId="4BC94AF4" w:rsidR="00B827ED" w:rsidRPr="00882EBF" w:rsidRDefault="00B827ED" w:rsidP="00B827E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882EBF">
        <w:rPr>
          <w:b/>
          <w:sz w:val="28"/>
        </w:rPr>
        <w:tab/>
      </w:r>
      <w:r w:rsidRPr="00882EBF">
        <w:rPr>
          <w:b/>
          <w:sz w:val="28"/>
        </w:rPr>
        <w:tab/>
        <w:t>Einleitung</w:t>
      </w:r>
    </w:p>
    <w:p w14:paraId="3716E16C" w14:textId="597F41C1" w:rsidR="00B827ED" w:rsidRPr="00882EBF" w:rsidRDefault="00B827ED" w:rsidP="00BE5C4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882EBF">
        <w:t>1.</w:t>
      </w:r>
      <w:r w:rsidRPr="00882EBF">
        <w:tab/>
      </w:r>
      <w:r w:rsidR="00BE5C4D" w:rsidRPr="00882EBF">
        <w:rPr>
          <w:lang w:eastAsia="en-US"/>
        </w:rPr>
        <w:t>A</w:t>
      </w:r>
      <w:r w:rsidR="00F205EE" w:rsidRPr="00882EBF">
        <w:rPr>
          <w:lang w:eastAsia="en-US"/>
        </w:rPr>
        <w:t>bsatz 9.3.x.51 c</w:t>
      </w:r>
      <w:r w:rsidR="002B365C" w:rsidRPr="00882EBF">
        <w:rPr>
          <w:lang w:eastAsia="en-US"/>
        </w:rPr>
        <w:t>)</w:t>
      </w:r>
      <w:r w:rsidR="00F205EE" w:rsidRPr="00882EBF">
        <w:rPr>
          <w:lang w:eastAsia="en-US"/>
        </w:rPr>
        <w:t xml:space="preserve"> stimmt </w:t>
      </w:r>
      <w:r w:rsidR="00BE5C4D" w:rsidRPr="00882EBF">
        <w:rPr>
          <w:lang w:eastAsia="en-US"/>
        </w:rPr>
        <w:t xml:space="preserve">in seinem französischen, deutschen und englischen Wortlaut </w:t>
      </w:r>
      <w:r w:rsidR="00F205EE" w:rsidRPr="00882EBF">
        <w:rPr>
          <w:lang w:eastAsia="en-US"/>
        </w:rPr>
        <w:t>nicht überein:</w:t>
      </w:r>
    </w:p>
    <w:p w14:paraId="03D2CF25" w14:textId="1E60454C" w:rsidR="00B827ED" w:rsidRPr="00882EBF" w:rsidRDefault="00B827ED" w:rsidP="00B827ED">
      <w:pPr>
        <w:pStyle w:val="ListParagraph"/>
        <w:widowControl/>
        <w:numPr>
          <w:ilvl w:val="0"/>
          <w:numId w:val="9"/>
        </w:numPr>
        <w:tabs>
          <w:tab w:val="num" w:pos="1701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  <w:rPr>
          <w:lang w:val="fr-FR" w:eastAsia="nl-BE"/>
        </w:rPr>
      </w:pPr>
      <w:r w:rsidRPr="00882EBF">
        <w:rPr>
          <w:lang w:val="fr-FR" w:eastAsia="en-US"/>
        </w:rPr>
        <w:t xml:space="preserve">Französisch: </w:t>
      </w:r>
      <w:r w:rsidR="00B800CC" w:rsidRPr="00882EBF">
        <w:rPr>
          <w:lang w:val="fr-FR" w:eastAsia="en-US"/>
        </w:rPr>
        <w:t>„</w:t>
      </w:r>
      <w:r w:rsidRPr="00882EBF">
        <w:rPr>
          <w:lang w:val="fr-FR" w:eastAsia="en-US"/>
        </w:rPr>
        <w:t xml:space="preserve">… </w:t>
      </w:r>
      <w:r w:rsidRPr="00882EBF">
        <w:rPr>
          <w:lang w:val="fr-FR"/>
        </w:rPr>
        <w:t xml:space="preserve">les températures de surface correspondantes de 135 °C (T4), 100 °C (T5) ou 85 °C (T6) ne doivent pas être dépassées dans les </w:t>
      </w:r>
      <w:r w:rsidRPr="00882EBF">
        <w:rPr>
          <w:u w:val="single"/>
          <w:lang w:val="fr-FR"/>
        </w:rPr>
        <w:t>zones assignées</w:t>
      </w:r>
      <w:r w:rsidRPr="00882EBF">
        <w:rPr>
          <w:lang w:val="fr-FR"/>
        </w:rPr>
        <w:t xml:space="preserve"> </w:t>
      </w:r>
      <w:r w:rsidRPr="00882EBF">
        <w:rPr>
          <w:b/>
          <w:bCs/>
          <w:u w:val="single"/>
          <w:lang w:val="fr-FR"/>
        </w:rPr>
        <w:t>à bord.</w:t>
      </w:r>
      <w:r w:rsidR="00B800CC" w:rsidRPr="00882EBF">
        <w:rPr>
          <w:lang w:val="fr-FR"/>
        </w:rPr>
        <w:t>“</w:t>
      </w:r>
    </w:p>
    <w:p w14:paraId="496168ED" w14:textId="0E553742" w:rsidR="00B827ED" w:rsidRPr="00882EBF" w:rsidRDefault="00B827ED" w:rsidP="00B827ED">
      <w:pPr>
        <w:pStyle w:val="ListParagraph"/>
        <w:widowControl/>
        <w:numPr>
          <w:ilvl w:val="0"/>
          <w:numId w:val="9"/>
        </w:numPr>
        <w:tabs>
          <w:tab w:val="num" w:pos="1701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  <w:rPr>
          <w:lang w:eastAsia="en-US"/>
        </w:rPr>
      </w:pPr>
      <w:r w:rsidRPr="00882EBF">
        <w:t xml:space="preserve">Deutsch: </w:t>
      </w:r>
      <w:r w:rsidR="00B800CC" w:rsidRPr="00882EBF">
        <w:t>„</w:t>
      </w:r>
      <w:r w:rsidRPr="00882EBF">
        <w:t xml:space="preserve">… dürfen in den </w:t>
      </w:r>
      <w:r w:rsidRPr="00882EBF">
        <w:rPr>
          <w:b/>
          <w:bCs/>
          <w:u w:val="single"/>
        </w:rPr>
        <w:t>an Bord</w:t>
      </w:r>
      <w:r w:rsidRPr="00882EBF">
        <w:t xml:space="preserve"> </w:t>
      </w:r>
      <w:r w:rsidRPr="00882EBF">
        <w:rPr>
          <w:u w:val="single"/>
        </w:rPr>
        <w:t>ausgewiesenen Zonen</w:t>
      </w:r>
      <w:r w:rsidRPr="00882EBF">
        <w:t xml:space="preserve"> die entsprechenden Oberflächentemperaturen 135 °C (T4), 100 °C (T5) und 85 °C (T6) nicht überschreiten.</w:t>
      </w:r>
      <w:r w:rsidR="00B800CC" w:rsidRPr="00882EBF">
        <w:t>“</w:t>
      </w:r>
    </w:p>
    <w:p w14:paraId="39032590" w14:textId="68CDA86A" w:rsidR="00B827ED" w:rsidRPr="00882EBF" w:rsidRDefault="00B827ED" w:rsidP="00B827ED">
      <w:pPr>
        <w:pStyle w:val="ListParagraph"/>
        <w:widowControl/>
        <w:numPr>
          <w:ilvl w:val="0"/>
          <w:numId w:val="9"/>
        </w:numPr>
        <w:tabs>
          <w:tab w:val="num" w:pos="1701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  <w:rPr>
          <w:lang w:val="en-US"/>
        </w:rPr>
      </w:pPr>
      <w:r w:rsidRPr="00882EBF">
        <w:rPr>
          <w:lang w:val="en-US" w:eastAsia="en-US"/>
        </w:rPr>
        <w:t>Englis</w:t>
      </w:r>
      <w:r w:rsidR="006B2A78" w:rsidRPr="00882EBF">
        <w:rPr>
          <w:lang w:val="en-US" w:eastAsia="en-US"/>
        </w:rPr>
        <w:t>c</w:t>
      </w:r>
      <w:r w:rsidRPr="00882EBF">
        <w:rPr>
          <w:lang w:val="en-US" w:eastAsia="en-US"/>
        </w:rPr>
        <w:t xml:space="preserve">h: </w:t>
      </w:r>
      <w:r w:rsidR="00B800CC" w:rsidRPr="00882EBF">
        <w:rPr>
          <w:lang w:val="en-US" w:eastAsia="en-US"/>
        </w:rPr>
        <w:t>„</w:t>
      </w:r>
      <w:r w:rsidRPr="00882EBF">
        <w:rPr>
          <w:lang w:val="en-US" w:eastAsia="en-US"/>
        </w:rPr>
        <w:t xml:space="preserve">… </w:t>
      </w:r>
      <w:r w:rsidRPr="00882EBF">
        <w:rPr>
          <w:lang w:val="en-US"/>
        </w:rPr>
        <w:t xml:space="preserve">then the corresponding surface temperatures within the </w:t>
      </w:r>
      <w:r w:rsidRPr="00882EBF">
        <w:rPr>
          <w:u w:val="single"/>
          <w:lang w:val="en-US"/>
        </w:rPr>
        <w:t>assigned zones</w:t>
      </w:r>
      <w:r w:rsidRPr="00882EBF">
        <w:rPr>
          <w:lang w:val="en-US"/>
        </w:rPr>
        <w:t xml:space="preserve"> shall not exceed 135 °C (T4), 100 °C (T5) or 85 °C (T6) respectively</w:t>
      </w:r>
      <w:r w:rsidR="00B800CC" w:rsidRPr="00882EBF">
        <w:rPr>
          <w:lang w:val="en-US"/>
        </w:rPr>
        <w:t>“</w:t>
      </w:r>
      <w:r w:rsidRPr="00882EBF">
        <w:rPr>
          <w:lang w:val="en-US"/>
        </w:rPr>
        <w:t>.</w:t>
      </w:r>
    </w:p>
    <w:p w14:paraId="48C4DA81" w14:textId="336C712E" w:rsidR="00B827ED" w:rsidRPr="00882EBF" w:rsidRDefault="00B827ED" w:rsidP="00494624">
      <w:pPr>
        <w:widowControl/>
        <w:tabs>
          <w:tab w:val="left" w:pos="1134"/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882EBF">
        <w:t>2.</w:t>
      </w:r>
      <w:r w:rsidRPr="00882EBF">
        <w:tab/>
      </w:r>
      <w:r w:rsidR="00BE5C4D" w:rsidRPr="00882EBF">
        <w:rPr>
          <w:lang w:eastAsia="en-US"/>
        </w:rPr>
        <w:t xml:space="preserve">In der englischen Fassung fehlen die Worte „on </w:t>
      </w:r>
      <w:proofErr w:type="spellStart"/>
      <w:r w:rsidR="00BE5C4D" w:rsidRPr="00882EBF">
        <w:rPr>
          <w:lang w:eastAsia="en-US"/>
        </w:rPr>
        <w:t>board</w:t>
      </w:r>
      <w:proofErr w:type="spellEnd"/>
      <w:r w:rsidR="00BE5C4D" w:rsidRPr="00882EBF">
        <w:rPr>
          <w:lang w:eastAsia="en-US"/>
        </w:rPr>
        <w:t>“.</w:t>
      </w:r>
    </w:p>
    <w:p w14:paraId="42FF74DC" w14:textId="77777777" w:rsidR="00B827ED" w:rsidRPr="00882EBF" w:rsidRDefault="00B827ED" w:rsidP="00B827E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882EBF">
        <w:rPr>
          <w:b/>
          <w:sz w:val="28"/>
        </w:rPr>
        <w:tab/>
        <w:t>I.</w:t>
      </w:r>
      <w:r w:rsidRPr="00882EBF">
        <w:rPr>
          <w:b/>
          <w:sz w:val="28"/>
        </w:rPr>
        <w:tab/>
        <w:t>Problem</w:t>
      </w:r>
    </w:p>
    <w:p w14:paraId="5D32E846" w14:textId="79FF4C41" w:rsidR="00882EBF" w:rsidRPr="00882EBF" w:rsidRDefault="00B827ED" w:rsidP="004A494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882EBF">
        <w:t>3.</w:t>
      </w:r>
      <w:r w:rsidRPr="00882EBF">
        <w:tab/>
      </w:r>
      <w:r w:rsidR="00C321B7" w:rsidRPr="00882EBF">
        <w:t xml:space="preserve">Im informellen Dokument INF.9 der sechsunddreißigsten Sitzung wurde in Absatz 4 b) darauf hingewiesen, dass in der englischen Fassung des Unterabschnitts 9.3.2.51 c) die Worte </w:t>
      </w:r>
      <w:r w:rsidR="002B365C" w:rsidRPr="00882EBF">
        <w:t>„</w:t>
      </w:r>
      <w:r w:rsidR="00C321B7" w:rsidRPr="00882EBF">
        <w:t xml:space="preserve">on </w:t>
      </w:r>
      <w:proofErr w:type="spellStart"/>
      <w:r w:rsidR="00C321B7" w:rsidRPr="00882EBF">
        <w:t>board</w:t>
      </w:r>
      <w:proofErr w:type="spellEnd"/>
      <w:r w:rsidR="002B365C" w:rsidRPr="00882EBF">
        <w:t>“</w:t>
      </w:r>
      <w:r w:rsidR="00C321B7" w:rsidRPr="00882EBF">
        <w:t xml:space="preserve"> wie folgt hinzugefügt werden müssen:</w:t>
      </w:r>
      <w:r w:rsidRPr="00882EBF">
        <w:t xml:space="preserve"> </w:t>
      </w:r>
      <w:r w:rsidR="00B800CC" w:rsidRPr="00882EBF">
        <w:t>„</w:t>
      </w:r>
      <w:r w:rsidRPr="00882EBF">
        <w:t xml:space="preserve">… </w:t>
      </w:r>
      <w:proofErr w:type="spellStart"/>
      <w:r w:rsidRPr="00882EBF">
        <w:t>then</w:t>
      </w:r>
      <w:proofErr w:type="spellEnd"/>
      <w:r w:rsidRPr="00882EBF">
        <w:t xml:space="preserve"> the </w:t>
      </w:r>
      <w:proofErr w:type="spellStart"/>
      <w:r w:rsidRPr="00882EBF">
        <w:t>corresponding</w:t>
      </w:r>
      <w:proofErr w:type="spellEnd"/>
      <w:r w:rsidRPr="00882EBF">
        <w:t xml:space="preserve"> </w:t>
      </w:r>
      <w:proofErr w:type="spellStart"/>
      <w:r w:rsidRPr="00882EBF">
        <w:t>surface</w:t>
      </w:r>
      <w:proofErr w:type="spellEnd"/>
      <w:r w:rsidRPr="00882EBF">
        <w:t xml:space="preserve"> </w:t>
      </w:r>
      <w:proofErr w:type="spellStart"/>
      <w:r w:rsidRPr="00882EBF">
        <w:t>temperatures</w:t>
      </w:r>
      <w:proofErr w:type="spellEnd"/>
      <w:r w:rsidRPr="00882EBF">
        <w:t xml:space="preserve"> </w:t>
      </w:r>
      <w:proofErr w:type="spellStart"/>
      <w:r w:rsidRPr="00882EBF">
        <w:t>within</w:t>
      </w:r>
      <w:proofErr w:type="spellEnd"/>
      <w:r w:rsidRPr="00882EBF">
        <w:t xml:space="preserve"> the </w:t>
      </w:r>
      <w:proofErr w:type="spellStart"/>
      <w:r w:rsidRPr="00882EBF">
        <w:t>assigned</w:t>
      </w:r>
      <w:proofErr w:type="spellEnd"/>
      <w:r w:rsidRPr="00882EBF">
        <w:t xml:space="preserve"> </w:t>
      </w:r>
      <w:proofErr w:type="spellStart"/>
      <w:r w:rsidRPr="00882EBF">
        <w:t>zones</w:t>
      </w:r>
      <w:proofErr w:type="spellEnd"/>
      <w:r w:rsidRPr="00882EBF">
        <w:t xml:space="preserve"> </w:t>
      </w:r>
      <w:r w:rsidRPr="00882EBF">
        <w:rPr>
          <w:u w:val="single"/>
        </w:rPr>
        <w:t xml:space="preserve">on </w:t>
      </w:r>
      <w:proofErr w:type="spellStart"/>
      <w:r w:rsidRPr="00882EBF">
        <w:rPr>
          <w:u w:val="single"/>
        </w:rPr>
        <w:t>board</w:t>
      </w:r>
      <w:proofErr w:type="spellEnd"/>
      <w:r w:rsidRPr="00882EBF">
        <w:t xml:space="preserve"> </w:t>
      </w:r>
      <w:proofErr w:type="spellStart"/>
      <w:r w:rsidRPr="00882EBF">
        <w:t>shall</w:t>
      </w:r>
      <w:proofErr w:type="spellEnd"/>
      <w:r w:rsidRPr="00882EBF">
        <w:t xml:space="preserve"> not </w:t>
      </w:r>
      <w:proofErr w:type="spellStart"/>
      <w:r w:rsidRPr="00882EBF">
        <w:t>exceed</w:t>
      </w:r>
      <w:proofErr w:type="spellEnd"/>
      <w:r w:rsidRPr="00882EBF">
        <w:t xml:space="preserve"> 135 °C (T4), 100 °C (T5) </w:t>
      </w:r>
      <w:proofErr w:type="spellStart"/>
      <w:r w:rsidRPr="00882EBF">
        <w:t>or</w:t>
      </w:r>
      <w:proofErr w:type="spellEnd"/>
      <w:r w:rsidRPr="00882EBF">
        <w:t xml:space="preserve"> 85 °C (T6) </w:t>
      </w:r>
      <w:proofErr w:type="spellStart"/>
      <w:r w:rsidRPr="00882EBF">
        <w:t>respectively</w:t>
      </w:r>
      <w:proofErr w:type="spellEnd"/>
      <w:r w:rsidRPr="00882EBF">
        <w:t xml:space="preserve"> …</w:t>
      </w:r>
      <w:r w:rsidR="00B800CC" w:rsidRPr="00882EBF">
        <w:t>“</w:t>
      </w:r>
      <w:r w:rsidRPr="00882EBF">
        <w:t xml:space="preserve">. </w:t>
      </w:r>
      <w:r w:rsidR="004A4944" w:rsidRPr="00882EBF">
        <w:t>Allerdings wurde dem ADN-Sicherheitsausschuss nie ein entsprechender Korrekturvorschlag unterbreitet, und nun muss dieser Vorschlag neu überdacht werden.</w:t>
      </w:r>
    </w:p>
    <w:p w14:paraId="521D4B2B" w14:textId="77777777" w:rsidR="00882EBF" w:rsidRPr="00882EBF" w:rsidRDefault="00882EBF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882EBF">
        <w:br w:type="page"/>
      </w:r>
    </w:p>
    <w:p w14:paraId="25C7B88A" w14:textId="77777777" w:rsidR="00B827ED" w:rsidRPr="00882EBF" w:rsidRDefault="00B827ED" w:rsidP="004A494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14:paraId="0505A2CB" w14:textId="3081664C" w:rsidR="00B827ED" w:rsidRPr="00882EBF" w:rsidRDefault="00B827ED" w:rsidP="004A494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color w:val="000000"/>
        </w:rPr>
      </w:pPr>
      <w:r w:rsidRPr="00882EBF">
        <w:rPr>
          <w:color w:val="000000"/>
          <w:lang w:eastAsia="en-US"/>
        </w:rPr>
        <w:t>4.</w:t>
      </w:r>
      <w:r w:rsidRPr="00882EBF">
        <w:rPr>
          <w:color w:val="000000"/>
          <w:lang w:eastAsia="en-US"/>
        </w:rPr>
        <w:tab/>
      </w:r>
      <w:r w:rsidR="004A4944" w:rsidRPr="00882EBF">
        <w:rPr>
          <w:color w:val="000000"/>
          <w:lang w:eastAsia="en-US"/>
        </w:rPr>
        <w:t>In der französischen Fassung werden die Worte „</w:t>
      </w:r>
      <w:proofErr w:type="spellStart"/>
      <w:r w:rsidR="004A4944" w:rsidRPr="00882EBF">
        <w:rPr>
          <w:color w:val="000000"/>
          <w:lang w:eastAsia="en-US"/>
        </w:rPr>
        <w:t>zone</w:t>
      </w:r>
      <w:proofErr w:type="spellEnd"/>
      <w:r w:rsidR="004A4944" w:rsidRPr="00882EBF">
        <w:rPr>
          <w:color w:val="000000"/>
          <w:lang w:eastAsia="en-US"/>
        </w:rPr>
        <w:t xml:space="preserve">(s) </w:t>
      </w:r>
      <w:proofErr w:type="spellStart"/>
      <w:r w:rsidR="004A4944" w:rsidRPr="00882EBF">
        <w:rPr>
          <w:color w:val="000000"/>
          <w:lang w:eastAsia="en-US"/>
        </w:rPr>
        <w:t>assignée</w:t>
      </w:r>
      <w:proofErr w:type="spellEnd"/>
      <w:r w:rsidR="004A4944" w:rsidRPr="00882EBF">
        <w:rPr>
          <w:color w:val="000000"/>
          <w:lang w:eastAsia="en-US"/>
        </w:rPr>
        <w:t xml:space="preserve">(s) à </w:t>
      </w:r>
      <w:proofErr w:type="spellStart"/>
      <w:r w:rsidR="004A4944" w:rsidRPr="00882EBF">
        <w:rPr>
          <w:color w:val="000000"/>
          <w:lang w:eastAsia="en-US"/>
        </w:rPr>
        <w:t>bord</w:t>
      </w:r>
      <w:proofErr w:type="spellEnd"/>
      <w:r w:rsidR="004A4944" w:rsidRPr="00882EBF">
        <w:rPr>
          <w:color w:val="000000"/>
          <w:lang w:eastAsia="en-US"/>
        </w:rPr>
        <w:t xml:space="preserve">“ </w:t>
      </w:r>
      <w:r w:rsidR="00B51966" w:rsidRPr="00882EBF">
        <w:rPr>
          <w:color w:val="000000"/>
          <w:lang w:eastAsia="en-US"/>
        </w:rPr>
        <w:t>nur</w:t>
      </w:r>
      <w:r w:rsidR="004A4944" w:rsidRPr="00882EBF">
        <w:rPr>
          <w:color w:val="000000"/>
          <w:lang w:eastAsia="en-US"/>
        </w:rPr>
        <w:t xml:space="preserve"> dreimal verwendet (nur in Absatz 9.3.x.51 c)).</w:t>
      </w:r>
      <w:r w:rsidRPr="00882EBF">
        <w:rPr>
          <w:color w:val="000000"/>
          <w:lang w:eastAsia="en-US"/>
        </w:rPr>
        <w:t xml:space="preserve"> </w:t>
      </w:r>
      <w:r w:rsidR="004A4944" w:rsidRPr="00882EBF">
        <w:rPr>
          <w:color w:val="000000"/>
          <w:lang w:eastAsia="en-US"/>
        </w:rPr>
        <w:t>Dasselbe gilt in der deutschen Fassung für die Worte „an Bord ausgewiesene Zonen“.</w:t>
      </w:r>
    </w:p>
    <w:p w14:paraId="444305A9" w14:textId="475592BE" w:rsidR="00B827ED" w:rsidRPr="00882EBF" w:rsidRDefault="00B827ED" w:rsidP="00256B1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color w:val="000000"/>
        </w:rPr>
      </w:pPr>
      <w:r w:rsidRPr="00882EBF">
        <w:rPr>
          <w:color w:val="000000"/>
        </w:rPr>
        <w:t>5.</w:t>
      </w:r>
      <w:r w:rsidRPr="00882EBF">
        <w:rPr>
          <w:color w:val="000000"/>
        </w:rPr>
        <w:tab/>
      </w:r>
      <w:r w:rsidR="004A4944" w:rsidRPr="00882EBF">
        <w:rPr>
          <w:color w:val="000000"/>
        </w:rPr>
        <w:t>In der englischen Fassung werden nur die Worte „</w:t>
      </w:r>
      <w:proofErr w:type="spellStart"/>
      <w:r w:rsidR="004A4944" w:rsidRPr="00882EBF">
        <w:rPr>
          <w:color w:val="000000"/>
        </w:rPr>
        <w:t>assigned</w:t>
      </w:r>
      <w:proofErr w:type="spellEnd"/>
      <w:r w:rsidR="004A4944" w:rsidRPr="00882EBF">
        <w:rPr>
          <w:color w:val="000000"/>
        </w:rPr>
        <w:t xml:space="preserve"> </w:t>
      </w:r>
      <w:proofErr w:type="spellStart"/>
      <w:r w:rsidR="004A4944" w:rsidRPr="00882EBF">
        <w:rPr>
          <w:color w:val="000000"/>
        </w:rPr>
        <w:t>zone</w:t>
      </w:r>
      <w:proofErr w:type="spellEnd"/>
      <w:r w:rsidR="004A4944" w:rsidRPr="00882EBF">
        <w:rPr>
          <w:color w:val="000000"/>
        </w:rPr>
        <w:t>“ oder „</w:t>
      </w:r>
      <w:proofErr w:type="spellStart"/>
      <w:r w:rsidR="004A4944" w:rsidRPr="00882EBF">
        <w:rPr>
          <w:color w:val="000000"/>
        </w:rPr>
        <w:t>shoreside</w:t>
      </w:r>
      <w:proofErr w:type="spellEnd"/>
      <w:r w:rsidR="004A4944" w:rsidRPr="00882EBF">
        <w:rPr>
          <w:color w:val="000000"/>
        </w:rPr>
        <w:t xml:space="preserve"> </w:t>
      </w:r>
      <w:proofErr w:type="spellStart"/>
      <w:r w:rsidR="004A4944" w:rsidRPr="00882EBF">
        <w:rPr>
          <w:color w:val="000000"/>
        </w:rPr>
        <w:t>assigned</w:t>
      </w:r>
      <w:proofErr w:type="spellEnd"/>
      <w:r w:rsidR="004A4944" w:rsidRPr="00882EBF">
        <w:rPr>
          <w:color w:val="000000"/>
        </w:rPr>
        <w:t xml:space="preserve"> </w:t>
      </w:r>
      <w:proofErr w:type="spellStart"/>
      <w:r w:rsidR="004A4944" w:rsidRPr="00882EBF">
        <w:rPr>
          <w:color w:val="000000"/>
        </w:rPr>
        <w:t>zone</w:t>
      </w:r>
      <w:proofErr w:type="spellEnd"/>
      <w:r w:rsidR="004A4944" w:rsidRPr="00882EBF">
        <w:rPr>
          <w:color w:val="000000"/>
        </w:rPr>
        <w:t>“ („landseitig ausgewiesene Zone“) / „</w:t>
      </w:r>
      <w:proofErr w:type="spellStart"/>
      <w:r w:rsidR="004A4944" w:rsidRPr="00882EBF">
        <w:rPr>
          <w:color w:val="000000"/>
        </w:rPr>
        <w:t>onshore</w:t>
      </w:r>
      <w:proofErr w:type="spellEnd"/>
      <w:r w:rsidR="004A4944" w:rsidRPr="00882EBF">
        <w:rPr>
          <w:color w:val="000000"/>
        </w:rPr>
        <w:t xml:space="preserve"> </w:t>
      </w:r>
      <w:proofErr w:type="spellStart"/>
      <w:r w:rsidR="004A4944" w:rsidRPr="00882EBF">
        <w:rPr>
          <w:color w:val="000000"/>
        </w:rPr>
        <w:t>assigned</w:t>
      </w:r>
      <w:proofErr w:type="spellEnd"/>
      <w:r w:rsidR="004A4944" w:rsidRPr="00882EBF">
        <w:rPr>
          <w:color w:val="000000"/>
        </w:rPr>
        <w:t xml:space="preserve"> </w:t>
      </w:r>
      <w:proofErr w:type="spellStart"/>
      <w:r w:rsidR="004A4944" w:rsidRPr="00882EBF">
        <w:rPr>
          <w:color w:val="000000"/>
        </w:rPr>
        <w:t>zone</w:t>
      </w:r>
      <w:proofErr w:type="spellEnd"/>
      <w:r w:rsidR="004A4944" w:rsidRPr="00882EBF">
        <w:rPr>
          <w:color w:val="000000"/>
        </w:rPr>
        <w:t xml:space="preserve">“ </w:t>
      </w:r>
      <w:r w:rsidR="00411B22" w:rsidRPr="00882EBF">
        <w:rPr>
          <w:color w:val="000000"/>
        </w:rPr>
        <w:t xml:space="preserve">(ebenfalls „landseitig ausgewiesene Zone“) </w:t>
      </w:r>
      <w:r w:rsidR="004A4944" w:rsidRPr="00882EBF">
        <w:rPr>
          <w:color w:val="000000"/>
        </w:rPr>
        <w:t xml:space="preserve">verwendet, in der deutschen und </w:t>
      </w:r>
      <w:r w:rsidR="00B51966" w:rsidRPr="00882EBF">
        <w:rPr>
          <w:color w:val="000000"/>
        </w:rPr>
        <w:t xml:space="preserve">der </w:t>
      </w:r>
      <w:r w:rsidR="004A4944" w:rsidRPr="00882EBF">
        <w:rPr>
          <w:color w:val="000000"/>
        </w:rPr>
        <w:t xml:space="preserve">französischen Fassung </w:t>
      </w:r>
      <w:r w:rsidR="00B51966" w:rsidRPr="00882EBF">
        <w:rPr>
          <w:color w:val="000000"/>
        </w:rPr>
        <w:t xml:space="preserve">werden die entsprechenden Pendants </w:t>
      </w:r>
      <w:r w:rsidR="004A4944" w:rsidRPr="00882EBF">
        <w:rPr>
          <w:color w:val="000000"/>
        </w:rPr>
        <w:t>ebenfalls</w:t>
      </w:r>
      <w:r w:rsidR="00B51966" w:rsidRPr="00882EBF">
        <w:rPr>
          <w:color w:val="000000"/>
        </w:rPr>
        <w:t xml:space="preserve"> verwendet</w:t>
      </w:r>
      <w:r w:rsidR="004A4944" w:rsidRPr="00882EBF">
        <w:rPr>
          <w:color w:val="000000"/>
        </w:rPr>
        <w:t>.</w:t>
      </w:r>
      <w:r w:rsidRPr="00882EBF">
        <w:rPr>
          <w:color w:val="000000"/>
        </w:rPr>
        <w:t xml:space="preserve"> </w:t>
      </w:r>
      <w:r w:rsidR="00411B22" w:rsidRPr="00882EBF">
        <w:rPr>
          <w:color w:val="000000"/>
        </w:rPr>
        <w:t xml:space="preserve">Daher kann davon ausgegangen werden, dass </w:t>
      </w:r>
      <w:r w:rsidR="00CF3B37" w:rsidRPr="00882EBF">
        <w:rPr>
          <w:color w:val="000000"/>
        </w:rPr>
        <w:t>„</w:t>
      </w:r>
      <w:proofErr w:type="spellStart"/>
      <w:r w:rsidR="00CF3B37" w:rsidRPr="00882EBF">
        <w:rPr>
          <w:color w:val="000000"/>
        </w:rPr>
        <w:t>assigned</w:t>
      </w:r>
      <w:proofErr w:type="spellEnd"/>
      <w:r w:rsidR="00CF3B37" w:rsidRPr="00882EBF">
        <w:rPr>
          <w:color w:val="000000"/>
        </w:rPr>
        <w:t xml:space="preserve"> </w:t>
      </w:r>
      <w:proofErr w:type="spellStart"/>
      <w:r w:rsidR="00CF3B37" w:rsidRPr="00882EBF">
        <w:rPr>
          <w:color w:val="000000"/>
        </w:rPr>
        <w:t>zone</w:t>
      </w:r>
      <w:proofErr w:type="spellEnd"/>
      <w:r w:rsidR="00CF3B37" w:rsidRPr="00882EBF">
        <w:rPr>
          <w:color w:val="000000"/>
        </w:rPr>
        <w:t>“ (</w:t>
      </w:r>
      <w:r w:rsidR="00411B22" w:rsidRPr="00882EBF">
        <w:rPr>
          <w:color w:val="000000"/>
        </w:rPr>
        <w:t>„</w:t>
      </w:r>
      <w:r w:rsidR="005009E5" w:rsidRPr="00882EBF">
        <w:rPr>
          <w:color w:val="000000"/>
        </w:rPr>
        <w:t>a</w:t>
      </w:r>
      <w:r w:rsidR="00411B22" w:rsidRPr="00882EBF">
        <w:rPr>
          <w:color w:val="000000"/>
        </w:rPr>
        <w:t>u</w:t>
      </w:r>
      <w:r w:rsidR="005009E5" w:rsidRPr="00882EBF">
        <w:rPr>
          <w:color w:val="000000"/>
        </w:rPr>
        <w:t>s</w:t>
      </w:r>
      <w:r w:rsidR="00411B22" w:rsidRPr="00882EBF">
        <w:rPr>
          <w:color w:val="000000"/>
        </w:rPr>
        <w:t>gewiesene Zone“</w:t>
      </w:r>
      <w:r w:rsidR="00CF3B37" w:rsidRPr="00882EBF">
        <w:rPr>
          <w:color w:val="000000"/>
        </w:rPr>
        <w:t>)</w:t>
      </w:r>
      <w:r w:rsidR="00411B22" w:rsidRPr="00882EBF">
        <w:rPr>
          <w:color w:val="000000"/>
        </w:rPr>
        <w:t xml:space="preserve"> </w:t>
      </w:r>
      <w:r w:rsidR="00CF3B37" w:rsidRPr="00882EBF">
        <w:rPr>
          <w:color w:val="000000"/>
        </w:rPr>
        <w:t>„</w:t>
      </w:r>
      <w:proofErr w:type="spellStart"/>
      <w:r w:rsidR="00CF3B37" w:rsidRPr="00882EBF">
        <w:rPr>
          <w:color w:val="000000"/>
        </w:rPr>
        <w:t>assigned</w:t>
      </w:r>
      <w:proofErr w:type="spellEnd"/>
      <w:r w:rsidR="00CF3B37" w:rsidRPr="00882EBF">
        <w:rPr>
          <w:color w:val="000000"/>
        </w:rPr>
        <w:t xml:space="preserve"> </w:t>
      </w:r>
      <w:proofErr w:type="spellStart"/>
      <w:r w:rsidR="00CF3B37" w:rsidRPr="00882EBF">
        <w:rPr>
          <w:color w:val="000000"/>
        </w:rPr>
        <w:t>zone</w:t>
      </w:r>
      <w:proofErr w:type="spellEnd"/>
      <w:r w:rsidR="00CF3B37" w:rsidRPr="00882EBF">
        <w:rPr>
          <w:color w:val="000000"/>
        </w:rPr>
        <w:t xml:space="preserve"> on </w:t>
      </w:r>
      <w:proofErr w:type="spellStart"/>
      <w:r w:rsidR="00CF3B37" w:rsidRPr="00882EBF">
        <w:rPr>
          <w:color w:val="000000"/>
        </w:rPr>
        <w:t>board</w:t>
      </w:r>
      <w:proofErr w:type="spellEnd"/>
      <w:r w:rsidR="00CF3B37" w:rsidRPr="00882EBF">
        <w:rPr>
          <w:color w:val="000000"/>
        </w:rPr>
        <w:t>“ (</w:t>
      </w:r>
      <w:r w:rsidR="00411B22" w:rsidRPr="00882EBF">
        <w:rPr>
          <w:color w:val="000000"/>
        </w:rPr>
        <w:t>„an Bord ausgewiesene Zone“</w:t>
      </w:r>
      <w:r w:rsidR="00CF3B37" w:rsidRPr="00882EBF">
        <w:rPr>
          <w:color w:val="000000"/>
        </w:rPr>
        <w:t>)</w:t>
      </w:r>
      <w:r w:rsidR="00411B22" w:rsidRPr="00882EBF">
        <w:rPr>
          <w:color w:val="000000"/>
        </w:rPr>
        <w:t xml:space="preserve"> bedeutet.</w:t>
      </w:r>
      <w:r w:rsidRPr="00882EBF">
        <w:rPr>
          <w:color w:val="000000"/>
        </w:rPr>
        <w:t xml:space="preserve"> </w:t>
      </w:r>
      <w:r w:rsidR="00256B18" w:rsidRPr="00882EBF">
        <w:rPr>
          <w:color w:val="000000"/>
        </w:rPr>
        <w:t>Wenn eine Vorschrift in einer „</w:t>
      </w:r>
      <w:proofErr w:type="spellStart"/>
      <w:r w:rsidR="00256B18" w:rsidRPr="00882EBF">
        <w:rPr>
          <w:color w:val="000000"/>
        </w:rPr>
        <w:t>assigned</w:t>
      </w:r>
      <w:proofErr w:type="spellEnd"/>
      <w:r w:rsidR="00256B18" w:rsidRPr="00882EBF">
        <w:rPr>
          <w:color w:val="000000"/>
        </w:rPr>
        <w:t xml:space="preserve"> </w:t>
      </w:r>
      <w:proofErr w:type="spellStart"/>
      <w:r w:rsidR="00256B18" w:rsidRPr="00882EBF">
        <w:rPr>
          <w:color w:val="000000"/>
        </w:rPr>
        <w:t>zone</w:t>
      </w:r>
      <w:proofErr w:type="spellEnd"/>
      <w:r w:rsidR="00256B18" w:rsidRPr="00882EBF">
        <w:rPr>
          <w:color w:val="000000"/>
        </w:rPr>
        <w:t xml:space="preserve"> on </w:t>
      </w:r>
      <w:proofErr w:type="spellStart"/>
      <w:r w:rsidR="00256B18" w:rsidRPr="00882EBF">
        <w:rPr>
          <w:color w:val="000000"/>
        </w:rPr>
        <w:t>board</w:t>
      </w:r>
      <w:proofErr w:type="spellEnd"/>
      <w:r w:rsidR="00256B18" w:rsidRPr="00882EBF">
        <w:rPr>
          <w:color w:val="000000"/>
        </w:rPr>
        <w:t>“ („an Bord ausgewiesene Zone“) nicht anwendbar ist, wird dies durch die Verwendung der Worte „</w:t>
      </w:r>
      <w:proofErr w:type="spellStart"/>
      <w:r w:rsidR="00256B18" w:rsidRPr="00882EBF">
        <w:rPr>
          <w:color w:val="000000"/>
        </w:rPr>
        <w:t>shoreside</w:t>
      </w:r>
      <w:proofErr w:type="spellEnd"/>
      <w:r w:rsidR="00256B18" w:rsidRPr="00882EBF">
        <w:rPr>
          <w:color w:val="000000"/>
        </w:rPr>
        <w:t xml:space="preserve"> </w:t>
      </w:r>
      <w:proofErr w:type="spellStart"/>
      <w:r w:rsidR="00256B18" w:rsidRPr="00882EBF">
        <w:rPr>
          <w:color w:val="000000"/>
        </w:rPr>
        <w:t>assigned</w:t>
      </w:r>
      <w:proofErr w:type="spellEnd"/>
      <w:r w:rsidR="00256B18" w:rsidRPr="00882EBF">
        <w:rPr>
          <w:color w:val="000000"/>
        </w:rPr>
        <w:t xml:space="preserve"> </w:t>
      </w:r>
      <w:proofErr w:type="spellStart"/>
      <w:r w:rsidR="00256B18" w:rsidRPr="00882EBF">
        <w:rPr>
          <w:color w:val="000000"/>
        </w:rPr>
        <w:t>zone</w:t>
      </w:r>
      <w:proofErr w:type="spellEnd"/>
      <w:r w:rsidR="00256B18" w:rsidRPr="00882EBF">
        <w:rPr>
          <w:color w:val="000000"/>
        </w:rPr>
        <w:t>“ oder „</w:t>
      </w:r>
      <w:proofErr w:type="spellStart"/>
      <w:r w:rsidR="00256B18" w:rsidRPr="00882EBF">
        <w:rPr>
          <w:color w:val="000000"/>
        </w:rPr>
        <w:t>onshore</w:t>
      </w:r>
      <w:proofErr w:type="spellEnd"/>
      <w:r w:rsidR="00256B18" w:rsidRPr="00882EBF">
        <w:rPr>
          <w:color w:val="000000"/>
        </w:rPr>
        <w:t xml:space="preserve"> </w:t>
      </w:r>
      <w:proofErr w:type="spellStart"/>
      <w:r w:rsidR="00256B18" w:rsidRPr="00882EBF">
        <w:rPr>
          <w:color w:val="000000"/>
        </w:rPr>
        <w:t>assigned</w:t>
      </w:r>
      <w:proofErr w:type="spellEnd"/>
      <w:r w:rsidR="00256B18" w:rsidRPr="00882EBF">
        <w:rPr>
          <w:color w:val="000000"/>
        </w:rPr>
        <w:t xml:space="preserve"> </w:t>
      </w:r>
      <w:proofErr w:type="spellStart"/>
      <w:r w:rsidR="00256B18" w:rsidRPr="00882EBF">
        <w:rPr>
          <w:color w:val="000000"/>
        </w:rPr>
        <w:t>zone</w:t>
      </w:r>
      <w:proofErr w:type="spellEnd"/>
      <w:r w:rsidR="00256B18" w:rsidRPr="00882EBF">
        <w:rPr>
          <w:color w:val="000000"/>
        </w:rPr>
        <w:t>“ (jeweils „landseitig ausgewiesene Zone“) ausdrücklich angegeben.</w:t>
      </w:r>
      <w:r w:rsidRPr="00882EBF">
        <w:rPr>
          <w:color w:val="000000"/>
        </w:rPr>
        <w:t xml:space="preserve"> </w:t>
      </w:r>
    </w:p>
    <w:p w14:paraId="5A3CFBE9" w14:textId="26994845" w:rsidR="00B827ED" w:rsidRPr="00882EBF" w:rsidRDefault="00B827ED" w:rsidP="00B827E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882EBF">
        <w:rPr>
          <w:b/>
          <w:sz w:val="28"/>
        </w:rPr>
        <w:tab/>
        <w:t>II.</w:t>
      </w:r>
      <w:r w:rsidRPr="00882EBF">
        <w:rPr>
          <w:b/>
          <w:sz w:val="28"/>
        </w:rPr>
        <w:tab/>
        <w:t>Änderungsvorschlag</w:t>
      </w:r>
    </w:p>
    <w:p w14:paraId="7098F97A" w14:textId="768D9544" w:rsidR="00B827ED" w:rsidRPr="00882EBF" w:rsidRDefault="00B827ED" w:rsidP="00D729A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882EBF">
        <w:t>6.</w:t>
      </w:r>
      <w:r w:rsidRPr="00882EBF">
        <w:tab/>
      </w:r>
      <w:r w:rsidR="00256B18" w:rsidRPr="00882EBF">
        <w:t xml:space="preserve">Der ADN-Sicherheitsausschuss wird gebeten, den folgenden Vorschlag zur Änderung von Unterabschnitt 9.3.x.51 c) für die nächste Ausgabe des ADN zu prüfen und zu genehmigen: In Unterabschnitt 9.3.x.51 (c) die </w:t>
      </w:r>
      <w:r w:rsidR="00D729A3" w:rsidRPr="00882EBF">
        <w:t>Worte</w:t>
      </w:r>
      <w:r w:rsidR="00256B18" w:rsidRPr="00882EBF">
        <w:t xml:space="preserve"> </w:t>
      </w:r>
      <w:r w:rsidR="00D729A3" w:rsidRPr="00882EBF">
        <w:t>„</w:t>
      </w:r>
      <w:r w:rsidR="00256B18" w:rsidRPr="00882EBF">
        <w:t xml:space="preserve">à </w:t>
      </w:r>
      <w:proofErr w:type="spellStart"/>
      <w:r w:rsidR="00256B18" w:rsidRPr="00882EBF">
        <w:t>bord</w:t>
      </w:r>
      <w:proofErr w:type="spellEnd"/>
      <w:r w:rsidR="00D729A3" w:rsidRPr="00882EBF">
        <w:t>“</w:t>
      </w:r>
      <w:r w:rsidR="00256B18" w:rsidRPr="00882EBF">
        <w:t xml:space="preserve"> in der französischen Fassung und </w:t>
      </w:r>
      <w:r w:rsidR="00D729A3" w:rsidRPr="00882EBF">
        <w:t>„</w:t>
      </w:r>
      <w:r w:rsidR="00256B18" w:rsidRPr="00882EBF">
        <w:t>an Bord</w:t>
      </w:r>
      <w:r w:rsidR="00D729A3" w:rsidRPr="00882EBF">
        <w:t>“</w:t>
      </w:r>
      <w:r w:rsidR="00256B18" w:rsidRPr="00882EBF">
        <w:t xml:space="preserve"> in der deutschen Fassung str</w:t>
      </w:r>
      <w:r w:rsidR="00D729A3" w:rsidRPr="00882EBF">
        <w:t>e</w:t>
      </w:r>
      <w:r w:rsidR="00256B18" w:rsidRPr="00882EBF">
        <w:t>ichen:</w:t>
      </w:r>
    </w:p>
    <w:p w14:paraId="37A7A360" w14:textId="303405CD" w:rsidR="00B827ED" w:rsidRPr="00882EBF" w:rsidRDefault="00B827ED" w:rsidP="00B827ED">
      <w:pPr>
        <w:pStyle w:val="ListParagraph"/>
        <w:widowControl/>
        <w:numPr>
          <w:ilvl w:val="0"/>
          <w:numId w:val="7"/>
        </w:numPr>
        <w:tabs>
          <w:tab w:val="num" w:pos="1701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  <w:rPr>
          <w:lang w:val="fr-FR" w:eastAsia="nl-BE"/>
        </w:rPr>
      </w:pPr>
      <w:r w:rsidRPr="00882EBF">
        <w:rPr>
          <w:lang w:val="fr-FR" w:eastAsia="en-US"/>
        </w:rPr>
        <w:t xml:space="preserve">Französisch: </w:t>
      </w:r>
      <w:r w:rsidR="00B800CC" w:rsidRPr="00882EBF">
        <w:rPr>
          <w:lang w:val="fr-FR" w:eastAsia="en-US"/>
        </w:rPr>
        <w:t>„</w:t>
      </w:r>
      <w:r w:rsidRPr="00882EBF">
        <w:rPr>
          <w:lang w:val="fr-FR" w:eastAsia="en-US"/>
        </w:rPr>
        <w:t xml:space="preserve">… </w:t>
      </w:r>
      <w:r w:rsidRPr="00882EBF">
        <w:rPr>
          <w:lang w:val="fr-FR"/>
        </w:rPr>
        <w:t xml:space="preserve">les températures de surface correspondantes de 135 °C (T4), 100 °C (T5) ou 85 °C (T6)   ne doivent pas être dépassées dans les zones assignées </w:t>
      </w:r>
      <w:r w:rsidRPr="00882EBF">
        <w:rPr>
          <w:dstrike/>
          <w:lang w:val="fr-FR"/>
        </w:rPr>
        <w:t>à bord</w:t>
      </w:r>
      <w:r w:rsidRPr="00882EBF">
        <w:rPr>
          <w:lang w:val="fr-FR"/>
        </w:rPr>
        <w:t xml:space="preserve"> ...</w:t>
      </w:r>
      <w:r w:rsidR="00B800CC" w:rsidRPr="00882EBF">
        <w:rPr>
          <w:lang w:val="fr-FR"/>
        </w:rPr>
        <w:t>“</w:t>
      </w:r>
    </w:p>
    <w:p w14:paraId="35335CA3" w14:textId="674FB18B" w:rsidR="00B827ED" w:rsidRPr="00882EBF" w:rsidRDefault="00B827ED" w:rsidP="00B827ED">
      <w:pPr>
        <w:pStyle w:val="ListParagraph"/>
        <w:widowControl/>
        <w:numPr>
          <w:ilvl w:val="0"/>
          <w:numId w:val="7"/>
        </w:numPr>
        <w:tabs>
          <w:tab w:val="num" w:pos="1701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  <w:rPr>
          <w:lang w:eastAsia="en-US"/>
        </w:rPr>
      </w:pPr>
      <w:r w:rsidRPr="00882EBF">
        <w:t xml:space="preserve">Deutsch: </w:t>
      </w:r>
      <w:r w:rsidR="00B800CC" w:rsidRPr="00882EBF">
        <w:t>„</w:t>
      </w:r>
      <w:r w:rsidRPr="00882EBF">
        <w:t xml:space="preserve">… dürfen in den </w:t>
      </w:r>
      <w:r w:rsidRPr="00882EBF">
        <w:rPr>
          <w:dstrike/>
        </w:rPr>
        <w:t>an Bord</w:t>
      </w:r>
      <w:r w:rsidRPr="00882EBF">
        <w:t xml:space="preserve"> ausgewiesenen Zonen die entsprechenden Oberflächentemperaturen 135 °C (T4), 100 °C (T5) und 85 °C (T6) nicht überschreiten.</w:t>
      </w:r>
      <w:r w:rsidR="00B800CC" w:rsidRPr="00882EBF">
        <w:t>“</w:t>
      </w:r>
    </w:p>
    <w:p w14:paraId="0E75ACFD" w14:textId="7C721330" w:rsidR="00B827ED" w:rsidRPr="00882EBF" w:rsidRDefault="00B827ED" w:rsidP="00D729A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882EBF">
        <w:t>7.</w:t>
      </w:r>
      <w:r w:rsidRPr="00882EBF">
        <w:tab/>
      </w:r>
      <w:r w:rsidR="00D729A3" w:rsidRPr="00882EBF">
        <w:t>Mit dieser Änderung wird der gleiche Wortlaut wie in Absatz 9.3.x.53.1 Unterabsatz 3 erzielt:</w:t>
      </w:r>
    </w:p>
    <w:p w14:paraId="537A1C3B" w14:textId="6470C710" w:rsidR="00B827ED" w:rsidRPr="00882EBF" w:rsidRDefault="00B827ED" w:rsidP="00B827ED">
      <w:pPr>
        <w:pStyle w:val="ListParagraph"/>
        <w:widowControl/>
        <w:numPr>
          <w:ilvl w:val="0"/>
          <w:numId w:val="8"/>
        </w:numPr>
        <w:tabs>
          <w:tab w:val="num" w:pos="1701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  <w:rPr>
          <w:lang w:val="fr-FR"/>
        </w:rPr>
      </w:pPr>
      <w:r w:rsidRPr="00882EBF">
        <w:rPr>
          <w:lang w:val="fr-FR" w:eastAsia="en-US"/>
        </w:rPr>
        <w:t>Französisch</w:t>
      </w:r>
      <w:r w:rsidRPr="00882EBF">
        <w:rPr>
          <w:lang w:val="fr-FR"/>
        </w:rPr>
        <w:t xml:space="preserve">: </w:t>
      </w:r>
      <w:r w:rsidR="00B800CC" w:rsidRPr="00882EBF">
        <w:rPr>
          <w:lang w:val="fr-FR"/>
        </w:rPr>
        <w:t>„</w:t>
      </w:r>
      <w:r w:rsidRPr="00882EBF">
        <w:rPr>
          <w:lang w:val="fr-FR"/>
        </w:rPr>
        <w:t>… les températures de surface correspondantes ne doivent pas dépasser 135 °C (T4), 100 °C (T5) ou respectivement 85 °C (T6) dans les zones assignées.</w:t>
      </w:r>
      <w:r w:rsidR="00B800CC" w:rsidRPr="00882EBF">
        <w:rPr>
          <w:lang w:val="fr-FR"/>
        </w:rPr>
        <w:t>“</w:t>
      </w:r>
    </w:p>
    <w:p w14:paraId="0E99F7BA" w14:textId="5684073E" w:rsidR="00B827ED" w:rsidRPr="00882EBF" w:rsidRDefault="00B827ED" w:rsidP="00B827ED">
      <w:pPr>
        <w:pStyle w:val="ListParagraph"/>
        <w:widowControl/>
        <w:numPr>
          <w:ilvl w:val="0"/>
          <w:numId w:val="8"/>
        </w:numPr>
        <w:tabs>
          <w:tab w:val="num" w:pos="1701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882EBF">
        <w:t xml:space="preserve">Deutsch: </w:t>
      </w:r>
      <w:r w:rsidR="00B800CC" w:rsidRPr="00882EBF">
        <w:t>„</w:t>
      </w:r>
      <w:r w:rsidRPr="00882EBF">
        <w:t>… dürfen in den ausgewiesenen Zonen die entsprechenden Oberflächentemperaturen 135 °C (T4), 100 °C (T5) beziehungsweise 85 °C (T6) nicht überschreiten.</w:t>
      </w:r>
      <w:r w:rsidR="00B800CC" w:rsidRPr="00882EBF">
        <w:t>“</w:t>
      </w:r>
    </w:p>
    <w:p w14:paraId="6951FA3D" w14:textId="77777777" w:rsidR="00B827ED" w:rsidRPr="00882EBF" w:rsidRDefault="00B827ED" w:rsidP="00B827ED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b/>
          <w:bCs/>
        </w:rPr>
      </w:pPr>
    </w:p>
    <w:p w14:paraId="258CF0B9" w14:textId="25BD601E" w:rsidR="00751575" w:rsidRPr="00B800CC" w:rsidRDefault="00B60659" w:rsidP="00B60659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882EBF">
        <w:t>***</w:t>
      </w:r>
    </w:p>
    <w:sectPr w:rsidR="00751575" w:rsidRPr="00B800CC" w:rsidSect="0059695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C35E" w14:textId="77777777" w:rsidR="008220D9" w:rsidRDefault="008220D9" w:rsidP="0011702A">
      <w:r>
        <w:separator/>
      </w:r>
    </w:p>
  </w:endnote>
  <w:endnote w:type="continuationSeparator" w:id="0">
    <w:p w14:paraId="491E93BE" w14:textId="77777777" w:rsidR="008220D9" w:rsidRDefault="008220D9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3C403C38" w:rsidR="00915307" w:rsidRPr="008D3DAE" w:rsidRDefault="008D3DA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B827ED">
      <w:rPr>
        <w:rFonts w:ascii="Arial" w:hAnsi="Arial" w:cs="Arial"/>
        <w:noProof/>
        <w:snapToGrid w:val="0"/>
        <w:sz w:val="12"/>
        <w:lang w:val="fr-FR"/>
      </w:rPr>
      <w:t>21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0EADFA95" w:rsidR="00455E11" w:rsidRPr="00B60659" w:rsidRDefault="00455E11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 w:rsidRPr="00B60659">
      <w:rPr>
        <w:rFonts w:ascii="Arial" w:hAnsi="Arial" w:cs="Arial"/>
        <w:noProof/>
        <w:snapToGrid w:val="0"/>
        <w:sz w:val="12"/>
        <w:lang w:val="fr-FR"/>
      </w:rPr>
      <w:t>mm/adn_wp15_ac2_2023_DE-Cde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05DE" w14:textId="77777777" w:rsidR="008220D9" w:rsidRDefault="008220D9" w:rsidP="0011702A">
      <w:r>
        <w:separator/>
      </w:r>
    </w:p>
  </w:footnote>
  <w:footnote w:type="continuationSeparator" w:id="0">
    <w:p w14:paraId="43906B93" w14:textId="77777777" w:rsidR="008220D9" w:rsidRDefault="008220D9" w:rsidP="0011702A">
      <w:r>
        <w:continuationSeparator/>
      </w:r>
    </w:p>
  </w:footnote>
  <w:footnote w:id="1">
    <w:p w14:paraId="4A90418F" w14:textId="205AEFC6" w:rsidR="008D3DAE" w:rsidRPr="00B60659" w:rsidRDefault="008D3DAE" w:rsidP="008D3DAE">
      <w:pPr>
        <w:pStyle w:val="FootnoteText"/>
        <w:rPr>
          <w:sz w:val="16"/>
          <w:szCs w:val="16"/>
        </w:rPr>
      </w:pPr>
      <w:r w:rsidRPr="00B60659">
        <w:rPr>
          <w:rStyle w:val="FootnoteReference"/>
        </w:rPr>
        <w:tab/>
        <w:t>*</w:t>
      </w:r>
      <w:r w:rsidRPr="00B60659">
        <w:rPr>
          <w:rStyle w:val="FootnoteReference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B827ED">
        <w:rPr>
          <w:sz w:val="16"/>
          <w:szCs w:val="16"/>
        </w:rPr>
        <w:t>21</w:t>
      </w:r>
      <w:r w:rsidRPr="00B60659">
        <w:rPr>
          <w:sz w:val="16"/>
          <w:szCs w:val="16"/>
        </w:rPr>
        <w:t>.</w:t>
      </w:r>
    </w:p>
  </w:footnote>
  <w:footnote w:id="2">
    <w:p w14:paraId="1B2FF234" w14:textId="6F147C17" w:rsidR="008D3DAE" w:rsidRPr="00B60659" w:rsidRDefault="008D3DAE" w:rsidP="008D3DAE">
      <w:pPr>
        <w:pStyle w:val="FootnoteText"/>
        <w:rPr>
          <w:sz w:val="16"/>
          <w:szCs w:val="16"/>
        </w:rPr>
      </w:pPr>
      <w:r w:rsidRPr="00B60659">
        <w:rPr>
          <w:rStyle w:val="FootnoteReference"/>
        </w:rPr>
        <w:tab/>
        <w:t>**</w:t>
      </w:r>
      <w:r w:rsidRPr="00B60659">
        <w:rPr>
          <w:rStyle w:val="FootnoteReference"/>
        </w:rPr>
        <w:tab/>
      </w:r>
      <w:r w:rsidRPr="00B60659">
        <w:rPr>
          <w:sz w:val="16"/>
          <w:szCs w:val="16"/>
        </w:rPr>
        <w:t>A/</w:t>
      </w:r>
      <w:r>
        <w:rPr>
          <w:sz w:val="16"/>
          <w:szCs w:val="16"/>
        </w:rPr>
        <w:t>77</w:t>
      </w:r>
      <w:r w:rsidRPr="00B60659">
        <w:rPr>
          <w:sz w:val="16"/>
          <w:szCs w:val="16"/>
        </w:rPr>
        <w:t xml:space="preserve">/6 (Kap. 20) </w:t>
      </w:r>
      <w:r>
        <w:rPr>
          <w:sz w:val="16"/>
          <w:szCs w:val="16"/>
        </w:rPr>
        <w:t>Tabelle</w:t>
      </w:r>
      <w:r w:rsidRPr="00B60659">
        <w:rPr>
          <w:sz w:val="16"/>
          <w:szCs w:val="16"/>
        </w:rPr>
        <w:t>.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244DBEC0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B827ED">
      <w:rPr>
        <w:rFonts w:ascii="Arial" w:hAnsi="Arial"/>
        <w:snapToGrid w:val="0"/>
        <w:sz w:val="16"/>
        <w:szCs w:val="16"/>
        <w:lang w:val="fr-FR"/>
      </w:rPr>
      <w:t>21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385B9668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8A42A5" w:rsidRPr="00B60659">
      <w:rPr>
        <w:rFonts w:ascii="Arial" w:hAnsi="Arial"/>
        <w:snapToGrid w:val="0"/>
        <w:sz w:val="16"/>
        <w:szCs w:val="16"/>
        <w:lang w:val="fr-FR"/>
      </w:rPr>
      <w:t>DE_C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7"/>
  </w:num>
  <w:num w:numId="4" w16cid:durableId="58795070">
    <w:abstractNumId w:val="8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7E84"/>
    <w:rsid w:val="00052E7E"/>
    <w:rsid w:val="000543C2"/>
    <w:rsid w:val="000563D5"/>
    <w:rsid w:val="00056B10"/>
    <w:rsid w:val="00057DC8"/>
    <w:rsid w:val="0006299C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26EA"/>
    <w:rsid w:val="001B4F22"/>
    <w:rsid w:val="001B7B3E"/>
    <w:rsid w:val="001C0E5C"/>
    <w:rsid w:val="001C1D1B"/>
    <w:rsid w:val="001C303B"/>
    <w:rsid w:val="001C4ED8"/>
    <w:rsid w:val="001D1B0A"/>
    <w:rsid w:val="001D34F6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3DB1"/>
    <w:rsid w:val="002546D9"/>
    <w:rsid w:val="00255192"/>
    <w:rsid w:val="00256B18"/>
    <w:rsid w:val="0027414F"/>
    <w:rsid w:val="002748A2"/>
    <w:rsid w:val="00280779"/>
    <w:rsid w:val="00283323"/>
    <w:rsid w:val="00290B95"/>
    <w:rsid w:val="00291CB3"/>
    <w:rsid w:val="002945CA"/>
    <w:rsid w:val="002A337E"/>
    <w:rsid w:val="002A53A6"/>
    <w:rsid w:val="002B0567"/>
    <w:rsid w:val="002B0630"/>
    <w:rsid w:val="002B365C"/>
    <w:rsid w:val="002B3FEF"/>
    <w:rsid w:val="002B4C67"/>
    <w:rsid w:val="002B5AED"/>
    <w:rsid w:val="002B5AFB"/>
    <w:rsid w:val="002C0469"/>
    <w:rsid w:val="002C382E"/>
    <w:rsid w:val="002C742A"/>
    <w:rsid w:val="002D1BFB"/>
    <w:rsid w:val="002D4720"/>
    <w:rsid w:val="002D7C79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1B22"/>
    <w:rsid w:val="00415794"/>
    <w:rsid w:val="004176F9"/>
    <w:rsid w:val="00427609"/>
    <w:rsid w:val="00427804"/>
    <w:rsid w:val="00430CD0"/>
    <w:rsid w:val="00432779"/>
    <w:rsid w:val="00432C11"/>
    <w:rsid w:val="0043787C"/>
    <w:rsid w:val="00442166"/>
    <w:rsid w:val="00446085"/>
    <w:rsid w:val="0045323C"/>
    <w:rsid w:val="0045350F"/>
    <w:rsid w:val="00454151"/>
    <w:rsid w:val="0045596C"/>
    <w:rsid w:val="00455E11"/>
    <w:rsid w:val="00464867"/>
    <w:rsid w:val="00466FB5"/>
    <w:rsid w:val="00472198"/>
    <w:rsid w:val="004819A4"/>
    <w:rsid w:val="0048292C"/>
    <w:rsid w:val="00483272"/>
    <w:rsid w:val="004847DC"/>
    <w:rsid w:val="00492FA6"/>
    <w:rsid w:val="00494624"/>
    <w:rsid w:val="0049785E"/>
    <w:rsid w:val="004A0752"/>
    <w:rsid w:val="004A3FE7"/>
    <w:rsid w:val="004A46B8"/>
    <w:rsid w:val="004A4944"/>
    <w:rsid w:val="004B0D93"/>
    <w:rsid w:val="004B25CA"/>
    <w:rsid w:val="004B7EA6"/>
    <w:rsid w:val="004C18DE"/>
    <w:rsid w:val="004D23FB"/>
    <w:rsid w:val="004D323E"/>
    <w:rsid w:val="004E622A"/>
    <w:rsid w:val="004F2E32"/>
    <w:rsid w:val="004F3B7F"/>
    <w:rsid w:val="004F4DE3"/>
    <w:rsid w:val="004F5608"/>
    <w:rsid w:val="004F7A39"/>
    <w:rsid w:val="005009E5"/>
    <w:rsid w:val="005030D3"/>
    <w:rsid w:val="0051114B"/>
    <w:rsid w:val="0051476B"/>
    <w:rsid w:val="00514AB7"/>
    <w:rsid w:val="0051535A"/>
    <w:rsid w:val="00534340"/>
    <w:rsid w:val="00540161"/>
    <w:rsid w:val="00540683"/>
    <w:rsid w:val="005533B4"/>
    <w:rsid w:val="00561447"/>
    <w:rsid w:val="0056152E"/>
    <w:rsid w:val="0056605A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2215"/>
    <w:rsid w:val="00643AEA"/>
    <w:rsid w:val="00651386"/>
    <w:rsid w:val="00651558"/>
    <w:rsid w:val="0066312D"/>
    <w:rsid w:val="00663395"/>
    <w:rsid w:val="006639F3"/>
    <w:rsid w:val="00666284"/>
    <w:rsid w:val="00670028"/>
    <w:rsid w:val="006702A6"/>
    <w:rsid w:val="00672E12"/>
    <w:rsid w:val="006739C8"/>
    <w:rsid w:val="00687752"/>
    <w:rsid w:val="0069164E"/>
    <w:rsid w:val="006920A8"/>
    <w:rsid w:val="006924C5"/>
    <w:rsid w:val="00693A58"/>
    <w:rsid w:val="006970A1"/>
    <w:rsid w:val="006A0959"/>
    <w:rsid w:val="006A1747"/>
    <w:rsid w:val="006A507B"/>
    <w:rsid w:val="006A73AD"/>
    <w:rsid w:val="006A7F94"/>
    <w:rsid w:val="006B2A78"/>
    <w:rsid w:val="006B51FD"/>
    <w:rsid w:val="006B57B7"/>
    <w:rsid w:val="006B5F03"/>
    <w:rsid w:val="006B7C55"/>
    <w:rsid w:val="006C6A7F"/>
    <w:rsid w:val="006D594B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41D8D"/>
    <w:rsid w:val="00742BD3"/>
    <w:rsid w:val="00742E01"/>
    <w:rsid w:val="00751575"/>
    <w:rsid w:val="00754516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7F2A"/>
    <w:rsid w:val="00805AEB"/>
    <w:rsid w:val="00810504"/>
    <w:rsid w:val="0081450F"/>
    <w:rsid w:val="008149EA"/>
    <w:rsid w:val="00820289"/>
    <w:rsid w:val="008220D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551D"/>
    <w:rsid w:val="00876F50"/>
    <w:rsid w:val="00882EBF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F283A"/>
    <w:rsid w:val="008F4B57"/>
    <w:rsid w:val="00901FC4"/>
    <w:rsid w:val="00903D48"/>
    <w:rsid w:val="0090748A"/>
    <w:rsid w:val="00912A46"/>
    <w:rsid w:val="00915307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B3B1B"/>
    <w:rsid w:val="009C228D"/>
    <w:rsid w:val="009C79C4"/>
    <w:rsid w:val="009E0ED9"/>
    <w:rsid w:val="009E281C"/>
    <w:rsid w:val="009E3EBD"/>
    <w:rsid w:val="009E795B"/>
    <w:rsid w:val="009F2DD9"/>
    <w:rsid w:val="009F3B72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D6ABA"/>
    <w:rsid w:val="00AE50D2"/>
    <w:rsid w:val="00AE73A7"/>
    <w:rsid w:val="00AE7E9E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51966"/>
    <w:rsid w:val="00B60659"/>
    <w:rsid w:val="00B71545"/>
    <w:rsid w:val="00B737F6"/>
    <w:rsid w:val="00B7461E"/>
    <w:rsid w:val="00B76631"/>
    <w:rsid w:val="00B800CC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E5C4D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21B7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62F9"/>
    <w:rsid w:val="00CC7E35"/>
    <w:rsid w:val="00CD1C39"/>
    <w:rsid w:val="00CD7A4F"/>
    <w:rsid w:val="00CE1F32"/>
    <w:rsid w:val="00CE293A"/>
    <w:rsid w:val="00CE77BC"/>
    <w:rsid w:val="00CF2359"/>
    <w:rsid w:val="00CF3B37"/>
    <w:rsid w:val="00CF3E33"/>
    <w:rsid w:val="00CF645B"/>
    <w:rsid w:val="00D03FC5"/>
    <w:rsid w:val="00D04647"/>
    <w:rsid w:val="00D048ED"/>
    <w:rsid w:val="00D064E0"/>
    <w:rsid w:val="00D12EA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729A3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ED1"/>
    <w:rsid w:val="00DE103A"/>
    <w:rsid w:val="00DE54A6"/>
    <w:rsid w:val="00DE554A"/>
    <w:rsid w:val="00DF426C"/>
    <w:rsid w:val="00DF7632"/>
    <w:rsid w:val="00E0097F"/>
    <w:rsid w:val="00E040C4"/>
    <w:rsid w:val="00E1103A"/>
    <w:rsid w:val="00E13946"/>
    <w:rsid w:val="00E14568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05EE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B6B37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qFormat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DefaultParagraphFon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017B2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Heading5Char">
    <w:name w:val="Heading 5 Char"/>
    <w:basedOn w:val="DefaultParagraphFont"/>
    <w:link w:val="Heading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Emphasis">
    <w:name w:val="Emphasis"/>
    <w:basedOn w:val="DefaultParagraphFont"/>
    <w:qFormat/>
    <w:rsid w:val="00ED1827"/>
    <w:rPr>
      <w:i/>
      <w:iCs/>
    </w:rPr>
  </w:style>
  <w:style w:type="paragraph" w:styleId="NoSpacing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evision">
    <w:name w:val="Revision"/>
    <w:hidden/>
    <w:uiPriority w:val="99"/>
    <w:semiHidden/>
    <w:rsid w:val="00C942C1"/>
    <w:rPr>
      <w:lang w:eastAsia="fr-FR"/>
    </w:rPr>
  </w:style>
  <w:style w:type="table" w:styleId="TableGrid">
    <w:name w:val="Table Grid"/>
    <w:basedOn w:val="Table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1EF4E-873E-45D4-B2A7-C4B95F711406}"/>
</file>

<file path=customXml/itemProps3.xml><?xml version="1.0" encoding="utf-8"?>
<ds:datastoreItem xmlns:ds="http://schemas.openxmlformats.org/officeDocument/2006/customXml" ds:itemID="{19BE60E1-17A7-4B18-8D8B-B0392BAFBA0D}"/>
</file>

<file path=customXml/itemProps4.xml><?xml version="1.0" encoding="utf-8"?>
<ds:datastoreItem xmlns:ds="http://schemas.openxmlformats.org/officeDocument/2006/customXml" ds:itemID="{BFFC80A8-C75C-4895-BFD5-9FA4930DA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4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Nadiya</cp:lastModifiedBy>
  <cp:revision>2</cp:revision>
  <cp:lastPrinted>2017-06-06T08:16:00Z</cp:lastPrinted>
  <dcterms:created xsi:type="dcterms:W3CDTF">2023-05-16T09:42:00Z</dcterms:created>
  <dcterms:modified xsi:type="dcterms:W3CDTF">2023-05-16T09:42:00Z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