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3560BBE0" w:rsidR="00B60659" w:rsidRPr="001A7582"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1A7582">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1A7582">
        <w:rPr>
          <w:rFonts w:ascii="Arial" w:eastAsia="Arial" w:hAnsi="Arial" w:cs="Arial"/>
          <w:bCs/>
          <w:szCs w:val="24"/>
          <w:lang w:eastAsia="de-DE"/>
        </w:rPr>
        <w:t>CCNR-ZKR/ADN/WP.15/AC.2/202</w:t>
      </w:r>
      <w:r w:rsidRPr="001A7582">
        <w:rPr>
          <w:rFonts w:ascii="Arial" w:eastAsia="Arial" w:hAnsi="Arial" w:cs="Arial"/>
          <w:bCs/>
          <w:szCs w:val="24"/>
        </w:rPr>
        <w:t>3</w:t>
      </w:r>
      <w:r w:rsidRPr="001A7582">
        <w:rPr>
          <w:rFonts w:ascii="Arial" w:eastAsia="Arial" w:hAnsi="Arial" w:cs="Arial"/>
          <w:bCs/>
          <w:szCs w:val="24"/>
          <w:lang w:eastAsia="de-DE"/>
        </w:rPr>
        <w:t>/</w:t>
      </w:r>
      <w:r w:rsidR="00D14A73" w:rsidRPr="001A7582">
        <w:rPr>
          <w:rFonts w:ascii="Arial" w:eastAsia="Arial" w:hAnsi="Arial" w:cs="Arial"/>
          <w:bCs/>
          <w:szCs w:val="24"/>
          <w:lang w:eastAsia="de-DE"/>
        </w:rPr>
        <w:t>17</w:t>
      </w:r>
    </w:p>
    <w:p w14:paraId="7C27E3DD" w14:textId="77777777" w:rsidR="00B60659" w:rsidRPr="001A7582"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1A7582">
        <w:rPr>
          <w:rFonts w:ascii="Arial" w:hAnsi="Arial" w:cs="Arial"/>
          <w:sz w:val="16"/>
          <w:szCs w:val="24"/>
          <w:lang w:eastAsia="de-DE"/>
        </w:rPr>
        <w:t>Allgemeine Verteilung</w:t>
      </w:r>
    </w:p>
    <w:p w14:paraId="215D853B" w14:textId="6D12DB88" w:rsidR="00B60659" w:rsidRPr="001A7582" w:rsidRDefault="00D14A73"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1A7582">
        <w:rPr>
          <w:rFonts w:ascii="Arial" w:hAnsi="Arial" w:cs="Arial"/>
          <w:szCs w:val="24"/>
          <w:lang w:eastAsia="de-DE"/>
        </w:rPr>
        <w:t>5</w:t>
      </w:r>
      <w:r w:rsidR="008C5274" w:rsidRPr="001A7582">
        <w:rPr>
          <w:rFonts w:ascii="Arial" w:hAnsi="Arial" w:cs="Arial"/>
          <w:szCs w:val="24"/>
          <w:lang w:eastAsia="de-DE"/>
        </w:rPr>
        <w:t>. Mai 2023</w:t>
      </w:r>
    </w:p>
    <w:p w14:paraId="1BCCEA4C" w14:textId="52EBFCBA" w:rsidR="00B60659" w:rsidRPr="001A7582"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1A7582">
        <w:rPr>
          <w:rFonts w:ascii="Arial" w:eastAsia="Arial" w:hAnsi="Arial" w:cs="Arial"/>
          <w:sz w:val="16"/>
          <w:szCs w:val="24"/>
          <w:lang w:eastAsia="de-DE"/>
        </w:rPr>
        <w:t>Or</w:t>
      </w:r>
      <w:proofErr w:type="spellEnd"/>
      <w:r w:rsidRPr="001A7582">
        <w:rPr>
          <w:rFonts w:ascii="Arial" w:eastAsia="Arial" w:hAnsi="Arial" w:cs="Arial"/>
          <w:sz w:val="16"/>
          <w:szCs w:val="24"/>
          <w:lang w:eastAsia="de-DE"/>
        </w:rPr>
        <w:t xml:space="preserve">. </w:t>
      </w:r>
      <w:r w:rsidR="008C5274" w:rsidRPr="001A7582">
        <w:rPr>
          <w:rFonts w:ascii="Arial" w:eastAsia="Arial" w:hAnsi="Arial" w:cs="Arial"/>
          <w:sz w:val="16"/>
          <w:szCs w:val="24"/>
        </w:rPr>
        <w:t>ENGLISCH</w:t>
      </w:r>
    </w:p>
    <w:p w14:paraId="1F45327D" w14:textId="77777777" w:rsidR="00B60659" w:rsidRPr="001A7582"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1A7582"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1A7582">
        <w:rPr>
          <w:rFonts w:ascii="Arial" w:hAnsi="Arial"/>
          <w:sz w:val="16"/>
        </w:rPr>
        <w:t xml:space="preserve">GEMEINSAME EXPERTENTAGUNG FÜR DIE DEM ÜBEREINKOMMEN ÜBER DIE INTERNATIONALE BEFÖRDERUNG VON GEFÄHRLICHEN GÜTERN AUF </w:t>
      </w:r>
      <w:r w:rsidRPr="001A7582">
        <w:rPr>
          <w:rFonts w:ascii="Arial" w:eastAsia="Calibri" w:hAnsi="Arial"/>
          <w:sz w:val="16"/>
        </w:rPr>
        <w:t xml:space="preserve">BINNENWASSERSTRAẞEN (ADN) </w:t>
      </w:r>
      <w:r w:rsidRPr="001A7582">
        <w:rPr>
          <w:rFonts w:ascii="Arial" w:hAnsi="Arial"/>
          <w:sz w:val="16"/>
        </w:rPr>
        <w:t>BEIGEFÜGTE VERORDNUNG (SICHERHEITSAUSSCHUSS)</w:t>
      </w:r>
    </w:p>
    <w:p w14:paraId="1342B616" w14:textId="4E64FD32" w:rsidR="00B60659" w:rsidRPr="001A7582"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1A7582">
        <w:rPr>
          <w:rFonts w:ascii="Arial" w:hAnsi="Arial"/>
          <w:sz w:val="16"/>
          <w:szCs w:val="24"/>
        </w:rPr>
        <w:t>(4</w:t>
      </w:r>
      <w:r w:rsidR="008C5274" w:rsidRPr="001A7582">
        <w:rPr>
          <w:rFonts w:ascii="Arial" w:hAnsi="Arial"/>
          <w:sz w:val="16"/>
          <w:szCs w:val="24"/>
        </w:rPr>
        <w:t>2</w:t>
      </w:r>
      <w:r w:rsidRPr="001A7582">
        <w:rPr>
          <w:rFonts w:ascii="Arial" w:hAnsi="Arial"/>
          <w:sz w:val="16"/>
          <w:szCs w:val="24"/>
        </w:rPr>
        <w:t>. Tagung, Genf, 2</w:t>
      </w:r>
      <w:r w:rsidR="008C5274" w:rsidRPr="001A7582">
        <w:rPr>
          <w:rFonts w:ascii="Arial" w:hAnsi="Arial"/>
          <w:sz w:val="16"/>
          <w:szCs w:val="24"/>
        </w:rPr>
        <w:t>1</w:t>
      </w:r>
      <w:r w:rsidRPr="001A7582">
        <w:rPr>
          <w:rFonts w:ascii="Arial" w:hAnsi="Arial"/>
          <w:sz w:val="16"/>
          <w:szCs w:val="24"/>
        </w:rPr>
        <w:t>. – 2</w:t>
      </w:r>
      <w:r w:rsidR="008C5274" w:rsidRPr="001A7582">
        <w:rPr>
          <w:rFonts w:ascii="Arial" w:hAnsi="Arial"/>
          <w:sz w:val="16"/>
          <w:szCs w:val="24"/>
        </w:rPr>
        <w:t>5</w:t>
      </w:r>
      <w:r w:rsidRPr="001A7582">
        <w:rPr>
          <w:rFonts w:ascii="Arial" w:hAnsi="Arial"/>
          <w:sz w:val="16"/>
          <w:szCs w:val="24"/>
        </w:rPr>
        <w:t>.</w:t>
      </w:r>
      <w:r w:rsidR="008C5274" w:rsidRPr="001A7582">
        <w:rPr>
          <w:rFonts w:ascii="Arial" w:hAnsi="Arial"/>
          <w:sz w:val="16"/>
          <w:szCs w:val="24"/>
        </w:rPr>
        <w:t xml:space="preserve"> August</w:t>
      </w:r>
      <w:r w:rsidRPr="001A7582">
        <w:rPr>
          <w:rFonts w:ascii="Arial" w:hAnsi="Arial"/>
          <w:sz w:val="16"/>
          <w:szCs w:val="24"/>
        </w:rPr>
        <w:t xml:space="preserve"> 2023)</w:t>
      </w:r>
    </w:p>
    <w:p w14:paraId="01501DC6" w14:textId="135237A4" w:rsidR="00B60659" w:rsidRPr="001A7582"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1A7582">
        <w:rPr>
          <w:rFonts w:ascii="Arial" w:hAnsi="Arial" w:cs="Arial"/>
          <w:sz w:val="16"/>
          <w:szCs w:val="16"/>
          <w:lang w:eastAsia="en-US"/>
        </w:rPr>
        <w:t xml:space="preserve">Punkt </w:t>
      </w:r>
      <w:r w:rsidR="008C5274" w:rsidRPr="001A7582">
        <w:rPr>
          <w:rFonts w:ascii="Arial" w:hAnsi="Arial" w:cs="Arial"/>
          <w:sz w:val="16"/>
          <w:szCs w:val="16"/>
          <w:lang w:eastAsia="en-US"/>
        </w:rPr>
        <w:t>4 b)</w:t>
      </w:r>
      <w:r w:rsidRPr="001A7582">
        <w:rPr>
          <w:rFonts w:ascii="Arial" w:hAnsi="Arial" w:cs="Arial"/>
          <w:sz w:val="16"/>
          <w:szCs w:val="16"/>
          <w:lang w:eastAsia="en-US"/>
        </w:rPr>
        <w:t xml:space="preserve"> der vorläufigen Tagesordnung</w:t>
      </w:r>
    </w:p>
    <w:p w14:paraId="7992D5BF" w14:textId="77777777" w:rsidR="00B60659" w:rsidRPr="001A7582"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1A7582">
        <w:rPr>
          <w:rFonts w:ascii="Arial" w:hAnsi="Arial" w:cs="Arial"/>
          <w:b/>
          <w:sz w:val="14"/>
          <w:szCs w:val="16"/>
          <w:lang w:eastAsia="en-US"/>
        </w:rPr>
        <w:t>Vorschläge für Änderungen der dem ADN beigefügten Verordnung: Weitere Änderungsvorschläge</w:t>
      </w:r>
    </w:p>
    <w:p w14:paraId="111EEFA9" w14:textId="77777777" w:rsidR="00B60659" w:rsidRPr="001A7582" w:rsidRDefault="00B60659" w:rsidP="00B60659">
      <w:pPr>
        <w:widowControl/>
        <w:overflowPunct/>
        <w:autoSpaceDE/>
        <w:autoSpaceDN/>
        <w:adjustRightInd/>
        <w:ind w:firstLine="0"/>
        <w:textAlignment w:val="auto"/>
        <w:rPr>
          <w:b/>
          <w:lang w:eastAsia="de-DE"/>
        </w:rPr>
      </w:pPr>
    </w:p>
    <w:p w14:paraId="6C280DEA" w14:textId="51C063D3" w:rsidR="008D3DAE" w:rsidRPr="001A7582" w:rsidRDefault="006D6D01" w:rsidP="008D3DAE">
      <w:pPr>
        <w:spacing w:line="276" w:lineRule="auto"/>
        <w:ind w:firstLine="0"/>
        <w:jc w:val="left"/>
        <w:rPr>
          <w:b/>
          <w:sz w:val="28"/>
        </w:rPr>
      </w:pPr>
      <w:r w:rsidRPr="001A7582">
        <w:rPr>
          <w:b/>
          <w:sz w:val="28"/>
        </w:rPr>
        <w:t>Korrektur des Absatzes</w:t>
      </w:r>
      <w:r w:rsidR="00D14A73" w:rsidRPr="001A7582">
        <w:rPr>
          <w:b/>
          <w:sz w:val="28"/>
        </w:rPr>
        <w:t xml:space="preserve"> 9.3.3.40.2.16 e)</w:t>
      </w:r>
    </w:p>
    <w:p w14:paraId="57AABC0C" w14:textId="77777777" w:rsidR="008D3DAE" w:rsidRPr="001A7582" w:rsidRDefault="008D3DAE" w:rsidP="008D3DAE">
      <w:pPr>
        <w:spacing w:line="276" w:lineRule="auto"/>
        <w:ind w:firstLine="0"/>
        <w:jc w:val="left"/>
        <w:rPr>
          <w:noProof/>
          <w:sz w:val="22"/>
          <w:szCs w:val="24"/>
        </w:rPr>
      </w:pPr>
    </w:p>
    <w:p w14:paraId="4BFD03E2" w14:textId="6C1A01C1" w:rsidR="008D3DAE" w:rsidRPr="001A7582" w:rsidRDefault="00B827ED" w:rsidP="008D3DAE">
      <w:pPr>
        <w:spacing w:after="120"/>
        <w:ind w:firstLine="0"/>
        <w:jc w:val="left"/>
        <w:rPr>
          <w:b/>
          <w:sz w:val="24"/>
        </w:rPr>
      </w:pPr>
      <w:r w:rsidRPr="001A7582">
        <w:rPr>
          <w:b/>
          <w:sz w:val="24"/>
        </w:rPr>
        <w:t>Vorgelegt von den Empfohlenen ADN-Klassifikationsgesellschaften</w:t>
      </w:r>
      <w:r w:rsidR="008D3DAE" w:rsidRPr="001A7582">
        <w:rPr>
          <w:b/>
          <w:sz w:val="24"/>
        </w:rPr>
        <w:t xml:space="preserve"> </w:t>
      </w:r>
      <w:r w:rsidR="008D3DAE" w:rsidRPr="001A7582">
        <w:rPr>
          <w:b/>
          <w:sz w:val="24"/>
        </w:rPr>
        <w:footnoteReference w:customMarkFollows="1" w:id="1"/>
        <w:t xml:space="preserve">*, </w:t>
      </w:r>
      <w:r w:rsidR="008D3DAE" w:rsidRPr="001A7582">
        <w:rPr>
          <w:b/>
          <w:sz w:val="24"/>
        </w:rPr>
        <w:footnoteReference w:customMarkFollows="1" w:id="2"/>
        <w:t>**</w:t>
      </w:r>
    </w:p>
    <w:p w14:paraId="0EC8594F" w14:textId="4BC94AF4" w:rsidR="00B827ED" w:rsidRPr="001A7582" w:rsidRDefault="00B827ED" w:rsidP="00B827ED">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1A7582">
        <w:rPr>
          <w:b/>
          <w:sz w:val="28"/>
        </w:rPr>
        <w:tab/>
      </w:r>
      <w:r w:rsidRPr="001A7582">
        <w:rPr>
          <w:b/>
          <w:sz w:val="28"/>
        </w:rPr>
        <w:tab/>
        <w:t>Einleitung</w:t>
      </w:r>
    </w:p>
    <w:p w14:paraId="60F61A92" w14:textId="35CB3633" w:rsidR="00D14A73" w:rsidRPr="001A7582" w:rsidRDefault="00D14A73" w:rsidP="001B0A9A">
      <w:pPr>
        <w:widowControl/>
        <w:tabs>
          <w:tab w:val="left" w:pos="1701"/>
        </w:tabs>
        <w:suppressAutoHyphens/>
        <w:overflowPunct/>
        <w:autoSpaceDE/>
        <w:autoSpaceDN/>
        <w:adjustRightInd/>
        <w:spacing w:after="120" w:line="240" w:lineRule="atLeast"/>
        <w:ind w:right="848" w:firstLine="0"/>
        <w:textAlignment w:val="auto"/>
      </w:pPr>
      <w:r w:rsidRPr="001A7582">
        <w:t>1.</w:t>
      </w:r>
      <w:r w:rsidRPr="001A7582">
        <w:tab/>
      </w:r>
      <w:r w:rsidR="00256648" w:rsidRPr="001A7582">
        <w:t>Der englische Wortlaut von Absatz 9.3.3.40.2.16 e) ist wie folgt gefasst:</w:t>
      </w:r>
    </w:p>
    <w:p w14:paraId="5C664813" w14:textId="2CF8EDFE" w:rsidR="00D14A73" w:rsidRPr="001A7582" w:rsidRDefault="00256648" w:rsidP="001B0A9A">
      <w:pPr>
        <w:widowControl/>
        <w:tabs>
          <w:tab w:val="left" w:pos="1701"/>
        </w:tabs>
        <w:suppressAutoHyphens/>
        <w:overflowPunct/>
        <w:autoSpaceDE/>
        <w:autoSpaceDN/>
        <w:adjustRightInd/>
        <w:spacing w:after="120" w:line="240" w:lineRule="atLeast"/>
        <w:ind w:right="848" w:firstLine="0"/>
        <w:textAlignment w:val="auto"/>
        <w:rPr>
          <w:lang w:val="en-US"/>
        </w:rPr>
      </w:pPr>
      <w:r w:rsidRPr="001A7582">
        <w:rPr>
          <w:lang w:val="en-US"/>
        </w:rPr>
        <w:t>„</w:t>
      </w:r>
      <w:r w:rsidR="00D14A73" w:rsidRPr="001A7582">
        <w:rPr>
          <w:lang w:val="en-US"/>
        </w:rPr>
        <w:t>(e)</w:t>
      </w:r>
      <w:r w:rsidR="00D14A73" w:rsidRPr="001A7582">
        <w:rPr>
          <w:lang w:val="en-US"/>
        </w:rPr>
        <w:tab/>
        <w:t xml:space="preserve">The provisions of this section do not apply to water spray systems in accordance with 9.3.1.28, 9.3.2.28 and 9.3.3.28.9.3.3.40.3 The two hand fire–extinguishers referred to in 8.1.4 shall be located in the cargo </w:t>
      </w:r>
      <w:proofErr w:type="gramStart"/>
      <w:r w:rsidR="00D14A73" w:rsidRPr="001A7582">
        <w:rPr>
          <w:lang w:val="en-US"/>
        </w:rPr>
        <w:t>area.</w:t>
      </w:r>
      <w:r w:rsidRPr="001A7582">
        <w:rPr>
          <w:lang w:val="en-US"/>
        </w:rPr>
        <w:t>“</w:t>
      </w:r>
      <w:proofErr w:type="gramEnd"/>
    </w:p>
    <w:p w14:paraId="5AE7F677" w14:textId="21C68B51" w:rsidR="00D14A73" w:rsidRPr="001A7582" w:rsidRDefault="00D14A73" w:rsidP="001B0A9A">
      <w:pPr>
        <w:widowControl/>
        <w:tabs>
          <w:tab w:val="left" w:pos="1701"/>
        </w:tabs>
        <w:suppressAutoHyphens/>
        <w:overflowPunct/>
        <w:autoSpaceDE/>
        <w:autoSpaceDN/>
        <w:adjustRightInd/>
        <w:spacing w:after="120" w:line="240" w:lineRule="atLeast"/>
        <w:ind w:right="848" w:firstLine="0"/>
        <w:textAlignment w:val="auto"/>
      </w:pPr>
      <w:r w:rsidRPr="001A7582">
        <w:t>2.</w:t>
      </w:r>
      <w:r w:rsidRPr="001A7582">
        <w:tab/>
      </w:r>
      <w:r w:rsidR="00256648" w:rsidRPr="001A7582">
        <w:t xml:space="preserve">Der Text „9.3.3.40.3 The </w:t>
      </w:r>
      <w:proofErr w:type="spellStart"/>
      <w:r w:rsidR="00256648" w:rsidRPr="001A7582">
        <w:t>two</w:t>
      </w:r>
      <w:proofErr w:type="spellEnd"/>
      <w:r w:rsidR="00256648" w:rsidRPr="001A7582">
        <w:t xml:space="preserve"> </w:t>
      </w:r>
      <w:proofErr w:type="spellStart"/>
      <w:r w:rsidR="00256648" w:rsidRPr="001A7582">
        <w:t>hand</w:t>
      </w:r>
      <w:proofErr w:type="spellEnd"/>
      <w:r w:rsidR="00256648" w:rsidRPr="001A7582">
        <w:t xml:space="preserve"> </w:t>
      </w:r>
      <w:proofErr w:type="spellStart"/>
      <w:r w:rsidR="00256648" w:rsidRPr="001A7582">
        <w:t>fire</w:t>
      </w:r>
      <w:proofErr w:type="spellEnd"/>
      <w:r w:rsidR="00256648" w:rsidRPr="001A7582">
        <w:t>–</w:t>
      </w:r>
      <w:proofErr w:type="spellStart"/>
      <w:r w:rsidR="00256648" w:rsidRPr="001A7582">
        <w:t>extinguishers</w:t>
      </w:r>
      <w:proofErr w:type="spellEnd"/>
      <w:r w:rsidR="00256648" w:rsidRPr="001A7582">
        <w:t xml:space="preserve"> </w:t>
      </w:r>
      <w:proofErr w:type="spellStart"/>
      <w:r w:rsidR="00256648" w:rsidRPr="001A7582">
        <w:t>referred</w:t>
      </w:r>
      <w:proofErr w:type="spellEnd"/>
      <w:r w:rsidR="00256648" w:rsidRPr="001A7582">
        <w:t xml:space="preserve"> </w:t>
      </w:r>
      <w:proofErr w:type="spellStart"/>
      <w:r w:rsidR="00256648" w:rsidRPr="001A7582">
        <w:t>to</w:t>
      </w:r>
      <w:proofErr w:type="spellEnd"/>
      <w:r w:rsidR="00256648" w:rsidRPr="001A7582">
        <w:t xml:space="preserve"> in 8.1.4 </w:t>
      </w:r>
      <w:proofErr w:type="spellStart"/>
      <w:r w:rsidR="00256648" w:rsidRPr="001A7582">
        <w:t>shall</w:t>
      </w:r>
      <w:proofErr w:type="spellEnd"/>
      <w:r w:rsidR="00256648" w:rsidRPr="001A7582">
        <w:t xml:space="preserve"> </w:t>
      </w:r>
      <w:proofErr w:type="spellStart"/>
      <w:r w:rsidR="00256648" w:rsidRPr="001A7582">
        <w:t>be</w:t>
      </w:r>
      <w:proofErr w:type="spellEnd"/>
      <w:r w:rsidR="00256648" w:rsidRPr="001A7582">
        <w:t xml:space="preserve"> </w:t>
      </w:r>
      <w:proofErr w:type="spellStart"/>
      <w:r w:rsidR="00256648" w:rsidRPr="001A7582">
        <w:t>located</w:t>
      </w:r>
      <w:proofErr w:type="spellEnd"/>
      <w:r w:rsidR="00256648" w:rsidRPr="001A7582">
        <w:t xml:space="preserve"> in the </w:t>
      </w:r>
      <w:proofErr w:type="spellStart"/>
      <w:r w:rsidR="00256648" w:rsidRPr="001A7582">
        <w:t>cargo</w:t>
      </w:r>
      <w:proofErr w:type="spellEnd"/>
      <w:r w:rsidR="00256648" w:rsidRPr="001A7582">
        <w:t xml:space="preserve"> </w:t>
      </w:r>
      <w:proofErr w:type="spellStart"/>
      <w:r w:rsidR="00256648" w:rsidRPr="001A7582">
        <w:t>area</w:t>
      </w:r>
      <w:proofErr w:type="spellEnd"/>
      <w:r w:rsidR="00256648" w:rsidRPr="001A7582">
        <w:t>.“ wird auf die gleiche Ebene wie Absatz 9.3.3.40.4 verschoben</w:t>
      </w:r>
      <w:r w:rsidR="00B43F3C" w:rsidRPr="001A7582">
        <w:t xml:space="preserve"> (vgl. die französische [und deutsche] Fassung)</w:t>
      </w:r>
      <w:r w:rsidR="00256648" w:rsidRPr="001A7582">
        <w:t>.</w:t>
      </w:r>
    </w:p>
    <w:p w14:paraId="0FE70CD9" w14:textId="76CDD349" w:rsidR="00D14A73" w:rsidRPr="001A7582" w:rsidRDefault="00D14A73" w:rsidP="001B0A9A">
      <w:pPr>
        <w:widowControl/>
        <w:tabs>
          <w:tab w:val="left" w:pos="1701"/>
        </w:tabs>
        <w:suppressAutoHyphens/>
        <w:overflowPunct/>
        <w:autoSpaceDE/>
        <w:autoSpaceDN/>
        <w:adjustRightInd/>
        <w:spacing w:after="120" w:line="240" w:lineRule="atLeast"/>
        <w:ind w:right="848" w:firstLine="0"/>
        <w:textAlignment w:val="auto"/>
      </w:pPr>
      <w:r w:rsidRPr="001A7582">
        <w:t>3.</w:t>
      </w:r>
      <w:r w:rsidRPr="001A7582">
        <w:tab/>
      </w:r>
      <w:r w:rsidR="00256648" w:rsidRPr="001A7582">
        <w:t>Der französische Wortlaut ist wie folgt gefasst:</w:t>
      </w:r>
    </w:p>
    <w:p w14:paraId="2DE49D9A" w14:textId="7A5B0F77" w:rsidR="00D14A73" w:rsidRPr="001A7582" w:rsidRDefault="00256648" w:rsidP="001B0A9A">
      <w:pPr>
        <w:widowControl/>
        <w:tabs>
          <w:tab w:val="left" w:pos="1701"/>
        </w:tabs>
        <w:suppressAutoHyphens/>
        <w:overflowPunct/>
        <w:autoSpaceDE/>
        <w:autoSpaceDN/>
        <w:adjustRightInd/>
        <w:spacing w:after="120" w:line="240" w:lineRule="atLeast"/>
        <w:ind w:right="848" w:firstLine="0"/>
        <w:textAlignment w:val="auto"/>
        <w:rPr>
          <w:lang w:val="fr-FR"/>
        </w:rPr>
      </w:pPr>
      <w:r w:rsidRPr="001A7582">
        <w:rPr>
          <w:lang w:val="fr-FR"/>
        </w:rPr>
        <w:t>„</w:t>
      </w:r>
      <w:r w:rsidR="00D14A73" w:rsidRPr="001A7582">
        <w:rPr>
          <w:lang w:val="fr-FR"/>
        </w:rPr>
        <w:t>e)</w:t>
      </w:r>
      <w:r w:rsidR="00D14A73" w:rsidRPr="001A7582">
        <w:rPr>
          <w:lang w:val="fr-FR"/>
        </w:rPr>
        <w:tab/>
        <w:t>Les dispositions de la présente section ne s’appliquent pas aux installations de pulvérisation d’eau conformes aux dispositions des 9.3.1.28, 9.3.2.28 et 9.3.3.28.</w:t>
      </w:r>
    </w:p>
    <w:p w14:paraId="367EDC56" w14:textId="77777777" w:rsidR="00D14A73" w:rsidRPr="001A7582" w:rsidRDefault="00D14A73" w:rsidP="001B0A9A">
      <w:pPr>
        <w:widowControl/>
        <w:tabs>
          <w:tab w:val="left" w:pos="1701"/>
        </w:tabs>
        <w:suppressAutoHyphens/>
        <w:overflowPunct/>
        <w:autoSpaceDE/>
        <w:autoSpaceDN/>
        <w:adjustRightInd/>
        <w:spacing w:after="120" w:line="240" w:lineRule="atLeast"/>
        <w:ind w:right="848" w:firstLine="0"/>
        <w:textAlignment w:val="auto"/>
        <w:rPr>
          <w:lang w:val="fr-FR"/>
        </w:rPr>
      </w:pPr>
      <w:r w:rsidRPr="001A7582">
        <w:rPr>
          <w:lang w:val="fr-FR"/>
        </w:rPr>
        <w:t>9.3.3.40.3 Les deux extincteurs d'incendie prescrits au 8.1.4 doivent être placés dans la zone de cargaison.</w:t>
      </w:r>
    </w:p>
    <w:p w14:paraId="3BD79C58" w14:textId="7E0EF4BD" w:rsidR="00D14A73" w:rsidRPr="001A7582" w:rsidRDefault="00D14A73" w:rsidP="001B0A9A">
      <w:pPr>
        <w:widowControl/>
        <w:tabs>
          <w:tab w:val="left" w:pos="1701"/>
        </w:tabs>
        <w:suppressAutoHyphens/>
        <w:overflowPunct/>
        <w:autoSpaceDE/>
        <w:autoSpaceDN/>
        <w:adjustRightInd/>
        <w:spacing w:after="120" w:line="240" w:lineRule="atLeast"/>
        <w:ind w:right="848" w:firstLine="0"/>
        <w:textAlignment w:val="auto"/>
        <w:rPr>
          <w:lang w:val="fr-FR"/>
        </w:rPr>
      </w:pPr>
      <w:r w:rsidRPr="001A7582">
        <w:rPr>
          <w:lang w:val="fr-FR"/>
        </w:rPr>
        <w:t xml:space="preserve">9.3.3.40.4 L’agent extincteur dans les installations d’extinction fixées à demeure doit être approprié et en quantité suffisante pour combattre les </w:t>
      </w:r>
      <w:proofErr w:type="gramStart"/>
      <w:r w:rsidRPr="001A7582">
        <w:rPr>
          <w:lang w:val="fr-FR"/>
        </w:rPr>
        <w:t>incendies.</w:t>
      </w:r>
      <w:r w:rsidR="00256648" w:rsidRPr="001A7582">
        <w:rPr>
          <w:lang w:val="fr-FR"/>
        </w:rPr>
        <w:t>“</w:t>
      </w:r>
      <w:proofErr w:type="gramEnd"/>
    </w:p>
    <w:p w14:paraId="0451852A" w14:textId="77777777" w:rsidR="00DA49FE" w:rsidRPr="001A7582" w:rsidRDefault="00DA49FE" w:rsidP="001B0A9A">
      <w:pPr>
        <w:widowControl/>
        <w:tabs>
          <w:tab w:val="left" w:pos="1701"/>
        </w:tabs>
        <w:suppressAutoHyphens/>
        <w:overflowPunct/>
        <w:autoSpaceDE/>
        <w:autoSpaceDN/>
        <w:adjustRightInd/>
        <w:spacing w:after="120" w:line="240" w:lineRule="atLeast"/>
        <w:ind w:right="848" w:firstLine="0"/>
        <w:textAlignment w:val="auto"/>
        <w:rPr>
          <w:lang w:val="fr-FR"/>
        </w:rPr>
      </w:pPr>
    </w:p>
    <w:p w14:paraId="5D902023" w14:textId="2631D74A" w:rsidR="00D14A73" w:rsidRPr="001A7582" w:rsidRDefault="00D14A73" w:rsidP="001B0A9A">
      <w:pPr>
        <w:widowControl/>
        <w:tabs>
          <w:tab w:val="left" w:pos="1701"/>
        </w:tabs>
        <w:suppressAutoHyphens/>
        <w:overflowPunct/>
        <w:autoSpaceDE/>
        <w:autoSpaceDN/>
        <w:adjustRightInd/>
        <w:spacing w:after="120" w:line="240" w:lineRule="atLeast"/>
        <w:ind w:right="848" w:firstLine="0"/>
        <w:textAlignment w:val="auto"/>
      </w:pPr>
      <w:r w:rsidRPr="001A7582">
        <w:t>[Der deu</w:t>
      </w:r>
      <w:r w:rsidR="00123C51" w:rsidRPr="001A7582">
        <w:t>t</w:t>
      </w:r>
      <w:r w:rsidRPr="001A7582">
        <w:t xml:space="preserve">sche </w:t>
      </w:r>
      <w:r w:rsidR="0059212C" w:rsidRPr="001A7582">
        <w:t>Wortlaut</w:t>
      </w:r>
      <w:r w:rsidRPr="001A7582">
        <w:t xml:space="preserve"> </w:t>
      </w:r>
      <w:r w:rsidR="0059212C" w:rsidRPr="001A7582">
        <w:t>ist wie folgt gefasst</w:t>
      </w:r>
      <w:r w:rsidRPr="001A7582">
        <w:t>:</w:t>
      </w:r>
    </w:p>
    <w:p w14:paraId="14886CF0" w14:textId="10851C02" w:rsidR="00D14A73" w:rsidRPr="001A7582" w:rsidRDefault="00D14A73" w:rsidP="001B0A9A">
      <w:pPr>
        <w:widowControl/>
        <w:tabs>
          <w:tab w:val="left" w:pos="1701"/>
        </w:tabs>
        <w:suppressAutoHyphens/>
        <w:overflowPunct/>
        <w:autoSpaceDE/>
        <w:autoSpaceDN/>
        <w:adjustRightInd/>
        <w:spacing w:after="120" w:line="240" w:lineRule="atLeast"/>
        <w:ind w:right="848" w:firstLine="0"/>
        <w:textAlignment w:val="auto"/>
      </w:pPr>
      <w:r w:rsidRPr="001A7582">
        <w:t>„e)</w:t>
      </w:r>
      <w:r w:rsidRPr="001A7582">
        <w:tab/>
        <w:t>Die Bestimmungen dieses Absatzes gelten nicht für Berieselungsanlagen gemäß 9.3.1.28, 9.3.2.28 und 9.3.3.28.</w:t>
      </w:r>
    </w:p>
    <w:p w14:paraId="50C7F0ED" w14:textId="77777777" w:rsidR="00D14A73" w:rsidRPr="001A7582" w:rsidRDefault="00D14A73" w:rsidP="001B0A9A">
      <w:pPr>
        <w:widowControl/>
        <w:tabs>
          <w:tab w:val="left" w:pos="1701"/>
        </w:tabs>
        <w:suppressAutoHyphens/>
        <w:overflowPunct/>
        <w:autoSpaceDE/>
        <w:autoSpaceDN/>
        <w:adjustRightInd/>
        <w:spacing w:after="120" w:line="240" w:lineRule="atLeast"/>
        <w:ind w:right="848" w:firstLine="0"/>
        <w:textAlignment w:val="auto"/>
      </w:pPr>
      <w:r w:rsidRPr="001A7582">
        <w:t>9.3.3.40.3</w:t>
      </w:r>
      <w:r w:rsidRPr="001A7582">
        <w:tab/>
        <w:t>Die in Abschnitt 8.1.4 vorgeschriebenen zwei Handfeuerlöscher müssen sich im Bereich der Ladung befinden.</w:t>
      </w:r>
    </w:p>
    <w:p w14:paraId="2172A7B7" w14:textId="05AE12F8" w:rsidR="00D14A73" w:rsidRPr="001A7582" w:rsidRDefault="00D14A73" w:rsidP="001B0A9A">
      <w:pPr>
        <w:widowControl/>
        <w:tabs>
          <w:tab w:val="left" w:pos="1701"/>
        </w:tabs>
        <w:suppressAutoHyphens/>
        <w:overflowPunct/>
        <w:autoSpaceDE/>
        <w:autoSpaceDN/>
        <w:adjustRightInd/>
        <w:spacing w:after="120" w:line="240" w:lineRule="atLeast"/>
        <w:ind w:right="848" w:firstLine="0"/>
        <w:textAlignment w:val="auto"/>
      </w:pPr>
      <w:r w:rsidRPr="001A7582">
        <w:t>9.3.3.40.4</w:t>
      </w:r>
      <w:r w:rsidRPr="001A7582">
        <w:tab/>
        <w:t>Löschmittel und Löschmittelmenge fest installierter Feuerlöscheinrichtungen müssen für das Bekämpfen von Bränden geeignet und ausreichend sein.</w:t>
      </w:r>
      <w:r w:rsidR="00256648" w:rsidRPr="001A7582">
        <w:t>“</w:t>
      </w:r>
      <w:r w:rsidRPr="001A7582">
        <w:t>]</w:t>
      </w:r>
    </w:p>
    <w:p w14:paraId="5CC601BD" w14:textId="77777777" w:rsidR="00D14A73" w:rsidRPr="001A7582" w:rsidRDefault="00D14A73" w:rsidP="00D14A73">
      <w:pPr>
        <w:widowControl/>
        <w:tabs>
          <w:tab w:val="left" w:pos="1701"/>
        </w:tabs>
        <w:suppressAutoHyphens/>
        <w:overflowPunct/>
        <w:autoSpaceDE/>
        <w:autoSpaceDN/>
        <w:adjustRightInd/>
        <w:spacing w:after="120" w:line="240" w:lineRule="atLeast"/>
        <w:ind w:right="1134" w:firstLine="0"/>
        <w:textAlignment w:val="auto"/>
      </w:pPr>
    </w:p>
    <w:p w14:paraId="5995B249" w14:textId="576ED22A" w:rsidR="00D14A73" w:rsidRPr="001A7582" w:rsidRDefault="00D14A73" w:rsidP="00D14A73">
      <w:pPr>
        <w:keepNext/>
        <w:keepLines/>
        <w:pageBreakBefore/>
        <w:widowControl/>
        <w:tabs>
          <w:tab w:val="right" w:pos="851"/>
        </w:tabs>
        <w:suppressAutoHyphens/>
        <w:overflowPunct/>
        <w:autoSpaceDE/>
        <w:autoSpaceDN/>
        <w:adjustRightInd/>
        <w:spacing w:before="360" w:after="240" w:line="300" w:lineRule="exact"/>
        <w:ind w:right="1134"/>
        <w:jc w:val="left"/>
        <w:textAlignment w:val="auto"/>
        <w:rPr>
          <w:b/>
          <w:sz w:val="28"/>
        </w:rPr>
      </w:pPr>
      <w:r w:rsidRPr="001A7582">
        <w:rPr>
          <w:b/>
          <w:sz w:val="28"/>
        </w:rPr>
        <w:lastRenderedPageBreak/>
        <w:tab/>
      </w:r>
      <w:r w:rsidRPr="001A7582">
        <w:rPr>
          <w:b/>
          <w:sz w:val="28"/>
        </w:rPr>
        <w:tab/>
        <w:t>Korrekturvorschlag</w:t>
      </w:r>
    </w:p>
    <w:p w14:paraId="5EE57DF3" w14:textId="39206B68" w:rsidR="00D14A73" w:rsidRPr="001A7582" w:rsidRDefault="00D14A73" w:rsidP="001B0A9A">
      <w:pPr>
        <w:widowControl/>
        <w:tabs>
          <w:tab w:val="left" w:pos="1701"/>
        </w:tabs>
        <w:suppressAutoHyphens/>
        <w:overflowPunct/>
        <w:autoSpaceDE/>
        <w:autoSpaceDN/>
        <w:adjustRightInd/>
        <w:spacing w:after="120" w:line="240" w:lineRule="atLeast"/>
        <w:ind w:right="848" w:firstLine="0"/>
        <w:textAlignment w:val="auto"/>
      </w:pPr>
      <w:r w:rsidRPr="001A7582">
        <w:t>4.</w:t>
      </w:r>
      <w:r w:rsidRPr="001A7582">
        <w:tab/>
      </w:r>
      <w:r w:rsidR="007A20F1" w:rsidRPr="001A7582">
        <w:t>Der ADN-Sicherheitsausschuss wird gebeten, den nachstehenden Vorschlag zur Berichtigung des Absatzes 9.3.3.40.2.16 e) ADN für die nächste Ausgabe des ADN zu prüfen und anzunehmen.</w:t>
      </w:r>
      <w:r w:rsidRPr="001A7582">
        <w:t xml:space="preserve"> </w:t>
      </w:r>
    </w:p>
    <w:p w14:paraId="7EBDC71C" w14:textId="79A5AF5C" w:rsidR="00D14A73" w:rsidRPr="001A7582" w:rsidRDefault="007A20F1" w:rsidP="001B0A9A">
      <w:pPr>
        <w:widowControl/>
        <w:suppressAutoHyphens/>
        <w:overflowPunct/>
        <w:autoSpaceDE/>
        <w:autoSpaceDN/>
        <w:adjustRightInd/>
        <w:spacing w:after="120" w:line="240" w:lineRule="atLeast"/>
        <w:ind w:right="848" w:firstLine="0"/>
        <w:textAlignment w:val="auto"/>
        <w:rPr>
          <w:lang w:val="en-US"/>
        </w:rPr>
      </w:pPr>
      <w:r w:rsidRPr="001A7582">
        <w:rPr>
          <w:lang w:val="en-US"/>
        </w:rPr>
        <w:t>„</w:t>
      </w:r>
      <w:r w:rsidR="00D14A73" w:rsidRPr="001A7582">
        <w:rPr>
          <w:lang w:val="en-US"/>
        </w:rPr>
        <w:t>(e) The provisions of this section do not apply to water spray systems in accordance with</w:t>
      </w:r>
      <w:r w:rsidR="00361C3A">
        <w:rPr>
          <w:lang w:val="en-US"/>
        </w:rPr>
        <w:t xml:space="preserve"> </w:t>
      </w:r>
      <w:r w:rsidR="00D14A73" w:rsidRPr="001A7582">
        <w:rPr>
          <w:lang w:val="en-US"/>
        </w:rPr>
        <w:t>9.3.1.28, 9.3.2.28 and 9.3.3.28.</w:t>
      </w:r>
    </w:p>
    <w:p w14:paraId="518C7B5A" w14:textId="77777777" w:rsidR="00D14A73" w:rsidRPr="001A7582" w:rsidRDefault="00D14A73" w:rsidP="001B0A9A">
      <w:pPr>
        <w:widowControl/>
        <w:suppressAutoHyphens/>
        <w:overflowPunct/>
        <w:autoSpaceDE/>
        <w:autoSpaceDN/>
        <w:adjustRightInd/>
        <w:spacing w:after="120" w:line="240" w:lineRule="atLeast"/>
        <w:ind w:right="848" w:firstLine="0"/>
        <w:textAlignment w:val="auto"/>
        <w:rPr>
          <w:lang w:val="en-US"/>
        </w:rPr>
      </w:pPr>
      <w:r w:rsidRPr="001A7582">
        <w:rPr>
          <w:lang w:val="en-US"/>
        </w:rPr>
        <w:t xml:space="preserve">9.3.3.40.3 The </w:t>
      </w:r>
      <w:proofErr w:type="gramStart"/>
      <w:r w:rsidRPr="001A7582">
        <w:rPr>
          <w:lang w:val="en-US"/>
        </w:rPr>
        <w:t>two hand</w:t>
      </w:r>
      <w:proofErr w:type="gramEnd"/>
      <w:r w:rsidRPr="001A7582">
        <w:rPr>
          <w:lang w:val="en-US"/>
        </w:rPr>
        <w:t xml:space="preserve"> fire–extinguishers referred to in 8.1.4 shall be located in the cargo area.</w:t>
      </w:r>
    </w:p>
    <w:p w14:paraId="1565010B" w14:textId="174C053F" w:rsidR="00D14A73" w:rsidRPr="001A7582" w:rsidRDefault="00D14A73" w:rsidP="001B0A9A">
      <w:pPr>
        <w:widowControl/>
        <w:suppressAutoHyphens/>
        <w:overflowPunct/>
        <w:autoSpaceDE/>
        <w:autoSpaceDN/>
        <w:adjustRightInd/>
        <w:spacing w:after="120" w:line="240" w:lineRule="atLeast"/>
        <w:ind w:right="848" w:firstLine="0"/>
        <w:textAlignment w:val="auto"/>
        <w:rPr>
          <w:lang w:val="en-US"/>
        </w:rPr>
      </w:pPr>
      <w:r w:rsidRPr="001A7582">
        <w:rPr>
          <w:lang w:val="en-US"/>
        </w:rPr>
        <w:t xml:space="preserve">9.3.3.40.4 The fire-extinguishing agent and the quantity contained in the permanently fixed fire-extinguishing system shall be suitable and sufficient for fighting </w:t>
      </w:r>
      <w:proofErr w:type="gramStart"/>
      <w:r w:rsidRPr="001A7582">
        <w:rPr>
          <w:lang w:val="en-US"/>
        </w:rPr>
        <w:t>fires.</w:t>
      </w:r>
      <w:r w:rsidR="007A20F1" w:rsidRPr="001A7582">
        <w:rPr>
          <w:lang w:val="en-US"/>
        </w:rPr>
        <w:t>“</w:t>
      </w:r>
      <w:proofErr w:type="gramEnd"/>
    </w:p>
    <w:p w14:paraId="6951FA3D" w14:textId="5EE5B233" w:rsidR="00B827ED" w:rsidRPr="001A7582" w:rsidRDefault="00B827ED" w:rsidP="001B0A9A">
      <w:pPr>
        <w:widowControl/>
        <w:tabs>
          <w:tab w:val="left" w:pos="1701"/>
        </w:tabs>
        <w:suppressAutoHyphens/>
        <w:overflowPunct/>
        <w:autoSpaceDE/>
        <w:autoSpaceDN/>
        <w:adjustRightInd/>
        <w:spacing w:after="120" w:line="240" w:lineRule="atLeast"/>
        <w:ind w:right="848" w:firstLine="0"/>
        <w:textAlignment w:val="auto"/>
        <w:rPr>
          <w:b/>
          <w:bCs/>
          <w:lang w:val="en-GB"/>
        </w:rPr>
      </w:pPr>
    </w:p>
    <w:p w14:paraId="258CF0B9" w14:textId="53FB215F" w:rsidR="00751575" w:rsidRPr="00B60659" w:rsidRDefault="00B60659" w:rsidP="00B60659">
      <w:pPr>
        <w:tabs>
          <w:tab w:val="left" w:pos="567"/>
          <w:tab w:val="left" w:pos="1418"/>
        </w:tabs>
        <w:spacing w:line="240" w:lineRule="atLeast"/>
        <w:ind w:left="0" w:firstLine="0"/>
        <w:contextualSpacing/>
        <w:jc w:val="center"/>
      </w:pPr>
      <w:r w:rsidRPr="001A7582">
        <w:t>***</w:t>
      </w:r>
    </w:p>
    <w:sectPr w:rsidR="00751575" w:rsidRPr="00B60659"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F151" w14:textId="77777777" w:rsidR="00FD0AB5" w:rsidRDefault="00FD0AB5" w:rsidP="0011702A">
      <w:r>
        <w:separator/>
      </w:r>
    </w:p>
  </w:endnote>
  <w:endnote w:type="continuationSeparator" w:id="0">
    <w:p w14:paraId="06A7B785" w14:textId="77777777" w:rsidR="00FD0AB5" w:rsidRDefault="00FD0AB5"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07A463E0" w:rsidR="00915307" w:rsidRPr="008D3DAE" w:rsidRDefault="008D3DAE" w:rsidP="008D3DAE">
    <w:pPr>
      <w:suppressAutoHyphens/>
      <w:jc w:val="right"/>
      <w:rPr>
        <w:lang w:val="fr-FR"/>
      </w:rPr>
    </w:pPr>
    <w:r>
      <w:rPr>
        <w:rFonts w:ascii="Arial" w:hAnsi="Arial" w:cs="Arial"/>
        <w:noProof/>
        <w:snapToGrid w:val="0"/>
        <w:sz w:val="12"/>
        <w:lang w:val="fr-FR"/>
      </w:rPr>
      <w:t>mm_ba/adn_wp15_ac2_2023_</w:t>
    </w:r>
    <w:r w:rsidR="00D14A73">
      <w:rPr>
        <w:rFonts w:ascii="Arial" w:hAnsi="Arial" w:cs="Arial"/>
        <w:noProof/>
        <w:snapToGrid w:val="0"/>
        <w:sz w:val="12"/>
        <w:lang w:val="fr-FR"/>
      </w:rPr>
      <w:t>17</w:t>
    </w:r>
    <w:r>
      <w:rPr>
        <w:rFonts w:ascii="Arial" w:hAnsi="Arial" w:cs="Arial"/>
        <w:noProof/>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59F3" w14:textId="77777777" w:rsidR="00FD0AB5" w:rsidRDefault="00FD0AB5" w:rsidP="0011702A">
      <w:r>
        <w:separator/>
      </w:r>
    </w:p>
  </w:footnote>
  <w:footnote w:type="continuationSeparator" w:id="0">
    <w:p w14:paraId="40F0F62E" w14:textId="77777777" w:rsidR="00FD0AB5" w:rsidRDefault="00FD0AB5" w:rsidP="0011702A">
      <w:r>
        <w:continuationSeparator/>
      </w:r>
    </w:p>
  </w:footnote>
  <w:footnote w:id="1">
    <w:p w14:paraId="4A90418F" w14:textId="7635EAFE"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Von der UNECE in Englisch, Französisch und Russisch unter dem Aktenzeichen ECE/TRANS/WP.15/AC.2/2023/</w:t>
      </w:r>
      <w:r w:rsidR="00E22232">
        <w:rPr>
          <w:sz w:val="16"/>
          <w:szCs w:val="16"/>
        </w:rPr>
        <w:t>17</w:t>
      </w:r>
      <w:r w:rsidRPr="00B60659">
        <w:rPr>
          <w:sz w:val="16"/>
          <w:szCs w:val="16"/>
        </w:rPr>
        <w:t>.</w:t>
      </w:r>
    </w:p>
  </w:footnote>
  <w:footnote w:id="2">
    <w:p w14:paraId="1B2FF234" w14:textId="6F147C17"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A/</w:t>
      </w:r>
      <w:r>
        <w:rPr>
          <w:sz w:val="16"/>
          <w:szCs w:val="16"/>
        </w:rPr>
        <w:t>77</w:t>
      </w:r>
      <w:r w:rsidRPr="00B60659">
        <w:rPr>
          <w:sz w:val="16"/>
          <w:szCs w:val="16"/>
        </w:rPr>
        <w:t xml:space="preserve">/6 (Kap. 20) </w:t>
      </w:r>
      <w:r>
        <w:rPr>
          <w:sz w:val="16"/>
          <w:szCs w:val="16"/>
        </w:rPr>
        <w:t>Tabelle</w:t>
      </w:r>
      <w:r w:rsidRPr="00B60659">
        <w:rPr>
          <w:sz w:val="16"/>
          <w:szCs w:val="16"/>
        </w:rPr>
        <w:t>.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149472C4"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D14A73">
      <w:rPr>
        <w:rFonts w:ascii="Arial" w:hAnsi="Arial"/>
        <w:snapToGrid w:val="0"/>
        <w:sz w:val="16"/>
        <w:szCs w:val="16"/>
        <w:lang w:val="fr-FR"/>
      </w:rPr>
      <w:t>17</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7"/>
  </w:num>
  <w:num w:numId="4" w16cid:durableId="58795070">
    <w:abstractNumId w:val="8"/>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30B8"/>
    <w:rsid w:val="00025C95"/>
    <w:rsid w:val="00026176"/>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3C51"/>
    <w:rsid w:val="00126AA9"/>
    <w:rsid w:val="00131CD7"/>
    <w:rsid w:val="00132CD8"/>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78DE"/>
    <w:rsid w:val="00190390"/>
    <w:rsid w:val="00197CF4"/>
    <w:rsid w:val="001A078E"/>
    <w:rsid w:val="001A7582"/>
    <w:rsid w:val="001A791F"/>
    <w:rsid w:val="001B0A9A"/>
    <w:rsid w:val="001B4F22"/>
    <w:rsid w:val="001B7B3E"/>
    <w:rsid w:val="001C0E5C"/>
    <w:rsid w:val="001C1D1B"/>
    <w:rsid w:val="001C303B"/>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118A"/>
    <w:rsid w:val="002421A1"/>
    <w:rsid w:val="002431F2"/>
    <w:rsid w:val="002460C4"/>
    <w:rsid w:val="00250FDB"/>
    <w:rsid w:val="00253DB1"/>
    <w:rsid w:val="002546D9"/>
    <w:rsid w:val="00255192"/>
    <w:rsid w:val="00256648"/>
    <w:rsid w:val="0027414F"/>
    <w:rsid w:val="002748A2"/>
    <w:rsid w:val="00280779"/>
    <w:rsid w:val="00283323"/>
    <w:rsid w:val="00290B95"/>
    <w:rsid w:val="00291CB3"/>
    <w:rsid w:val="002945CA"/>
    <w:rsid w:val="002A337E"/>
    <w:rsid w:val="002A53A6"/>
    <w:rsid w:val="002B0567"/>
    <w:rsid w:val="002B0630"/>
    <w:rsid w:val="002B3FEF"/>
    <w:rsid w:val="002B4C67"/>
    <w:rsid w:val="002B5AED"/>
    <w:rsid w:val="002B5AFB"/>
    <w:rsid w:val="002C0469"/>
    <w:rsid w:val="002C382E"/>
    <w:rsid w:val="002C742A"/>
    <w:rsid w:val="002D1BFB"/>
    <w:rsid w:val="002D4720"/>
    <w:rsid w:val="002D7C79"/>
    <w:rsid w:val="002E0D39"/>
    <w:rsid w:val="002E2DAD"/>
    <w:rsid w:val="002E3745"/>
    <w:rsid w:val="002E3FE8"/>
    <w:rsid w:val="002E6A16"/>
    <w:rsid w:val="002E7227"/>
    <w:rsid w:val="002F4FC6"/>
    <w:rsid w:val="00303233"/>
    <w:rsid w:val="003033DD"/>
    <w:rsid w:val="00316D5A"/>
    <w:rsid w:val="0032045B"/>
    <w:rsid w:val="00320C5F"/>
    <w:rsid w:val="003233C8"/>
    <w:rsid w:val="00325D76"/>
    <w:rsid w:val="00326B14"/>
    <w:rsid w:val="00337284"/>
    <w:rsid w:val="00342BA1"/>
    <w:rsid w:val="003439FC"/>
    <w:rsid w:val="00344C19"/>
    <w:rsid w:val="00351F70"/>
    <w:rsid w:val="00357412"/>
    <w:rsid w:val="00361725"/>
    <w:rsid w:val="00361C3A"/>
    <w:rsid w:val="00363525"/>
    <w:rsid w:val="0036362E"/>
    <w:rsid w:val="00364E68"/>
    <w:rsid w:val="003702C7"/>
    <w:rsid w:val="00372561"/>
    <w:rsid w:val="0037328B"/>
    <w:rsid w:val="0038428F"/>
    <w:rsid w:val="003866B8"/>
    <w:rsid w:val="00386A42"/>
    <w:rsid w:val="00387545"/>
    <w:rsid w:val="00394763"/>
    <w:rsid w:val="00395742"/>
    <w:rsid w:val="00397E52"/>
    <w:rsid w:val="003A2337"/>
    <w:rsid w:val="003B23DA"/>
    <w:rsid w:val="003C0CEA"/>
    <w:rsid w:val="003C61C4"/>
    <w:rsid w:val="003D3605"/>
    <w:rsid w:val="003D5B9B"/>
    <w:rsid w:val="003D7BD0"/>
    <w:rsid w:val="003E1AA1"/>
    <w:rsid w:val="003E328C"/>
    <w:rsid w:val="003E6E61"/>
    <w:rsid w:val="003F334D"/>
    <w:rsid w:val="00400ADD"/>
    <w:rsid w:val="00401179"/>
    <w:rsid w:val="0040118C"/>
    <w:rsid w:val="0040293E"/>
    <w:rsid w:val="00405327"/>
    <w:rsid w:val="00406965"/>
    <w:rsid w:val="00410285"/>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72198"/>
    <w:rsid w:val="004819A4"/>
    <w:rsid w:val="0048292C"/>
    <w:rsid w:val="00483272"/>
    <w:rsid w:val="0048352A"/>
    <w:rsid w:val="004847DC"/>
    <w:rsid w:val="00492FA6"/>
    <w:rsid w:val="0049785E"/>
    <w:rsid w:val="004A0752"/>
    <w:rsid w:val="004A3FE7"/>
    <w:rsid w:val="004A46B8"/>
    <w:rsid w:val="004B0D93"/>
    <w:rsid w:val="004B25CA"/>
    <w:rsid w:val="004B7EA6"/>
    <w:rsid w:val="004C18DE"/>
    <w:rsid w:val="004D23FB"/>
    <w:rsid w:val="004D323E"/>
    <w:rsid w:val="004D3372"/>
    <w:rsid w:val="004D4E9D"/>
    <w:rsid w:val="004E622A"/>
    <w:rsid w:val="004F2E32"/>
    <w:rsid w:val="004F3B7F"/>
    <w:rsid w:val="004F4DE3"/>
    <w:rsid w:val="004F5608"/>
    <w:rsid w:val="004F7A39"/>
    <w:rsid w:val="005030D3"/>
    <w:rsid w:val="005100DF"/>
    <w:rsid w:val="0051114B"/>
    <w:rsid w:val="0051476B"/>
    <w:rsid w:val="00514AB7"/>
    <w:rsid w:val="0051535A"/>
    <w:rsid w:val="00534340"/>
    <w:rsid w:val="00540161"/>
    <w:rsid w:val="00540683"/>
    <w:rsid w:val="005533B4"/>
    <w:rsid w:val="00561447"/>
    <w:rsid w:val="0056152E"/>
    <w:rsid w:val="0056605A"/>
    <w:rsid w:val="005718EF"/>
    <w:rsid w:val="00573D3E"/>
    <w:rsid w:val="0057786D"/>
    <w:rsid w:val="0058025F"/>
    <w:rsid w:val="00582B60"/>
    <w:rsid w:val="00583496"/>
    <w:rsid w:val="00584069"/>
    <w:rsid w:val="00585999"/>
    <w:rsid w:val="00586819"/>
    <w:rsid w:val="00591A7D"/>
    <w:rsid w:val="0059212C"/>
    <w:rsid w:val="00593E26"/>
    <w:rsid w:val="00595C5C"/>
    <w:rsid w:val="00596953"/>
    <w:rsid w:val="005A1A44"/>
    <w:rsid w:val="005A20E4"/>
    <w:rsid w:val="005A5B6A"/>
    <w:rsid w:val="005B6280"/>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F4A"/>
    <w:rsid w:val="00642215"/>
    <w:rsid w:val="00643AEA"/>
    <w:rsid w:val="00651386"/>
    <w:rsid w:val="00651558"/>
    <w:rsid w:val="0066312D"/>
    <w:rsid w:val="00663395"/>
    <w:rsid w:val="006639F3"/>
    <w:rsid w:val="00666284"/>
    <w:rsid w:val="00670028"/>
    <w:rsid w:val="006702A6"/>
    <w:rsid w:val="00672E12"/>
    <w:rsid w:val="006739C8"/>
    <w:rsid w:val="00687752"/>
    <w:rsid w:val="0069164E"/>
    <w:rsid w:val="006920A8"/>
    <w:rsid w:val="006924C5"/>
    <w:rsid w:val="00693A58"/>
    <w:rsid w:val="006970A1"/>
    <w:rsid w:val="006A0959"/>
    <w:rsid w:val="006A1747"/>
    <w:rsid w:val="006A507B"/>
    <w:rsid w:val="006A73AD"/>
    <w:rsid w:val="006A7F94"/>
    <w:rsid w:val="006B2A78"/>
    <w:rsid w:val="006B51FD"/>
    <w:rsid w:val="006B57B7"/>
    <w:rsid w:val="006B5F03"/>
    <w:rsid w:val="006B7C55"/>
    <w:rsid w:val="006C6A7F"/>
    <w:rsid w:val="006D594B"/>
    <w:rsid w:val="006D6D01"/>
    <w:rsid w:val="006E10F5"/>
    <w:rsid w:val="006F3126"/>
    <w:rsid w:val="006F3C42"/>
    <w:rsid w:val="006F4A9E"/>
    <w:rsid w:val="0070287D"/>
    <w:rsid w:val="00702BE6"/>
    <w:rsid w:val="00706883"/>
    <w:rsid w:val="007147BF"/>
    <w:rsid w:val="007225A1"/>
    <w:rsid w:val="00741D8D"/>
    <w:rsid w:val="00742BD3"/>
    <w:rsid w:val="00742E01"/>
    <w:rsid w:val="00751575"/>
    <w:rsid w:val="00754516"/>
    <w:rsid w:val="00760FB2"/>
    <w:rsid w:val="007705CB"/>
    <w:rsid w:val="00773B7E"/>
    <w:rsid w:val="0079124E"/>
    <w:rsid w:val="00792E94"/>
    <w:rsid w:val="00794CE8"/>
    <w:rsid w:val="007A19A7"/>
    <w:rsid w:val="007A20F1"/>
    <w:rsid w:val="007A3544"/>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6787"/>
    <w:rsid w:val="00830EC1"/>
    <w:rsid w:val="00834438"/>
    <w:rsid w:val="00835551"/>
    <w:rsid w:val="00836749"/>
    <w:rsid w:val="00837FB8"/>
    <w:rsid w:val="00841328"/>
    <w:rsid w:val="00854209"/>
    <w:rsid w:val="0086266B"/>
    <w:rsid w:val="0086477D"/>
    <w:rsid w:val="008650FC"/>
    <w:rsid w:val="008677BA"/>
    <w:rsid w:val="0087179D"/>
    <w:rsid w:val="0087551D"/>
    <w:rsid w:val="00876F50"/>
    <w:rsid w:val="00894221"/>
    <w:rsid w:val="00896081"/>
    <w:rsid w:val="008967B7"/>
    <w:rsid w:val="008A42A5"/>
    <w:rsid w:val="008A6928"/>
    <w:rsid w:val="008A6D40"/>
    <w:rsid w:val="008B3106"/>
    <w:rsid w:val="008B56D1"/>
    <w:rsid w:val="008B6668"/>
    <w:rsid w:val="008B7C4B"/>
    <w:rsid w:val="008C42D5"/>
    <w:rsid w:val="008C5274"/>
    <w:rsid w:val="008D3CEC"/>
    <w:rsid w:val="008D3DAE"/>
    <w:rsid w:val="008F283A"/>
    <w:rsid w:val="008F4B57"/>
    <w:rsid w:val="00901FC4"/>
    <w:rsid w:val="00903D48"/>
    <w:rsid w:val="0090748A"/>
    <w:rsid w:val="00912A46"/>
    <w:rsid w:val="00915307"/>
    <w:rsid w:val="009411AB"/>
    <w:rsid w:val="009422FA"/>
    <w:rsid w:val="0094594F"/>
    <w:rsid w:val="00946D8A"/>
    <w:rsid w:val="00953866"/>
    <w:rsid w:val="009629E6"/>
    <w:rsid w:val="00962E31"/>
    <w:rsid w:val="00965DC5"/>
    <w:rsid w:val="00966CE6"/>
    <w:rsid w:val="00975B09"/>
    <w:rsid w:val="009767E1"/>
    <w:rsid w:val="009771C0"/>
    <w:rsid w:val="009777E8"/>
    <w:rsid w:val="00981397"/>
    <w:rsid w:val="0098158C"/>
    <w:rsid w:val="00987D27"/>
    <w:rsid w:val="0099031A"/>
    <w:rsid w:val="00991BA0"/>
    <w:rsid w:val="00992A56"/>
    <w:rsid w:val="009A4FC8"/>
    <w:rsid w:val="009B3B1B"/>
    <w:rsid w:val="009C228D"/>
    <w:rsid w:val="009C79C4"/>
    <w:rsid w:val="009E0ED9"/>
    <w:rsid w:val="009E281C"/>
    <w:rsid w:val="009E3EBD"/>
    <w:rsid w:val="009E795B"/>
    <w:rsid w:val="009F2DD9"/>
    <w:rsid w:val="009F3B72"/>
    <w:rsid w:val="009F53D9"/>
    <w:rsid w:val="00A0030F"/>
    <w:rsid w:val="00A005D6"/>
    <w:rsid w:val="00A0311E"/>
    <w:rsid w:val="00A05AB3"/>
    <w:rsid w:val="00A05C9B"/>
    <w:rsid w:val="00A0723D"/>
    <w:rsid w:val="00A1154E"/>
    <w:rsid w:val="00A12E60"/>
    <w:rsid w:val="00A1389E"/>
    <w:rsid w:val="00A20E79"/>
    <w:rsid w:val="00A21A7D"/>
    <w:rsid w:val="00A249EB"/>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6055"/>
    <w:rsid w:val="00AB6CAD"/>
    <w:rsid w:val="00AC1577"/>
    <w:rsid w:val="00AC3059"/>
    <w:rsid w:val="00AC79AA"/>
    <w:rsid w:val="00AD1D10"/>
    <w:rsid w:val="00AD68F2"/>
    <w:rsid w:val="00AD69C2"/>
    <w:rsid w:val="00AE50D2"/>
    <w:rsid w:val="00AE73A7"/>
    <w:rsid w:val="00AE7E9E"/>
    <w:rsid w:val="00AF6E21"/>
    <w:rsid w:val="00B02145"/>
    <w:rsid w:val="00B041A6"/>
    <w:rsid w:val="00B11AE6"/>
    <w:rsid w:val="00B152A7"/>
    <w:rsid w:val="00B17A75"/>
    <w:rsid w:val="00B2269A"/>
    <w:rsid w:val="00B24326"/>
    <w:rsid w:val="00B26810"/>
    <w:rsid w:val="00B30626"/>
    <w:rsid w:val="00B40836"/>
    <w:rsid w:val="00B41BB5"/>
    <w:rsid w:val="00B43F3C"/>
    <w:rsid w:val="00B45122"/>
    <w:rsid w:val="00B4533C"/>
    <w:rsid w:val="00B47F6F"/>
    <w:rsid w:val="00B60659"/>
    <w:rsid w:val="00B71545"/>
    <w:rsid w:val="00B737F6"/>
    <w:rsid w:val="00B7461E"/>
    <w:rsid w:val="00B76631"/>
    <w:rsid w:val="00B80DBC"/>
    <w:rsid w:val="00B81581"/>
    <w:rsid w:val="00B81860"/>
    <w:rsid w:val="00B827ED"/>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F2066"/>
    <w:rsid w:val="00BF414C"/>
    <w:rsid w:val="00BF6A72"/>
    <w:rsid w:val="00BF7D16"/>
    <w:rsid w:val="00C01D3D"/>
    <w:rsid w:val="00C05BE8"/>
    <w:rsid w:val="00C05CED"/>
    <w:rsid w:val="00C1252B"/>
    <w:rsid w:val="00C161A1"/>
    <w:rsid w:val="00C16233"/>
    <w:rsid w:val="00C24FA8"/>
    <w:rsid w:val="00C27690"/>
    <w:rsid w:val="00C3512B"/>
    <w:rsid w:val="00C42401"/>
    <w:rsid w:val="00C4703A"/>
    <w:rsid w:val="00C47775"/>
    <w:rsid w:val="00C509C1"/>
    <w:rsid w:val="00C532C5"/>
    <w:rsid w:val="00C64A71"/>
    <w:rsid w:val="00C7003A"/>
    <w:rsid w:val="00C7159B"/>
    <w:rsid w:val="00C7193B"/>
    <w:rsid w:val="00C72A39"/>
    <w:rsid w:val="00C75520"/>
    <w:rsid w:val="00C801B5"/>
    <w:rsid w:val="00C82985"/>
    <w:rsid w:val="00C90787"/>
    <w:rsid w:val="00C93A09"/>
    <w:rsid w:val="00C942C1"/>
    <w:rsid w:val="00C945EC"/>
    <w:rsid w:val="00C95218"/>
    <w:rsid w:val="00C96029"/>
    <w:rsid w:val="00CA2B03"/>
    <w:rsid w:val="00CA71CC"/>
    <w:rsid w:val="00CB17EE"/>
    <w:rsid w:val="00CB257D"/>
    <w:rsid w:val="00CC62F9"/>
    <w:rsid w:val="00CD1C39"/>
    <w:rsid w:val="00CD7A4F"/>
    <w:rsid w:val="00CE1F32"/>
    <w:rsid w:val="00CE293A"/>
    <w:rsid w:val="00CE77BC"/>
    <w:rsid w:val="00CF2359"/>
    <w:rsid w:val="00CF3E33"/>
    <w:rsid w:val="00CF645B"/>
    <w:rsid w:val="00D03FC5"/>
    <w:rsid w:val="00D04647"/>
    <w:rsid w:val="00D048ED"/>
    <w:rsid w:val="00D064E0"/>
    <w:rsid w:val="00D12EA3"/>
    <w:rsid w:val="00D14A7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80CB1"/>
    <w:rsid w:val="00D8467E"/>
    <w:rsid w:val="00D85731"/>
    <w:rsid w:val="00D9039B"/>
    <w:rsid w:val="00D92E0F"/>
    <w:rsid w:val="00D97C9F"/>
    <w:rsid w:val="00DA0AF9"/>
    <w:rsid w:val="00DA1F54"/>
    <w:rsid w:val="00DA28E2"/>
    <w:rsid w:val="00DA312C"/>
    <w:rsid w:val="00DA3AF6"/>
    <w:rsid w:val="00DA49FE"/>
    <w:rsid w:val="00DA541A"/>
    <w:rsid w:val="00DB2F25"/>
    <w:rsid w:val="00DB57E7"/>
    <w:rsid w:val="00DC66D9"/>
    <w:rsid w:val="00DD2ED1"/>
    <w:rsid w:val="00DE103A"/>
    <w:rsid w:val="00DE554A"/>
    <w:rsid w:val="00DF426C"/>
    <w:rsid w:val="00DF7632"/>
    <w:rsid w:val="00E0097F"/>
    <w:rsid w:val="00E040C4"/>
    <w:rsid w:val="00E1103A"/>
    <w:rsid w:val="00E13946"/>
    <w:rsid w:val="00E14568"/>
    <w:rsid w:val="00E15BFC"/>
    <w:rsid w:val="00E17E95"/>
    <w:rsid w:val="00E22232"/>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4ADF"/>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7812"/>
    <w:rsid w:val="00F10D47"/>
    <w:rsid w:val="00F12E99"/>
    <w:rsid w:val="00F24CA4"/>
    <w:rsid w:val="00F26C2C"/>
    <w:rsid w:val="00F31FEF"/>
    <w:rsid w:val="00F330E1"/>
    <w:rsid w:val="00F42DC0"/>
    <w:rsid w:val="00F4792F"/>
    <w:rsid w:val="00F52363"/>
    <w:rsid w:val="00F524CA"/>
    <w:rsid w:val="00F52E19"/>
    <w:rsid w:val="00F54B55"/>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C032F"/>
    <w:rsid w:val="00FC2D7D"/>
    <w:rsid w:val="00FC5E77"/>
    <w:rsid w:val="00FC7393"/>
    <w:rsid w:val="00FC7DE1"/>
    <w:rsid w:val="00FD0AB5"/>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link w:val="HChGChar"/>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24118A"/>
    <w:pPr>
      <w:widowControl/>
      <w:suppressAutoHyphens/>
      <w:overflowPunct/>
      <w:autoSpaceDE/>
      <w:autoSpaceDN/>
      <w:adjustRightInd/>
      <w:spacing w:after="120" w:line="240" w:lineRule="atLeast"/>
      <w:ind w:right="1134" w:firstLine="0"/>
      <w:textAlignment w:val="auto"/>
    </w:pPr>
    <w:rPr>
      <w:lang w:val="en-GB"/>
    </w:rPr>
  </w:style>
  <w:style w:type="character" w:customStyle="1" w:styleId="HChGChar">
    <w:name w:val="_ H _Ch_G Char"/>
    <w:link w:val="HChG"/>
    <w:rsid w:val="00D14A73"/>
    <w:rPr>
      <w:b/>
      <w:sz w:val="2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9E985A11-3D8D-4222-BD33-0D177414E42E}"/>
</file>

<file path=customXml/itemProps3.xml><?xml version="1.0" encoding="utf-8"?>
<ds:datastoreItem xmlns:ds="http://schemas.openxmlformats.org/officeDocument/2006/customXml" ds:itemID="{643A8CBD-2A86-43FE-99F4-02EBA82ECD11}"/>
</file>

<file path=customXml/itemProps4.xml><?xml version="1.0" encoding="utf-8"?>
<ds:datastoreItem xmlns:ds="http://schemas.openxmlformats.org/officeDocument/2006/customXml" ds:itemID="{47E58415-EC28-4AFC-B5CB-6A47A81D8EFF}"/>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2216</Characters>
  <Application>Microsoft Office Word</Application>
  <DocSecurity>0</DocSecurity>
  <Lines>18</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6</cp:revision>
  <cp:lastPrinted>2017-06-06T08:16:00Z</cp:lastPrinted>
  <dcterms:created xsi:type="dcterms:W3CDTF">2023-05-15T12:20:00Z</dcterms:created>
  <dcterms:modified xsi:type="dcterms:W3CDTF">2023-05-15T12:27:00Z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