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E6D15C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A96DF3D" w14:textId="77777777" w:rsidR="002D5AAC" w:rsidRDefault="002D5AAC" w:rsidP="0032557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8FF159A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CECAB1C" w14:textId="091C27F7" w:rsidR="002D5AAC" w:rsidRDefault="00325575" w:rsidP="00325575">
            <w:pPr>
              <w:jc w:val="right"/>
            </w:pPr>
            <w:r w:rsidRPr="00325575">
              <w:rPr>
                <w:sz w:val="40"/>
              </w:rPr>
              <w:t>ECE</w:t>
            </w:r>
            <w:r>
              <w:t>/MP.EIA/WG.2/2023/6</w:t>
            </w:r>
          </w:p>
        </w:tc>
      </w:tr>
      <w:tr w:rsidR="002D5AAC" w:rsidRPr="00325575" w14:paraId="59DA4B76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EA685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8982727" wp14:editId="4022D65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0B27A2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B408D04" w14:textId="77777777" w:rsidR="002D5AAC" w:rsidRDefault="00325575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B3134D2" w14:textId="50A1BF9F" w:rsidR="00325575" w:rsidRDefault="00325575" w:rsidP="0032557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27 March 2023</w:t>
            </w:r>
          </w:p>
          <w:p w14:paraId="6B50915F" w14:textId="77777777" w:rsidR="00325575" w:rsidRDefault="00325575" w:rsidP="0032557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A05C16D" w14:textId="695299AC" w:rsidR="00325575" w:rsidRPr="008D53B6" w:rsidRDefault="00325575" w:rsidP="0032557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68DD80B" w14:textId="77777777" w:rsidR="008A37C8" w:rsidRDefault="008A37C8" w:rsidP="002F7D70">
      <w:pPr>
        <w:spacing w:before="120"/>
        <w:ind w:right="4251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07EB609" w14:textId="44E3C759" w:rsidR="00325575" w:rsidRPr="002F7D70" w:rsidRDefault="00325575" w:rsidP="002F7D70">
      <w:pPr>
        <w:spacing w:before="120"/>
        <w:ind w:right="4251"/>
        <w:rPr>
          <w:sz w:val="28"/>
          <w:szCs w:val="28"/>
        </w:rPr>
      </w:pPr>
      <w:r w:rsidRPr="002F7D70">
        <w:rPr>
          <w:sz w:val="28"/>
          <w:szCs w:val="28"/>
        </w:rPr>
        <w:t>Совещание сторон Конвенции об оценке воздействия на окружающую среду в</w:t>
      </w:r>
      <w:r w:rsidR="002F7D70">
        <w:rPr>
          <w:sz w:val="28"/>
          <w:szCs w:val="28"/>
          <w:lang w:val="en-US"/>
        </w:rPr>
        <w:t> </w:t>
      </w:r>
      <w:r w:rsidRPr="002F7D70">
        <w:rPr>
          <w:sz w:val="28"/>
          <w:szCs w:val="28"/>
        </w:rPr>
        <w:t>трансграничном контексте</w:t>
      </w:r>
    </w:p>
    <w:p w14:paraId="081A56BB" w14:textId="33010331" w:rsidR="00325575" w:rsidRPr="002F7D70" w:rsidRDefault="00325575" w:rsidP="002F7D70">
      <w:pPr>
        <w:spacing w:before="120"/>
        <w:ind w:right="4251"/>
        <w:rPr>
          <w:sz w:val="28"/>
          <w:szCs w:val="28"/>
        </w:rPr>
      </w:pPr>
      <w:r w:rsidRPr="002F7D70">
        <w:rPr>
          <w:sz w:val="28"/>
          <w:szCs w:val="28"/>
        </w:rPr>
        <w:t>Совещание Сторон Конвенции об оценке воздействия на окружающую среду в</w:t>
      </w:r>
      <w:r w:rsidR="002F7D70">
        <w:rPr>
          <w:sz w:val="28"/>
          <w:szCs w:val="28"/>
          <w:lang w:val="en-US"/>
        </w:rPr>
        <w:t> </w:t>
      </w:r>
      <w:r w:rsidRPr="002F7D70">
        <w:rPr>
          <w:sz w:val="28"/>
          <w:szCs w:val="28"/>
        </w:rPr>
        <w:t>трансграничном контексте, действующее в</w:t>
      </w:r>
      <w:r w:rsidR="002F7D70">
        <w:rPr>
          <w:sz w:val="28"/>
          <w:szCs w:val="28"/>
          <w:lang w:val="en-US"/>
        </w:rPr>
        <w:t> </w:t>
      </w:r>
      <w:r w:rsidRPr="002F7D70">
        <w:rPr>
          <w:sz w:val="28"/>
          <w:szCs w:val="28"/>
        </w:rPr>
        <w:t>качестве Совещания Сторон Протокола по</w:t>
      </w:r>
      <w:r w:rsidR="002F7D70">
        <w:rPr>
          <w:sz w:val="28"/>
          <w:szCs w:val="28"/>
          <w:lang w:val="en-US"/>
        </w:rPr>
        <w:t> </w:t>
      </w:r>
      <w:r w:rsidRPr="002F7D70">
        <w:rPr>
          <w:sz w:val="28"/>
          <w:szCs w:val="28"/>
        </w:rPr>
        <w:t>стратегической экологической оценке</w:t>
      </w:r>
    </w:p>
    <w:p w14:paraId="757E0724" w14:textId="79870474" w:rsidR="00325575" w:rsidRPr="002F7D70" w:rsidRDefault="00325575" w:rsidP="002F7D70">
      <w:pPr>
        <w:spacing w:before="120"/>
        <w:ind w:right="4251"/>
        <w:rPr>
          <w:b/>
          <w:bCs/>
          <w:sz w:val="24"/>
          <w:szCs w:val="24"/>
        </w:rPr>
      </w:pPr>
      <w:r w:rsidRPr="002F7D70">
        <w:rPr>
          <w:b/>
          <w:bCs/>
          <w:sz w:val="24"/>
          <w:szCs w:val="24"/>
        </w:rPr>
        <w:t>Рабочая группа по оценке воздействия на</w:t>
      </w:r>
      <w:r w:rsidR="002F7D70">
        <w:rPr>
          <w:b/>
          <w:bCs/>
          <w:sz w:val="24"/>
          <w:szCs w:val="24"/>
          <w:lang w:val="en-US"/>
        </w:rPr>
        <w:t> </w:t>
      </w:r>
      <w:r w:rsidRPr="002F7D70">
        <w:rPr>
          <w:b/>
          <w:bCs/>
          <w:sz w:val="24"/>
          <w:szCs w:val="24"/>
        </w:rPr>
        <w:t>окружающую среду и стратегической экологической оценке</w:t>
      </w:r>
    </w:p>
    <w:p w14:paraId="7EE4EDA8" w14:textId="77777777" w:rsidR="00325575" w:rsidRPr="00C92338" w:rsidRDefault="00325575" w:rsidP="002F7D70">
      <w:pPr>
        <w:spacing w:before="120"/>
        <w:ind w:right="4253"/>
        <w:rPr>
          <w:b/>
          <w:bCs/>
        </w:rPr>
      </w:pPr>
      <w:r w:rsidRPr="00C92338">
        <w:rPr>
          <w:b/>
          <w:bCs/>
        </w:rPr>
        <w:t>Двенадцатое совещание</w:t>
      </w:r>
    </w:p>
    <w:p w14:paraId="2F7E305B" w14:textId="1A427958" w:rsidR="00325575" w:rsidRPr="00325575" w:rsidRDefault="00325575" w:rsidP="002F7D70">
      <w:pPr>
        <w:ind w:right="4251"/>
      </w:pPr>
      <w:r w:rsidRPr="00325575">
        <w:t>Женева, 13</w:t>
      </w:r>
      <w:r w:rsidR="002F7D70">
        <w:rPr>
          <w:rFonts w:cs="Times New Roman"/>
        </w:rPr>
        <w:t>–</w:t>
      </w:r>
      <w:r w:rsidRPr="00325575">
        <w:t>15 июня 2023 года</w:t>
      </w:r>
    </w:p>
    <w:p w14:paraId="1711E34F" w14:textId="77777777" w:rsidR="00325575" w:rsidRPr="00325575" w:rsidRDefault="00325575" w:rsidP="002F7D70">
      <w:pPr>
        <w:ind w:right="4251"/>
      </w:pPr>
      <w:r w:rsidRPr="00325575">
        <w:t xml:space="preserve">Пункты 5 </w:t>
      </w:r>
      <w:r w:rsidRPr="00325575">
        <w:rPr>
          <w:lang w:val="en-US"/>
        </w:rPr>
        <w:t>b</w:t>
      </w:r>
      <w:r w:rsidRPr="00325575">
        <w:t xml:space="preserve">) и 6 </w:t>
      </w:r>
      <w:r w:rsidRPr="00325575">
        <w:rPr>
          <w:lang w:val="en-US"/>
        </w:rPr>
        <w:t>a</w:t>
      </w:r>
      <w:r w:rsidRPr="00325575">
        <w:t>) предварительной повестки дня</w:t>
      </w:r>
    </w:p>
    <w:p w14:paraId="244A15C8" w14:textId="0335D766" w:rsidR="00325575" w:rsidRPr="002F7D70" w:rsidRDefault="00325575" w:rsidP="002F7D70">
      <w:pPr>
        <w:ind w:right="4251"/>
        <w:rPr>
          <w:b/>
          <w:bCs/>
        </w:rPr>
      </w:pPr>
      <w:r w:rsidRPr="002F7D70">
        <w:rPr>
          <w:b/>
          <w:bCs/>
        </w:rPr>
        <w:t xml:space="preserve">Соблюдение и осуществление: представление </w:t>
      </w:r>
      <w:r w:rsidR="002F7D70">
        <w:rPr>
          <w:b/>
          <w:bCs/>
        </w:rPr>
        <w:br/>
      </w:r>
      <w:r w:rsidRPr="002F7D70">
        <w:rPr>
          <w:b/>
          <w:bCs/>
        </w:rPr>
        <w:t xml:space="preserve">отчетности и обзор осуществления </w:t>
      </w:r>
    </w:p>
    <w:p w14:paraId="39E16931" w14:textId="1C8B02D3" w:rsidR="00E12C5F" w:rsidRPr="002F7D70" w:rsidRDefault="00325575" w:rsidP="002F7D70">
      <w:pPr>
        <w:spacing w:before="120"/>
        <w:rPr>
          <w:b/>
          <w:bCs/>
        </w:rPr>
      </w:pPr>
      <w:r w:rsidRPr="002F7D70">
        <w:rPr>
          <w:b/>
          <w:bCs/>
        </w:rPr>
        <w:t xml:space="preserve">Содействие практическому применению </w:t>
      </w:r>
      <w:r w:rsidR="002F7D70">
        <w:rPr>
          <w:b/>
          <w:bCs/>
        </w:rPr>
        <w:br/>
      </w:r>
      <w:r w:rsidRPr="002F7D70">
        <w:rPr>
          <w:b/>
          <w:bCs/>
        </w:rPr>
        <w:t xml:space="preserve">Конвенции и Протокола: проект руководства </w:t>
      </w:r>
      <w:r w:rsidR="002F7D70">
        <w:rPr>
          <w:b/>
          <w:bCs/>
        </w:rPr>
        <w:br/>
      </w:r>
      <w:r w:rsidRPr="002F7D70">
        <w:rPr>
          <w:b/>
          <w:bCs/>
        </w:rPr>
        <w:t xml:space="preserve">по оценке воздействия на здоровье при проведении </w:t>
      </w:r>
      <w:r w:rsidR="002F7D70">
        <w:rPr>
          <w:b/>
          <w:bCs/>
        </w:rPr>
        <w:br/>
      </w:r>
      <w:r w:rsidRPr="002F7D70">
        <w:rPr>
          <w:b/>
          <w:bCs/>
        </w:rPr>
        <w:t>стратегической экологической оценки</w:t>
      </w:r>
    </w:p>
    <w:p w14:paraId="25058AF2" w14:textId="77777777" w:rsidR="00325575" w:rsidRPr="00325575" w:rsidRDefault="00325575" w:rsidP="002F7D70">
      <w:pPr>
        <w:pStyle w:val="HChG"/>
      </w:pPr>
      <w:r w:rsidRPr="00325575">
        <w:tab/>
      </w:r>
      <w:r w:rsidRPr="00325575">
        <w:tab/>
        <w:t>Проект решений Совещания Сторон Протокола</w:t>
      </w:r>
    </w:p>
    <w:p w14:paraId="60B01CD6" w14:textId="77777777" w:rsidR="00325575" w:rsidRPr="00325575" w:rsidRDefault="00325575" w:rsidP="002F7D70">
      <w:pPr>
        <w:pStyle w:val="H1G"/>
      </w:pPr>
      <w:r w:rsidRPr="00325575">
        <w:tab/>
      </w:r>
      <w:r w:rsidRPr="00325575">
        <w:tab/>
        <w:t>Предложения Президиума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325575" w:rsidRPr="00325575" w14:paraId="22CC9109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3B14AA0D" w14:textId="77777777" w:rsidR="00325575" w:rsidRPr="00325575" w:rsidRDefault="00325575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325575">
              <w:rPr>
                <w:rFonts w:cs="Times New Roman"/>
              </w:rPr>
              <w:tab/>
            </w:r>
            <w:r w:rsidRPr="00325575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325575" w:rsidRPr="00325575" w14:paraId="12347255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1CE4D7B8" w14:textId="66A1D54F" w:rsidR="00325575" w:rsidRPr="00325575" w:rsidRDefault="00325575" w:rsidP="00325575">
            <w:pPr>
              <w:pStyle w:val="SingleTxtG"/>
            </w:pPr>
            <w:r>
              <w:tab/>
            </w:r>
            <w:r w:rsidRPr="00325575">
              <w:t xml:space="preserve">В соответствии с мандатом, предоставленным Рабочей группе по оценке воздействия на окружающую среду и стратегической экологической оценке совещаниями Сторон Конвенции об оценке воздействия на окружающую среду в трансграничном контексте и Протокола по стратегической экологической оценке, перед Рабочей группой поставлена задача выработать рекомендации для этих руководящих органов относительно будущей работы в рамках Конвенции и Протокола. </w:t>
            </w:r>
          </w:p>
        </w:tc>
      </w:tr>
      <w:tr w:rsidR="00325575" w:rsidRPr="00325575" w14:paraId="64C7B5A7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1B9CADE4" w14:textId="110ED543" w:rsidR="00325575" w:rsidRDefault="00325575" w:rsidP="00325575">
            <w:pPr>
              <w:pStyle w:val="SingleTxtG"/>
            </w:pPr>
            <w:r>
              <w:tab/>
            </w:r>
            <w:r w:rsidRPr="00325575">
              <w:t xml:space="preserve">В соответствии с вышеупомянутым мандатом, в настоящем документе содержатся проекты решений V/5 и V/6, подготовленные Президиумом для рассмотрения Рабочей группой и касающиеся соответственно: представления </w:t>
            </w:r>
            <w:r w:rsidRPr="00325575">
              <w:lastRenderedPageBreak/>
              <w:t>отчетности и обзора осуществления Протокола; и оценки воздействия на здоровье человека при проведении стратегической экологической оценки.</w:t>
            </w:r>
          </w:p>
        </w:tc>
      </w:tr>
      <w:tr w:rsidR="00325575" w:rsidRPr="00325575" w14:paraId="1CBBA43C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0CB87DB8" w14:textId="2CE9F3BA" w:rsidR="00325575" w:rsidRDefault="00325575" w:rsidP="00325575">
            <w:pPr>
              <w:pStyle w:val="SingleTxtG"/>
            </w:pPr>
            <w:r>
              <w:lastRenderedPageBreak/>
              <w:tab/>
            </w:r>
            <w:r w:rsidRPr="00325575">
              <w:t>Ожидается, что Рабочая группа рассмотрит и примет текст проектов решений, которые будут препровождены для рассмотрения Совещанию Сторон Протокола на его пятой сессии (Женева, 12</w:t>
            </w:r>
            <w:r>
              <w:t>–</w:t>
            </w:r>
            <w:r w:rsidRPr="00325575">
              <w:t xml:space="preserve">15 декабря 2023 года). Следует отметить, что в пункте 5 проекта решения V/5 перечислены основные выводы, содержащиеся в проекте четвертого обзора осуществления Протокола (ECE/MP.EIA/WG.2/2023/[...]), которые были приняты Рабочей группой на ее одиннадцатом совещании (Женева, </w:t>
            </w:r>
            <w:r>
              <w:br/>
            </w:r>
            <w:r w:rsidRPr="00325575">
              <w:t>19</w:t>
            </w:r>
            <w:r>
              <w:t>–</w:t>
            </w:r>
            <w:r w:rsidRPr="00325575">
              <w:t>21 декабря 2022 года), а в пункте 6 проекта решения V/5 перечислены те основные выводы, которые остаются в силе по итогам третьего обзора осуществления Протокола (ECE/MP.EIA/SEA/14), которые были приняты Совещанием Сторон на его четвертой сессии (Вильнюс (в онлайн-формате), 8</w:t>
            </w:r>
            <w:r w:rsidRPr="00325575">
              <w:t>–</w:t>
            </w:r>
            <w:r w:rsidRPr="00325575">
              <w:t>11 декабря 2020 года).</w:t>
            </w:r>
          </w:p>
        </w:tc>
      </w:tr>
      <w:tr w:rsidR="00325575" w:rsidRPr="00325575" w14:paraId="4B6C6570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0112DB1C" w14:textId="77777777" w:rsidR="00325575" w:rsidRPr="00325575" w:rsidRDefault="00325575" w:rsidP="00850215">
            <w:pPr>
              <w:rPr>
                <w:rFonts w:cs="Times New Roman"/>
              </w:rPr>
            </w:pPr>
          </w:p>
        </w:tc>
      </w:tr>
    </w:tbl>
    <w:p w14:paraId="5F70BA4B" w14:textId="77777777" w:rsidR="00325575" w:rsidRDefault="00325575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74163A0B" w14:textId="77777777" w:rsidR="00325575" w:rsidRDefault="00325575" w:rsidP="002F7D70">
      <w:pPr>
        <w:pStyle w:val="HChG"/>
      </w:pPr>
      <w:r>
        <w:lastRenderedPageBreak/>
        <w:tab/>
      </w:r>
      <w:r>
        <w:tab/>
        <w:t>Решение V/5</w:t>
      </w:r>
    </w:p>
    <w:p w14:paraId="13BDB4C1" w14:textId="7DD59BDB" w:rsidR="00325575" w:rsidRPr="00AC7FF0" w:rsidRDefault="00325575" w:rsidP="002F7D70">
      <w:pPr>
        <w:pStyle w:val="H1G"/>
        <w:rPr>
          <w:lang w:val="en-US"/>
        </w:rPr>
      </w:pPr>
      <w:r>
        <w:tab/>
      </w:r>
      <w:r>
        <w:tab/>
        <w:t>Представление отчетности и обзор осуществления Протокола</w:t>
      </w:r>
    </w:p>
    <w:p w14:paraId="6FCC1438" w14:textId="6B79DD22" w:rsidR="00325575" w:rsidRPr="002F7D70" w:rsidRDefault="002F7D70" w:rsidP="00325575">
      <w:pPr>
        <w:pStyle w:val="SingleTxtG"/>
        <w:rPr>
          <w:i/>
          <w:iCs/>
        </w:rPr>
      </w:pPr>
      <w:r>
        <w:tab/>
      </w:r>
      <w:r w:rsidR="00325575" w:rsidRPr="002F7D70">
        <w:rPr>
          <w:i/>
          <w:iCs/>
        </w:rPr>
        <w:t>Совещание Сторон Протокола,</w:t>
      </w:r>
    </w:p>
    <w:p w14:paraId="0330ACD2" w14:textId="7B16157B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ссылаясь</w:t>
      </w:r>
      <w:r w:rsidR="00325575">
        <w:t xml:space="preserve"> на решение V/7–I/7 Совещания Сторон Конвенции об оценке воздействия на окружающую среду в трансграничном контексте и Совещания Сторон Конвенции, действующего в качестве совещания Сторон Протокола по стратегической экологической оценке (Совещание Сторон Протокола), а также на решения II/1, III/1 </w:t>
      </w:r>
      <w:r>
        <w:br/>
      </w:r>
      <w:r w:rsidR="00325575">
        <w:t>и</w:t>
      </w:r>
      <w:r w:rsidRPr="002F7D70">
        <w:t xml:space="preserve"> </w:t>
      </w:r>
      <w:r w:rsidR="00325575">
        <w:t>IV/5 Совещания Сторон Протокола о представлении отчетности и обзоре осуществления</w:t>
      </w:r>
      <w:r>
        <w:rPr>
          <w:rStyle w:val="aa"/>
        </w:rPr>
        <w:footnoteReference w:id="1"/>
      </w:r>
      <w:r w:rsidR="00325575">
        <w:t>,</w:t>
      </w:r>
    </w:p>
    <w:p w14:paraId="7D62AD28" w14:textId="7F98A07B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ссылаясь также</w:t>
      </w:r>
      <w:r w:rsidR="00325575">
        <w:t xml:space="preserve"> на пункт 4 статьи 14 Протокола, касающийся регулярного рассмотрения осуществления Протокола,</w:t>
      </w:r>
    </w:p>
    <w:p w14:paraId="4D99D291" w14:textId="1D518586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ссылаясь далее</w:t>
      </w:r>
      <w:r w:rsidR="00325575">
        <w:t xml:space="preserve"> на пункт 7 статьи 14  и пункт 4 статьи 13 Протокола, касающиеся отчетности Сторон о мерах, принятых ими в целях осуществления Протокола и отчетности Сторон о применении ими статьи 13 о политике и законодательстве соответственно,</w:t>
      </w:r>
    </w:p>
    <w:p w14:paraId="212FD8F9" w14:textId="5B7C1C73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признавая</w:t>
      </w:r>
      <w:r w:rsidR="00325575">
        <w:t>, что регулярное представление отчетности каждой Стороной обеспечивает поступление важной информации, которая способствует обзору соблюдения в рамках Протокола и тем самым вносит вклад в работу Комитета по осуществлению,</w:t>
      </w:r>
    </w:p>
    <w:p w14:paraId="43A38932" w14:textId="4FBAAE34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признавая также</w:t>
      </w:r>
      <w:r w:rsidR="00325575">
        <w:t>, что отчетность Сторон является источником полезной информации для других стран, расположенны</w:t>
      </w:r>
      <w:r w:rsidR="00AC7FF0">
        <w:t>х</w:t>
      </w:r>
      <w:r w:rsidR="00325575">
        <w:t xml:space="preserve"> как в регионе Европейской экономической комиссии Организации Объединенных Наций (ЕЭК), так и за его пределами, что способствует их усилиям по осуществлению Протокола и присоединению к нему,</w:t>
      </w:r>
    </w:p>
    <w:p w14:paraId="73D31A9A" w14:textId="49C90878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признавая далее</w:t>
      </w:r>
      <w:r w:rsidR="00325575">
        <w:t xml:space="preserve"> обеспечиваемые с помощью отчетности возможности для сбора информации о надлежащей практике и ее распространения, </w:t>
      </w:r>
    </w:p>
    <w:p w14:paraId="04B0852D" w14:textId="4056C24E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решительно подчеркивая</w:t>
      </w:r>
      <w:r w:rsidR="00325575">
        <w:t xml:space="preserve"> важное значение своевременности и высокого качества национальной отчетности,</w:t>
      </w:r>
    </w:p>
    <w:p w14:paraId="02F1D350" w14:textId="5B68F497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проведя</w:t>
      </w:r>
      <w:r w:rsidR="00325575">
        <w:t xml:space="preserve"> анализ докладов, представленных Сторонами в ответ на вопросник об осуществлении Протокола в период 2019–2021 годов,</w:t>
      </w:r>
    </w:p>
    <w:p w14:paraId="12444DE0" w14:textId="647C1EEB" w:rsidR="00325575" w:rsidRDefault="002F7D70" w:rsidP="00325575">
      <w:pPr>
        <w:pStyle w:val="SingleTxtG"/>
      </w:pPr>
      <w:r>
        <w:tab/>
      </w:r>
      <w:r w:rsidR="00325575">
        <w:t>1.</w:t>
      </w:r>
      <w:r w:rsidR="00325575">
        <w:tab/>
      </w:r>
      <w:r w:rsidR="00325575" w:rsidRPr="002F7D70">
        <w:rPr>
          <w:i/>
          <w:iCs/>
        </w:rPr>
        <w:t>приветствует</w:t>
      </w:r>
      <w:r w:rsidR="00325575">
        <w:t xml:space="preserve"> доклады Сторон и двух стран, не являющихся Сторонами (Грузии и Казахстана), об осуществлении ими Протокола в период 2019–2021 годов, которые были размещены на веб-сайте договора;</w:t>
      </w:r>
    </w:p>
    <w:p w14:paraId="616C4B7D" w14:textId="08BB03F4" w:rsidR="00325575" w:rsidRDefault="002F7D70" w:rsidP="00325575">
      <w:pPr>
        <w:pStyle w:val="SingleTxtG"/>
      </w:pPr>
      <w:r>
        <w:tab/>
      </w:r>
      <w:r w:rsidR="00325575">
        <w:t>2.</w:t>
      </w:r>
      <w:r w:rsidR="00325575">
        <w:tab/>
      </w:r>
      <w:r w:rsidR="00325575" w:rsidRPr="002F7D70">
        <w:rPr>
          <w:i/>
          <w:iCs/>
        </w:rPr>
        <w:t>выражает серьезную обеспокоенность</w:t>
      </w:r>
      <w:r w:rsidR="00325575">
        <w:t xml:space="preserve"> тем, что следующие 3 Стороны не ответили на вопросник: Болгария, Северная Македония и Сербия; и что Европейский союз ограничился представлением незаполненного вопросника с отдельной запиской, содержащей информацию, которую он решил представить;</w:t>
      </w:r>
    </w:p>
    <w:p w14:paraId="1298E556" w14:textId="09934E4F" w:rsidR="00325575" w:rsidRDefault="002F7D70" w:rsidP="00325575">
      <w:pPr>
        <w:pStyle w:val="SingleTxtG"/>
      </w:pPr>
      <w:r>
        <w:tab/>
      </w:r>
      <w:r w:rsidR="00325575">
        <w:t>3.</w:t>
      </w:r>
      <w:r w:rsidR="00325575">
        <w:tab/>
      </w:r>
      <w:r w:rsidR="00325575" w:rsidRPr="002F7D70">
        <w:rPr>
          <w:i/>
          <w:iCs/>
        </w:rPr>
        <w:t>выражает обеспокоенность</w:t>
      </w:r>
      <w:r w:rsidR="00325575">
        <w:t xml:space="preserve"> тем, что на вопросник ответили с задержкой в несколько недель или месяцев следующие 8 Сторон: Германия, Дания, Кипр, Люксембург, Нидерланды, Португалия, Словения и Украина;</w:t>
      </w:r>
    </w:p>
    <w:p w14:paraId="0EA2CF70" w14:textId="732FD5AF" w:rsidR="00325575" w:rsidRDefault="002F7D70" w:rsidP="00325575">
      <w:pPr>
        <w:pStyle w:val="SingleTxtG"/>
      </w:pPr>
      <w:r>
        <w:tab/>
      </w:r>
      <w:r w:rsidR="00325575">
        <w:t>4.</w:t>
      </w:r>
      <w:r w:rsidR="00325575">
        <w:tab/>
      </w:r>
      <w:r w:rsidR="00325575" w:rsidRPr="002F7D70">
        <w:rPr>
          <w:i/>
          <w:iCs/>
        </w:rPr>
        <w:t>утверждает</w:t>
      </w:r>
      <w:r w:rsidR="00325575">
        <w:t xml:space="preserve"> четвертый обзор осуществления Протокола, содержащийся в документе ECE/MP.EIA/SEA/2023/[…], и просит секретариат при условии наличия ресурсов организовать его опубликование в электронном виде на всех трех официальных языках ЕЭК;</w:t>
      </w:r>
    </w:p>
    <w:p w14:paraId="16FCC233" w14:textId="10A0A7D6" w:rsidR="00325575" w:rsidRDefault="002F7D70" w:rsidP="00325575">
      <w:pPr>
        <w:pStyle w:val="SingleTxtG"/>
      </w:pPr>
      <w:r>
        <w:lastRenderedPageBreak/>
        <w:tab/>
      </w:r>
      <w:r w:rsidR="00325575">
        <w:t>5.</w:t>
      </w:r>
      <w:r w:rsidR="00325575">
        <w:tab/>
      </w:r>
      <w:r w:rsidR="00325575" w:rsidRPr="002F7D70">
        <w:rPr>
          <w:i/>
          <w:iCs/>
        </w:rPr>
        <w:t>принимает к сведению</w:t>
      </w:r>
      <w:r w:rsidR="00325575">
        <w:t xml:space="preserve"> выводы, содержащиеся в четвертом обзоре осуществления Протокола</w:t>
      </w:r>
      <w:r>
        <w:rPr>
          <w:rStyle w:val="aa"/>
        </w:rPr>
        <w:footnoteReference w:id="2"/>
      </w:r>
      <w:r w:rsidR="00325575">
        <w:t>, в том числе следующие возможные слабые места или недостатки, а также области, где требуется дальнейшее улучшение деятельности по осуществлению Протокола Сторонами:</w:t>
      </w:r>
    </w:p>
    <w:p w14:paraId="79B2CF14" w14:textId="24B6E2FD" w:rsidR="00325575" w:rsidRDefault="002F7D70" w:rsidP="00325575">
      <w:pPr>
        <w:pStyle w:val="SingleTxtG"/>
      </w:pPr>
      <w:r>
        <w:tab/>
      </w:r>
      <w:r w:rsidR="00325575">
        <w:t>a)</w:t>
      </w:r>
      <w:r w:rsidR="00325575">
        <w:tab/>
        <w:t>только около половины Сторон отчитались вовремя, и большее количество Сторон не вернули заполненные вопросники в течение двух месяцев после наступления крайнего срока представления отчетности [(на момент подготовки обзора 22 Стороны вернули заполненные вопросники по сравнению с 30 Сторонами в ходе предыдущего обзора)]. Невыполнение Сторонами обязательства по своевременному представлению отчетности (в соответствии с пунктом 7 статьи 14) осложняет процесс обзора;</w:t>
      </w:r>
    </w:p>
    <w:p w14:paraId="5BBF2714" w14:textId="172ECFF7" w:rsidR="00325575" w:rsidRDefault="002F7D70" w:rsidP="00325575">
      <w:pPr>
        <w:pStyle w:val="SingleTxtG"/>
      </w:pPr>
      <w:r>
        <w:tab/>
      </w:r>
      <w:r w:rsidR="00325575">
        <w:t>b)</w:t>
      </w:r>
      <w:r w:rsidR="00325575">
        <w:tab/>
        <w:t>отсутствие центрального реестра или базы данных национальных процедур стратегической экологической оценки во многих Сторонах явилось причиной усложнения и неточности отчетности о количестве процедур, проведенных за рассматриваемый период;</w:t>
      </w:r>
    </w:p>
    <w:p w14:paraId="4F4B0AFF" w14:textId="79ECF837" w:rsidR="00325575" w:rsidRDefault="002F7D70" w:rsidP="00325575">
      <w:pPr>
        <w:pStyle w:val="SingleTxtG"/>
      </w:pPr>
      <w:r>
        <w:tab/>
      </w:r>
      <w:r w:rsidR="00325575">
        <w:t>c)</w:t>
      </w:r>
      <w:r w:rsidR="00325575">
        <w:tab/>
        <w:t>Стороны сообщили о широком разнообразии видов практики и опыта осуществления, и эту информацию можно использовать при разработке материалов в целях активизации осуществления. Десять Сторон приводят примеры того, что, по их мнению, является надлежащей практикой осуществления;</w:t>
      </w:r>
    </w:p>
    <w:p w14:paraId="0CF1C596" w14:textId="12FB4CBF" w:rsidR="00325575" w:rsidRDefault="002F7D70" w:rsidP="00325575">
      <w:pPr>
        <w:pStyle w:val="SingleTxtG"/>
      </w:pPr>
      <w:r>
        <w:tab/>
      </w:r>
      <w:r w:rsidR="00325575">
        <w:t>d)</w:t>
      </w:r>
      <w:r w:rsidR="00325575">
        <w:tab/>
        <w:t>за время пандемии коронавирусного заболевания (COVID-19) некоторые Стороны приобрели опыт использования электронных технологий для дистанционного проведения консультаций и процедур участия. В эффективном и действенном продвижении практики консультаций и участия может помочь пропаганда информации об извлеченных уроках и надлежащей практике использования дистанционных коммуникационных технологий;</w:t>
      </w:r>
    </w:p>
    <w:p w14:paraId="3235C304" w14:textId="4DBBEB1E" w:rsidR="00325575" w:rsidRDefault="002F7D70" w:rsidP="00325575">
      <w:pPr>
        <w:pStyle w:val="SingleTxtG"/>
      </w:pPr>
      <w:r>
        <w:tab/>
      </w:r>
      <w:r w:rsidR="00325575">
        <w:t>e)</w:t>
      </w:r>
      <w:r w:rsidR="00325575">
        <w:tab/>
        <w:t>для осуществления статьи 12 Протокола применяются различные методы мониторинга, что в результате приводит к различиям, связанным с определением сферы охвата мониторинга и его продолжительности, а также с использованием показателей. Рекомендуется поощрять дальнейший сбор и обмен информацией о надлежащей практике, а также разработку рекомендаций в отношении надлежащей практики;</w:t>
      </w:r>
    </w:p>
    <w:p w14:paraId="53873AC8" w14:textId="3D37AC6C" w:rsidR="00325575" w:rsidRDefault="002F7D70" w:rsidP="00325575">
      <w:pPr>
        <w:pStyle w:val="SingleTxtG"/>
      </w:pPr>
      <w:r>
        <w:tab/>
      </w:r>
      <w:r w:rsidR="00325575">
        <w:t>f)</w:t>
      </w:r>
      <w:r w:rsidR="00325575">
        <w:tab/>
        <w:t xml:space="preserve">ряд Сторон используют </w:t>
      </w:r>
      <w:r w:rsidR="00325575" w:rsidRPr="002F7D70">
        <w:rPr>
          <w:i/>
          <w:iCs/>
        </w:rPr>
        <w:t>Информационно-справочное руководство по применению Протокола ЕЭК ООН по стратегической экологической оценке</w:t>
      </w:r>
      <w:r w:rsidR="00325575">
        <w:t xml:space="preserve"> и </w:t>
      </w:r>
      <w:r w:rsidR="00325575" w:rsidRPr="002F7D70">
        <w:rPr>
          <w:i/>
          <w:iCs/>
        </w:rPr>
        <w:t>Рекомендации о надлежащей практике участия общественности в стратегической экологической оценке</w:t>
      </w:r>
      <w:r w:rsidR="00325575">
        <w:t>, однако несколько Сторон указали на недостаточную осведомленность об этих документах как на причину их неиспользования. Следует и далее содействовать повышению осведомленности о руководящих документах и их использованию;</w:t>
      </w:r>
    </w:p>
    <w:p w14:paraId="05E6EBB1" w14:textId="1D0F22CC" w:rsidR="00325575" w:rsidRDefault="002F7D70" w:rsidP="00325575">
      <w:pPr>
        <w:pStyle w:val="SingleTxtG"/>
      </w:pPr>
      <w:r>
        <w:tab/>
      </w:r>
      <w:r w:rsidR="00325575">
        <w:t>6.</w:t>
      </w:r>
      <w:r w:rsidR="00325575">
        <w:tab/>
      </w:r>
      <w:r w:rsidR="00325575" w:rsidRPr="002F7D70">
        <w:rPr>
          <w:i/>
          <w:iCs/>
        </w:rPr>
        <w:t>отмечает</w:t>
      </w:r>
      <w:r w:rsidR="00325575">
        <w:t xml:space="preserve"> вновь ранее сделанные в третьем обзоре осуществления</w:t>
      </w:r>
      <w:r>
        <w:rPr>
          <w:rStyle w:val="aa"/>
        </w:rPr>
        <w:footnoteReference w:id="3"/>
      </w:r>
      <w:r w:rsidR="00325575">
        <w:t xml:space="preserve"> выводы, из которых остаются действительными и могут потребовать рассмотрения следующие:</w:t>
      </w:r>
    </w:p>
    <w:p w14:paraId="06ECA166" w14:textId="394C7994" w:rsidR="00325575" w:rsidRDefault="002F7D70" w:rsidP="00325575">
      <w:pPr>
        <w:pStyle w:val="SingleTxtG"/>
      </w:pPr>
      <w:r>
        <w:tab/>
      </w:r>
      <w:r w:rsidR="00325575">
        <w:t>a)</w:t>
      </w:r>
      <w:r w:rsidR="00325575">
        <w:tab/>
        <w:t>существуют различные подходы к толкованию термина «определяют основу для выдачи в будущем разрешений на реализацию проектов», содержащегося в пункте 2 статьи 4 Протокола, при этом большинство Сторон не имеют четкого определения этого термина в своем внутреннем законодательстве; Стороны также сталкиваются с трудностями при толковании положений пункта 4 статьи 4, в частности терминов «небольших территорий на местном уровне» и «незначительных изменений»;</w:t>
      </w:r>
    </w:p>
    <w:p w14:paraId="3EF86D18" w14:textId="6A932BAC" w:rsidR="00325575" w:rsidRDefault="002F7D70" w:rsidP="00325575">
      <w:pPr>
        <w:pStyle w:val="SingleTxtG"/>
      </w:pPr>
      <w:r>
        <w:tab/>
      </w:r>
      <w:r w:rsidR="00325575">
        <w:t>b)</w:t>
      </w:r>
      <w:r w:rsidR="00325575">
        <w:tab/>
        <w:t xml:space="preserve">законодательство и практика Сторон по-прежнему существенно различаются в плане возможностей, предоставляемых затрагиваемой общественности </w:t>
      </w:r>
      <w:r w:rsidR="00325575">
        <w:lastRenderedPageBreak/>
        <w:t>для участия в предварительной оценке и определении сферы охвата в соответствии с пунктом 3 статьи 5 и пунктом 3 статьи 6 Протокола;</w:t>
      </w:r>
    </w:p>
    <w:p w14:paraId="5B7DFD8B" w14:textId="2AFF5248" w:rsidR="00325575" w:rsidRDefault="002F7D70" w:rsidP="00325575">
      <w:pPr>
        <w:pStyle w:val="SingleTxtG"/>
      </w:pPr>
      <w:r>
        <w:tab/>
      </w:r>
      <w:r w:rsidR="00325575">
        <w:t>c)</w:t>
      </w:r>
      <w:r w:rsidR="00325575">
        <w:tab/>
        <w:t>некоторые консультации осложняются трудностями, обусловленными различной практикой Сторон в области перевода документации при проведении трансграничных консультаций, в частности в плане качества, сроков и ресурсов, необходимых для выполнения этого перевода, а также в плане включения перевода в графики проведения консультаций и участия общественности;</w:t>
      </w:r>
    </w:p>
    <w:p w14:paraId="0B74B6CF" w14:textId="2004641B" w:rsidR="00325575" w:rsidRDefault="002F7D70" w:rsidP="00325575">
      <w:pPr>
        <w:pStyle w:val="SingleTxtG"/>
      </w:pPr>
      <w:r>
        <w:tab/>
      </w:r>
      <w:r w:rsidR="00325575">
        <w:t>d)</w:t>
      </w:r>
      <w:r w:rsidR="00325575">
        <w:tab/>
        <w:t>заключение дополнительных двусторонних соглашений или других договоренностей может быть полезным для содействия проведению трансграничных консультаций между Сторонами, в частности в целях повышения эффективности и устранения различий между применяемой Сторонами практикой осуществления, включая языковые вопросы, сроки, участие общественности, толкование различных терминов и организацию трансграничных консультаций;</w:t>
      </w:r>
    </w:p>
    <w:p w14:paraId="1795D99A" w14:textId="63813261" w:rsidR="00325575" w:rsidRDefault="002F7D70" w:rsidP="00325575">
      <w:pPr>
        <w:pStyle w:val="SingleTxtG"/>
      </w:pPr>
      <w:r>
        <w:tab/>
      </w:r>
      <w:r w:rsidR="00325575">
        <w:t>e)</w:t>
      </w:r>
      <w:r w:rsidR="00325575">
        <w:tab/>
        <w:t>одним из направлений совершенствования работы по осуществлению Протокола могло бы стать обеспечение качества докладов о воздействии на окружающую среду. Возможно, следует рекомендовать поощрять применение различных подходов к контролю качества. Стороны также выразили пожелание получить надлежащие разъяснения в отношении того, как были учтены замечания, полученные в соответствии со статьями 8–10;</w:t>
      </w:r>
    </w:p>
    <w:p w14:paraId="6AC99779" w14:textId="6E769385" w:rsidR="00325575" w:rsidRDefault="002F7D70" w:rsidP="00325575">
      <w:pPr>
        <w:pStyle w:val="SingleTxtG"/>
      </w:pPr>
      <w:r>
        <w:tab/>
      </w:r>
      <w:r w:rsidR="00325575">
        <w:t>f)</w:t>
      </w:r>
      <w:r w:rsidR="00325575">
        <w:tab/>
        <w:t>для осуществления статьи 12 Протокола применяются различные методы мониторинга, что в результате создает трудности, связанные с определением сферы охвата мониторинга и его продолжительности, используемых в ходе проведения мониторинга мер и показателей;</w:t>
      </w:r>
    </w:p>
    <w:p w14:paraId="52C4F571" w14:textId="56063ED0" w:rsidR="00325575" w:rsidRDefault="002F7D70" w:rsidP="00325575">
      <w:pPr>
        <w:pStyle w:val="SingleTxtG"/>
      </w:pPr>
      <w:r>
        <w:tab/>
      </w:r>
      <w:r w:rsidR="00325575">
        <w:t>7.</w:t>
      </w:r>
      <w:r w:rsidR="00325575">
        <w:tab/>
      </w:r>
      <w:r w:rsidR="00325575" w:rsidRPr="002F7D70">
        <w:rPr>
          <w:i/>
          <w:iCs/>
        </w:rPr>
        <w:t>просит</w:t>
      </w:r>
      <w:r w:rsidR="00325575">
        <w:t xml:space="preserve"> секретариат обратить внимание Комитета по осуществлению на общие и конкретные вопросы соблюдения, выявленные в ходе четвертого обзора осуществления, и просит Комитет учитывать их в своей работе;</w:t>
      </w:r>
    </w:p>
    <w:p w14:paraId="6908CCE2" w14:textId="48A4A82C" w:rsidR="00325575" w:rsidRDefault="002F7D70" w:rsidP="00325575">
      <w:pPr>
        <w:pStyle w:val="SingleTxtG"/>
      </w:pPr>
      <w:r>
        <w:tab/>
      </w:r>
      <w:r w:rsidR="00325575">
        <w:t>8.</w:t>
      </w:r>
      <w:r w:rsidR="00325575">
        <w:tab/>
      </w:r>
      <w:r w:rsidR="00325575" w:rsidRPr="002F7D70">
        <w:rPr>
          <w:i/>
          <w:iCs/>
        </w:rPr>
        <w:t>просит</w:t>
      </w:r>
      <w:r w:rsidR="00325575">
        <w:t xml:space="preserve"> Комитет по осуществлению, при необходимости, скорректировать вопросник для следующего раунда представления отчетности об осуществлении Протокола Сторонами в период 2022–2024 годов с учетом предлагаемых усовершенствований вопросников по осуществлению Протокола и, при необходимости, представить измененный вариант на рассмотрение Рабочей группы по оценке воздействия на окружающую среду и стратегической экологической оценке и для его последующего распространения секретариатом;</w:t>
      </w:r>
    </w:p>
    <w:p w14:paraId="11A8FC55" w14:textId="7AA9BA8C" w:rsidR="00325575" w:rsidRDefault="002F7D70" w:rsidP="00325575">
      <w:pPr>
        <w:pStyle w:val="SingleTxtG"/>
      </w:pPr>
      <w:r>
        <w:tab/>
      </w:r>
      <w:r w:rsidR="00325575">
        <w:t>9.</w:t>
      </w:r>
      <w:r w:rsidR="00325575">
        <w:tab/>
      </w:r>
      <w:r w:rsidR="00325575" w:rsidRPr="002F7D70">
        <w:rPr>
          <w:i/>
          <w:iCs/>
        </w:rPr>
        <w:t>принимает к сведению</w:t>
      </w:r>
      <w:r w:rsidR="00325575">
        <w:t xml:space="preserve"> типовую форму отчетности, подготовленную в 2021</w:t>
      </w:r>
      <w:r>
        <w:t>–</w:t>
      </w:r>
      <w:r w:rsidR="00325575">
        <w:t>2023 годах Комитетом по осуществлению в консультации с Европейской комиссией для облегчения отчетности Европейского союза по Протоколу;</w:t>
      </w:r>
    </w:p>
    <w:p w14:paraId="1AE4F085" w14:textId="36B34D7A" w:rsidR="00325575" w:rsidRDefault="002F7D70" w:rsidP="00325575">
      <w:pPr>
        <w:pStyle w:val="SingleTxtG"/>
      </w:pPr>
      <w:r>
        <w:tab/>
      </w:r>
      <w:r w:rsidR="00325575">
        <w:t>10.</w:t>
      </w:r>
      <w:r w:rsidR="00325575">
        <w:tab/>
      </w:r>
      <w:r w:rsidR="00325575" w:rsidRPr="002F7D70">
        <w:rPr>
          <w:i/>
          <w:iCs/>
        </w:rPr>
        <w:t>просит</w:t>
      </w:r>
      <w:r w:rsidR="00325575">
        <w:t xml:space="preserve"> государства</w:t>
      </w:r>
      <w:r w:rsidRPr="002F7D70">
        <w:t xml:space="preserve"> </w:t>
      </w:r>
      <w:r>
        <w:t>—</w:t>
      </w:r>
      <w:r w:rsidRPr="002F7D70">
        <w:t xml:space="preserve"> </w:t>
      </w:r>
      <w:r w:rsidR="00325575">
        <w:t>участники Протокола заполнить вопросник, а также Европейский союз его типовую форму отчетности соответственно в качестве докладов об осуществлении ими Протокола в период 2022–2024 годов с учетом обязательств по представлению отчетности, вытекающих из пункта 7 статьи 14 и пункта 4 статьи 13 Протокола;</w:t>
      </w:r>
    </w:p>
    <w:p w14:paraId="5BEBD52A" w14:textId="56B06C5D" w:rsidR="00325575" w:rsidRDefault="002F7D70" w:rsidP="00325575">
      <w:pPr>
        <w:pStyle w:val="SingleTxtG"/>
      </w:pPr>
      <w:r>
        <w:tab/>
      </w:r>
      <w:r w:rsidR="00325575">
        <w:t>11.</w:t>
      </w:r>
      <w:r w:rsidR="00325575">
        <w:tab/>
      </w:r>
      <w:r w:rsidR="00325575" w:rsidRPr="002F7D70">
        <w:rPr>
          <w:i/>
          <w:iCs/>
        </w:rPr>
        <w:t>настоятельно призывает</w:t>
      </w:r>
      <w:r w:rsidR="00325575">
        <w:t xml:space="preserve"> Стороны представить отчетность </w:t>
      </w:r>
      <w:r>
        <w:br/>
      </w:r>
      <w:r w:rsidR="00325575">
        <w:t>[до истечения крайнего срока, который будет согласован Рабочей группой] [до конца апреля 2024 года];</w:t>
      </w:r>
    </w:p>
    <w:p w14:paraId="015D849A" w14:textId="493A0DDE" w:rsidR="00325575" w:rsidRDefault="002F7D70" w:rsidP="00325575">
      <w:pPr>
        <w:pStyle w:val="SingleTxtG"/>
      </w:pPr>
      <w:r>
        <w:tab/>
      </w:r>
      <w:r w:rsidR="00325575">
        <w:t>12.</w:t>
      </w:r>
      <w:r w:rsidR="00325575">
        <w:tab/>
      </w:r>
      <w:r w:rsidR="00325575" w:rsidRPr="002F7D70">
        <w:rPr>
          <w:i/>
          <w:iCs/>
        </w:rPr>
        <w:t>предлагает</w:t>
      </w:r>
      <w:r w:rsidR="00325575">
        <w:t xml:space="preserve"> Сторонам представить примеры надлежащей практики осуществления ими Протокола и свидетельства в отношении того, что именно сделало их практику успешной;</w:t>
      </w:r>
    </w:p>
    <w:p w14:paraId="7BB4C156" w14:textId="5332CE92" w:rsidR="00325575" w:rsidRDefault="002F7D70" w:rsidP="00325575">
      <w:pPr>
        <w:pStyle w:val="SingleTxtG"/>
      </w:pPr>
      <w:r>
        <w:tab/>
      </w:r>
      <w:r w:rsidR="00325575">
        <w:t>13.</w:t>
      </w:r>
      <w:r w:rsidR="00325575">
        <w:tab/>
      </w:r>
      <w:r w:rsidR="00325575" w:rsidRPr="002F7D70">
        <w:rPr>
          <w:i/>
          <w:iCs/>
        </w:rPr>
        <w:t>просит</w:t>
      </w:r>
      <w:r w:rsidR="00325575">
        <w:t xml:space="preserve"> секретариат размещать на веб-сайте Конвенции национальную отчетность на языках, на которых она имеется в наличии;</w:t>
      </w:r>
    </w:p>
    <w:p w14:paraId="606A05B0" w14:textId="5F2B9778" w:rsidR="00325575" w:rsidRDefault="002F7D70" w:rsidP="00325575">
      <w:pPr>
        <w:pStyle w:val="SingleTxtG"/>
      </w:pPr>
      <w:r>
        <w:tab/>
      </w:r>
      <w:r w:rsidR="00325575">
        <w:t>14.</w:t>
      </w:r>
      <w:r w:rsidR="00325575">
        <w:tab/>
      </w:r>
      <w:r w:rsidR="00325575" w:rsidRPr="002F7D70">
        <w:rPr>
          <w:i/>
          <w:iCs/>
        </w:rPr>
        <w:t>просит также</w:t>
      </w:r>
      <w:r w:rsidR="00325575">
        <w:t xml:space="preserve"> секретариат размещать на веб-сайте Конвенции перечни примеров из практики стратегической экологической оценки на национальном и трансграничном уровнях, включенные в ответы на вопросник, если страны не возражают против такой практики;</w:t>
      </w:r>
    </w:p>
    <w:p w14:paraId="5E6929A5" w14:textId="265ECE08" w:rsidR="00325575" w:rsidRDefault="002F7D70" w:rsidP="00325575">
      <w:pPr>
        <w:pStyle w:val="SingleTxtG"/>
      </w:pPr>
      <w:r>
        <w:lastRenderedPageBreak/>
        <w:tab/>
      </w:r>
      <w:r w:rsidR="00325575">
        <w:t>15.</w:t>
      </w:r>
      <w:r w:rsidR="00325575">
        <w:tab/>
      </w:r>
      <w:r w:rsidR="00325575" w:rsidRPr="002F7D70">
        <w:rPr>
          <w:i/>
          <w:iCs/>
        </w:rPr>
        <w:t>постановляет</w:t>
      </w:r>
      <w:r w:rsidR="00325575">
        <w:t>, что проект пятого обзора осуществления Протокола в период 2022–2024 годов, основанный на отчетности Сторон, будет представлен на шестой сессии Совещания Сторон Протокола и что в плане работы следует отразить элементы, необходимые для подготовки проекта пятого обзора;</w:t>
      </w:r>
    </w:p>
    <w:p w14:paraId="4CD3950F" w14:textId="1E12D0EA" w:rsidR="00325575" w:rsidRDefault="002F7D70" w:rsidP="00325575">
      <w:pPr>
        <w:pStyle w:val="SingleTxtG"/>
      </w:pPr>
      <w:r>
        <w:tab/>
      </w:r>
      <w:r w:rsidR="00325575">
        <w:t>16.</w:t>
      </w:r>
      <w:r w:rsidR="00325575">
        <w:tab/>
      </w:r>
      <w:r w:rsidR="00325575" w:rsidRPr="002F7D70">
        <w:rPr>
          <w:i/>
          <w:iCs/>
        </w:rPr>
        <w:t>просит</w:t>
      </w:r>
      <w:r w:rsidR="00325575">
        <w:t xml:space="preserve"> секретариат предусмотреть после утверждения пятого обзора осуществления последующее его опубликование в электронном виде на всех трех официальных языках ЕЭК.</w:t>
      </w:r>
    </w:p>
    <w:p w14:paraId="7F9F0550" w14:textId="77777777" w:rsidR="00325575" w:rsidRDefault="00325575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1EA2C54D" w14:textId="77777777" w:rsidR="00325575" w:rsidRDefault="00325575" w:rsidP="002F7D70">
      <w:pPr>
        <w:pStyle w:val="HChG"/>
      </w:pPr>
      <w:r>
        <w:lastRenderedPageBreak/>
        <w:tab/>
      </w:r>
      <w:r>
        <w:tab/>
        <w:t>Проект решения V/6</w:t>
      </w:r>
    </w:p>
    <w:p w14:paraId="6577CBC0" w14:textId="77777777" w:rsidR="00325575" w:rsidRDefault="00325575" w:rsidP="002F7D70">
      <w:pPr>
        <w:pStyle w:val="H1G"/>
      </w:pPr>
      <w:r>
        <w:tab/>
      </w:r>
      <w:r>
        <w:tab/>
        <w:t>Оценка воздействий на здоровье человека при проведении стратегической экологической оценки</w:t>
      </w:r>
    </w:p>
    <w:p w14:paraId="3FD0681B" w14:textId="0CCBFE1C" w:rsidR="00325575" w:rsidRPr="002F7D70" w:rsidRDefault="002F7D70" w:rsidP="00325575">
      <w:pPr>
        <w:pStyle w:val="SingleTxtG"/>
        <w:rPr>
          <w:i/>
          <w:iCs/>
        </w:rPr>
      </w:pPr>
      <w:r>
        <w:tab/>
      </w:r>
      <w:r w:rsidR="00325575" w:rsidRPr="002F7D70">
        <w:rPr>
          <w:i/>
          <w:iCs/>
        </w:rPr>
        <w:t>Совещание Сторон Протокола,</w:t>
      </w:r>
    </w:p>
    <w:p w14:paraId="3936A81B" w14:textId="47F91CAF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ссылаясь</w:t>
      </w:r>
      <w:r w:rsidR="00325575">
        <w:t xml:space="preserve"> на преамбулу Протокола</w:t>
      </w:r>
      <w:r>
        <w:rPr>
          <w:rStyle w:val="aa"/>
        </w:rPr>
        <w:footnoteReference w:id="4"/>
      </w:r>
      <w:r w:rsidR="00325575">
        <w:t>, в которой признаются выгоды для здоровья и благополучия нынешнего и будущих поколений, которые будут иметь место в том случае, если необходимость в охране и улучшении здоровья людей будет приниматься в расчет в качестве неотъемлемой части стратегической экологической оценки,</w:t>
      </w:r>
    </w:p>
    <w:p w14:paraId="00DBD48D" w14:textId="694755DB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ссылаясь также</w:t>
      </w:r>
      <w:r w:rsidR="00325575">
        <w:t xml:space="preserve"> на Информационно-справочное руководство по применению Протокола ЕЭК ООН по стратегической экологической оценке</w:t>
      </w:r>
      <w:r>
        <w:rPr>
          <w:rStyle w:val="aa"/>
        </w:rPr>
        <w:footnoteReference w:id="5"/>
      </w:r>
      <w:r w:rsidR="00325575">
        <w:t>, и особенно на посвященное здоровью населения приложение A1.1 к нему, которое было подготовлено в сотрудничестве со Всемирной организацией здравоохранения,</w:t>
      </w:r>
    </w:p>
    <w:p w14:paraId="0C75D64E" w14:textId="5EA70344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ссылаясь далее</w:t>
      </w:r>
      <w:r w:rsidR="00325575">
        <w:t xml:space="preserve"> на свое решение VII/3-III/3 об утверждении плана работы по осуществлению Конвенции и Протокола к ней на период 2017</w:t>
      </w:r>
      <w:r>
        <w:t>–</w:t>
      </w:r>
      <w:r w:rsidR="00325575">
        <w:t>2020 годов, приложение II, пункт IV.1</w:t>
      </w:r>
      <w:r>
        <w:rPr>
          <w:rStyle w:val="aa"/>
        </w:rPr>
        <w:footnoteReference w:id="6"/>
      </w:r>
      <w:r w:rsidR="00325575">
        <w:t>, в котором предусматривается разработка руководства по оценке потенциальных воздействий на здоровье человека планов и программ, а также вовлечение органов здравоохранения,</w:t>
      </w:r>
    </w:p>
    <w:p w14:paraId="1FAB20D7" w14:textId="3E21218C" w:rsidR="00325575" w:rsidRDefault="002F7D70" w:rsidP="00325575">
      <w:pPr>
        <w:pStyle w:val="SingleTxtG"/>
      </w:pPr>
      <w:r>
        <w:tab/>
      </w:r>
      <w:r w:rsidR="00325575" w:rsidRPr="002F7D70">
        <w:rPr>
          <w:i/>
          <w:iCs/>
        </w:rPr>
        <w:t>напоминая</w:t>
      </w:r>
      <w:r w:rsidR="00325575">
        <w:t xml:space="preserve"> о своем обязательстве завершить разработку руководства и официально принять его в межсессионный период 2021</w:t>
      </w:r>
      <w:r>
        <w:t>–</w:t>
      </w:r>
      <w:r w:rsidR="00325575">
        <w:t>2023 годов при условии наличия ресурсов</w:t>
      </w:r>
      <w:r w:rsidR="007F6354">
        <w:rPr>
          <w:rStyle w:val="aa"/>
        </w:rPr>
        <w:footnoteReference w:id="7"/>
      </w:r>
      <w:r w:rsidR="00325575">
        <w:t>,</w:t>
      </w:r>
    </w:p>
    <w:p w14:paraId="0317A76C" w14:textId="7F80D9C9" w:rsidR="00325575" w:rsidRDefault="007F6354" w:rsidP="00325575">
      <w:pPr>
        <w:pStyle w:val="SingleTxtG"/>
      </w:pPr>
      <w:r>
        <w:tab/>
      </w:r>
      <w:r w:rsidR="00325575" w:rsidRPr="007F6354">
        <w:rPr>
          <w:i/>
          <w:iCs/>
        </w:rPr>
        <w:t>подчеркивая</w:t>
      </w:r>
      <w:r w:rsidR="00325575">
        <w:t xml:space="preserve"> важность проведения консультаций с органами здравоохранения наряду с природоохранными органами для обеспечения учета экологических, в том числе связанных со здоровьем человека, соображений при разработке планов и программ и, насколько это возможно, в мерах политики и законодательстве,</w:t>
      </w:r>
    </w:p>
    <w:p w14:paraId="3D7E84C2" w14:textId="0D2FFEB7" w:rsidR="00325575" w:rsidRDefault="007F6354" w:rsidP="00325575">
      <w:pPr>
        <w:pStyle w:val="SingleTxtG"/>
      </w:pPr>
      <w:r>
        <w:tab/>
      </w:r>
      <w:r w:rsidR="00325575" w:rsidRPr="007F6354">
        <w:rPr>
          <w:i/>
          <w:iCs/>
        </w:rPr>
        <w:t>желая</w:t>
      </w:r>
      <w:r w:rsidR="00325575">
        <w:t xml:space="preserve"> помочь Сторонам в выполнении их обязательств по Протоколу и содействовать его эффективному применению,</w:t>
      </w:r>
    </w:p>
    <w:p w14:paraId="39B7D03F" w14:textId="054B6E5A" w:rsidR="00325575" w:rsidRDefault="007F6354" w:rsidP="00325575">
      <w:pPr>
        <w:pStyle w:val="SingleTxtG"/>
      </w:pPr>
      <w:r>
        <w:tab/>
      </w:r>
      <w:r w:rsidR="00325575" w:rsidRPr="007F6354">
        <w:rPr>
          <w:i/>
          <w:iCs/>
        </w:rPr>
        <w:t>желая также</w:t>
      </w:r>
      <w:r w:rsidR="00325575">
        <w:t xml:space="preserve"> оказать помощь будущим Сторонам в их усилиях по разработке соответствующего законодательства и практики в области стратегической экологической оценки, в том числе в отношении оценки воздействия на здоровье человека и участия органов здравоохранения,</w:t>
      </w:r>
    </w:p>
    <w:p w14:paraId="5BBCD7CD" w14:textId="1EE918F0" w:rsidR="00325575" w:rsidRDefault="007F6354" w:rsidP="00325575">
      <w:pPr>
        <w:pStyle w:val="SingleTxtG"/>
      </w:pPr>
      <w:r>
        <w:tab/>
      </w:r>
      <w:r w:rsidR="00325575">
        <w:t>1.</w:t>
      </w:r>
      <w:r w:rsidR="00325575">
        <w:tab/>
      </w:r>
      <w:r w:rsidR="00325575" w:rsidRPr="007F6354">
        <w:rPr>
          <w:i/>
          <w:iCs/>
        </w:rPr>
        <w:t>приветствует</w:t>
      </w:r>
      <w:r w:rsidR="00325575">
        <w:t xml:space="preserve"> разработку проекта руководства в период 2019</w:t>
      </w:r>
      <w:r w:rsidRPr="007F6354">
        <w:t>–</w:t>
      </w:r>
      <w:r>
        <w:br/>
      </w:r>
      <w:r w:rsidR="00325575">
        <w:t>2020 годов двумя консультантами при финансировании Европейского инвестиционного банка в консультации с секретариатом, Всемирной организацией здравоохранения и целевой группой, состоящей из представителей Австрии, Ирландии, Словении и Финляндии;</w:t>
      </w:r>
    </w:p>
    <w:p w14:paraId="76AFC848" w14:textId="348D0AE6" w:rsidR="00325575" w:rsidRDefault="007F6354" w:rsidP="00325575">
      <w:pPr>
        <w:pStyle w:val="SingleTxtG"/>
      </w:pPr>
      <w:r>
        <w:tab/>
      </w:r>
      <w:r w:rsidR="00325575">
        <w:t>2.</w:t>
      </w:r>
      <w:r w:rsidR="00325575">
        <w:tab/>
      </w:r>
      <w:r w:rsidR="00325575" w:rsidRPr="007F6354">
        <w:rPr>
          <w:i/>
          <w:iCs/>
        </w:rPr>
        <w:t>приветствует также</w:t>
      </w:r>
      <w:r w:rsidR="00325575">
        <w:t xml:space="preserve"> последующие усилия в период 2022</w:t>
      </w:r>
      <w:r>
        <w:t>–</w:t>
      </w:r>
      <w:r w:rsidR="00325575">
        <w:t>2023 годов Председателя и добровольцев из числа членов Президиума, а также представителей Европейского союза и его государств-членов по дальнейшей разработке проекта руководства;</w:t>
      </w:r>
    </w:p>
    <w:p w14:paraId="50A3792D" w14:textId="7E1CD82A" w:rsidR="00325575" w:rsidRDefault="007F6354" w:rsidP="00325575">
      <w:pPr>
        <w:pStyle w:val="SingleTxtG"/>
      </w:pPr>
      <w:r>
        <w:tab/>
      </w:r>
      <w:r w:rsidR="00325575">
        <w:t>3.</w:t>
      </w:r>
      <w:r w:rsidR="00325575">
        <w:tab/>
      </w:r>
      <w:r w:rsidR="00325575" w:rsidRPr="00157EA7">
        <w:rPr>
          <w:i/>
          <w:iCs/>
        </w:rPr>
        <w:t>[</w:t>
      </w:r>
      <w:r w:rsidR="00325575" w:rsidRPr="007F6354">
        <w:rPr>
          <w:i/>
          <w:iCs/>
        </w:rPr>
        <w:t>одобряет</w:t>
      </w:r>
      <w:r w:rsidR="00325575" w:rsidRPr="00157EA7">
        <w:rPr>
          <w:i/>
          <w:iCs/>
        </w:rPr>
        <w:t>]</w:t>
      </w:r>
      <w:r w:rsidR="00325575">
        <w:t xml:space="preserve"> руководство по оценке воздействий на здоровье человека в рамках Протокола по стратегической экологической оценке [(ECE/MP.EIA/SEA/</w:t>
      </w:r>
      <w:r>
        <w:br/>
      </w:r>
      <w:r w:rsidR="00325575">
        <w:t>2023/...];</w:t>
      </w:r>
    </w:p>
    <w:p w14:paraId="2A6C997A" w14:textId="339DB227" w:rsidR="00325575" w:rsidRDefault="007F6354" w:rsidP="00325575">
      <w:pPr>
        <w:pStyle w:val="SingleTxtG"/>
      </w:pPr>
      <w:r>
        <w:lastRenderedPageBreak/>
        <w:tab/>
      </w:r>
      <w:r w:rsidR="00325575">
        <w:t>4.</w:t>
      </w:r>
      <w:r w:rsidR="00325575">
        <w:tab/>
      </w:r>
      <w:r w:rsidR="00325575" w:rsidRPr="007F6354">
        <w:rPr>
          <w:i/>
          <w:iCs/>
        </w:rPr>
        <w:t>рекомендует</w:t>
      </w:r>
      <w:r w:rsidR="00325575">
        <w:t xml:space="preserve"> Сторонам принимать во внимание содержание руководства при осуществлении Конвенции;</w:t>
      </w:r>
    </w:p>
    <w:p w14:paraId="2348A6E7" w14:textId="73AB1792" w:rsidR="00325575" w:rsidRDefault="007F6354" w:rsidP="00325575">
      <w:pPr>
        <w:pStyle w:val="SingleTxtG"/>
      </w:pPr>
      <w:r>
        <w:tab/>
      </w:r>
      <w:r w:rsidR="00325575">
        <w:t>5.</w:t>
      </w:r>
      <w:r w:rsidR="00325575">
        <w:tab/>
      </w:r>
      <w:r w:rsidR="00325575" w:rsidRPr="007F6354">
        <w:rPr>
          <w:i/>
          <w:iCs/>
        </w:rPr>
        <w:t>призывает</w:t>
      </w:r>
      <w:r w:rsidR="00325575">
        <w:t xml:space="preserve"> Стороны обеспечить широкое распространение руководства среди компетентных органов и соответствующих заинтересованных сторон</w:t>
      </w:r>
      <w:r w:rsidR="00117BF1">
        <w:t>;</w:t>
      </w:r>
    </w:p>
    <w:p w14:paraId="3537ADA2" w14:textId="778195C7" w:rsidR="00325575" w:rsidRDefault="007F6354" w:rsidP="00325575">
      <w:pPr>
        <w:pStyle w:val="SingleTxtG"/>
      </w:pPr>
      <w:r>
        <w:tab/>
      </w:r>
      <w:r w:rsidR="00325575">
        <w:t>6.</w:t>
      </w:r>
      <w:r w:rsidR="00325575">
        <w:tab/>
      </w:r>
      <w:r w:rsidR="00325575" w:rsidRPr="007F6354">
        <w:rPr>
          <w:i/>
          <w:iCs/>
        </w:rPr>
        <w:t>предлагает</w:t>
      </w:r>
      <w:r w:rsidR="00325575">
        <w:t xml:space="preserve"> использовать руководство во включенных в план работы видах деятельности по наращиванию потенциала;</w:t>
      </w:r>
    </w:p>
    <w:p w14:paraId="340CDECB" w14:textId="415BDE11" w:rsidR="00325575" w:rsidRDefault="007F6354" w:rsidP="00325575">
      <w:pPr>
        <w:pStyle w:val="SingleTxtG"/>
      </w:pPr>
      <w:r>
        <w:tab/>
      </w:r>
      <w:r w:rsidR="00325575">
        <w:t>7.</w:t>
      </w:r>
      <w:r w:rsidR="00325575">
        <w:tab/>
      </w:r>
      <w:r w:rsidR="00325575" w:rsidRPr="007F6354">
        <w:rPr>
          <w:i/>
          <w:iCs/>
        </w:rPr>
        <w:t>выражает</w:t>
      </w:r>
      <w:r w:rsidR="00325575" w:rsidRPr="003962CE">
        <w:rPr>
          <w:i/>
          <w:iCs/>
        </w:rPr>
        <w:t xml:space="preserve"> признательность</w:t>
      </w:r>
      <w:r w:rsidR="00325575">
        <w:t xml:space="preserve"> за плодотворное и длительное сотрудничество со Всемирной организацией здравоохранения в деле повышения осведомленности о Протоколе и поддержки его осуществления;</w:t>
      </w:r>
    </w:p>
    <w:p w14:paraId="06A6C831" w14:textId="7C6305DE" w:rsidR="00325575" w:rsidRDefault="007F6354" w:rsidP="00325575">
      <w:pPr>
        <w:pStyle w:val="SingleTxtG"/>
      </w:pPr>
      <w:r>
        <w:tab/>
      </w:r>
      <w:r w:rsidR="00325575">
        <w:t>8.</w:t>
      </w:r>
      <w:r w:rsidR="00325575">
        <w:tab/>
      </w:r>
      <w:r w:rsidR="00325575" w:rsidRPr="007F6354">
        <w:rPr>
          <w:i/>
          <w:iCs/>
        </w:rPr>
        <w:t>предлагает</w:t>
      </w:r>
      <w:r w:rsidR="00325575">
        <w:t xml:space="preserve"> Сторонам представить примеры надлежащей практики по оценке здоровья человека в рамках стратегической экологической оценки и вовлечению в нее органов здравоохранения.</w:t>
      </w:r>
    </w:p>
    <w:p w14:paraId="2EE688E9" w14:textId="63ACC719" w:rsidR="00325575" w:rsidRPr="00325575" w:rsidRDefault="00325575" w:rsidP="0032557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25575" w:rsidRPr="00325575" w:rsidSect="0032557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C555" w14:textId="77777777" w:rsidR="00A919F0" w:rsidRPr="00A312BC" w:rsidRDefault="00A919F0" w:rsidP="00A312BC"/>
  </w:endnote>
  <w:endnote w:type="continuationSeparator" w:id="0">
    <w:p w14:paraId="7619A231" w14:textId="77777777" w:rsidR="00A919F0" w:rsidRPr="00A312BC" w:rsidRDefault="00A919F0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3E8D" w14:textId="4C218375" w:rsidR="00325575" w:rsidRPr="00325575" w:rsidRDefault="00325575">
    <w:pPr>
      <w:pStyle w:val="a8"/>
    </w:pPr>
    <w:r w:rsidRPr="00325575">
      <w:rPr>
        <w:b/>
        <w:sz w:val="18"/>
      </w:rPr>
      <w:fldChar w:fldCharType="begin"/>
    </w:r>
    <w:r w:rsidRPr="00325575">
      <w:rPr>
        <w:b/>
        <w:sz w:val="18"/>
      </w:rPr>
      <w:instrText xml:space="preserve"> PAGE  \* MERGEFORMAT </w:instrText>
    </w:r>
    <w:r w:rsidRPr="00325575">
      <w:rPr>
        <w:b/>
        <w:sz w:val="18"/>
      </w:rPr>
      <w:fldChar w:fldCharType="separate"/>
    </w:r>
    <w:r w:rsidRPr="00325575">
      <w:rPr>
        <w:b/>
        <w:noProof/>
        <w:sz w:val="18"/>
      </w:rPr>
      <w:t>2</w:t>
    </w:r>
    <w:r w:rsidRPr="00325575">
      <w:rPr>
        <w:b/>
        <w:sz w:val="18"/>
      </w:rPr>
      <w:fldChar w:fldCharType="end"/>
    </w:r>
    <w:r>
      <w:rPr>
        <w:b/>
        <w:sz w:val="18"/>
      </w:rPr>
      <w:tab/>
    </w:r>
    <w:r>
      <w:t>GE.23-05602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4EF9" w14:textId="5F25A7F8" w:rsidR="00325575" w:rsidRPr="00325575" w:rsidRDefault="00325575" w:rsidP="00325575">
    <w:pPr>
      <w:pStyle w:val="a8"/>
      <w:tabs>
        <w:tab w:val="clear" w:pos="9639"/>
        <w:tab w:val="right" w:pos="9638"/>
      </w:tabs>
      <w:rPr>
        <w:b/>
        <w:sz w:val="18"/>
      </w:rPr>
    </w:pPr>
    <w:r>
      <w:t>GE.23-05602</w:t>
    </w:r>
    <w:r>
      <w:tab/>
    </w:r>
    <w:r w:rsidRPr="00325575">
      <w:rPr>
        <w:b/>
        <w:sz w:val="18"/>
      </w:rPr>
      <w:fldChar w:fldCharType="begin"/>
    </w:r>
    <w:r w:rsidRPr="00325575">
      <w:rPr>
        <w:b/>
        <w:sz w:val="18"/>
      </w:rPr>
      <w:instrText xml:space="preserve"> PAGE  \* MERGEFORMAT </w:instrText>
    </w:r>
    <w:r w:rsidRPr="00325575">
      <w:rPr>
        <w:b/>
        <w:sz w:val="18"/>
      </w:rPr>
      <w:fldChar w:fldCharType="separate"/>
    </w:r>
    <w:r w:rsidRPr="00325575">
      <w:rPr>
        <w:b/>
        <w:noProof/>
        <w:sz w:val="18"/>
      </w:rPr>
      <w:t>3</w:t>
    </w:r>
    <w:r w:rsidRPr="0032557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0713" w14:textId="79F324C8" w:rsidR="00042B72" w:rsidRPr="002F7D70" w:rsidRDefault="00325575" w:rsidP="00325575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63078DD" wp14:editId="0B16483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23-05602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CDA1930" wp14:editId="27949099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D70">
      <w:rPr>
        <w:lang w:val="en-US"/>
      </w:rPr>
      <w:t xml:space="preserve">  040423  040423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92E9" w14:textId="77777777" w:rsidR="00A919F0" w:rsidRPr="001075E9" w:rsidRDefault="00A919F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EA33A97" w14:textId="77777777" w:rsidR="00A919F0" w:rsidRDefault="00A919F0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943191B" w14:textId="18EF0297" w:rsidR="002F7D70" w:rsidRPr="002F7D70" w:rsidRDefault="002F7D70">
      <w:pPr>
        <w:pStyle w:val="ad"/>
      </w:pPr>
      <w:r>
        <w:tab/>
      </w:r>
      <w:r>
        <w:rPr>
          <w:rStyle w:val="aa"/>
        </w:rPr>
        <w:footnoteRef/>
      </w:r>
      <w:r>
        <w:tab/>
      </w:r>
      <w:r>
        <w:t xml:space="preserve">Со всеми решениями совещаний Сторон, упомянутыми в настоящем решении, можно ознакомиться по адресу </w:t>
      </w:r>
      <w:hyperlink r:id="rId1" w:history="1">
        <w:r w:rsidRPr="002F7D70">
          <w:rPr>
            <w:rStyle w:val="af1"/>
          </w:rPr>
          <w:t>https://unece.org/environment-policy/environmental-assessment/decisions-taken-meetings-parties</w:t>
        </w:r>
      </w:hyperlink>
      <w:r w:rsidRPr="00483B51">
        <w:t>.</w:t>
      </w:r>
    </w:p>
  </w:footnote>
  <w:footnote w:id="2">
    <w:p w14:paraId="7E537AB4" w14:textId="7593086B" w:rsidR="002F7D70" w:rsidRPr="002F7D70" w:rsidRDefault="002F7D70">
      <w:pPr>
        <w:pStyle w:val="ad"/>
      </w:pPr>
      <w:r>
        <w:tab/>
      </w:r>
      <w:r>
        <w:rPr>
          <w:rStyle w:val="aa"/>
        </w:rPr>
        <w:footnoteRef/>
      </w:r>
      <w:r>
        <w:tab/>
      </w:r>
      <w:r w:rsidRPr="002F7D70">
        <w:t>ECE/MP.EIA/SEA/2023/[...], готовится к опубликованию.</w:t>
      </w:r>
    </w:p>
  </w:footnote>
  <w:footnote w:id="3">
    <w:p w14:paraId="68B6AF65" w14:textId="01147BFE" w:rsidR="002F7D70" w:rsidRPr="002F7D70" w:rsidRDefault="002F7D70">
      <w:pPr>
        <w:pStyle w:val="ad"/>
        <w:rPr>
          <w:lang w:val="es-ES"/>
        </w:rPr>
      </w:pPr>
      <w:r>
        <w:tab/>
      </w:r>
      <w:r>
        <w:rPr>
          <w:rStyle w:val="aa"/>
        </w:rPr>
        <w:footnoteRef/>
      </w:r>
      <w:r w:rsidRPr="002F7D70">
        <w:rPr>
          <w:lang w:val="es-ES"/>
        </w:rPr>
        <w:tab/>
      </w:r>
      <w:r w:rsidRPr="002F7D70">
        <w:rPr>
          <w:lang w:val="es-ES"/>
        </w:rPr>
        <w:t xml:space="preserve">ECE/MP.EIA/SEA/14, </w:t>
      </w:r>
      <w:r>
        <w:t>пп</w:t>
      </w:r>
      <w:r w:rsidRPr="002F7D70">
        <w:rPr>
          <w:lang w:val="es-ES"/>
        </w:rPr>
        <w:t>. 84–85.</w:t>
      </w:r>
    </w:p>
  </w:footnote>
  <w:footnote w:id="4">
    <w:p w14:paraId="3ACE42A3" w14:textId="02282648" w:rsidR="002F7D70" w:rsidRPr="002F7D70" w:rsidRDefault="002F7D70">
      <w:pPr>
        <w:pStyle w:val="ad"/>
      </w:pPr>
      <w:r w:rsidRPr="002F7D70">
        <w:rPr>
          <w:lang w:val="es-ES"/>
        </w:rPr>
        <w:tab/>
      </w:r>
      <w:r>
        <w:rPr>
          <w:rStyle w:val="aa"/>
        </w:rPr>
        <w:footnoteRef/>
      </w:r>
      <w:r>
        <w:tab/>
      </w:r>
      <w:r>
        <w:t>Протокол по стратегической экологической оценке, седьмой пункт преамбулы.</w:t>
      </w:r>
    </w:p>
  </w:footnote>
  <w:footnote w:id="5">
    <w:p w14:paraId="70B594F0" w14:textId="65E996DF" w:rsidR="002F7D70" w:rsidRPr="002F7D70" w:rsidRDefault="002F7D70">
      <w:pPr>
        <w:pStyle w:val="ad"/>
      </w:pPr>
      <w:r>
        <w:tab/>
      </w:r>
      <w:r>
        <w:rPr>
          <w:rStyle w:val="aa"/>
        </w:rPr>
        <w:footnoteRef/>
      </w:r>
      <w:r>
        <w:tab/>
      </w:r>
      <w:r>
        <w:t>Издание Организации Объединенных Наций</w:t>
      </w:r>
      <w:r w:rsidRPr="002C14E7">
        <w:t xml:space="preserve">, </w:t>
      </w:r>
      <w:r w:rsidRPr="00B1247F">
        <w:t>ECE</w:t>
      </w:r>
      <w:r w:rsidRPr="002C14E7">
        <w:t>/</w:t>
      </w:r>
      <w:r w:rsidRPr="00B1247F">
        <w:t>MP</w:t>
      </w:r>
      <w:r w:rsidRPr="002C14E7">
        <w:t>.</w:t>
      </w:r>
      <w:r w:rsidRPr="00B1247F">
        <w:t>EIA</w:t>
      </w:r>
      <w:r w:rsidRPr="002C14E7">
        <w:t>/17.</w:t>
      </w:r>
    </w:p>
  </w:footnote>
  <w:footnote w:id="6">
    <w:p w14:paraId="4835224B" w14:textId="1DB61ED3" w:rsidR="002F7D70" w:rsidRPr="002F7D70" w:rsidRDefault="002F7D70">
      <w:pPr>
        <w:pStyle w:val="ad"/>
        <w:rPr>
          <w:lang w:val="es-ES"/>
        </w:rPr>
      </w:pPr>
      <w:r>
        <w:tab/>
      </w:r>
      <w:r>
        <w:rPr>
          <w:rStyle w:val="aa"/>
        </w:rPr>
        <w:footnoteRef/>
      </w:r>
      <w:r w:rsidRPr="002F7D70">
        <w:rPr>
          <w:lang w:val="es-ES"/>
        </w:rPr>
        <w:tab/>
      </w:r>
      <w:r w:rsidRPr="002F7D70">
        <w:rPr>
          <w:lang w:val="es-ES"/>
        </w:rPr>
        <w:t>ECE/MP.EIA/23.Add.1–ECE/MP.EIA/SEA/7.Add.1.</w:t>
      </w:r>
    </w:p>
  </w:footnote>
  <w:footnote w:id="7">
    <w:p w14:paraId="1810C4AA" w14:textId="0E3BF872" w:rsidR="007F6354" w:rsidRPr="007F6354" w:rsidRDefault="007F6354">
      <w:pPr>
        <w:pStyle w:val="ad"/>
      </w:pPr>
      <w:r>
        <w:tab/>
      </w:r>
      <w:r>
        <w:rPr>
          <w:rStyle w:val="aa"/>
        </w:rPr>
        <w:footnoteRef/>
      </w:r>
      <w:r>
        <w:tab/>
      </w:r>
      <w:r w:rsidRPr="00576D4F">
        <w:rPr>
          <w:lang w:val="en-US"/>
        </w:rPr>
        <w:t>ECE</w:t>
      </w:r>
      <w:r w:rsidRPr="007F6354">
        <w:t>/</w:t>
      </w:r>
      <w:r w:rsidRPr="00576D4F">
        <w:rPr>
          <w:lang w:val="en-US"/>
        </w:rPr>
        <w:t>MP</w:t>
      </w:r>
      <w:r w:rsidRPr="007F6354">
        <w:t>.</w:t>
      </w:r>
      <w:r w:rsidRPr="00576D4F">
        <w:rPr>
          <w:lang w:val="en-US"/>
        </w:rPr>
        <w:t>EIA</w:t>
      </w:r>
      <w:r w:rsidRPr="007F6354">
        <w:t>/30/</w:t>
      </w:r>
      <w:r w:rsidRPr="00576D4F">
        <w:rPr>
          <w:lang w:val="en-US"/>
        </w:rPr>
        <w:t>Add</w:t>
      </w:r>
      <w:r w:rsidRPr="007F6354">
        <w:t xml:space="preserve">.1 </w:t>
      </w:r>
      <w:r w:rsidRPr="00576D4F">
        <w:rPr>
          <w:lang w:val="en-US"/>
        </w:rPr>
        <w:t>ECE</w:t>
      </w:r>
      <w:r w:rsidRPr="007F6354">
        <w:t>/</w:t>
      </w:r>
      <w:r w:rsidRPr="00576D4F">
        <w:rPr>
          <w:lang w:val="en-US"/>
        </w:rPr>
        <w:t>MP</w:t>
      </w:r>
      <w:r w:rsidRPr="007F6354">
        <w:t>.</w:t>
      </w:r>
      <w:r w:rsidRPr="00576D4F">
        <w:rPr>
          <w:lang w:val="en-US"/>
        </w:rPr>
        <w:t>EIA</w:t>
      </w:r>
      <w:r w:rsidRPr="007F6354">
        <w:t>/</w:t>
      </w:r>
      <w:r w:rsidRPr="00576D4F">
        <w:rPr>
          <w:lang w:val="en-US"/>
        </w:rPr>
        <w:t>SEA</w:t>
      </w:r>
      <w:r w:rsidRPr="007F6354">
        <w:t>/13/</w:t>
      </w:r>
      <w:r w:rsidRPr="00576D4F">
        <w:rPr>
          <w:lang w:val="en-US"/>
        </w:rPr>
        <w:t>Add</w:t>
      </w:r>
      <w:r w:rsidRPr="007F6354">
        <w:t xml:space="preserve">.1, </w:t>
      </w:r>
      <w:r>
        <w:t>решение</w:t>
      </w:r>
      <w:r w:rsidRPr="007F6354">
        <w:t xml:space="preserve"> </w:t>
      </w:r>
      <w:r w:rsidRPr="00576D4F">
        <w:rPr>
          <w:lang w:val="en-US"/>
        </w:rPr>
        <w:t>VIII</w:t>
      </w:r>
      <w:r w:rsidRPr="007F6354">
        <w:t>/3-</w:t>
      </w:r>
      <w:r w:rsidRPr="00576D4F">
        <w:rPr>
          <w:lang w:val="en-US"/>
        </w:rPr>
        <w:t>IV</w:t>
      </w:r>
      <w:r w:rsidRPr="007F6354">
        <w:t xml:space="preserve">/3, </w:t>
      </w:r>
      <w:r>
        <w:t>приложение</w:t>
      </w:r>
      <w:r w:rsidRPr="007F6354">
        <w:t xml:space="preserve">, </w:t>
      </w:r>
      <w:r>
        <w:t>Вильнюсская</w:t>
      </w:r>
      <w:r w:rsidRPr="007F6354">
        <w:t xml:space="preserve"> </w:t>
      </w:r>
      <w:r>
        <w:t>декларация</w:t>
      </w:r>
      <w:r w:rsidRPr="007F6354">
        <w:t xml:space="preserve">, </w:t>
      </w:r>
      <w:r>
        <w:t>п</w:t>
      </w:r>
      <w:r w:rsidRPr="007F6354">
        <w:t xml:space="preserve">. </w:t>
      </w:r>
      <w:proofErr w:type="gramStart"/>
      <w:r w:rsidRPr="007F6354">
        <w:t>13</w:t>
      </w:r>
      <w:proofErr w:type="gramEnd"/>
      <w:r w:rsidRPr="007F6354">
        <w:t xml:space="preserve">; </w:t>
      </w:r>
      <w:proofErr w:type="spellStart"/>
      <w:r w:rsidRPr="00576D4F">
        <w:rPr>
          <w:lang w:val="en-US"/>
        </w:rPr>
        <w:t>ECE</w:t>
      </w:r>
      <w:proofErr w:type="spellEnd"/>
      <w:r w:rsidRPr="007F6354">
        <w:t>/</w:t>
      </w:r>
      <w:r w:rsidRPr="00576D4F">
        <w:rPr>
          <w:lang w:val="en-US"/>
        </w:rPr>
        <w:t>MP</w:t>
      </w:r>
      <w:r w:rsidRPr="007F6354">
        <w:t>.</w:t>
      </w:r>
      <w:r w:rsidRPr="00576D4F">
        <w:rPr>
          <w:lang w:val="en-US"/>
        </w:rPr>
        <w:t>EIA</w:t>
      </w:r>
      <w:r w:rsidRPr="007F6354">
        <w:t>/30/</w:t>
      </w:r>
      <w:r w:rsidRPr="00576D4F">
        <w:rPr>
          <w:lang w:val="en-US"/>
        </w:rPr>
        <w:t>Add</w:t>
      </w:r>
      <w:r w:rsidRPr="007F6354">
        <w:t>.1–</w:t>
      </w:r>
      <w:proofErr w:type="spellStart"/>
      <w:r w:rsidRPr="00576D4F">
        <w:rPr>
          <w:lang w:val="en-US"/>
        </w:rPr>
        <w:t>ECE</w:t>
      </w:r>
      <w:proofErr w:type="spellEnd"/>
      <w:r w:rsidRPr="007F6354">
        <w:t>/</w:t>
      </w:r>
      <w:r w:rsidRPr="00576D4F">
        <w:rPr>
          <w:lang w:val="en-US"/>
        </w:rPr>
        <w:t>MP</w:t>
      </w:r>
      <w:r w:rsidRPr="007F6354">
        <w:t>.</w:t>
      </w:r>
      <w:r w:rsidRPr="00576D4F">
        <w:rPr>
          <w:lang w:val="en-US"/>
        </w:rPr>
        <w:t>EIA</w:t>
      </w:r>
      <w:r w:rsidRPr="007F6354">
        <w:t>/</w:t>
      </w:r>
      <w:r w:rsidRPr="00576D4F">
        <w:rPr>
          <w:lang w:val="en-US"/>
        </w:rPr>
        <w:t>SEA</w:t>
      </w:r>
      <w:r w:rsidRPr="007F6354">
        <w:t>/13/</w:t>
      </w:r>
      <w:r w:rsidRPr="00576D4F">
        <w:rPr>
          <w:lang w:val="en-US"/>
        </w:rPr>
        <w:t>Add</w:t>
      </w:r>
      <w:r w:rsidRPr="007F6354">
        <w:t xml:space="preserve">.1, </w:t>
      </w:r>
      <w:r>
        <w:t>решение</w:t>
      </w:r>
      <w:r>
        <w:rPr>
          <w:lang w:val="en-US"/>
        </w:rPr>
        <w:t> </w:t>
      </w:r>
      <w:r w:rsidRPr="00576D4F">
        <w:rPr>
          <w:lang w:val="en-US"/>
        </w:rPr>
        <w:t>VIII</w:t>
      </w:r>
      <w:r w:rsidRPr="007F6354">
        <w:t>/2–</w:t>
      </w:r>
      <w:r w:rsidRPr="00576D4F">
        <w:rPr>
          <w:lang w:val="en-US"/>
        </w:rPr>
        <w:t>IV</w:t>
      </w:r>
      <w:r w:rsidRPr="007F6354">
        <w:t>/2</w:t>
      </w:r>
      <w:r w:rsidR="00525D99">
        <w:t>;</w:t>
      </w:r>
      <w:r w:rsidRPr="007F6354">
        <w:t xml:space="preserve"> </w:t>
      </w:r>
      <w:r>
        <w:t>и</w:t>
      </w:r>
      <w:r w:rsidRPr="007F6354">
        <w:t xml:space="preserve"> </w:t>
      </w:r>
      <w:r w:rsidRPr="00576D4F">
        <w:rPr>
          <w:lang w:val="en-US"/>
        </w:rPr>
        <w:t>ECE</w:t>
      </w:r>
      <w:r w:rsidRPr="007F6354">
        <w:t>/</w:t>
      </w:r>
      <w:r w:rsidRPr="00576D4F">
        <w:rPr>
          <w:lang w:val="en-US"/>
        </w:rPr>
        <w:t>MP</w:t>
      </w:r>
      <w:r w:rsidRPr="007F6354">
        <w:t>.</w:t>
      </w:r>
      <w:r w:rsidRPr="00576D4F">
        <w:rPr>
          <w:lang w:val="en-US"/>
        </w:rPr>
        <w:t>EIA</w:t>
      </w:r>
      <w:r w:rsidRPr="007F6354">
        <w:t>/30–</w:t>
      </w:r>
      <w:r w:rsidRPr="00576D4F">
        <w:rPr>
          <w:lang w:val="en-US"/>
        </w:rPr>
        <w:t>ECE</w:t>
      </w:r>
      <w:r w:rsidRPr="007F6354">
        <w:t>/</w:t>
      </w:r>
      <w:r w:rsidRPr="00576D4F">
        <w:rPr>
          <w:lang w:val="en-US"/>
        </w:rPr>
        <w:t>MP</w:t>
      </w:r>
      <w:r w:rsidRPr="007F6354">
        <w:t>.</w:t>
      </w:r>
      <w:r w:rsidRPr="00576D4F">
        <w:rPr>
          <w:lang w:val="en-US"/>
        </w:rPr>
        <w:t>EIA</w:t>
      </w:r>
      <w:r w:rsidRPr="007F6354">
        <w:t>/</w:t>
      </w:r>
      <w:r w:rsidRPr="00576D4F">
        <w:rPr>
          <w:lang w:val="en-US"/>
        </w:rPr>
        <w:t>SEA</w:t>
      </w:r>
      <w:r w:rsidRPr="007F6354">
        <w:t xml:space="preserve">/13, </w:t>
      </w:r>
      <w:r>
        <w:t>п</w:t>
      </w:r>
      <w:r w:rsidRPr="007F6354">
        <w:t>. 33.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A010" w14:textId="7915D83D" w:rsidR="00325575" w:rsidRPr="00325575" w:rsidRDefault="00325575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A76929">
      <w:t>ECE</w:t>
    </w:r>
    <w:proofErr w:type="spellEnd"/>
    <w:r w:rsidR="00A76929">
      <w:t>/</w:t>
    </w:r>
    <w:proofErr w:type="spellStart"/>
    <w:r w:rsidR="00A76929">
      <w:t>MP.EIA</w:t>
    </w:r>
    <w:proofErr w:type="spellEnd"/>
    <w:r w:rsidR="00A76929">
      <w:t>/WG.2/2023/6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6F69" w14:textId="12E092C8" w:rsidR="00325575" w:rsidRPr="00325575" w:rsidRDefault="00325575" w:rsidP="00325575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A76929">
      <w:t>ECE</w:t>
    </w:r>
    <w:proofErr w:type="spellEnd"/>
    <w:r w:rsidR="00A76929">
      <w:t>/</w:t>
    </w:r>
    <w:proofErr w:type="spellStart"/>
    <w:r w:rsidR="00A76929">
      <w:t>MP.EIA</w:t>
    </w:r>
    <w:proofErr w:type="spellEnd"/>
    <w:r w:rsidR="00A76929">
      <w:t>/WG.2/2023/6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60349501">
    <w:abstractNumId w:val="16"/>
  </w:num>
  <w:num w:numId="2" w16cid:durableId="1032221283">
    <w:abstractNumId w:val="11"/>
  </w:num>
  <w:num w:numId="3" w16cid:durableId="1894190523">
    <w:abstractNumId w:val="10"/>
  </w:num>
  <w:num w:numId="4" w16cid:durableId="1442719493">
    <w:abstractNumId w:val="17"/>
  </w:num>
  <w:num w:numId="5" w16cid:durableId="2050302189">
    <w:abstractNumId w:val="13"/>
  </w:num>
  <w:num w:numId="6" w16cid:durableId="1095128413">
    <w:abstractNumId w:val="8"/>
  </w:num>
  <w:num w:numId="7" w16cid:durableId="961183287">
    <w:abstractNumId w:val="3"/>
  </w:num>
  <w:num w:numId="8" w16cid:durableId="528955693">
    <w:abstractNumId w:val="2"/>
  </w:num>
  <w:num w:numId="9" w16cid:durableId="742527774">
    <w:abstractNumId w:val="1"/>
  </w:num>
  <w:num w:numId="10" w16cid:durableId="1182667922">
    <w:abstractNumId w:val="0"/>
  </w:num>
  <w:num w:numId="11" w16cid:durableId="407771796">
    <w:abstractNumId w:val="9"/>
  </w:num>
  <w:num w:numId="12" w16cid:durableId="1537810798">
    <w:abstractNumId w:val="7"/>
  </w:num>
  <w:num w:numId="13" w16cid:durableId="692531908">
    <w:abstractNumId w:val="6"/>
  </w:num>
  <w:num w:numId="14" w16cid:durableId="153960675">
    <w:abstractNumId w:val="5"/>
  </w:num>
  <w:num w:numId="15" w16cid:durableId="1838037163">
    <w:abstractNumId w:val="4"/>
  </w:num>
  <w:num w:numId="16" w16cid:durableId="141577828">
    <w:abstractNumId w:val="15"/>
  </w:num>
  <w:num w:numId="17" w16cid:durableId="617181473">
    <w:abstractNumId w:val="12"/>
  </w:num>
  <w:num w:numId="18" w16cid:durableId="1552692544">
    <w:abstractNumId w:val="14"/>
  </w:num>
  <w:num w:numId="19" w16cid:durableId="1157645271">
    <w:abstractNumId w:val="15"/>
  </w:num>
  <w:num w:numId="20" w16cid:durableId="1693409680">
    <w:abstractNumId w:val="12"/>
  </w:num>
  <w:num w:numId="21" w16cid:durableId="7929475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F0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17BF1"/>
    <w:rsid w:val="00127969"/>
    <w:rsid w:val="0014152F"/>
    <w:rsid w:val="00157EA7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D70"/>
    <w:rsid w:val="002F7EEC"/>
    <w:rsid w:val="00301299"/>
    <w:rsid w:val="00305C08"/>
    <w:rsid w:val="00307FB6"/>
    <w:rsid w:val="00317339"/>
    <w:rsid w:val="00322004"/>
    <w:rsid w:val="00325575"/>
    <w:rsid w:val="003402C2"/>
    <w:rsid w:val="00381C24"/>
    <w:rsid w:val="00387CD4"/>
    <w:rsid w:val="003958D0"/>
    <w:rsid w:val="003962CE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5D99"/>
    <w:rsid w:val="00526683"/>
    <w:rsid w:val="00526DB8"/>
    <w:rsid w:val="005639C1"/>
    <w:rsid w:val="005709E0"/>
    <w:rsid w:val="00572E19"/>
    <w:rsid w:val="00594A04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E2119"/>
    <w:rsid w:val="006F35EE"/>
    <w:rsid w:val="007021FF"/>
    <w:rsid w:val="00712895"/>
    <w:rsid w:val="00734ACB"/>
    <w:rsid w:val="00757357"/>
    <w:rsid w:val="00792497"/>
    <w:rsid w:val="007F6354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431C3"/>
    <w:rsid w:val="00951972"/>
    <w:rsid w:val="009608F3"/>
    <w:rsid w:val="009A24AC"/>
    <w:rsid w:val="009C59D7"/>
    <w:rsid w:val="009C6FE6"/>
    <w:rsid w:val="009D7E7D"/>
    <w:rsid w:val="00A14DA8"/>
    <w:rsid w:val="00A312BC"/>
    <w:rsid w:val="00A76929"/>
    <w:rsid w:val="00A84021"/>
    <w:rsid w:val="00A84D35"/>
    <w:rsid w:val="00A917B3"/>
    <w:rsid w:val="00A919F0"/>
    <w:rsid w:val="00AB4B51"/>
    <w:rsid w:val="00AC7FF0"/>
    <w:rsid w:val="00B10CC7"/>
    <w:rsid w:val="00B36DF7"/>
    <w:rsid w:val="00B539E7"/>
    <w:rsid w:val="00B62458"/>
    <w:rsid w:val="00BA4704"/>
    <w:rsid w:val="00BC18B2"/>
    <w:rsid w:val="00BD33EE"/>
    <w:rsid w:val="00BE1CC7"/>
    <w:rsid w:val="00C106D6"/>
    <w:rsid w:val="00C119AE"/>
    <w:rsid w:val="00C5135C"/>
    <w:rsid w:val="00C60F0C"/>
    <w:rsid w:val="00C71E84"/>
    <w:rsid w:val="00C805C9"/>
    <w:rsid w:val="00C92338"/>
    <w:rsid w:val="00C92939"/>
    <w:rsid w:val="00CA1679"/>
    <w:rsid w:val="00CB151C"/>
    <w:rsid w:val="00CB3EF6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0ED39"/>
  <w15:docId w15:val="{F0B43DB3-D537-45B6-84E3-8A2B9C15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325575"/>
    <w:rPr>
      <w:lang w:val="ru-RU" w:eastAsia="en-US"/>
    </w:rPr>
  </w:style>
  <w:style w:type="character" w:styleId="af3">
    <w:name w:val="Unresolved Mention"/>
    <w:basedOn w:val="a0"/>
    <w:uiPriority w:val="99"/>
    <w:semiHidden/>
    <w:unhideWhenUsed/>
    <w:rsid w:val="002F7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environment-policy/environmental-assessment/decisions-taken-meetings-part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2F79B5BE87D40B73359BB004DC9B5" ma:contentTypeVersion="17" ma:contentTypeDescription="Create a new document." ma:contentTypeScope="" ma:versionID="df91b42384f9acd0dc9c7b2b0ca5a4fb">
  <xsd:schema xmlns:xsd="http://www.w3.org/2001/XMLSchema" xmlns:xs="http://www.w3.org/2001/XMLSchema" xmlns:p="http://schemas.microsoft.com/office/2006/metadata/properties" xmlns:ns2="99a2c2c3-fdcf-4e63-9c12-39b3de610a76" xmlns:ns3="a20aa909-956d-4941-9e8e-d4bf2c5fe97e" xmlns:ns4="985ec44e-1bab-4c0b-9df0-6ba128686fc9" targetNamespace="http://schemas.microsoft.com/office/2006/metadata/properties" ma:root="true" ma:fieldsID="5bdeaf74bd075ed71d0bb4235c38229e" ns2:_="" ns3:_="" ns4:_="">
    <xsd:import namespace="99a2c2c3-fdcf-4e63-9c12-39b3de610a76"/>
    <xsd:import namespace="a20aa909-956d-4941-9e8e-d4bf2c5fe97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c2c3-fdcf-4e63-9c12-39b3de61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Only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aa909-956d-4941-9e8e-d4bf2c5fe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b577e23-b539-4cbb-a753-31a04c3d9a02}" ma:internalName="TaxCatchAll" ma:showField="CatchAllData" ma:web="a20aa909-956d-4941-9e8e-d4bf2c5fe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AADEB-B29B-4236-A582-BCBB0C7D9BAF}"/>
</file>

<file path=customXml/itemProps2.xml><?xml version="1.0" encoding="utf-8"?>
<ds:datastoreItem xmlns:ds="http://schemas.openxmlformats.org/officeDocument/2006/customXml" ds:itemID="{A44F4673-D8C7-4548-918C-24EBCDFFA060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8</Pages>
  <Words>1973</Words>
  <Characters>13778</Characters>
  <Application>Microsoft Office Word</Application>
  <DocSecurity>0</DocSecurity>
  <Lines>270</Lines>
  <Paragraphs>90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ECE/MP.EIA/WG.2/2023/6</vt:lpstr>
      <vt:lpstr>A/</vt:lpstr>
      <vt:lpstr>A/</vt:lpstr>
    </vt:vector>
  </TitlesOfParts>
  <Company>DCM</Company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ECE/MP.EIA/WG.2/2023/6</dc:title>
  <dc:subject/>
  <dc:creator>Anna PETELINA</dc:creator>
  <cp:keywords/>
  <cp:lastModifiedBy>Anna Petelina</cp:lastModifiedBy>
  <cp:revision>3</cp:revision>
  <cp:lastPrinted>2023-04-04T14:34:00Z</cp:lastPrinted>
  <dcterms:created xsi:type="dcterms:W3CDTF">2023-04-04T14:34:00Z</dcterms:created>
  <dcterms:modified xsi:type="dcterms:W3CDTF">2023-04-04T14:35:00Z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