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14420" w:rsidRPr="0029223D" w14:paraId="137E4DD2" w14:textId="77777777" w:rsidTr="00DF5712">
        <w:trPr>
          <w:trHeight w:hRule="exact" w:val="851"/>
        </w:trPr>
        <w:tc>
          <w:tcPr>
            <w:tcW w:w="1276" w:type="dxa"/>
            <w:tcBorders>
              <w:bottom w:val="single" w:sz="4" w:space="0" w:color="auto"/>
            </w:tcBorders>
          </w:tcPr>
          <w:p w14:paraId="66DCF500" w14:textId="77777777" w:rsidR="00A14420" w:rsidRPr="0029223D" w:rsidRDefault="00A14420" w:rsidP="00054846">
            <w:pPr>
              <w:rPr>
                <w:lang w:val="fr-FR"/>
              </w:rPr>
            </w:pPr>
          </w:p>
        </w:tc>
        <w:tc>
          <w:tcPr>
            <w:tcW w:w="2268" w:type="dxa"/>
            <w:tcBorders>
              <w:bottom w:val="single" w:sz="4" w:space="0" w:color="auto"/>
            </w:tcBorders>
            <w:vAlign w:val="bottom"/>
          </w:tcPr>
          <w:p w14:paraId="45AFEE9F" w14:textId="77777777" w:rsidR="00A14420" w:rsidRPr="0029223D" w:rsidRDefault="00A14420" w:rsidP="00DF5712">
            <w:pPr>
              <w:spacing w:after="80" w:line="300" w:lineRule="exact"/>
              <w:rPr>
                <w:sz w:val="28"/>
                <w:lang w:val="fr-FR"/>
              </w:rPr>
            </w:pPr>
            <w:r w:rsidRPr="0029223D">
              <w:rPr>
                <w:sz w:val="28"/>
                <w:lang w:val="fr-FR"/>
              </w:rPr>
              <w:t>Nations Unies</w:t>
            </w:r>
          </w:p>
        </w:tc>
        <w:tc>
          <w:tcPr>
            <w:tcW w:w="6095" w:type="dxa"/>
            <w:gridSpan w:val="2"/>
            <w:tcBorders>
              <w:bottom w:val="single" w:sz="4" w:space="0" w:color="auto"/>
            </w:tcBorders>
            <w:vAlign w:val="bottom"/>
          </w:tcPr>
          <w:p w14:paraId="096219A4" w14:textId="7C35D73C" w:rsidR="00A14420" w:rsidRPr="0029223D" w:rsidRDefault="00054846" w:rsidP="00054846">
            <w:pPr>
              <w:jc w:val="right"/>
              <w:rPr>
                <w:lang w:val="fr-FR"/>
              </w:rPr>
            </w:pPr>
            <w:r w:rsidRPr="0029223D">
              <w:rPr>
                <w:sz w:val="40"/>
                <w:lang w:val="fr-FR"/>
              </w:rPr>
              <w:t>ECE</w:t>
            </w:r>
            <w:r w:rsidRPr="0029223D">
              <w:rPr>
                <w:lang w:val="fr-FR"/>
              </w:rPr>
              <w:t>/MP.EIA/WG.2/2023/6</w:t>
            </w:r>
          </w:p>
        </w:tc>
      </w:tr>
      <w:tr w:rsidR="00A14420" w:rsidRPr="0029223D" w14:paraId="4EEA1FE3" w14:textId="77777777" w:rsidTr="00DF5712">
        <w:trPr>
          <w:trHeight w:hRule="exact" w:val="2835"/>
        </w:trPr>
        <w:tc>
          <w:tcPr>
            <w:tcW w:w="1276" w:type="dxa"/>
            <w:tcBorders>
              <w:top w:val="single" w:sz="4" w:space="0" w:color="auto"/>
              <w:bottom w:val="single" w:sz="12" w:space="0" w:color="auto"/>
            </w:tcBorders>
          </w:tcPr>
          <w:p w14:paraId="6F7C2F54" w14:textId="77777777" w:rsidR="00A14420" w:rsidRPr="0029223D" w:rsidRDefault="00A14420" w:rsidP="00DF5712">
            <w:pPr>
              <w:spacing w:before="120"/>
              <w:jc w:val="center"/>
              <w:rPr>
                <w:lang w:val="fr-FR"/>
              </w:rPr>
            </w:pPr>
            <w:r w:rsidRPr="0029223D">
              <w:rPr>
                <w:noProof/>
                <w:lang w:val="fr-FR" w:eastAsia="fr-CH"/>
              </w:rPr>
              <w:drawing>
                <wp:inline distT="0" distB="0" distL="0" distR="0" wp14:anchorId="07B48C8A" wp14:editId="34802E8D">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0A3092A5" w14:textId="77777777" w:rsidR="00A14420" w:rsidRPr="0029223D" w:rsidRDefault="00A14420" w:rsidP="00DF5712">
            <w:pPr>
              <w:spacing w:before="120" w:line="420" w:lineRule="exact"/>
              <w:rPr>
                <w:b/>
                <w:sz w:val="40"/>
                <w:szCs w:val="40"/>
                <w:lang w:val="fr-FR"/>
              </w:rPr>
            </w:pPr>
            <w:r w:rsidRPr="0029223D">
              <w:rPr>
                <w:b/>
                <w:sz w:val="40"/>
                <w:szCs w:val="40"/>
                <w:lang w:val="fr-FR"/>
              </w:rPr>
              <w:t>Conseil économique et social</w:t>
            </w:r>
          </w:p>
        </w:tc>
        <w:tc>
          <w:tcPr>
            <w:tcW w:w="2835" w:type="dxa"/>
            <w:tcBorders>
              <w:top w:val="single" w:sz="4" w:space="0" w:color="auto"/>
              <w:bottom w:val="single" w:sz="12" w:space="0" w:color="auto"/>
            </w:tcBorders>
          </w:tcPr>
          <w:p w14:paraId="2CA510B0" w14:textId="77777777" w:rsidR="00A14420" w:rsidRPr="0029223D" w:rsidRDefault="00054846" w:rsidP="00DF5712">
            <w:pPr>
              <w:spacing w:before="240"/>
              <w:rPr>
                <w:lang w:val="fr-FR"/>
              </w:rPr>
            </w:pPr>
            <w:r w:rsidRPr="0029223D">
              <w:rPr>
                <w:lang w:val="fr-FR"/>
              </w:rPr>
              <w:t>Distr. générale</w:t>
            </w:r>
          </w:p>
          <w:p w14:paraId="632F46F6" w14:textId="77777777" w:rsidR="00054846" w:rsidRPr="0029223D" w:rsidRDefault="00054846" w:rsidP="00054846">
            <w:pPr>
              <w:spacing w:line="240" w:lineRule="exact"/>
              <w:rPr>
                <w:lang w:val="fr-FR"/>
              </w:rPr>
            </w:pPr>
            <w:r w:rsidRPr="0029223D">
              <w:rPr>
                <w:lang w:val="fr-FR"/>
              </w:rPr>
              <w:t>27 mars 2023</w:t>
            </w:r>
          </w:p>
          <w:p w14:paraId="7C4C58C0" w14:textId="77777777" w:rsidR="00054846" w:rsidRPr="0029223D" w:rsidRDefault="00054846" w:rsidP="00054846">
            <w:pPr>
              <w:spacing w:line="240" w:lineRule="exact"/>
              <w:rPr>
                <w:lang w:val="fr-FR"/>
              </w:rPr>
            </w:pPr>
            <w:r w:rsidRPr="0029223D">
              <w:rPr>
                <w:lang w:val="fr-FR"/>
              </w:rPr>
              <w:t>Français</w:t>
            </w:r>
          </w:p>
          <w:p w14:paraId="0476716D" w14:textId="0C9C5202" w:rsidR="00054846" w:rsidRPr="0029223D" w:rsidRDefault="00054846" w:rsidP="00054846">
            <w:pPr>
              <w:spacing w:line="240" w:lineRule="exact"/>
              <w:rPr>
                <w:lang w:val="fr-FR"/>
              </w:rPr>
            </w:pPr>
            <w:r w:rsidRPr="0029223D">
              <w:rPr>
                <w:lang w:val="fr-FR"/>
              </w:rPr>
              <w:t>Original</w:t>
            </w:r>
            <w:r w:rsidR="0029223D">
              <w:rPr>
                <w:lang w:val="fr-FR"/>
              </w:rPr>
              <w:t> :</w:t>
            </w:r>
            <w:r w:rsidRPr="0029223D">
              <w:rPr>
                <w:lang w:val="fr-FR"/>
              </w:rPr>
              <w:t xml:space="preserve"> anglais</w:t>
            </w:r>
          </w:p>
        </w:tc>
      </w:tr>
    </w:tbl>
    <w:p w14:paraId="06D637A3" w14:textId="16933365" w:rsidR="00C554CE" w:rsidRPr="0029223D" w:rsidRDefault="00C554CE" w:rsidP="00C554CE">
      <w:pPr>
        <w:spacing w:before="120"/>
        <w:rPr>
          <w:b/>
          <w:sz w:val="28"/>
          <w:szCs w:val="28"/>
          <w:lang w:val="fr-FR"/>
        </w:rPr>
      </w:pPr>
      <w:r w:rsidRPr="0029223D">
        <w:rPr>
          <w:b/>
          <w:sz w:val="28"/>
          <w:szCs w:val="28"/>
          <w:lang w:val="fr-FR"/>
        </w:rPr>
        <w:t>Commission économique pour l</w:t>
      </w:r>
      <w:r w:rsidR="0029223D">
        <w:rPr>
          <w:b/>
          <w:sz w:val="28"/>
          <w:szCs w:val="28"/>
          <w:lang w:val="fr-FR"/>
        </w:rPr>
        <w:t>’</w:t>
      </w:r>
      <w:r w:rsidRPr="0029223D">
        <w:rPr>
          <w:b/>
          <w:sz w:val="28"/>
          <w:szCs w:val="28"/>
          <w:lang w:val="fr-FR"/>
        </w:rPr>
        <w:t>Europe</w:t>
      </w:r>
    </w:p>
    <w:p w14:paraId="7569CEB1" w14:textId="7DCD3622" w:rsidR="0029223D" w:rsidRPr="00451B83" w:rsidRDefault="0029223D" w:rsidP="0029223D">
      <w:pPr>
        <w:spacing w:before="120"/>
        <w:rPr>
          <w:bCs/>
          <w:sz w:val="24"/>
          <w:szCs w:val="24"/>
          <w:lang w:val="fr-FR"/>
        </w:rPr>
      </w:pPr>
      <w:r w:rsidRPr="00451B83">
        <w:rPr>
          <w:sz w:val="24"/>
          <w:szCs w:val="24"/>
          <w:lang w:val="fr-FR"/>
        </w:rPr>
        <w:t>Réunion des Parties à la Convention sur l</w:t>
      </w:r>
      <w:r>
        <w:rPr>
          <w:sz w:val="24"/>
          <w:szCs w:val="24"/>
          <w:lang w:val="fr-FR"/>
        </w:rPr>
        <w:t>’</w:t>
      </w:r>
      <w:r w:rsidRPr="00451B83">
        <w:rPr>
          <w:sz w:val="24"/>
          <w:szCs w:val="24"/>
          <w:lang w:val="fr-FR"/>
        </w:rPr>
        <w:t>évaluation de l</w:t>
      </w:r>
      <w:r>
        <w:rPr>
          <w:sz w:val="24"/>
          <w:szCs w:val="24"/>
          <w:lang w:val="fr-FR"/>
        </w:rPr>
        <w:t>’</w:t>
      </w:r>
      <w:r w:rsidRPr="00451B83">
        <w:rPr>
          <w:sz w:val="24"/>
          <w:szCs w:val="24"/>
          <w:lang w:val="fr-FR"/>
        </w:rPr>
        <w:t xml:space="preserve">impact </w:t>
      </w:r>
      <w:r>
        <w:rPr>
          <w:sz w:val="24"/>
          <w:szCs w:val="24"/>
          <w:lang w:val="fr-FR"/>
        </w:rPr>
        <w:br/>
      </w:r>
      <w:r w:rsidRPr="00451B83">
        <w:rPr>
          <w:sz w:val="24"/>
          <w:szCs w:val="24"/>
          <w:lang w:val="fr-FR"/>
        </w:rPr>
        <w:t>sur l</w:t>
      </w:r>
      <w:r>
        <w:rPr>
          <w:sz w:val="24"/>
          <w:szCs w:val="24"/>
          <w:lang w:val="fr-FR"/>
        </w:rPr>
        <w:t>’</w:t>
      </w:r>
      <w:r w:rsidRPr="00451B83">
        <w:rPr>
          <w:sz w:val="24"/>
          <w:szCs w:val="24"/>
          <w:lang w:val="fr-FR"/>
        </w:rPr>
        <w:t>environnement dans un contexte transfrontière</w:t>
      </w:r>
    </w:p>
    <w:p w14:paraId="58F9166F" w14:textId="23AA6CCF" w:rsidR="0029223D" w:rsidRPr="0029223D" w:rsidRDefault="0029223D" w:rsidP="0029223D">
      <w:pPr>
        <w:spacing w:before="120"/>
        <w:rPr>
          <w:sz w:val="24"/>
          <w:szCs w:val="24"/>
          <w:lang w:val="fr-FR"/>
        </w:rPr>
      </w:pPr>
      <w:r w:rsidRPr="0029223D">
        <w:rPr>
          <w:sz w:val="24"/>
          <w:szCs w:val="24"/>
          <w:lang w:val="fr-FR"/>
        </w:rPr>
        <w:t>Réunion des Parties à la Convention sur l</w:t>
      </w:r>
      <w:r>
        <w:rPr>
          <w:sz w:val="24"/>
          <w:szCs w:val="24"/>
          <w:lang w:val="fr-FR"/>
        </w:rPr>
        <w:t>’</w:t>
      </w:r>
      <w:r w:rsidRPr="0029223D">
        <w:rPr>
          <w:sz w:val="24"/>
          <w:szCs w:val="24"/>
          <w:lang w:val="fr-FR"/>
        </w:rPr>
        <w:t>évaluation de l</w:t>
      </w:r>
      <w:r>
        <w:rPr>
          <w:sz w:val="24"/>
          <w:szCs w:val="24"/>
          <w:lang w:val="fr-FR"/>
        </w:rPr>
        <w:t>’</w:t>
      </w:r>
      <w:r w:rsidRPr="0029223D">
        <w:rPr>
          <w:sz w:val="24"/>
          <w:szCs w:val="24"/>
          <w:lang w:val="fr-FR"/>
        </w:rPr>
        <w:t xml:space="preserve">impact </w:t>
      </w:r>
      <w:r>
        <w:rPr>
          <w:sz w:val="24"/>
          <w:szCs w:val="24"/>
          <w:lang w:val="fr-FR"/>
        </w:rPr>
        <w:br/>
      </w:r>
      <w:r w:rsidRPr="0029223D">
        <w:rPr>
          <w:sz w:val="24"/>
          <w:szCs w:val="24"/>
          <w:lang w:val="fr-FR"/>
        </w:rPr>
        <w:t>sur l</w:t>
      </w:r>
      <w:r>
        <w:rPr>
          <w:sz w:val="24"/>
          <w:szCs w:val="24"/>
          <w:lang w:val="fr-FR"/>
        </w:rPr>
        <w:t>’</w:t>
      </w:r>
      <w:r w:rsidRPr="0029223D">
        <w:rPr>
          <w:sz w:val="24"/>
          <w:szCs w:val="24"/>
          <w:lang w:val="fr-FR"/>
        </w:rPr>
        <w:t xml:space="preserve">environnement dans un contexte transfrontière agissant </w:t>
      </w:r>
      <w:r>
        <w:rPr>
          <w:sz w:val="24"/>
          <w:szCs w:val="24"/>
          <w:lang w:val="fr-FR"/>
        </w:rPr>
        <w:br/>
      </w:r>
      <w:r w:rsidRPr="0029223D">
        <w:rPr>
          <w:sz w:val="24"/>
          <w:szCs w:val="24"/>
          <w:lang w:val="fr-FR"/>
        </w:rPr>
        <w:t xml:space="preserve">comme réunion des Parties au Protocole relatif </w:t>
      </w:r>
      <w:r>
        <w:rPr>
          <w:sz w:val="24"/>
          <w:szCs w:val="24"/>
          <w:lang w:val="fr-FR"/>
        </w:rPr>
        <w:br/>
      </w:r>
      <w:r w:rsidRPr="0029223D">
        <w:rPr>
          <w:sz w:val="24"/>
          <w:szCs w:val="24"/>
          <w:lang w:val="fr-FR"/>
        </w:rPr>
        <w:t>à l</w:t>
      </w:r>
      <w:r>
        <w:rPr>
          <w:sz w:val="24"/>
          <w:szCs w:val="24"/>
          <w:lang w:val="fr-FR"/>
        </w:rPr>
        <w:t>’</w:t>
      </w:r>
      <w:r w:rsidRPr="0029223D">
        <w:rPr>
          <w:sz w:val="24"/>
          <w:szCs w:val="24"/>
          <w:lang w:val="fr-FR"/>
        </w:rPr>
        <w:t>évaluation stratégique environnementale</w:t>
      </w:r>
    </w:p>
    <w:p w14:paraId="66DE8B8B" w14:textId="61757964" w:rsidR="0029223D" w:rsidRPr="0029223D" w:rsidRDefault="0029223D" w:rsidP="0029223D">
      <w:pPr>
        <w:spacing w:before="120"/>
        <w:rPr>
          <w:b/>
          <w:sz w:val="24"/>
          <w:szCs w:val="24"/>
          <w:lang w:val="fr-FR"/>
        </w:rPr>
      </w:pPr>
      <w:r w:rsidRPr="0029223D">
        <w:rPr>
          <w:b/>
          <w:bCs/>
          <w:sz w:val="24"/>
          <w:szCs w:val="24"/>
          <w:lang w:val="fr-FR"/>
        </w:rPr>
        <w:t>Groupe de travail de l</w:t>
      </w:r>
      <w:r>
        <w:rPr>
          <w:b/>
          <w:bCs/>
          <w:sz w:val="24"/>
          <w:szCs w:val="24"/>
          <w:lang w:val="fr-FR"/>
        </w:rPr>
        <w:t>’</w:t>
      </w:r>
      <w:r w:rsidRPr="0029223D">
        <w:rPr>
          <w:b/>
          <w:bCs/>
          <w:sz w:val="24"/>
          <w:szCs w:val="24"/>
          <w:lang w:val="fr-FR"/>
        </w:rPr>
        <w:t>évaluation de l</w:t>
      </w:r>
      <w:r>
        <w:rPr>
          <w:b/>
          <w:bCs/>
          <w:sz w:val="24"/>
          <w:szCs w:val="24"/>
          <w:lang w:val="fr-FR"/>
        </w:rPr>
        <w:t>’</w:t>
      </w:r>
      <w:r w:rsidRPr="0029223D">
        <w:rPr>
          <w:b/>
          <w:bCs/>
          <w:sz w:val="24"/>
          <w:szCs w:val="24"/>
          <w:lang w:val="fr-FR"/>
        </w:rPr>
        <w:t xml:space="preserve">impact </w:t>
      </w:r>
      <w:r>
        <w:rPr>
          <w:b/>
          <w:bCs/>
          <w:sz w:val="24"/>
          <w:szCs w:val="24"/>
          <w:lang w:val="fr-FR"/>
        </w:rPr>
        <w:br/>
      </w:r>
      <w:r w:rsidRPr="0029223D">
        <w:rPr>
          <w:b/>
          <w:bCs/>
          <w:sz w:val="24"/>
          <w:szCs w:val="24"/>
          <w:lang w:val="fr-FR"/>
        </w:rPr>
        <w:t>sur l</w:t>
      </w:r>
      <w:r>
        <w:rPr>
          <w:b/>
          <w:bCs/>
          <w:sz w:val="24"/>
          <w:szCs w:val="24"/>
          <w:lang w:val="fr-FR"/>
        </w:rPr>
        <w:t>’</w:t>
      </w:r>
      <w:r w:rsidRPr="0029223D">
        <w:rPr>
          <w:b/>
          <w:bCs/>
          <w:sz w:val="24"/>
          <w:szCs w:val="24"/>
          <w:lang w:val="fr-FR"/>
        </w:rPr>
        <w:t>environnement et de l</w:t>
      </w:r>
      <w:r>
        <w:rPr>
          <w:b/>
          <w:bCs/>
          <w:sz w:val="24"/>
          <w:szCs w:val="24"/>
          <w:lang w:val="fr-FR"/>
        </w:rPr>
        <w:t>’</w:t>
      </w:r>
      <w:r w:rsidRPr="0029223D">
        <w:rPr>
          <w:b/>
          <w:bCs/>
          <w:sz w:val="24"/>
          <w:szCs w:val="24"/>
          <w:lang w:val="fr-FR"/>
        </w:rPr>
        <w:t xml:space="preserve">évaluation </w:t>
      </w:r>
      <w:r>
        <w:rPr>
          <w:b/>
          <w:bCs/>
          <w:sz w:val="24"/>
          <w:szCs w:val="24"/>
          <w:lang w:val="fr-FR"/>
        </w:rPr>
        <w:br/>
      </w:r>
      <w:r w:rsidRPr="0029223D">
        <w:rPr>
          <w:b/>
          <w:bCs/>
          <w:sz w:val="24"/>
          <w:szCs w:val="24"/>
          <w:lang w:val="fr-FR"/>
        </w:rPr>
        <w:t>stratégique environnementale</w:t>
      </w:r>
    </w:p>
    <w:p w14:paraId="029C50EE" w14:textId="77777777" w:rsidR="0029223D" w:rsidRPr="0029223D" w:rsidRDefault="0029223D" w:rsidP="0029223D">
      <w:pPr>
        <w:spacing w:before="120"/>
        <w:rPr>
          <w:b/>
          <w:lang w:val="fr-FR"/>
        </w:rPr>
      </w:pPr>
      <w:r w:rsidRPr="0029223D">
        <w:rPr>
          <w:b/>
          <w:bCs/>
          <w:lang w:val="fr-FR"/>
        </w:rPr>
        <w:t>Douzième réunion</w:t>
      </w:r>
    </w:p>
    <w:p w14:paraId="41D9707C" w14:textId="77777777" w:rsidR="0029223D" w:rsidRPr="0029223D" w:rsidRDefault="0029223D" w:rsidP="0029223D">
      <w:pPr>
        <w:rPr>
          <w:lang w:val="fr-FR"/>
        </w:rPr>
      </w:pPr>
      <w:r w:rsidRPr="0029223D">
        <w:rPr>
          <w:lang w:val="fr-FR"/>
        </w:rPr>
        <w:t>Genève, 13-15 juin 2023</w:t>
      </w:r>
    </w:p>
    <w:p w14:paraId="4DBD1D77" w14:textId="5F0ED97F" w:rsidR="0029223D" w:rsidRPr="0029223D" w:rsidRDefault="0029223D" w:rsidP="0029223D">
      <w:pPr>
        <w:rPr>
          <w:lang w:val="fr-FR"/>
        </w:rPr>
      </w:pPr>
      <w:r w:rsidRPr="0029223D">
        <w:rPr>
          <w:lang w:val="fr-FR"/>
        </w:rPr>
        <w:t>Points 5 b) et 6 a) de l</w:t>
      </w:r>
      <w:r>
        <w:rPr>
          <w:lang w:val="fr-FR"/>
        </w:rPr>
        <w:t>’</w:t>
      </w:r>
      <w:r w:rsidRPr="0029223D">
        <w:rPr>
          <w:lang w:val="fr-FR"/>
        </w:rPr>
        <w:t>ordre du jour provisoire</w:t>
      </w:r>
    </w:p>
    <w:p w14:paraId="4DB5007A" w14:textId="743048D0" w:rsidR="0029223D" w:rsidRPr="0029223D" w:rsidRDefault="0029223D" w:rsidP="0029223D">
      <w:pPr>
        <w:rPr>
          <w:lang w:val="fr-FR"/>
        </w:rPr>
      </w:pPr>
      <w:r w:rsidRPr="0029223D">
        <w:rPr>
          <w:b/>
          <w:bCs/>
          <w:lang w:val="fr-FR"/>
        </w:rPr>
        <w:t>Application et respect des dispositions de la Convention et du Protocole</w:t>
      </w:r>
      <w:r>
        <w:rPr>
          <w:b/>
          <w:bCs/>
          <w:lang w:val="fr-FR"/>
        </w:rPr>
        <w:t> :</w:t>
      </w:r>
      <w:r w:rsidR="00E72BDF">
        <w:rPr>
          <w:b/>
          <w:bCs/>
          <w:lang w:val="fr-FR"/>
        </w:rPr>
        <w:br/>
      </w:r>
      <w:r w:rsidRPr="0029223D">
        <w:rPr>
          <w:b/>
          <w:bCs/>
          <w:lang w:val="fr-FR"/>
        </w:rPr>
        <w:t>Établissement de rapports et examen de l</w:t>
      </w:r>
      <w:r>
        <w:rPr>
          <w:b/>
          <w:bCs/>
          <w:lang w:val="fr-FR"/>
        </w:rPr>
        <w:t>’</w:t>
      </w:r>
      <w:r w:rsidRPr="0029223D">
        <w:rPr>
          <w:b/>
          <w:bCs/>
          <w:lang w:val="fr-FR"/>
        </w:rPr>
        <w:t>application</w:t>
      </w:r>
    </w:p>
    <w:p w14:paraId="3B9EED22" w14:textId="1BB76545" w:rsidR="0029223D" w:rsidRPr="0029223D" w:rsidRDefault="0029223D" w:rsidP="00E72BDF">
      <w:pPr>
        <w:spacing w:before="120"/>
        <w:rPr>
          <w:b/>
          <w:bCs/>
          <w:lang w:val="fr-FR"/>
        </w:rPr>
      </w:pPr>
      <w:r w:rsidRPr="0029223D">
        <w:rPr>
          <w:b/>
          <w:bCs/>
          <w:lang w:val="fr-FR"/>
        </w:rPr>
        <w:t>Promotion de l</w:t>
      </w:r>
      <w:r>
        <w:rPr>
          <w:b/>
          <w:bCs/>
          <w:lang w:val="fr-FR"/>
        </w:rPr>
        <w:t>’</w:t>
      </w:r>
      <w:r w:rsidRPr="0029223D">
        <w:rPr>
          <w:b/>
          <w:bCs/>
          <w:lang w:val="fr-FR"/>
        </w:rPr>
        <w:t>application de la Convention et du Protocole</w:t>
      </w:r>
      <w:r>
        <w:rPr>
          <w:b/>
          <w:bCs/>
          <w:lang w:val="fr-FR"/>
        </w:rPr>
        <w:t> :</w:t>
      </w:r>
      <w:r w:rsidR="00E72BDF">
        <w:rPr>
          <w:b/>
          <w:bCs/>
          <w:lang w:val="fr-FR"/>
        </w:rPr>
        <w:br/>
      </w:r>
      <w:r w:rsidRPr="0029223D">
        <w:rPr>
          <w:b/>
          <w:bCs/>
          <w:lang w:val="fr-FR"/>
        </w:rPr>
        <w:t>Projet de lignes directrices sur l</w:t>
      </w:r>
      <w:r>
        <w:rPr>
          <w:b/>
          <w:bCs/>
          <w:lang w:val="fr-FR"/>
        </w:rPr>
        <w:t>’</w:t>
      </w:r>
      <w:r w:rsidRPr="0029223D">
        <w:rPr>
          <w:b/>
          <w:bCs/>
          <w:lang w:val="fr-FR"/>
        </w:rPr>
        <w:t xml:space="preserve">évaluation des impacts sur la santé </w:t>
      </w:r>
      <w:r>
        <w:rPr>
          <w:b/>
          <w:bCs/>
          <w:lang w:val="fr-FR"/>
        </w:rPr>
        <w:br/>
      </w:r>
      <w:r w:rsidRPr="0029223D">
        <w:rPr>
          <w:b/>
          <w:bCs/>
          <w:lang w:val="fr-FR"/>
        </w:rPr>
        <w:t>dans le cadre de l</w:t>
      </w:r>
      <w:r>
        <w:rPr>
          <w:b/>
          <w:bCs/>
          <w:lang w:val="fr-FR"/>
        </w:rPr>
        <w:t>’</w:t>
      </w:r>
      <w:r w:rsidRPr="0029223D">
        <w:rPr>
          <w:b/>
          <w:bCs/>
          <w:lang w:val="fr-FR"/>
        </w:rPr>
        <w:t>évaluation stratégique environnementale</w:t>
      </w:r>
    </w:p>
    <w:p w14:paraId="5AFBFA1B" w14:textId="77777777" w:rsidR="0029223D" w:rsidRPr="0029223D" w:rsidRDefault="0029223D" w:rsidP="0029223D">
      <w:pPr>
        <w:pStyle w:val="HChG"/>
        <w:rPr>
          <w:lang w:val="fr-FR"/>
        </w:rPr>
      </w:pPr>
      <w:r w:rsidRPr="0029223D">
        <w:rPr>
          <w:lang w:val="fr-FR"/>
        </w:rPr>
        <w:tab/>
      </w:r>
      <w:r w:rsidRPr="0029223D">
        <w:rPr>
          <w:lang w:val="fr-FR"/>
        </w:rPr>
        <w:tab/>
        <w:t>Projets de décisions de la Réunion des Parties au Protocole</w:t>
      </w:r>
    </w:p>
    <w:p w14:paraId="0FB6C5F6" w14:textId="2763108D" w:rsidR="0029223D" w:rsidRDefault="0029223D" w:rsidP="0029223D">
      <w:pPr>
        <w:pStyle w:val="H1G"/>
        <w:rPr>
          <w:lang w:val="fr-FR"/>
        </w:rPr>
      </w:pPr>
      <w:r w:rsidRPr="0029223D">
        <w:rPr>
          <w:lang w:val="fr-FR"/>
        </w:rPr>
        <w:tab/>
      </w:r>
      <w:r w:rsidRPr="0029223D">
        <w:rPr>
          <w:lang w:val="fr-FR"/>
        </w:rPr>
        <w:tab/>
        <w:t>Propositions du Bureau</w:t>
      </w:r>
    </w:p>
    <w:tbl>
      <w:tblPr>
        <w:tblStyle w:val="Grilledutableau"/>
        <w:tblW w:w="0" w:type="auto"/>
        <w:jc w:val="center"/>
        <w:tblBorders>
          <w:insideH w:val="none" w:sz="0" w:space="0" w:color="auto"/>
        </w:tblBorders>
        <w:tblLook w:val="05E0" w:firstRow="1" w:lastRow="1" w:firstColumn="1" w:lastColumn="1" w:noHBand="0" w:noVBand="1"/>
      </w:tblPr>
      <w:tblGrid>
        <w:gridCol w:w="9628"/>
      </w:tblGrid>
      <w:tr w:rsidR="0029223D" w14:paraId="3A6DED0E" w14:textId="77777777">
        <w:trPr>
          <w:jc w:val="center"/>
        </w:trPr>
        <w:tc>
          <w:tcPr>
            <w:tcW w:w="9637" w:type="dxa"/>
            <w:shd w:val="clear" w:color="auto" w:fill="auto"/>
          </w:tcPr>
          <w:p w14:paraId="7F8C0A23" w14:textId="77777777" w:rsidR="0029223D" w:rsidRDefault="0029223D">
            <w:pPr>
              <w:spacing w:before="240" w:after="120"/>
              <w:ind w:left="255"/>
              <w:rPr>
                <w:i/>
                <w:sz w:val="24"/>
              </w:rPr>
            </w:pPr>
            <w:r>
              <w:rPr>
                <w:i/>
                <w:sz w:val="24"/>
              </w:rPr>
              <w:t>Résumé</w:t>
            </w:r>
          </w:p>
        </w:tc>
      </w:tr>
      <w:tr w:rsidR="0029223D" w14:paraId="040E868C" w14:textId="77777777" w:rsidTr="0029223D">
        <w:trPr>
          <w:jc w:val="center"/>
        </w:trPr>
        <w:tc>
          <w:tcPr>
            <w:tcW w:w="9637" w:type="dxa"/>
            <w:tcBorders>
              <w:bottom w:val="nil"/>
            </w:tcBorders>
            <w:shd w:val="clear" w:color="auto" w:fill="auto"/>
          </w:tcPr>
          <w:p w14:paraId="262C142B" w14:textId="40DEA095" w:rsidR="0029223D" w:rsidRDefault="0029223D" w:rsidP="0029223D">
            <w:pPr>
              <w:pStyle w:val="SingleTxtG"/>
              <w:ind w:firstLine="567"/>
            </w:pPr>
            <w:r w:rsidRPr="0029223D">
              <w:rPr>
                <w:lang w:val="fr-FR"/>
              </w:rPr>
              <w:t>En application du mandat que lui ont confié la Réunion des Parties à la Convention sur l</w:t>
            </w:r>
            <w:r>
              <w:rPr>
                <w:lang w:val="fr-FR"/>
              </w:rPr>
              <w:t>’</w:t>
            </w:r>
            <w:r w:rsidRPr="0029223D">
              <w:rPr>
                <w:lang w:val="fr-FR"/>
              </w:rPr>
              <w:t>évaluation de l</w:t>
            </w:r>
            <w:r>
              <w:rPr>
                <w:lang w:val="fr-FR"/>
              </w:rPr>
              <w:t>’</w:t>
            </w:r>
            <w:r w:rsidRPr="0029223D">
              <w:rPr>
                <w:lang w:val="fr-FR"/>
              </w:rPr>
              <w:t>impact sur l</w:t>
            </w:r>
            <w:r>
              <w:rPr>
                <w:lang w:val="fr-FR"/>
              </w:rPr>
              <w:t>’</w:t>
            </w:r>
            <w:r w:rsidRPr="0029223D">
              <w:rPr>
                <w:lang w:val="fr-FR"/>
              </w:rPr>
              <w:t>environnement dans un contexte transfrontière et la Réunion des Parties au Protocole relatif à l</w:t>
            </w:r>
            <w:r>
              <w:rPr>
                <w:lang w:val="fr-FR"/>
              </w:rPr>
              <w:t>’</w:t>
            </w:r>
            <w:r w:rsidRPr="0029223D">
              <w:rPr>
                <w:lang w:val="fr-FR"/>
              </w:rPr>
              <w:t>évaluation stratégique environnementale, le Groupe de travail de l</w:t>
            </w:r>
            <w:r>
              <w:rPr>
                <w:lang w:val="fr-FR"/>
              </w:rPr>
              <w:t>’</w:t>
            </w:r>
            <w:r w:rsidRPr="0029223D">
              <w:rPr>
                <w:lang w:val="fr-FR"/>
              </w:rPr>
              <w:t>évaluation de l</w:t>
            </w:r>
            <w:r>
              <w:rPr>
                <w:lang w:val="fr-FR"/>
              </w:rPr>
              <w:t>’</w:t>
            </w:r>
            <w:r w:rsidRPr="0029223D">
              <w:rPr>
                <w:lang w:val="fr-FR"/>
              </w:rPr>
              <w:t>impact sur l</w:t>
            </w:r>
            <w:r>
              <w:rPr>
                <w:lang w:val="fr-FR"/>
              </w:rPr>
              <w:t>’</w:t>
            </w:r>
            <w:r w:rsidRPr="0029223D">
              <w:rPr>
                <w:lang w:val="fr-FR"/>
              </w:rPr>
              <w:t>environnement et de l</w:t>
            </w:r>
            <w:r>
              <w:rPr>
                <w:lang w:val="fr-FR"/>
              </w:rPr>
              <w:t>’</w:t>
            </w:r>
            <w:r w:rsidRPr="0029223D">
              <w:rPr>
                <w:lang w:val="fr-FR"/>
              </w:rPr>
              <w:t>évaluation stratégique environnementale est chargé de soumettre à ces organes directeurs des recommandations quant aux futurs travaux à mener au titre de la Convention et du Protocole.</w:t>
            </w:r>
          </w:p>
        </w:tc>
      </w:tr>
      <w:tr w:rsidR="0029223D" w14:paraId="20DC5362" w14:textId="77777777" w:rsidTr="0029223D">
        <w:trPr>
          <w:jc w:val="center"/>
        </w:trPr>
        <w:tc>
          <w:tcPr>
            <w:tcW w:w="9637" w:type="dxa"/>
            <w:tcBorders>
              <w:top w:val="nil"/>
              <w:bottom w:val="nil"/>
            </w:tcBorders>
            <w:shd w:val="clear" w:color="auto" w:fill="auto"/>
          </w:tcPr>
          <w:p w14:paraId="70EBCB1F" w14:textId="3D581128" w:rsidR="0029223D" w:rsidRDefault="0029223D" w:rsidP="0029223D">
            <w:pPr>
              <w:pStyle w:val="SingleTxtG"/>
              <w:ind w:firstLine="567"/>
            </w:pPr>
            <w:r w:rsidRPr="0029223D">
              <w:rPr>
                <w:lang w:val="fr-FR"/>
              </w:rPr>
              <w:t>Conformément au mandat susmentionné, le présent document contient les projets de décisions V/5 et V/6, qui ont été établis par le Bureau pour examen par le Groupe de travail et concernent respectivement</w:t>
            </w:r>
            <w:r>
              <w:rPr>
                <w:lang w:val="fr-FR"/>
              </w:rPr>
              <w:t> :</w:t>
            </w:r>
            <w:r w:rsidRPr="0029223D">
              <w:rPr>
                <w:lang w:val="fr-FR"/>
              </w:rPr>
              <w:t xml:space="preserve"> l</w:t>
            </w:r>
            <w:r>
              <w:rPr>
                <w:lang w:val="fr-FR"/>
              </w:rPr>
              <w:t>’</w:t>
            </w:r>
            <w:r w:rsidRPr="0029223D">
              <w:rPr>
                <w:lang w:val="fr-FR"/>
              </w:rPr>
              <w:t>établissement de rapports et l</w:t>
            </w:r>
            <w:r>
              <w:rPr>
                <w:lang w:val="fr-FR"/>
              </w:rPr>
              <w:t>’</w:t>
            </w:r>
            <w:r w:rsidRPr="0029223D">
              <w:rPr>
                <w:lang w:val="fr-FR"/>
              </w:rPr>
              <w:t>examen de l</w:t>
            </w:r>
            <w:r>
              <w:rPr>
                <w:lang w:val="fr-FR"/>
              </w:rPr>
              <w:t>’</w:t>
            </w:r>
            <w:r w:rsidRPr="0029223D">
              <w:rPr>
                <w:lang w:val="fr-FR"/>
              </w:rPr>
              <w:t>application du Protocole</w:t>
            </w:r>
            <w:r>
              <w:rPr>
                <w:lang w:val="fr-FR"/>
              </w:rPr>
              <w:t> </w:t>
            </w:r>
            <w:r w:rsidRPr="0029223D">
              <w:rPr>
                <w:lang w:val="fr-FR"/>
              </w:rPr>
              <w:t>; l</w:t>
            </w:r>
            <w:r>
              <w:rPr>
                <w:lang w:val="fr-FR"/>
              </w:rPr>
              <w:t>’</w:t>
            </w:r>
            <w:r w:rsidRPr="0029223D">
              <w:rPr>
                <w:lang w:val="fr-FR"/>
              </w:rPr>
              <w:t>évaluation des impacts sur la santé dans le cadre de l</w:t>
            </w:r>
            <w:r>
              <w:rPr>
                <w:lang w:val="fr-FR"/>
              </w:rPr>
              <w:t>’</w:t>
            </w:r>
            <w:r w:rsidRPr="0029223D">
              <w:rPr>
                <w:lang w:val="fr-FR"/>
              </w:rPr>
              <w:t>évaluation stratégique environnementale.</w:t>
            </w:r>
          </w:p>
        </w:tc>
      </w:tr>
      <w:tr w:rsidR="0029223D" w14:paraId="095C2597" w14:textId="77777777" w:rsidTr="0029223D">
        <w:trPr>
          <w:jc w:val="center"/>
        </w:trPr>
        <w:tc>
          <w:tcPr>
            <w:tcW w:w="9637" w:type="dxa"/>
            <w:tcBorders>
              <w:top w:val="nil"/>
              <w:bottom w:val="nil"/>
            </w:tcBorders>
            <w:shd w:val="clear" w:color="auto" w:fill="auto"/>
          </w:tcPr>
          <w:p w14:paraId="6A20DA1B" w14:textId="2E99C8CB" w:rsidR="0029223D" w:rsidRDefault="0029223D" w:rsidP="0029223D">
            <w:pPr>
              <w:pStyle w:val="SingleTxtG"/>
              <w:keepNext/>
              <w:ind w:firstLine="567"/>
            </w:pPr>
            <w:r w:rsidRPr="0029223D">
              <w:rPr>
                <w:lang w:val="fr-FR"/>
              </w:rPr>
              <w:lastRenderedPageBreak/>
              <w:t>Le Groupe de travail devrait en principe examiner et approuver le texte des projets de décisions, qui seront soumis à la Réunion des Parties au Protocole pour examen à sa cinquième session (Genève, 12-15 décembre 2023). Il convient de noter que le paragraphe</w:t>
            </w:r>
            <w:r w:rsidR="00EB61EF">
              <w:rPr>
                <w:lang w:val="fr-FR"/>
              </w:rPr>
              <w:t xml:space="preserve"> </w:t>
            </w:r>
            <w:r w:rsidRPr="0029223D">
              <w:rPr>
                <w:lang w:val="fr-FR"/>
              </w:rPr>
              <w:t>5 du projet de décision V/5 énumère les principales conclusions du projet de quatrième examen de l</w:t>
            </w:r>
            <w:r>
              <w:rPr>
                <w:lang w:val="fr-FR"/>
              </w:rPr>
              <w:t>’</w:t>
            </w:r>
            <w:r w:rsidRPr="0029223D">
              <w:rPr>
                <w:lang w:val="fr-FR"/>
              </w:rPr>
              <w:t>application du Protocole (ECE/MP.EIA/WG.2/2023/[…]), telles qu</w:t>
            </w:r>
            <w:r>
              <w:rPr>
                <w:lang w:val="fr-FR"/>
              </w:rPr>
              <w:t>’</w:t>
            </w:r>
            <w:r w:rsidRPr="0029223D">
              <w:rPr>
                <w:lang w:val="fr-FR"/>
              </w:rPr>
              <w:t>approuvées par le Groupe de travail à sa onzième réunion (Genève, 19-21 décembre 2022), et que le paragraphe 6énumère les principales conclusions encore valables du troisième examen de l</w:t>
            </w:r>
            <w:r>
              <w:rPr>
                <w:lang w:val="fr-FR"/>
              </w:rPr>
              <w:t>’</w:t>
            </w:r>
            <w:r w:rsidRPr="0029223D">
              <w:rPr>
                <w:lang w:val="fr-FR"/>
              </w:rPr>
              <w:t>application du Protocole (ECE/MP.EIA/SEA/14), telles qu</w:t>
            </w:r>
            <w:r>
              <w:rPr>
                <w:lang w:val="fr-FR"/>
              </w:rPr>
              <w:t>’</w:t>
            </w:r>
            <w:r w:rsidRPr="0029223D">
              <w:rPr>
                <w:lang w:val="fr-FR"/>
              </w:rPr>
              <w:t>adoptées par la Réunion des Parties à sa quatrième session (Vilnius (en ligne), 8-11 décembre 2020).</w:t>
            </w:r>
          </w:p>
        </w:tc>
      </w:tr>
      <w:tr w:rsidR="0029223D" w14:paraId="597C1588" w14:textId="77777777" w:rsidTr="0029223D">
        <w:trPr>
          <w:jc w:val="center"/>
        </w:trPr>
        <w:tc>
          <w:tcPr>
            <w:tcW w:w="9637" w:type="dxa"/>
            <w:tcBorders>
              <w:top w:val="nil"/>
              <w:bottom w:val="single" w:sz="4" w:space="0" w:color="auto"/>
            </w:tcBorders>
            <w:shd w:val="clear" w:color="auto" w:fill="auto"/>
          </w:tcPr>
          <w:p w14:paraId="3C4C62EE" w14:textId="77777777" w:rsidR="0029223D" w:rsidRDefault="0029223D"/>
        </w:tc>
      </w:tr>
    </w:tbl>
    <w:p w14:paraId="43931DE9" w14:textId="77777777" w:rsidR="0029223D" w:rsidRPr="0029223D" w:rsidRDefault="0029223D" w:rsidP="0029223D">
      <w:pPr>
        <w:rPr>
          <w:lang w:val="fr-FR"/>
        </w:rPr>
      </w:pPr>
      <w:r w:rsidRPr="0029223D">
        <w:rPr>
          <w:lang w:val="fr-FR"/>
        </w:rPr>
        <w:br w:type="page"/>
      </w:r>
    </w:p>
    <w:p w14:paraId="7DEF3C3F" w14:textId="77777777" w:rsidR="0029223D" w:rsidRPr="0029223D" w:rsidRDefault="0029223D" w:rsidP="0029223D">
      <w:pPr>
        <w:pStyle w:val="HChG"/>
        <w:rPr>
          <w:lang w:val="fr-FR"/>
        </w:rPr>
      </w:pPr>
      <w:r w:rsidRPr="0029223D">
        <w:rPr>
          <w:lang w:val="fr-FR"/>
        </w:rPr>
        <w:lastRenderedPageBreak/>
        <w:tab/>
      </w:r>
      <w:r w:rsidRPr="0029223D">
        <w:rPr>
          <w:lang w:val="fr-FR"/>
        </w:rPr>
        <w:tab/>
      </w:r>
      <w:r w:rsidRPr="0029223D">
        <w:rPr>
          <w:bCs/>
          <w:lang w:val="fr-FR"/>
        </w:rPr>
        <w:t>Décision V/5</w:t>
      </w:r>
    </w:p>
    <w:p w14:paraId="5DE73D76" w14:textId="59EA7C61" w:rsidR="0029223D" w:rsidRPr="0029223D" w:rsidRDefault="0029223D" w:rsidP="0029223D">
      <w:pPr>
        <w:pStyle w:val="H1G"/>
        <w:rPr>
          <w:rFonts w:eastAsia="Calibri"/>
          <w:lang w:val="fr-FR"/>
        </w:rPr>
      </w:pPr>
      <w:r w:rsidRPr="0029223D">
        <w:rPr>
          <w:lang w:val="fr-FR"/>
        </w:rPr>
        <w:tab/>
      </w:r>
      <w:r w:rsidRPr="0029223D">
        <w:rPr>
          <w:lang w:val="fr-FR"/>
        </w:rPr>
        <w:tab/>
      </w:r>
      <w:r w:rsidRPr="0029223D">
        <w:rPr>
          <w:bCs/>
          <w:lang w:val="fr-FR"/>
        </w:rPr>
        <w:t>Établissement de rapports et examen de l</w:t>
      </w:r>
      <w:r>
        <w:rPr>
          <w:bCs/>
          <w:lang w:val="fr-FR"/>
        </w:rPr>
        <w:t>’</w:t>
      </w:r>
      <w:r w:rsidRPr="0029223D">
        <w:rPr>
          <w:bCs/>
          <w:lang w:val="fr-FR"/>
        </w:rPr>
        <w:t>application du Protocole</w:t>
      </w:r>
    </w:p>
    <w:p w14:paraId="0B2DCC62" w14:textId="77777777" w:rsidR="0029223D" w:rsidRPr="0029223D" w:rsidRDefault="0029223D" w:rsidP="0029223D">
      <w:pPr>
        <w:pStyle w:val="SingleTxtG"/>
        <w:ind w:firstLine="567"/>
        <w:rPr>
          <w:rFonts w:eastAsia="Calibri"/>
          <w:i/>
          <w:iCs/>
          <w:lang w:val="fr-FR"/>
        </w:rPr>
      </w:pPr>
      <w:bookmarkStart w:id="0" w:name="ici"/>
      <w:bookmarkEnd w:id="0"/>
      <w:r w:rsidRPr="0029223D">
        <w:rPr>
          <w:i/>
          <w:iCs/>
          <w:lang w:val="fr-FR"/>
        </w:rPr>
        <w:t>La Réunion des Parties au Protocole</w:t>
      </w:r>
      <w:r w:rsidRPr="0029223D">
        <w:rPr>
          <w:lang w:val="fr-FR"/>
        </w:rPr>
        <w:t>,</w:t>
      </w:r>
    </w:p>
    <w:p w14:paraId="77069062" w14:textId="3D90A463" w:rsidR="0029223D" w:rsidRPr="0029223D" w:rsidRDefault="0029223D" w:rsidP="0029223D">
      <w:pPr>
        <w:pStyle w:val="SingleTxtG"/>
        <w:tabs>
          <w:tab w:val="clear" w:pos="1701"/>
          <w:tab w:val="clear" w:pos="2268"/>
          <w:tab w:val="clear" w:pos="2835"/>
        </w:tabs>
        <w:ind w:firstLine="567"/>
        <w:rPr>
          <w:rFonts w:eastAsia="Calibri"/>
          <w:lang w:val="fr-FR"/>
        </w:rPr>
      </w:pPr>
      <w:r w:rsidRPr="0029223D">
        <w:rPr>
          <w:i/>
          <w:iCs/>
          <w:lang w:val="fr-FR"/>
        </w:rPr>
        <w:t xml:space="preserve">Rappelant </w:t>
      </w:r>
      <w:r w:rsidRPr="0029223D">
        <w:rPr>
          <w:lang w:val="fr-FR"/>
        </w:rPr>
        <w:t>la décision V/7-I/7 de la Réunion des Parties à la Convention sur l</w:t>
      </w:r>
      <w:r>
        <w:rPr>
          <w:lang w:val="fr-FR"/>
        </w:rPr>
        <w:t>’</w:t>
      </w:r>
      <w:r w:rsidRPr="0029223D">
        <w:rPr>
          <w:lang w:val="fr-FR"/>
        </w:rPr>
        <w:t>évaluation de l</w:t>
      </w:r>
      <w:r>
        <w:rPr>
          <w:lang w:val="fr-FR"/>
        </w:rPr>
        <w:t>’</w:t>
      </w:r>
      <w:r w:rsidRPr="0029223D">
        <w:rPr>
          <w:lang w:val="fr-FR"/>
        </w:rPr>
        <w:t>impact sur l</w:t>
      </w:r>
      <w:r>
        <w:rPr>
          <w:lang w:val="fr-FR"/>
        </w:rPr>
        <w:t>’</w:t>
      </w:r>
      <w:r w:rsidRPr="0029223D">
        <w:rPr>
          <w:lang w:val="fr-FR"/>
        </w:rPr>
        <w:t>environnement dans un contexte transfrontière et de la Réunion des Parties à la Convention agissant comme réunion des Parties au Protocole relatif à l</w:t>
      </w:r>
      <w:r>
        <w:rPr>
          <w:lang w:val="fr-FR"/>
        </w:rPr>
        <w:t>’</w:t>
      </w:r>
      <w:r w:rsidRPr="0029223D">
        <w:rPr>
          <w:lang w:val="fr-FR"/>
        </w:rPr>
        <w:t>évaluation stratégique environnementale (Réunion des Parties au Protocole) et les décisions</w:t>
      </w:r>
      <w:r w:rsidR="00EB61EF">
        <w:rPr>
          <w:lang w:val="fr-FR"/>
        </w:rPr>
        <w:t xml:space="preserve"> </w:t>
      </w:r>
      <w:r w:rsidRPr="0029223D">
        <w:rPr>
          <w:lang w:val="fr-FR"/>
        </w:rPr>
        <w:t>II/1, III/1 et IV/5 de la Réunion des Parties au Protocole sur l</w:t>
      </w:r>
      <w:r>
        <w:rPr>
          <w:lang w:val="fr-FR"/>
        </w:rPr>
        <w:t>’</w:t>
      </w:r>
      <w:r w:rsidRPr="0029223D">
        <w:rPr>
          <w:lang w:val="fr-FR"/>
        </w:rPr>
        <w:t>établissement de rapports et l</w:t>
      </w:r>
      <w:r>
        <w:rPr>
          <w:lang w:val="fr-FR"/>
        </w:rPr>
        <w:t>’</w:t>
      </w:r>
      <w:r w:rsidRPr="0029223D">
        <w:rPr>
          <w:lang w:val="fr-FR"/>
        </w:rPr>
        <w:t>examen de l</w:t>
      </w:r>
      <w:r>
        <w:rPr>
          <w:lang w:val="fr-FR"/>
        </w:rPr>
        <w:t>’</w:t>
      </w:r>
      <w:r w:rsidRPr="0029223D">
        <w:rPr>
          <w:lang w:val="fr-FR"/>
        </w:rPr>
        <w:t>application</w:t>
      </w:r>
      <w:r w:rsidRPr="0029223D">
        <w:rPr>
          <w:rStyle w:val="Appelnotedebasdep"/>
          <w:lang w:val="fr-FR"/>
        </w:rPr>
        <w:footnoteReference w:id="2"/>
      </w:r>
      <w:r w:rsidRPr="0029223D">
        <w:rPr>
          <w:lang w:val="fr-FR"/>
        </w:rPr>
        <w:t>,</w:t>
      </w:r>
    </w:p>
    <w:p w14:paraId="51DDF610" w14:textId="57C1EB06" w:rsidR="0029223D" w:rsidRPr="0029223D" w:rsidRDefault="0029223D" w:rsidP="0029223D">
      <w:pPr>
        <w:pStyle w:val="SingleTxtG"/>
        <w:ind w:firstLine="567"/>
        <w:rPr>
          <w:rFonts w:eastAsia="Calibri"/>
          <w:lang w:val="fr-FR"/>
        </w:rPr>
      </w:pPr>
      <w:r w:rsidRPr="0029223D">
        <w:rPr>
          <w:i/>
          <w:iCs/>
          <w:lang w:val="fr-FR"/>
        </w:rPr>
        <w:t xml:space="preserve">Rappelant également </w:t>
      </w:r>
      <w:r w:rsidRPr="0029223D">
        <w:rPr>
          <w:lang w:val="fr-FR"/>
        </w:rPr>
        <w:t>le paragraphe 4 de l</w:t>
      </w:r>
      <w:r>
        <w:rPr>
          <w:lang w:val="fr-FR"/>
        </w:rPr>
        <w:t xml:space="preserve">’article </w:t>
      </w:r>
      <w:r w:rsidRPr="0029223D">
        <w:rPr>
          <w:lang w:val="fr-FR"/>
        </w:rPr>
        <w:t>14 du Protocole, concernant le suivi permanent de la mise en œuvre du Protocole,</w:t>
      </w:r>
    </w:p>
    <w:p w14:paraId="4B35A465" w14:textId="17AA9CBF" w:rsidR="0029223D" w:rsidRPr="0029223D" w:rsidRDefault="0029223D" w:rsidP="0029223D">
      <w:pPr>
        <w:pStyle w:val="SingleTxtG"/>
        <w:ind w:firstLine="567"/>
        <w:rPr>
          <w:rFonts w:eastAsia="Calibri"/>
          <w:lang w:val="fr-FR"/>
        </w:rPr>
      </w:pPr>
      <w:r w:rsidRPr="0029223D">
        <w:rPr>
          <w:i/>
          <w:iCs/>
          <w:lang w:val="fr-FR"/>
        </w:rPr>
        <w:t xml:space="preserve">Rappelant en outre </w:t>
      </w:r>
      <w:r w:rsidRPr="0029223D">
        <w:rPr>
          <w:lang w:val="fr-FR"/>
        </w:rPr>
        <w:t>le paragraphe 7 de l</w:t>
      </w:r>
      <w:r>
        <w:rPr>
          <w:lang w:val="fr-FR"/>
        </w:rPr>
        <w:t xml:space="preserve">’article </w:t>
      </w:r>
      <w:r w:rsidRPr="0029223D">
        <w:rPr>
          <w:lang w:val="fr-FR"/>
        </w:rPr>
        <w:t>14 du Protocole, en vertu duquel les Parties rendent compte des mesures qu</w:t>
      </w:r>
      <w:r>
        <w:rPr>
          <w:lang w:val="fr-FR"/>
        </w:rPr>
        <w:t>’</w:t>
      </w:r>
      <w:r w:rsidRPr="0029223D">
        <w:rPr>
          <w:lang w:val="fr-FR"/>
        </w:rPr>
        <w:t>elles prennent pour mettre en œuvre le Protocole, et le paragraphe 4 de l</w:t>
      </w:r>
      <w:r>
        <w:rPr>
          <w:lang w:val="fr-FR"/>
        </w:rPr>
        <w:t xml:space="preserve">’article </w:t>
      </w:r>
      <w:r w:rsidRPr="0029223D">
        <w:rPr>
          <w:lang w:val="fr-FR"/>
        </w:rPr>
        <w:t>13, selon lequel les Parties rendent compte de l</w:t>
      </w:r>
      <w:r>
        <w:rPr>
          <w:lang w:val="fr-FR"/>
        </w:rPr>
        <w:t>’</w:t>
      </w:r>
      <w:r w:rsidRPr="0029223D">
        <w:rPr>
          <w:lang w:val="fr-FR"/>
        </w:rPr>
        <w:t>application dudit article, concernant les politiques et la législation,</w:t>
      </w:r>
    </w:p>
    <w:p w14:paraId="63F095B3" w14:textId="69B2A405" w:rsidR="0029223D" w:rsidRPr="0029223D" w:rsidRDefault="0029223D" w:rsidP="0029223D">
      <w:pPr>
        <w:pStyle w:val="SingleTxtG"/>
        <w:ind w:firstLine="567"/>
        <w:rPr>
          <w:rFonts w:eastAsia="Calibri"/>
          <w:lang w:val="fr-FR"/>
        </w:rPr>
      </w:pPr>
      <w:r w:rsidRPr="0029223D">
        <w:rPr>
          <w:i/>
          <w:iCs/>
          <w:lang w:val="fr-FR"/>
        </w:rPr>
        <w:t xml:space="preserve">Consciente </w:t>
      </w:r>
      <w:r w:rsidRPr="0029223D">
        <w:rPr>
          <w:lang w:val="fr-FR"/>
        </w:rPr>
        <w:t>que chaque Partie, en établissant régulièrement des rapports, fournit des informations importantes qui facilitent l</w:t>
      </w:r>
      <w:r>
        <w:rPr>
          <w:lang w:val="fr-FR"/>
        </w:rPr>
        <w:t>’</w:t>
      </w:r>
      <w:r w:rsidRPr="0029223D">
        <w:rPr>
          <w:lang w:val="fr-FR"/>
        </w:rPr>
        <w:t>examen du respect des dispositions du Protocole et contribue par là même aux travaux du Comité d</w:t>
      </w:r>
      <w:r>
        <w:rPr>
          <w:lang w:val="fr-FR"/>
        </w:rPr>
        <w:t>’</w:t>
      </w:r>
      <w:r w:rsidRPr="0029223D">
        <w:rPr>
          <w:lang w:val="fr-FR"/>
        </w:rPr>
        <w:t>application,</w:t>
      </w:r>
    </w:p>
    <w:p w14:paraId="1FABDA28" w14:textId="53D3CFE1" w:rsidR="0029223D" w:rsidRPr="0029223D" w:rsidRDefault="0029223D" w:rsidP="0029223D">
      <w:pPr>
        <w:pStyle w:val="SingleTxtG"/>
        <w:ind w:firstLine="567"/>
        <w:rPr>
          <w:rFonts w:eastAsia="Calibri"/>
          <w:lang w:val="fr-FR"/>
        </w:rPr>
      </w:pPr>
      <w:r w:rsidRPr="0029223D">
        <w:rPr>
          <w:i/>
          <w:iCs/>
          <w:lang w:val="fr-FR"/>
        </w:rPr>
        <w:t xml:space="preserve">Consciente également </w:t>
      </w:r>
      <w:r w:rsidRPr="0029223D">
        <w:rPr>
          <w:lang w:val="fr-FR"/>
        </w:rPr>
        <w:t>que les rapports établis par les Parties fournissent à d</w:t>
      </w:r>
      <w:r>
        <w:rPr>
          <w:lang w:val="fr-FR"/>
        </w:rPr>
        <w:t>’</w:t>
      </w:r>
      <w:r w:rsidRPr="0029223D">
        <w:rPr>
          <w:lang w:val="fr-FR"/>
        </w:rPr>
        <w:t>autres pays, tant à l</w:t>
      </w:r>
      <w:r>
        <w:rPr>
          <w:lang w:val="fr-FR"/>
        </w:rPr>
        <w:t>’</w:t>
      </w:r>
      <w:r w:rsidRPr="0029223D">
        <w:rPr>
          <w:lang w:val="fr-FR"/>
        </w:rPr>
        <w:t>intérieur de la région de la Commission économique pour l</w:t>
      </w:r>
      <w:r>
        <w:rPr>
          <w:lang w:val="fr-FR"/>
        </w:rPr>
        <w:t>’</w:t>
      </w:r>
      <w:r w:rsidRPr="0029223D">
        <w:rPr>
          <w:lang w:val="fr-FR"/>
        </w:rPr>
        <w:t>Europe (CEE) qu</w:t>
      </w:r>
      <w:r>
        <w:rPr>
          <w:lang w:val="fr-FR"/>
        </w:rPr>
        <w:t>’</w:t>
      </w:r>
      <w:r w:rsidRPr="0029223D">
        <w:rPr>
          <w:lang w:val="fr-FR"/>
        </w:rPr>
        <w:t>au-delà, des informations utiles qui appuient les efforts que ces pays déploient pour appliquer le Protocole et y adhérer,</w:t>
      </w:r>
    </w:p>
    <w:p w14:paraId="1EDCFA1D" w14:textId="77777777" w:rsidR="0029223D" w:rsidRPr="0029223D" w:rsidRDefault="0029223D" w:rsidP="0029223D">
      <w:pPr>
        <w:pStyle w:val="SingleTxtG"/>
        <w:ind w:firstLine="567"/>
        <w:rPr>
          <w:lang w:val="fr-FR"/>
        </w:rPr>
      </w:pPr>
      <w:r w:rsidRPr="0029223D">
        <w:rPr>
          <w:i/>
          <w:iCs/>
          <w:lang w:val="fr-FR"/>
        </w:rPr>
        <w:t>Consciente en outre</w:t>
      </w:r>
      <w:r w:rsidRPr="0029223D">
        <w:rPr>
          <w:lang w:val="fr-FR"/>
        </w:rPr>
        <w:t xml:space="preserve"> que les rapports nationaux peuvent contribuer au recensement et à la diffusion de bonnes pratiques,</w:t>
      </w:r>
    </w:p>
    <w:p w14:paraId="1E73EC40" w14:textId="0912B827" w:rsidR="0029223D" w:rsidRPr="0029223D" w:rsidRDefault="0029223D" w:rsidP="0029223D">
      <w:pPr>
        <w:pStyle w:val="SingleTxtG"/>
        <w:ind w:firstLine="567"/>
        <w:rPr>
          <w:iCs/>
          <w:lang w:val="fr-FR"/>
        </w:rPr>
      </w:pPr>
      <w:r w:rsidRPr="0029223D">
        <w:rPr>
          <w:i/>
          <w:iCs/>
          <w:lang w:val="fr-FR"/>
        </w:rPr>
        <w:t>Soulignant avec force</w:t>
      </w:r>
      <w:r w:rsidRPr="0029223D">
        <w:rPr>
          <w:lang w:val="fr-FR"/>
        </w:rPr>
        <w:t xml:space="preserve"> qu</w:t>
      </w:r>
      <w:r>
        <w:rPr>
          <w:lang w:val="fr-FR"/>
        </w:rPr>
        <w:t>’</w:t>
      </w:r>
      <w:r w:rsidRPr="0029223D">
        <w:rPr>
          <w:lang w:val="fr-FR"/>
        </w:rPr>
        <w:t>il importe de soumettre en temps voulu des rapports nationaux de qualité,</w:t>
      </w:r>
    </w:p>
    <w:p w14:paraId="603B1230" w14:textId="0DD2F0C0" w:rsidR="0029223D" w:rsidRPr="0029223D" w:rsidRDefault="0029223D" w:rsidP="0029223D">
      <w:pPr>
        <w:pStyle w:val="SingleTxtG"/>
        <w:ind w:firstLine="567"/>
        <w:rPr>
          <w:rFonts w:eastAsia="Calibri"/>
          <w:lang w:val="fr-FR"/>
        </w:rPr>
      </w:pPr>
      <w:r w:rsidRPr="0029223D">
        <w:rPr>
          <w:i/>
          <w:iCs/>
          <w:lang w:val="fr-FR"/>
        </w:rPr>
        <w:t xml:space="preserve">Ayant examiné </w:t>
      </w:r>
      <w:r w:rsidRPr="0029223D">
        <w:rPr>
          <w:lang w:val="fr-FR"/>
        </w:rPr>
        <w:t>les rapports communiqués par les Parties en réponse au questionnaire sur l</w:t>
      </w:r>
      <w:r>
        <w:rPr>
          <w:lang w:val="fr-FR"/>
        </w:rPr>
        <w:t>’</w:t>
      </w:r>
      <w:r w:rsidRPr="0029223D">
        <w:rPr>
          <w:lang w:val="fr-FR"/>
        </w:rPr>
        <w:t>application du Protocole au cours de la période</w:t>
      </w:r>
      <w:r w:rsidR="00EB61EF">
        <w:rPr>
          <w:lang w:val="fr-FR"/>
        </w:rPr>
        <w:t xml:space="preserve"> </w:t>
      </w:r>
      <w:r w:rsidRPr="0029223D">
        <w:rPr>
          <w:lang w:val="fr-FR"/>
        </w:rPr>
        <w:t>2019-2021,</w:t>
      </w:r>
    </w:p>
    <w:p w14:paraId="5535AB74" w14:textId="20696266" w:rsidR="0029223D" w:rsidRPr="0029223D" w:rsidRDefault="0029223D" w:rsidP="0029223D">
      <w:pPr>
        <w:pStyle w:val="SingleTxtG"/>
        <w:ind w:firstLine="567"/>
        <w:rPr>
          <w:rFonts w:eastAsia="Calibri"/>
          <w:lang w:val="fr-FR"/>
        </w:rPr>
      </w:pPr>
      <w:r w:rsidRPr="0029223D">
        <w:rPr>
          <w:lang w:val="fr-FR"/>
        </w:rPr>
        <w:t>1.</w:t>
      </w:r>
      <w:r w:rsidRPr="0029223D">
        <w:rPr>
          <w:lang w:val="fr-FR"/>
        </w:rPr>
        <w:tab/>
      </w:r>
      <w:r w:rsidRPr="0029223D">
        <w:rPr>
          <w:i/>
          <w:iCs/>
          <w:lang w:val="fr-FR"/>
        </w:rPr>
        <w:t>Accueille avec intérêt</w:t>
      </w:r>
      <w:r w:rsidRPr="0029223D">
        <w:rPr>
          <w:lang w:val="fr-FR"/>
        </w:rPr>
        <w:t xml:space="preserve"> les rapports soumis par les Parties et par deux États non parties (Géorgie et Kazakhstan) sur l</w:t>
      </w:r>
      <w:r>
        <w:rPr>
          <w:lang w:val="fr-FR"/>
        </w:rPr>
        <w:t>’</w:t>
      </w:r>
      <w:r w:rsidRPr="0029223D">
        <w:rPr>
          <w:lang w:val="fr-FR"/>
        </w:rPr>
        <w:t>application du Protocole au cours de la période</w:t>
      </w:r>
      <w:r w:rsidR="00EB61EF">
        <w:rPr>
          <w:lang w:val="fr-FR"/>
        </w:rPr>
        <w:t xml:space="preserve"> </w:t>
      </w:r>
      <w:r w:rsidRPr="0029223D">
        <w:rPr>
          <w:lang w:val="fr-FR"/>
        </w:rPr>
        <w:t>2019</w:t>
      </w:r>
      <w:r w:rsidR="00EB61EF">
        <w:rPr>
          <w:lang w:val="fr-FR"/>
        </w:rPr>
        <w:noBreakHyphen/>
      </w:r>
      <w:r w:rsidRPr="0029223D">
        <w:rPr>
          <w:lang w:val="fr-FR"/>
        </w:rPr>
        <w:t>2021, qui sont disponibles sur le site Web du Protocole</w:t>
      </w:r>
      <w:r>
        <w:rPr>
          <w:lang w:val="fr-FR"/>
        </w:rPr>
        <w:t> </w:t>
      </w:r>
      <w:r w:rsidRPr="0029223D">
        <w:rPr>
          <w:lang w:val="fr-FR"/>
        </w:rPr>
        <w:t>;</w:t>
      </w:r>
    </w:p>
    <w:p w14:paraId="06FF7030" w14:textId="7BF957FC" w:rsidR="0029223D" w:rsidRPr="0029223D" w:rsidRDefault="0029223D" w:rsidP="0029223D">
      <w:pPr>
        <w:pStyle w:val="SingleTxtG"/>
        <w:ind w:firstLine="567"/>
        <w:rPr>
          <w:rFonts w:eastAsia="Calibri"/>
          <w:lang w:val="fr-FR"/>
        </w:rPr>
      </w:pPr>
      <w:r w:rsidRPr="0029223D">
        <w:rPr>
          <w:lang w:val="fr-FR"/>
        </w:rPr>
        <w:t>2.</w:t>
      </w:r>
      <w:r w:rsidRPr="0029223D">
        <w:rPr>
          <w:lang w:val="fr-FR"/>
        </w:rPr>
        <w:tab/>
      </w:r>
      <w:r w:rsidRPr="0029223D">
        <w:rPr>
          <w:i/>
          <w:iCs/>
          <w:lang w:val="fr-FR"/>
        </w:rPr>
        <w:t>Constate avec une vive préoccupation</w:t>
      </w:r>
      <w:r w:rsidRPr="0029223D">
        <w:rPr>
          <w:lang w:val="fr-FR"/>
        </w:rPr>
        <w:t xml:space="preserve"> que trois Parties n</w:t>
      </w:r>
      <w:r>
        <w:rPr>
          <w:lang w:val="fr-FR"/>
        </w:rPr>
        <w:t>’</w:t>
      </w:r>
      <w:r w:rsidRPr="0029223D">
        <w:rPr>
          <w:lang w:val="fr-FR"/>
        </w:rPr>
        <w:t>ont pas répondu au questionnaire</w:t>
      </w:r>
      <w:r w:rsidR="00EB61EF">
        <w:rPr>
          <w:lang w:val="fr-FR"/>
        </w:rPr>
        <w:t xml:space="preserve"> </w:t>
      </w:r>
      <w:r w:rsidRPr="0029223D">
        <w:rPr>
          <w:lang w:val="fr-FR"/>
        </w:rPr>
        <w:t>(Bulgarie, Macédoine du Nord et Serbie) et que l</w:t>
      </w:r>
      <w:r>
        <w:rPr>
          <w:lang w:val="fr-FR"/>
        </w:rPr>
        <w:t>’</w:t>
      </w:r>
      <w:r w:rsidRPr="0029223D">
        <w:rPr>
          <w:lang w:val="fr-FR"/>
        </w:rPr>
        <w:t>Union européenne n</w:t>
      </w:r>
      <w:r>
        <w:rPr>
          <w:lang w:val="fr-FR"/>
        </w:rPr>
        <w:t>’</w:t>
      </w:r>
      <w:r w:rsidRPr="0029223D">
        <w:rPr>
          <w:lang w:val="fr-FR"/>
        </w:rPr>
        <w:t>a soumis qu</w:t>
      </w:r>
      <w:r>
        <w:rPr>
          <w:lang w:val="fr-FR"/>
        </w:rPr>
        <w:t>’</w:t>
      </w:r>
      <w:r w:rsidRPr="0029223D">
        <w:rPr>
          <w:lang w:val="fr-FR"/>
        </w:rPr>
        <w:t>un questionnaire vierge et une note distincte contenant les informations qu</w:t>
      </w:r>
      <w:r>
        <w:rPr>
          <w:lang w:val="fr-FR"/>
        </w:rPr>
        <w:t>’</w:t>
      </w:r>
      <w:r w:rsidRPr="0029223D">
        <w:rPr>
          <w:lang w:val="fr-FR"/>
        </w:rPr>
        <w:t>elle a choisi de fournir</w:t>
      </w:r>
      <w:r>
        <w:rPr>
          <w:lang w:val="fr-FR"/>
        </w:rPr>
        <w:t> </w:t>
      </w:r>
      <w:r w:rsidRPr="0029223D">
        <w:rPr>
          <w:lang w:val="fr-FR"/>
        </w:rPr>
        <w:t>;</w:t>
      </w:r>
    </w:p>
    <w:p w14:paraId="107F9C42" w14:textId="3527FAA7" w:rsidR="0029223D" w:rsidRPr="0029223D" w:rsidRDefault="0029223D" w:rsidP="0029223D">
      <w:pPr>
        <w:pStyle w:val="SingleTxtG"/>
        <w:ind w:firstLine="567"/>
        <w:rPr>
          <w:lang w:val="fr-FR"/>
        </w:rPr>
      </w:pPr>
      <w:r w:rsidRPr="0029223D">
        <w:rPr>
          <w:lang w:val="fr-FR"/>
        </w:rPr>
        <w:t>3.</w:t>
      </w:r>
      <w:r w:rsidRPr="0029223D">
        <w:rPr>
          <w:lang w:val="fr-FR"/>
        </w:rPr>
        <w:tab/>
      </w:r>
      <w:r w:rsidRPr="0029223D">
        <w:rPr>
          <w:i/>
          <w:iCs/>
          <w:lang w:val="fr-FR"/>
        </w:rPr>
        <w:t>Est préoccupée</w:t>
      </w:r>
      <w:r w:rsidRPr="0029223D">
        <w:rPr>
          <w:lang w:val="fr-FR"/>
        </w:rPr>
        <w:t xml:space="preserve"> de voir que huit Parties ont répondu au questionnaire avec un retard de plusieurs semaines ou mois (Allemagne, Chypre, Danemark, Luxembourg, Pays</w:t>
      </w:r>
      <w:r>
        <w:rPr>
          <w:lang w:val="fr-FR"/>
        </w:rPr>
        <w:noBreakHyphen/>
      </w:r>
      <w:r w:rsidRPr="0029223D">
        <w:rPr>
          <w:lang w:val="fr-FR"/>
        </w:rPr>
        <w:t>Bas</w:t>
      </w:r>
      <w:r>
        <w:rPr>
          <w:lang w:val="fr-FR"/>
        </w:rPr>
        <w:t xml:space="preserve"> (Royaume des)</w:t>
      </w:r>
      <w:r w:rsidRPr="0029223D">
        <w:rPr>
          <w:lang w:val="fr-FR"/>
        </w:rPr>
        <w:t>, Portugal, Slovénie et Ukraine)</w:t>
      </w:r>
      <w:r>
        <w:rPr>
          <w:lang w:val="fr-FR"/>
        </w:rPr>
        <w:t> </w:t>
      </w:r>
      <w:r w:rsidRPr="0029223D">
        <w:rPr>
          <w:lang w:val="fr-FR"/>
        </w:rPr>
        <w:t>;</w:t>
      </w:r>
    </w:p>
    <w:p w14:paraId="0A9A5A02" w14:textId="613C6C59" w:rsidR="0029223D" w:rsidRPr="0029223D" w:rsidRDefault="0029223D" w:rsidP="0029223D">
      <w:pPr>
        <w:pStyle w:val="SingleTxtG"/>
        <w:ind w:firstLine="567"/>
        <w:rPr>
          <w:rFonts w:eastAsia="Calibri"/>
          <w:lang w:val="fr-FR"/>
        </w:rPr>
      </w:pPr>
      <w:r w:rsidRPr="0029223D">
        <w:rPr>
          <w:lang w:val="fr-FR"/>
        </w:rPr>
        <w:t>4.</w:t>
      </w:r>
      <w:r w:rsidRPr="0029223D">
        <w:rPr>
          <w:lang w:val="fr-FR"/>
        </w:rPr>
        <w:tab/>
      </w:r>
      <w:r w:rsidRPr="0029223D">
        <w:rPr>
          <w:i/>
          <w:iCs/>
          <w:lang w:val="fr-FR"/>
        </w:rPr>
        <w:t xml:space="preserve">Adopte </w:t>
      </w:r>
      <w:r w:rsidRPr="0029223D">
        <w:rPr>
          <w:lang w:val="fr-FR"/>
        </w:rPr>
        <w:t>le rapport sur le quatrième examen de l</w:t>
      </w:r>
      <w:r>
        <w:rPr>
          <w:lang w:val="fr-FR"/>
        </w:rPr>
        <w:t>’</w:t>
      </w:r>
      <w:r w:rsidRPr="0029223D">
        <w:rPr>
          <w:lang w:val="fr-FR"/>
        </w:rPr>
        <w:t>application du Protocole, tel qu</w:t>
      </w:r>
      <w:r>
        <w:rPr>
          <w:lang w:val="fr-FR"/>
        </w:rPr>
        <w:t>’</w:t>
      </w:r>
      <w:r w:rsidRPr="0029223D">
        <w:rPr>
          <w:lang w:val="fr-FR"/>
        </w:rPr>
        <w:t>il figure dans le document ECE/MP.EIA/SEA/2023/[…], et demande au secrétariat de prendre les dispositions nécessaires, sous réserve de la disponibilité de ressources suffisantes, pour qu</w:t>
      </w:r>
      <w:r>
        <w:rPr>
          <w:lang w:val="fr-FR"/>
        </w:rPr>
        <w:t>’</w:t>
      </w:r>
      <w:r w:rsidRPr="0029223D">
        <w:rPr>
          <w:lang w:val="fr-FR"/>
        </w:rPr>
        <w:t>il soit publié sous forme électronique dans les trois langues officielles de la CEE</w:t>
      </w:r>
      <w:r>
        <w:rPr>
          <w:lang w:val="fr-FR"/>
        </w:rPr>
        <w:t> </w:t>
      </w:r>
      <w:r w:rsidRPr="0029223D">
        <w:rPr>
          <w:lang w:val="fr-FR"/>
        </w:rPr>
        <w:t>;</w:t>
      </w:r>
      <w:bookmarkStart w:id="1" w:name="_Hlk35612004"/>
      <w:bookmarkEnd w:id="1"/>
    </w:p>
    <w:p w14:paraId="5E7BC3E2" w14:textId="1C7C0AC1" w:rsidR="0029223D" w:rsidRPr="0029223D" w:rsidRDefault="0029223D" w:rsidP="0029223D">
      <w:pPr>
        <w:pStyle w:val="SingleTxtG"/>
        <w:ind w:firstLine="567"/>
        <w:rPr>
          <w:rFonts w:eastAsia="Calibri"/>
          <w:lang w:val="fr-FR"/>
        </w:rPr>
      </w:pPr>
      <w:r w:rsidRPr="0029223D">
        <w:rPr>
          <w:lang w:val="fr-FR"/>
        </w:rPr>
        <w:t>5.</w:t>
      </w:r>
      <w:r w:rsidRPr="0029223D">
        <w:rPr>
          <w:lang w:val="fr-FR"/>
        </w:rPr>
        <w:tab/>
      </w:r>
      <w:r w:rsidRPr="0029223D">
        <w:rPr>
          <w:i/>
          <w:iCs/>
          <w:lang w:val="fr-FR"/>
        </w:rPr>
        <w:t xml:space="preserve">Prend note </w:t>
      </w:r>
      <w:r w:rsidRPr="0029223D">
        <w:rPr>
          <w:lang w:val="fr-FR"/>
        </w:rPr>
        <w:t>des conclusions figurant dans le rapport sur le quatrième examen de l</w:t>
      </w:r>
      <w:r>
        <w:rPr>
          <w:lang w:val="fr-FR"/>
        </w:rPr>
        <w:t>’</w:t>
      </w:r>
      <w:r w:rsidRPr="0029223D">
        <w:rPr>
          <w:lang w:val="fr-FR"/>
        </w:rPr>
        <w:t>application du Protocole</w:t>
      </w:r>
      <w:r w:rsidRPr="0029223D">
        <w:rPr>
          <w:rStyle w:val="Appelnotedebasdep"/>
          <w:lang w:val="fr-FR"/>
        </w:rPr>
        <w:footnoteReference w:id="3"/>
      </w:r>
      <w:r w:rsidRPr="0029223D">
        <w:rPr>
          <w:lang w:val="fr-FR"/>
        </w:rPr>
        <w:t xml:space="preserve">, notamment des insuffisances ou des points faibles éventuels </w:t>
      </w:r>
      <w:r w:rsidRPr="0029223D">
        <w:rPr>
          <w:lang w:val="fr-FR"/>
        </w:rPr>
        <w:lastRenderedPageBreak/>
        <w:t>ainsi que des domaines se prêtant à une meilleure application du Protocole par les Parties, qui sont énumérés ci-après</w:t>
      </w:r>
      <w:r>
        <w:rPr>
          <w:lang w:val="fr-FR"/>
        </w:rPr>
        <w:t> :</w:t>
      </w:r>
    </w:p>
    <w:p w14:paraId="4D16A80B" w14:textId="1E9C7A69" w:rsidR="0029223D" w:rsidRPr="0029223D" w:rsidRDefault="0029223D" w:rsidP="0029223D">
      <w:pPr>
        <w:pStyle w:val="SingleTxtG"/>
        <w:ind w:firstLine="567"/>
        <w:rPr>
          <w:rFonts w:eastAsia="Times"/>
          <w:lang w:val="fr-FR"/>
        </w:rPr>
      </w:pPr>
      <w:r w:rsidRPr="0029223D">
        <w:rPr>
          <w:lang w:val="fr-FR"/>
        </w:rPr>
        <w:t>a)</w:t>
      </w:r>
      <w:r w:rsidRPr="0029223D">
        <w:rPr>
          <w:lang w:val="fr-FR"/>
        </w:rPr>
        <w:tab/>
        <w:t>Seule la moitié environ des Parties ont soumis leurs réponses dans les délais et un nombre croissant de Parties n</w:t>
      </w:r>
      <w:r>
        <w:rPr>
          <w:lang w:val="fr-FR"/>
        </w:rPr>
        <w:t>’</w:t>
      </w:r>
      <w:r w:rsidRPr="0029223D">
        <w:rPr>
          <w:lang w:val="fr-FR"/>
        </w:rPr>
        <w:t>ont pas renvoyé leur questionnaire rempli dans les deux mois qui ont suivi la date limite de soumission [(au moment de la rédaction du présent rapport, 22 Parties avaient renvoyé le questionnaire dûment rempli, contre 30 lors de l</w:t>
      </w:r>
      <w:r>
        <w:rPr>
          <w:lang w:val="fr-FR"/>
        </w:rPr>
        <w:t>’</w:t>
      </w:r>
      <w:r w:rsidRPr="0029223D">
        <w:rPr>
          <w:lang w:val="fr-FR"/>
        </w:rPr>
        <w:t>examen précédent)]. Le fait que certaines Parties ne se soient pas acquittées de leur obligation de faire rapport (en application du paragraphe 7 de l</w:t>
      </w:r>
      <w:r>
        <w:rPr>
          <w:lang w:val="fr-FR"/>
        </w:rPr>
        <w:t xml:space="preserve">’article </w:t>
      </w:r>
      <w:r w:rsidRPr="0029223D">
        <w:rPr>
          <w:lang w:val="fr-FR"/>
        </w:rPr>
        <w:t>14) en temps voulu a compliqué le processus d</w:t>
      </w:r>
      <w:r>
        <w:rPr>
          <w:lang w:val="fr-FR"/>
        </w:rPr>
        <w:t>’</w:t>
      </w:r>
      <w:r w:rsidRPr="0029223D">
        <w:rPr>
          <w:lang w:val="fr-FR"/>
        </w:rPr>
        <w:t>examen</w:t>
      </w:r>
      <w:r>
        <w:rPr>
          <w:lang w:val="fr-FR"/>
        </w:rPr>
        <w:t> </w:t>
      </w:r>
      <w:r w:rsidRPr="0029223D">
        <w:rPr>
          <w:lang w:val="fr-FR"/>
        </w:rPr>
        <w:t>;</w:t>
      </w:r>
    </w:p>
    <w:p w14:paraId="793979E5" w14:textId="18BDF055" w:rsidR="0029223D" w:rsidRPr="0029223D" w:rsidRDefault="0029223D" w:rsidP="0029223D">
      <w:pPr>
        <w:pStyle w:val="SingleTxtG"/>
        <w:ind w:firstLine="567"/>
        <w:rPr>
          <w:rFonts w:eastAsia="Times"/>
          <w:lang w:val="fr-FR"/>
        </w:rPr>
      </w:pPr>
      <w:r w:rsidRPr="0029223D">
        <w:rPr>
          <w:lang w:val="fr-FR"/>
        </w:rPr>
        <w:t>b)</w:t>
      </w:r>
      <w:r w:rsidRPr="0029223D">
        <w:rPr>
          <w:lang w:val="fr-FR"/>
        </w:rPr>
        <w:tab/>
        <w:t>L</w:t>
      </w:r>
      <w:r>
        <w:rPr>
          <w:lang w:val="fr-FR"/>
        </w:rPr>
        <w:t>’</w:t>
      </w:r>
      <w:r w:rsidRPr="0029223D">
        <w:rPr>
          <w:lang w:val="fr-FR"/>
        </w:rPr>
        <w:t>absence de registre central ou d</w:t>
      </w:r>
      <w:r>
        <w:rPr>
          <w:lang w:val="fr-FR"/>
        </w:rPr>
        <w:t>’</w:t>
      </w:r>
      <w:r w:rsidRPr="0029223D">
        <w:rPr>
          <w:lang w:val="fr-FR"/>
        </w:rPr>
        <w:t>une base de données regroupant les procédures nationales d</w:t>
      </w:r>
      <w:r>
        <w:rPr>
          <w:lang w:val="fr-FR"/>
        </w:rPr>
        <w:t>’</w:t>
      </w:r>
      <w:r w:rsidRPr="0029223D">
        <w:rPr>
          <w:lang w:val="fr-FR"/>
        </w:rPr>
        <w:t>évaluation stratégique environnementale dans de nombreuses Parties a compliqué et rendu imprécises les informations relatives au nombre de procédures appliquées pendant la période sur laquelle l</w:t>
      </w:r>
      <w:r>
        <w:rPr>
          <w:lang w:val="fr-FR"/>
        </w:rPr>
        <w:t>’</w:t>
      </w:r>
      <w:r w:rsidRPr="0029223D">
        <w:rPr>
          <w:lang w:val="fr-FR"/>
        </w:rPr>
        <w:t>enquête portait</w:t>
      </w:r>
      <w:r>
        <w:rPr>
          <w:lang w:val="fr-FR"/>
        </w:rPr>
        <w:t> </w:t>
      </w:r>
      <w:r w:rsidRPr="0029223D">
        <w:rPr>
          <w:lang w:val="fr-FR"/>
        </w:rPr>
        <w:t>;</w:t>
      </w:r>
    </w:p>
    <w:p w14:paraId="2D064678" w14:textId="73EE61AE" w:rsidR="0029223D" w:rsidRPr="0029223D" w:rsidRDefault="0029223D" w:rsidP="0029223D">
      <w:pPr>
        <w:pStyle w:val="SingleTxtG"/>
        <w:ind w:firstLine="567"/>
        <w:rPr>
          <w:rFonts w:eastAsia="Times"/>
          <w:lang w:val="fr-FR"/>
        </w:rPr>
      </w:pPr>
      <w:r w:rsidRPr="0029223D">
        <w:rPr>
          <w:lang w:val="fr-FR"/>
        </w:rPr>
        <w:t>c)</w:t>
      </w:r>
      <w:r w:rsidRPr="0029223D">
        <w:rPr>
          <w:lang w:val="fr-FR"/>
        </w:rPr>
        <w:tab/>
        <w:t>Les Parties ont décrit un large éventail de pratiques et d</w:t>
      </w:r>
      <w:r>
        <w:rPr>
          <w:lang w:val="fr-FR"/>
        </w:rPr>
        <w:t>’</w:t>
      </w:r>
      <w:r w:rsidRPr="0029223D">
        <w:rPr>
          <w:lang w:val="fr-FR"/>
        </w:rPr>
        <w:t>expériences concernant l</w:t>
      </w:r>
      <w:r>
        <w:rPr>
          <w:lang w:val="fr-FR"/>
        </w:rPr>
        <w:t>’</w:t>
      </w:r>
      <w:r w:rsidRPr="0029223D">
        <w:rPr>
          <w:lang w:val="fr-FR"/>
        </w:rPr>
        <w:t>application du Protocole, et les informations recueillies pourraient être utilisées pour élaborer des documents destinés à renforcer l</w:t>
      </w:r>
      <w:r>
        <w:rPr>
          <w:lang w:val="fr-FR"/>
        </w:rPr>
        <w:t>’</w:t>
      </w:r>
      <w:r w:rsidRPr="0029223D">
        <w:rPr>
          <w:lang w:val="fr-FR"/>
        </w:rPr>
        <w:t>application. Dix Parties fournissent des exemples de ce qu</w:t>
      </w:r>
      <w:r>
        <w:rPr>
          <w:lang w:val="fr-FR"/>
        </w:rPr>
        <w:t>’</w:t>
      </w:r>
      <w:r w:rsidRPr="0029223D">
        <w:rPr>
          <w:lang w:val="fr-FR"/>
        </w:rPr>
        <w:t>elles considèrent comme de bonnes pratiques en matière d</w:t>
      </w:r>
      <w:r>
        <w:rPr>
          <w:lang w:val="fr-FR"/>
        </w:rPr>
        <w:t>’</w:t>
      </w:r>
      <w:r w:rsidRPr="0029223D">
        <w:rPr>
          <w:lang w:val="fr-FR"/>
        </w:rPr>
        <w:t>application</w:t>
      </w:r>
      <w:r>
        <w:rPr>
          <w:lang w:val="fr-FR"/>
        </w:rPr>
        <w:t> </w:t>
      </w:r>
      <w:r w:rsidRPr="0029223D">
        <w:rPr>
          <w:lang w:val="fr-FR"/>
        </w:rPr>
        <w:t>;</w:t>
      </w:r>
    </w:p>
    <w:p w14:paraId="64CA423B" w14:textId="24418E5D" w:rsidR="0029223D" w:rsidRPr="0029223D" w:rsidRDefault="0029223D" w:rsidP="0029223D">
      <w:pPr>
        <w:pStyle w:val="SingleTxtG"/>
        <w:ind w:firstLine="567"/>
        <w:rPr>
          <w:rFonts w:eastAsia="Times"/>
          <w:lang w:val="fr-FR"/>
        </w:rPr>
      </w:pPr>
      <w:r w:rsidRPr="0029223D">
        <w:rPr>
          <w:lang w:val="fr-FR"/>
        </w:rPr>
        <w:t>d)</w:t>
      </w:r>
      <w:r w:rsidRPr="0029223D">
        <w:rPr>
          <w:lang w:val="fr-FR"/>
        </w:rPr>
        <w:tab/>
        <w:t>Certaines Parties se sont familiarisées avec les technologies électroniques utilisées pour mener à distance des activités de consultation et de collaboration pendant la pandémie de coronavirus (COVID-19). En mettant à profit les enseignements tirés de l</w:t>
      </w:r>
      <w:r>
        <w:rPr>
          <w:lang w:val="fr-FR"/>
        </w:rPr>
        <w:t>’</w:t>
      </w:r>
      <w:r w:rsidRPr="0029223D">
        <w:rPr>
          <w:lang w:val="fr-FR"/>
        </w:rPr>
        <w:t>utilisation des technologies de communication à distance et les bonnes pratiques en la matière, il serait possible de promouvoir des pratiques de consultation et de participation efficaces et efficientes</w:t>
      </w:r>
      <w:r>
        <w:rPr>
          <w:lang w:val="fr-FR"/>
        </w:rPr>
        <w:t> </w:t>
      </w:r>
      <w:r w:rsidRPr="0029223D">
        <w:rPr>
          <w:lang w:val="fr-FR"/>
        </w:rPr>
        <w:t>;</w:t>
      </w:r>
    </w:p>
    <w:p w14:paraId="3E5BCD11" w14:textId="4281BB31" w:rsidR="0029223D" w:rsidRPr="0029223D" w:rsidRDefault="0029223D" w:rsidP="0029223D">
      <w:pPr>
        <w:pStyle w:val="SingleTxtG"/>
        <w:ind w:firstLine="567"/>
        <w:rPr>
          <w:rFonts w:eastAsia="Times"/>
          <w:lang w:val="fr-FR"/>
        </w:rPr>
      </w:pPr>
      <w:r w:rsidRPr="0029223D">
        <w:rPr>
          <w:lang w:val="fr-FR"/>
        </w:rPr>
        <w:t>e)</w:t>
      </w:r>
      <w:r w:rsidRPr="0029223D">
        <w:rPr>
          <w:lang w:val="fr-FR"/>
        </w:rPr>
        <w:tab/>
        <w:t>La diversité des méthodes de suivi utilisées pour appliquer les dispositions de l</w:t>
      </w:r>
      <w:r>
        <w:rPr>
          <w:lang w:val="fr-FR"/>
        </w:rPr>
        <w:t xml:space="preserve">’article </w:t>
      </w:r>
      <w:r w:rsidRPr="0029223D">
        <w:rPr>
          <w:lang w:val="fr-FR"/>
        </w:rPr>
        <w:t>12 du Protocole entraîne des différences en ce qui concerne la portée du suivi, sa durée et l</w:t>
      </w:r>
      <w:r>
        <w:rPr>
          <w:lang w:val="fr-FR"/>
        </w:rPr>
        <w:t>’</w:t>
      </w:r>
      <w:r w:rsidRPr="0029223D">
        <w:rPr>
          <w:lang w:val="fr-FR"/>
        </w:rPr>
        <w:t>utilisation d</w:t>
      </w:r>
      <w:r>
        <w:rPr>
          <w:lang w:val="fr-FR"/>
        </w:rPr>
        <w:t>’</w:t>
      </w:r>
      <w:r w:rsidRPr="0029223D">
        <w:rPr>
          <w:lang w:val="fr-FR"/>
        </w:rPr>
        <w:t>indicateurs. Il est recommandé, d</w:t>
      </w:r>
      <w:r>
        <w:rPr>
          <w:lang w:val="fr-FR"/>
        </w:rPr>
        <w:t>’</w:t>
      </w:r>
      <w:r w:rsidRPr="0029223D">
        <w:rPr>
          <w:lang w:val="fr-FR"/>
        </w:rPr>
        <w:t>une part, de veiller à ce que la collecte de données sur les bonnes pratiques et le partage de ces données se poursuivent et, d</w:t>
      </w:r>
      <w:r>
        <w:rPr>
          <w:lang w:val="fr-FR"/>
        </w:rPr>
        <w:t>’</w:t>
      </w:r>
      <w:r w:rsidRPr="0029223D">
        <w:rPr>
          <w:lang w:val="fr-FR"/>
        </w:rPr>
        <w:t>autre part, d</w:t>
      </w:r>
      <w:r>
        <w:rPr>
          <w:lang w:val="fr-FR"/>
        </w:rPr>
        <w:t>’</w:t>
      </w:r>
      <w:r w:rsidRPr="0029223D">
        <w:rPr>
          <w:lang w:val="fr-FR"/>
        </w:rPr>
        <w:t>élaborer des recommandations relatives aux bonnes pratiques</w:t>
      </w:r>
      <w:r>
        <w:rPr>
          <w:lang w:val="fr-FR"/>
        </w:rPr>
        <w:t> </w:t>
      </w:r>
      <w:r w:rsidRPr="0029223D">
        <w:rPr>
          <w:lang w:val="fr-FR"/>
        </w:rPr>
        <w:t>;</w:t>
      </w:r>
    </w:p>
    <w:p w14:paraId="62D6D3C6" w14:textId="1071DE82" w:rsidR="0029223D" w:rsidRPr="0029223D" w:rsidRDefault="0029223D" w:rsidP="0029223D">
      <w:pPr>
        <w:pStyle w:val="SingleTxtG"/>
        <w:ind w:firstLine="567"/>
        <w:rPr>
          <w:rFonts w:eastAsia="Times"/>
          <w:lang w:val="fr-FR"/>
        </w:rPr>
      </w:pPr>
      <w:r w:rsidRPr="0029223D">
        <w:rPr>
          <w:lang w:val="fr-FR"/>
        </w:rPr>
        <w:t>f)</w:t>
      </w:r>
      <w:r w:rsidRPr="0029223D">
        <w:rPr>
          <w:lang w:val="fr-FR"/>
        </w:rPr>
        <w:tab/>
        <w:t xml:space="preserve">Un certain nombre de Parties utilisent le </w:t>
      </w:r>
      <w:r w:rsidRPr="0029223D">
        <w:rPr>
          <w:i/>
          <w:iCs/>
          <w:lang w:val="en-GB"/>
        </w:rPr>
        <w:t>Resource Manual to Support Application of the UNECE Protocol on Strategic Environmental Assessment</w:t>
      </w:r>
      <w:r w:rsidRPr="0029223D">
        <w:rPr>
          <w:i/>
          <w:iCs/>
          <w:lang w:val="fr-FR"/>
        </w:rPr>
        <w:t xml:space="preserve"> </w:t>
      </w:r>
      <w:r w:rsidRPr="0029223D">
        <w:rPr>
          <w:lang w:val="fr-FR"/>
        </w:rPr>
        <w:t>(manuel pratique destiné à appuyer l</w:t>
      </w:r>
      <w:r>
        <w:rPr>
          <w:lang w:val="fr-FR"/>
        </w:rPr>
        <w:t>’</w:t>
      </w:r>
      <w:r w:rsidRPr="0029223D">
        <w:rPr>
          <w:lang w:val="fr-FR"/>
        </w:rPr>
        <w:t>application du Protocole relatif à l</w:t>
      </w:r>
      <w:r>
        <w:rPr>
          <w:lang w:val="fr-FR"/>
        </w:rPr>
        <w:t>’</w:t>
      </w:r>
      <w:r w:rsidRPr="0029223D">
        <w:rPr>
          <w:lang w:val="fr-FR"/>
        </w:rPr>
        <w:t>évaluation stratégique environnementale) et les</w:t>
      </w:r>
      <w:r w:rsidRPr="0029223D">
        <w:rPr>
          <w:i/>
          <w:iCs/>
          <w:lang w:val="fr-FR"/>
        </w:rPr>
        <w:t xml:space="preserve"> Recommandations sur les bonnes pratiques relatives à la participation du public aux évaluations stratégiques environnementales</w:t>
      </w:r>
      <w:r w:rsidRPr="004D09A2">
        <w:rPr>
          <w:lang w:val="fr-FR"/>
        </w:rPr>
        <w:t xml:space="preserve">, </w:t>
      </w:r>
      <w:r w:rsidRPr="0029223D">
        <w:rPr>
          <w:lang w:val="fr-FR"/>
        </w:rPr>
        <w:t>mais plusieurs Parties ont indiqué qu</w:t>
      </w:r>
      <w:r>
        <w:rPr>
          <w:lang w:val="fr-FR"/>
        </w:rPr>
        <w:t>’</w:t>
      </w:r>
      <w:r w:rsidRPr="0029223D">
        <w:rPr>
          <w:lang w:val="fr-FR"/>
        </w:rPr>
        <w:t>elles n</w:t>
      </w:r>
      <w:r>
        <w:rPr>
          <w:lang w:val="fr-FR"/>
        </w:rPr>
        <w:t>’</w:t>
      </w:r>
      <w:r w:rsidRPr="0029223D">
        <w:rPr>
          <w:lang w:val="fr-FR"/>
        </w:rPr>
        <w:t>utilisaient pas ces documents, car elles en ignoraient l</w:t>
      </w:r>
      <w:r>
        <w:rPr>
          <w:lang w:val="fr-FR"/>
        </w:rPr>
        <w:t>’</w:t>
      </w:r>
      <w:r w:rsidRPr="0029223D">
        <w:rPr>
          <w:lang w:val="fr-FR"/>
        </w:rPr>
        <w:t>existence. Il convient de continuer d</w:t>
      </w:r>
      <w:r>
        <w:rPr>
          <w:lang w:val="fr-FR"/>
        </w:rPr>
        <w:t>’</w:t>
      </w:r>
      <w:r w:rsidRPr="0029223D">
        <w:rPr>
          <w:lang w:val="fr-FR"/>
        </w:rPr>
        <w:t>améliorer la diffusion des documents d</w:t>
      </w:r>
      <w:r>
        <w:rPr>
          <w:lang w:val="fr-FR"/>
        </w:rPr>
        <w:t>’</w:t>
      </w:r>
      <w:r w:rsidRPr="0029223D">
        <w:rPr>
          <w:lang w:val="fr-FR"/>
        </w:rPr>
        <w:t>orientation et d</w:t>
      </w:r>
      <w:r>
        <w:rPr>
          <w:lang w:val="fr-FR"/>
        </w:rPr>
        <w:t>’</w:t>
      </w:r>
      <w:r w:rsidRPr="0029223D">
        <w:rPr>
          <w:lang w:val="fr-FR"/>
        </w:rPr>
        <w:t>en promouvoir l</w:t>
      </w:r>
      <w:r>
        <w:rPr>
          <w:lang w:val="fr-FR"/>
        </w:rPr>
        <w:t>’</w:t>
      </w:r>
      <w:r w:rsidRPr="0029223D">
        <w:rPr>
          <w:lang w:val="fr-FR"/>
        </w:rPr>
        <w:t>utilisation</w:t>
      </w:r>
      <w:r>
        <w:rPr>
          <w:lang w:val="fr-FR"/>
        </w:rPr>
        <w:t> </w:t>
      </w:r>
      <w:r w:rsidRPr="0029223D">
        <w:rPr>
          <w:lang w:val="fr-FR"/>
        </w:rPr>
        <w:t>;</w:t>
      </w:r>
    </w:p>
    <w:p w14:paraId="66874186" w14:textId="0DB90E7F" w:rsidR="0029223D" w:rsidRPr="0029223D" w:rsidRDefault="0029223D" w:rsidP="0029223D">
      <w:pPr>
        <w:pStyle w:val="SingleTxtG"/>
        <w:ind w:firstLine="567"/>
        <w:rPr>
          <w:rFonts w:eastAsia="Times"/>
          <w:lang w:val="fr-FR"/>
        </w:rPr>
      </w:pPr>
      <w:r w:rsidRPr="0029223D">
        <w:rPr>
          <w:lang w:val="fr-FR"/>
        </w:rPr>
        <w:t>6.</w:t>
      </w:r>
      <w:r w:rsidRPr="0029223D">
        <w:rPr>
          <w:lang w:val="fr-FR"/>
        </w:rPr>
        <w:tab/>
      </w:r>
      <w:r w:rsidRPr="0029223D">
        <w:rPr>
          <w:i/>
          <w:iCs/>
          <w:lang w:val="fr-FR"/>
        </w:rPr>
        <w:t>Prend note</w:t>
      </w:r>
      <w:r w:rsidRPr="0029223D">
        <w:rPr>
          <w:lang w:val="fr-FR"/>
        </w:rPr>
        <w:t xml:space="preserve"> une nouvelle fois des conclusions formulées précédemment dans le rapport sur le troisième examen de l</w:t>
      </w:r>
      <w:r>
        <w:rPr>
          <w:lang w:val="fr-FR"/>
        </w:rPr>
        <w:t>’</w:t>
      </w:r>
      <w:r w:rsidRPr="0029223D">
        <w:rPr>
          <w:lang w:val="fr-FR"/>
        </w:rPr>
        <w:t>application</w:t>
      </w:r>
      <w:r w:rsidRPr="0029223D">
        <w:rPr>
          <w:rStyle w:val="Appelnotedebasdep"/>
          <w:lang w:val="fr-FR"/>
        </w:rPr>
        <w:footnoteReference w:id="4"/>
      </w:r>
      <w:r w:rsidRPr="0029223D">
        <w:rPr>
          <w:lang w:val="fr-FR"/>
        </w:rPr>
        <w:t>, dont les suivantes restent valables et pourraient devoir être examinés</w:t>
      </w:r>
      <w:r>
        <w:rPr>
          <w:lang w:val="fr-FR"/>
        </w:rPr>
        <w:t> :</w:t>
      </w:r>
    </w:p>
    <w:p w14:paraId="6DE98F6A" w14:textId="63547E2B" w:rsidR="0029223D" w:rsidRPr="0029223D" w:rsidRDefault="0029223D" w:rsidP="0029223D">
      <w:pPr>
        <w:pStyle w:val="SingleTxtG"/>
        <w:ind w:firstLine="567"/>
        <w:rPr>
          <w:rFonts w:eastAsia="Times"/>
          <w:lang w:val="fr-FR"/>
        </w:rPr>
      </w:pPr>
      <w:r w:rsidRPr="0029223D">
        <w:rPr>
          <w:lang w:val="fr-FR"/>
        </w:rPr>
        <w:t>a)</w:t>
      </w:r>
      <w:r w:rsidRPr="0029223D">
        <w:rPr>
          <w:lang w:val="fr-FR"/>
        </w:rPr>
        <w:tab/>
        <w:t>L</w:t>
      </w:r>
      <w:r>
        <w:rPr>
          <w:lang w:val="fr-FR"/>
        </w:rPr>
        <w:t>’</w:t>
      </w:r>
      <w:r w:rsidRPr="0029223D">
        <w:rPr>
          <w:lang w:val="fr-FR"/>
        </w:rPr>
        <w:t>expression «</w:t>
      </w:r>
      <w:r>
        <w:rPr>
          <w:lang w:val="fr-FR"/>
        </w:rPr>
        <w:t> </w:t>
      </w:r>
      <w:r w:rsidRPr="0029223D">
        <w:rPr>
          <w:lang w:val="fr-FR"/>
        </w:rPr>
        <w:t>cadre dans lequel la mise en œuvre pourra être autorisée à l</w:t>
      </w:r>
      <w:r>
        <w:rPr>
          <w:lang w:val="fr-FR"/>
        </w:rPr>
        <w:t>’</w:t>
      </w:r>
      <w:r w:rsidRPr="0029223D">
        <w:rPr>
          <w:lang w:val="fr-FR"/>
        </w:rPr>
        <w:t>avenir</w:t>
      </w:r>
      <w:r>
        <w:rPr>
          <w:lang w:val="fr-FR"/>
        </w:rPr>
        <w:t> </w:t>
      </w:r>
      <w:r w:rsidRPr="0029223D">
        <w:rPr>
          <w:lang w:val="fr-FR"/>
        </w:rPr>
        <w:t>» figurant au paragraphe</w:t>
      </w:r>
      <w:r>
        <w:rPr>
          <w:lang w:val="fr-FR"/>
        </w:rPr>
        <w:t xml:space="preserve"> </w:t>
      </w:r>
      <w:r w:rsidRPr="0029223D">
        <w:rPr>
          <w:lang w:val="fr-FR"/>
        </w:rPr>
        <w:t>2 de l</w:t>
      </w:r>
      <w:r>
        <w:rPr>
          <w:lang w:val="fr-FR"/>
        </w:rPr>
        <w:t xml:space="preserve">’article </w:t>
      </w:r>
      <w:r w:rsidRPr="0029223D">
        <w:rPr>
          <w:lang w:val="fr-FR"/>
        </w:rPr>
        <w:t>4 du Protocole est sujette à diverses interprétations, la majorité des Parties ne la définissant pas expressément dans leur législation nationale</w:t>
      </w:r>
      <w:r>
        <w:rPr>
          <w:lang w:val="fr-FR"/>
        </w:rPr>
        <w:t> </w:t>
      </w:r>
      <w:r w:rsidRPr="0029223D">
        <w:rPr>
          <w:lang w:val="fr-FR"/>
        </w:rPr>
        <w:t>; les Parties ont également du mal à interpréter les dispositions du paragraphe</w:t>
      </w:r>
      <w:r>
        <w:rPr>
          <w:lang w:val="fr-FR"/>
        </w:rPr>
        <w:t xml:space="preserve"> </w:t>
      </w:r>
      <w:r w:rsidRPr="0029223D">
        <w:rPr>
          <w:lang w:val="fr-FR"/>
        </w:rPr>
        <w:t>4 de l</w:t>
      </w:r>
      <w:r>
        <w:rPr>
          <w:lang w:val="fr-FR"/>
        </w:rPr>
        <w:t xml:space="preserve">’article </w:t>
      </w:r>
      <w:r w:rsidRPr="0029223D">
        <w:rPr>
          <w:lang w:val="fr-FR"/>
        </w:rPr>
        <w:t>4, en particulier les notions de «</w:t>
      </w:r>
      <w:r>
        <w:rPr>
          <w:lang w:val="fr-FR"/>
        </w:rPr>
        <w:t> </w:t>
      </w:r>
      <w:r w:rsidRPr="0029223D">
        <w:rPr>
          <w:lang w:val="fr-FR"/>
        </w:rPr>
        <w:t>petites zones au niveau local</w:t>
      </w:r>
      <w:r>
        <w:rPr>
          <w:lang w:val="fr-FR"/>
        </w:rPr>
        <w:t> </w:t>
      </w:r>
      <w:r w:rsidRPr="0029223D">
        <w:rPr>
          <w:lang w:val="fr-FR"/>
        </w:rPr>
        <w:t>» et de «</w:t>
      </w:r>
      <w:r>
        <w:rPr>
          <w:lang w:val="fr-FR"/>
        </w:rPr>
        <w:t> </w:t>
      </w:r>
      <w:r w:rsidRPr="0029223D">
        <w:rPr>
          <w:lang w:val="fr-FR"/>
        </w:rPr>
        <w:t>modifications mineures</w:t>
      </w:r>
      <w:r>
        <w:rPr>
          <w:lang w:val="fr-FR"/>
        </w:rPr>
        <w:t> </w:t>
      </w:r>
      <w:r w:rsidRPr="0029223D">
        <w:rPr>
          <w:lang w:val="fr-FR"/>
        </w:rPr>
        <w:t>»</w:t>
      </w:r>
      <w:r>
        <w:rPr>
          <w:lang w:val="fr-FR"/>
        </w:rPr>
        <w:t> </w:t>
      </w:r>
      <w:r w:rsidRPr="0029223D">
        <w:rPr>
          <w:lang w:val="fr-FR"/>
        </w:rPr>
        <w:t>;</w:t>
      </w:r>
    </w:p>
    <w:p w14:paraId="342FB844" w14:textId="0642E92E" w:rsidR="0029223D" w:rsidRPr="0029223D" w:rsidRDefault="0029223D" w:rsidP="0029223D">
      <w:pPr>
        <w:pStyle w:val="SingleTxtG"/>
        <w:ind w:firstLine="567"/>
        <w:rPr>
          <w:rFonts w:eastAsia="Times"/>
          <w:lang w:val="fr-FR"/>
        </w:rPr>
      </w:pPr>
      <w:r w:rsidRPr="0029223D">
        <w:rPr>
          <w:lang w:val="fr-FR"/>
        </w:rPr>
        <w:t>b)</w:t>
      </w:r>
      <w:r w:rsidRPr="0029223D">
        <w:rPr>
          <w:lang w:val="fr-FR"/>
        </w:rPr>
        <w:tab/>
        <w:t>La législation et les pratiques relatives aux possibilités de participation du public concerné à la vérification préliminaire (conformément au paragraphe</w:t>
      </w:r>
      <w:r w:rsidR="000461A0">
        <w:rPr>
          <w:lang w:val="fr-FR"/>
        </w:rPr>
        <w:t xml:space="preserve"> </w:t>
      </w:r>
      <w:r w:rsidRPr="0029223D">
        <w:rPr>
          <w:lang w:val="fr-FR"/>
        </w:rPr>
        <w:t>3 de l</w:t>
      </w:r>
      <w:r>
        <w:rPr>
          <w:lang w:val="fr-FR"/>
        </w:rPr>
        <w:t xml:space="preserve">’article </w:t>
      </w:r>
      <w:r w:rsidRPr="0029223D">
        <w:rPr>
          <w:lang w:val="fr-FR"/>
        </w:rPr>
        <w:t>5 du Protocole) et à la délimitation du champ de l</w:t>
      </w:r>
      <w:r>
        <w:rPr>
          <w:lang w:val="fr-FR"/>
        </w:rPr>
        <w:t>’</w:t>
      </w:r>
      <w:r w:rsidRPr="0029223D">
        <w:rPr>
          <w:lang w:val="fr-FR"/>
        </w:rPr>
        <w:t>évaluation (par. 3 de l</w:t>
      </w:r>
      <w:r>
        <w:rPr>
          <w:lang w:val="fr-FR"/>
        </w:rPr>
        <w:t xml:space="preserve">’article </w:t>
      </w:r>
      <w:r w:rsidRPr="0029223D">
        <w:rPr>
          <w:lang w:val="fr-FR"/>
        </w:rPr>
        <w:t>6) restent très variables selon les Parties</w:t>
      </w:r>
      <w:r>
        <w:rPr>
          <w:lang w:val="fr-FR"/>
        </w:rPr>
        <w:t> </w:t>
      </w:r>
      <w:r w:rsidRPr="0029223D">
        <w:rPr>
          <w:lang w:val="fr-FR"/>
        </w:rPr>
        <w:t>;</w:t>
      </w:r>
    </w:p>
    <w:p w14:paraId="25BCCBC4" w14:textId="2E7027C6" w:rsidR="0029223D" w:rsidRPr="0029223D" w:rsidRDefault="0029223D" w:rsidP="0029223D">
      <w:pPr>
        <w:pStyle w:val="SingleTxtG"/>
        <w:ind w:firstLine="567"/>
        <w:rPr>
          <w:lang w:val="fr-FR"/>
        </w:rPr>
      </w:pPr>
      <w:bookmarkStart w:id="2" w:name="_Hlk17104193"/>
      <w:r w:rsidRPr="0029223D">
        <w:rPr>
          <w:lang w:val="fr-FR"/>
        </w:rPr>
        <w:t>c)</w:t>
      </w:r>
      <w:r w:rsidRPr="0029223D">
        <w:rPr>
          <w:lang w:val="fr-FR"/>
        </w:rPr>
        <w:tab/>
        <w:t>Certaines consultations sont rendues compliquées par les pratiques divergentes des Parties en matière de traduction des documents au cours des consultations transfrontières, s</w:t>
      </w:r>
      <w:r>
        <w:rPr>
          <w:lang w:val="fr-FR"/>
        </w:rPr>
        <w:t>’</w:t>
      </w:r>
      <w:r w:rsidRPr="0029223D">
        <w:rPr>
          <w:lang w:val="fr-FR"/>
        </w:rPr>
        <w:t xml:space="preserve">agissant en particulier de la qualité de la traduction, du temps et des ressources nécessaires </w:t>
      </w:r>
      <w:r w:rsidRPr="0029223D">
        <w:rPr>
          <w:lang w:val="fr-FR"/>
        </w:rPr>
        <w:lastRenderedPageBreak/>
        <w:t>et de la prise en compte des délais de traduction dans les calendriers à prévoir pour les consultations et la participation du public</w:t>
      </w:r>
      <w:r>
        <w:rPr>
          <w:lang w:val="fr-FR"/>
        </w:rPr>
        <w:t> </w:t>
      </w:r>
      <w:r w:rsidRPr="0029223D">
        <w:rPr>
          <w:lang w:val="fr-FR"/>
        </w:rPr>
        <w:t>;</w:t>
      </w:r>
    </w:p>
    <w:bookmarkEnd w:id="2"/>
    <w:p w14:paraId="56E1E77B" w14:textId="0837F1A4" w:rsidR="0029223D" w:rsidRPr="0029223D" w:rsidRDefault="0029223D" w:rsidP="0029223D">
      <w:pPr>
        <w:pStyle w:val="SingleTxtG"/>
        <w:ind w:firstLine="567"/>
        <w:rPr>
          <w:lang w:val="fr-FR"/>
        </w:rPr>
      </w:pPr>
      <w:r w:rsidRPr="0029223D">
        <w:rPr>
          <w:lang w:val="fr-FR"/>
        </w:rPr>
        <w:t>d)</w:t>
      </w:r>
      <w:r w:rsidRPr="0029223D">
        <w:rPr>
          <w:lang w:val="fr-FR"/>
        </w:rPr>
        <w:tab/>
        <w:t>Il pourrait être utile de conclure de nouveaux accords bilatéraux ou de mettre en place d</w:t>
      </w:r>
      <w:r>
        <w:rPr>
          <w:lang w:val="fr-FR"/>
        </w:rPr>
        <w:t>’</w:t>
      </w:r>
      <w:r w:rsidRPr="0029223D">
        <w:rPr>
          <w:lang w:val="fr-FR"/>
        </w:rPr>
        <w:t>autres dispositions permettant de faciliter les consultations transfrontières entre les Parties, notamment afin de renforcer l</w:t>
      </w:r>
      <w:r>
        <w:rPr>
          <w:lang w:val="fr-FR"/>
        </w:rPr>
        <w:t>’</w:t>
      </w:r>
      <w:r w:rsidRPr="0029223D">
        <w:rPr>
          <w:lang w:val="fr-FR"/>
        </w:rPr>
        <w:t>efficacité des pratiques des Parties en matière de mise en œuvre et de remédier aux différences de pratiques, en particulier en ce qui concerne les aspects linguistiques, les délais, la participation du public, l</w:t>
      </w:r>
      <w:r>
        <w:rPr>
          <w:lang w:val="fr-FR"/>
        </w:rPr>
        <w:t>’</w:t>
      </w:r>
      <w:r w:rsidRPr="0029223D">
        <w:rPr>
          <w:lang w:val="fr-FR"/>
        </w:rPr>
        <w:t>interprétation de diverses expressions et l</w:t>
      </w:r>
      <w:r>
        <w:rPr>
          <w:lang w:val="fr-FR"/>
        </w:rPr>
        <w:t>’</w:t>
      </w:r>
      <w:r w:rsidRPr="0029223D">
        <w:rPr>
          <w:lang w:val="fr-FR"/>
        </w:rPr>
        <w:t>organisation des consultations transfrontières</w:t>
      </w:r>
      <w:r>
        <w:rPr>
          <w:lang w:val="fr-FR"/>
        </w:rPr>
        <w:t> </w:t>
      </w:r>
      <w:r w:rsidRPr="0029223D">
        <w:rPr>
          <w:lang w:val="fr-FR"/>
        </w:rPr>
        <w:t>;</w:t>
      </w:r>
    </w:p>
    <w:p w14:paraId="337A4C40" w14:textId="2836609A" w:rsidR="0029223D" w:rsidRPr="0029223D" w:rsidRDefault="0029223D" w:rsidP="0029223D">
      <w:pPr>
        <w:pStyle w:val="SingleTxtG"/>
        <w:ind w:firstLine="567"/>
        <w:rPr>
          <w:lang w:val="fr-FR"/>
        </w:rPr>
      </w:pPr>
      <w:r w:rsidRPr="0029223D">
        <w:rPr>
          <w:lang w:val="fr-FR"/>
        </w:rPr>
        <w:t>e)</w:t>
      </w:r>
      <w:r w:rsidRPr="0029223D">
        <w:rPr>
          <w:lang w:val="fr-FR"/>
        </w:rPr>
        <w:tab/>
        <w:t>Garantir la qualité des rapports environnementaux est l</w:t>
      </w:r>
      <w:r>
        <w:rPr>
          <w:lang w:val="fr-FR"/>
        </w:rPr>
        <w:t>’</w:t>
      </w:r>
      <w:r w:rsidRPr="0029223D">
        <w:rPr>
          <w:lang w:val="fr-FR"/>
        </w:rPr>
        <w:t>une des mesures qui pourraient faire progresser l</w:t>
      </w:r>
      <w:r>
        <w:rPr>
          <w:lang w:val="fr-FR"/>
        </w:rPr>
        <w:t>’</w:t>
      </w:r>
      <w:r w:rsidRPr="0029223D">
        <w:rPr>
          <w:lang w:val="fr-FR"/>
        </w:rPr>
        <w:t>application du Protocole. Il pourrait être recommandé de promouvoir l</w:t>
      </w:r>
      <w:r>
        <w:rPr>
          <w:lang w:val="fr-FR"/>
        </w:rPr>
        <w:t>’</w:t>
      </w:r>
      <w:r w:rsidRPr="0029223D">
        <w:rPr>
          <w:lang w:val="fr-FR"/>
        </w:rPr>
        <w:t>utilisation de méthodes de contrôle de la qualité. Les Parties sont également désireuses d</w:t>
      </w:r>
      <w:r>
        <w:rPr>
          <w:lang w:val="fr-FR"/>
        </w:rPr>
        <w:t>’</w:t>
      </w:r>
      <w:r w:rsidRPr="0029223D">
        <w:rPr>
          <w:lang w:val="fr-FR"/>
        </w:rPr>
        <w:t>obtenir des explications appropriées sur la manière dont les observations reçues conformément aux articles</w:t>
      </w:r>
      <w:r w:rsidR="000461A0">
        <w:rPr>
          <w:lang w:val="fr-FR"/>
        </w:rPr>
        <w:t xml:space="preserve"> </w:t>
      </w:r>
      <w:r w:rsidRPr="0029223D">
        <w:rPr>
          <w:lang w:val="fr-FR"/>
        </w:rPr>
        <w:t>8 à 10 sont prises en compte</w:t>
      </w:r>
      <w:r>
        <w:rPr>
          <w:lang w:val="fr-FR"/>
        </w:rPr>
        <w:t> </w:t>
      </w:r>
      <w:r w:rsidRPr="0029223D">
        <w:rPr>
          <w:lang w:val="fr-FR"/>
        </w:rPr>
        <w:t>;</w:t>
      </w:r>
    </w:p>
    <w:p w14:paraId="75CC02AC" w14:textId="0600AF14" w:rsidR="0029223D" w:rsidRPr="0029223D" w:rsidRDefault="0029223D" w:rsidP="0029223D">
      <w:pPr>
        <w:pStyle w:val="SingleTxtG"/>
        <w:ind w:firstLine="567"/>
        <w:rPr>
          <w:lang w:val="fr-FR"/>
        </w:rPr>
      </w:pPr>
      <w:r w:rsidRPr="0029223D">
        <w:rPr>
          <w:lang w:val="fr-FR"/>
        </w:rPr>
        <w:t>f)</w:t>
      </w:r>
      <w:r w:rsidRPr="0029223D">
        <w:rPr>
          <w:lang w:val="fr-FR"/>
        </w:rPr>
        <w:tab/>
        <w:t>L</w:t>
      </w:r>
      <w:r>
        <w:rPr>
          <w:lang w:val="fr-FR"/>
        </w:rPr>
        <w:t>’</w:t>
      </w:r>
      <w:r w:rsidRPr="0029223D">
        <w:rPr>
          <w:lang w:val="fr-FR"/>
        </w:rPr>
        <w:t>application de pratiques de suivi différentes dans la mise en œuvre de l</w:t>
      </w:r>
      <w:r>
        <w:rPr>
          <w:lang w:val="fr-FR"/>
        </w:rPr>
        <w:t xml:space="preserve">’article </w:t>
      </w:r>
      <w:r w:rsidRPr="0029223D">
        <w:rPr>
          <w:lang w:val="fr-FR"/>
        </w:rPr>
        <w:t>12 du Protocole engendre des difficultés quant à la portée du suivi, à sa durée, aux mesures de suivi et à l</w:t>
      </w:r>
      <w:r>
        <w:rPr>
          <w:lang w:val="fr-FR"/>
        </w:rPr>
        <w:t>’</w:t>
      </w:r>
      <w:r w:rsidRPr="0029223D">
        <w:rPr>
          <w:lang w:val="fr-FR"/>
        </w:rPr>
        <w:t>utilisation d</w:t>
      </w:r>
      <w:r>
        <w:rPr>
          <w:lang w:val="fr-FR"/>
        </w:rPr>
        <w:t>’</w:t>
      </w:r>
      <w:r w:rsidRPr="0029223D">
        <w:rPr>
          <w:lang w:val="fr-FR"/>
        </w:rPr>
        <w:t>indicateurs</w:t>
      </w:r>
      <w:r>
        <w:rPr>
          <w:lang w:val="fr-FR"/>
        </w:rPr>
        <w:t> </w:t>
      </w:r>
      <w:r w:rsidRPr="0029223D">
        <w:rPr>
          <w:lang w:val="fr-FR"/>
        </w:rPr>
        <w:t>;</w:t>
      </w:r>
    </w:p>
    <w:p w14:paraId="2E8F6F01" w14:textId="3E477ADF" w:rsidR="0029223D" w:rsidRPr="0029223D" w:rsidRDefault="0029223D" w:rsidP="0029223D">
      <w:pPr>
        <w:pStyle w:val="SingleTxtG"/>
        <w:ind w:firstLine="567"/>
        <w:rPr>
          <w:rFonts w:eastAsia="Calibri"/>
          <w:lang w:val="fr-FR"/>
        </w:rPr>
      </w:pPr>
      <w:r w:rsidRPr="0029223D">
        <w:rPr>
          <w:lang w:val="fr-FR"/>
        </w:rPr>
        <w:t>7.</w:t>
      </w:r>
      <w:r w:rsidRPr="0029223D">
        <w:rPr>
          <w:lang w:val="fr-FR"/>
        </w:rPr>
        <w:tab/>
      </w:r>
      <w:r w:rsidRPr="0029223D">
        <w:rPr>
          <w:i/>
          <w:iCs/>
          <w:lang w:val="fr-FR"/>
        </w:rPr>
        <w:t>Demande</w:t>
      </w:r>
      <w:r w:rsidRPr="0029223D">
        <w:rPr>
          <w:lang w:val="fr-FR"/>
        </w:rPr>
        <w:t xml:space="preserve"> au secrétariat de porter à l</w:t>
      </w:r>
      <w:r>
        <w:rPr>
          <w:lang w:val="fr-FR"/>
        </w:rPr>
        <w:t>’</w:t>
      </w:r>
      <w:r w:rsidRPr="0029223D">
        <w:rPr>
          <w:lang w:val="fr-FR"/>
        </w:rPr>
        <w:t>attention du Comité d</w:t>
      </w:r>
      <w:r>
        <w:rPr>
          <w:lang w:val="fr-FR"/>
        </w:rPr>
        <w:t>’</w:t>
      </w:r>
      <w:r w:rsidRPr="0029223D">
        <w:rPr>
          <w:lang w:val="fr-FR"/>
        </w:rPr>
        <w:t>application les questions d</w:t>
      </w:r>
      <w:r>
        <w:rPr>
          <w:lang w:val="fr-FR"/>
        </w:rPr>
        <w:t>’</w:t>
      </w:r>
      <w:r w:rsidRPr="0029223D">
        <w:rPr>
          <w:lang w:val="fr-FR"/>
        </w:rPr>
        <w:t>ordre général et les questions précises ayant trait au respect des dispositions qui ont été relevées lors du quatrième examen de l</w:t>
      </w:r>
      <w:r>
        <w:rPr>
          <w:lang w:val="fr-FR"/>
        </w:rPr>
        <w:t>’</w:t>
      </w:r>
      <w:r w:rsidRPr="0029223D">
        <w:rPr>
          <w:lang w:val="fr-FR"/>
        </w:rPr>
        <w:t>application du Protocole, et demande au Comité d</w:t>
      </w:r>
      <w:r>
        <w:rPr>
          <w:lang w:val="fr-FR"/>
        </w:rPr>
        <w:t>’</w:t>
      </w:r>
      <w:r w:rsidRPr="0029223D">
        <w:rPr>
          <w:lang w:val="fr-FR"/>
        </w:rPr>
        <w:t>en tenir compte dans ses travaux</w:t>
      </w:r>
      <w:r>
        <w:rPr>
          <w:lang w:val="fr-FR"/>
        </w:rPr>
        <w:t> </w:t>
      </w:r>
      <w:r w:rsidRPr="0029223D">
        <w:rPr>
          <w:lang w:val="fr-FR"/>
        </w:rPr>
        <w:t>;</w:t>
      </w:r>
    </w:p>
    <w:p w14:paraId="4FA25034" w14:textId="1F543F1B" w:rsidR="0029223D" w:rsidRPr="0029223D" w:rsidRDefault="0029223D" w:rsidP="0029223D">
      <w:pPr>
        <w:pStyle w:val="SingleTxtG"/>
        <w:ind w:firstLine="567"/>
        <w:rPr>
          <w:lang w:val="fr-FR"/>
        </w:rPr>
      </w:pPr>
      <w:r w:rsidRPr="0029223D">
        <w:rPr>
          <w:lang w:val="fr-FR"/>
        </w:rPr>
        <w:t>8.</w:t>
      </w:r>
      <w:r w:rsidRPr="0029223D">
        <w:rPr>
          <w:lang w:val="fr-FR"/>
        </w:rPr>
        <w:tab/>
      </w:r>
      <w:r w:rsidRPr="0029223D">
        <w:rPr>
          <w:i/>
          <w:iCs/>
          <w:lang w:val="fr-FR"/>
        </w:rPr>
        <w:t>Demande</w:t>
      </w:r>
      <w:r w:rsidRPr="0029223D">
        <w:rPr>
          <w:lang w:val="fr-FR"/>
        </w:rPr>
        <w:t xml:space="preserve"> au Comité d</w:t>
      </w:r>
      <w:r>
        <w:rPr>
          <w:lang w:val="fr-FR"/>
        </w:rPr>
        <w:t>’</w:t>
      </w:r>
      <w:r w:rsidRPr="0029223D">
        <w:rPr>
          <w:lang w:val="fr-FR"/>
        </w:rPr>
        <w:t>application d</w:t>
      </w:r>
      <w:r>
        <w:rPr>
          <w:lang w:val="fr-FR"/>
        </w:rPr>
        <w:t>’</w:t>
      </w:r>
      <w:r w:rsidRPr="0029223D">
        <w:rPr>
          <w:lang w:val="fr-FR"/>
        </w:rPr>
        <w:t>adapter le questionnaire, si nécessaire, en vue du prochain cycle de présentation de rapports sur l</w:t>
      </w:r>
      <w:r>
        <w:rPr>
          <w:lang w:val="fr-FR"/>
        </w:rPr>
        <w:t>’</w:t>
      </w:r>
      <w:r w:rsidRPr="0029223D">
        <w:rPr>
          <w:lang w:val="fr-FR"/>
        </w:rPr>
        <w:t>application du Protocole par les Parties au cours de la période</w:t>
      </w:r>
      <w:r w:rsidR="000461A0">
        <w:rPr>
          <w:lang w:val="fr-FR"/>
        </w:rPr>
        <w:t xml:space="preserve"> </w:t>
      </w:r>
      <w:r w:rsidRPr="0029223D">
        <w:rPr>
          <w:lang w:val="fr-FR"/>
        </w:rPr>
        <w:t>2022-2024, en tenant compte des améliorations qu</w:t>
      </w:r>
      <w:r>
        <w:rPr>
          <w:lang w:val="fr-FR"/>
        </w:rPr>
        <w:t>’</w:t>
      </w:r>
      <w:r w:rsidRPr="0029223D">
        <w:rPr>
          <w:lang w:val="fr-FR"/>
        </w:rPr>
        <w:t>il est proposé d</w:t>
      </w:r>
      <w:r>
        <w:rPr>
          <w:lang w:val="fr-FR"/>
        </w:rPr>
        <w:t>’</w:t>
      </w:r>
      <w:r w:rsidRPr="0029223D">
        <w:rPr>
          <w:lang w:val="fr-FR"/>
        </w:rPr>
        <w:t>y apporter et, si nécessaire, d</w:t>
      </w:r>
      <w:r>
        <w:rPr>
          <w:lang w:val="fr-FR"/>
        </w:rPr>
        <w:t>’</w:t>
      </w:r>
      <w:r w:rsidRPr="0029223D">
        <w:rPr>
          <w:lang w:val="fr-FR"/>
        </w:rPr>
        <w:t>en soumettre une version modifiée pour examen par le Groupe de travail de l</w:t>
      </w:r>
      <w:r>
        <w:rPr>
          <w:lang w:val="fr-FR"/>
        </w:rPr>
        <w:t>’</w:t>
      </w:r>
      <w:r w:rsidRPr="0029223D">
        <w:rPr>
          <w:lang w:val="fr-FR"/>
        </w:rPr>
        <w:t>évaluation de l</w:t>
      </w:r>
      <w:r>
        <w:rPr>
          <w:lang w:val="fr-FR"/>
        </w:rPr>
        <w:t>’</w:t>
      </w:r>
      <w:r w:rsidRPr="0029223D">
        <w:rPr>
          <w:lang w:val="fr-FR"/>
        </w:rPr>
        <w:t>impact sur l</w:t>
      </w:r>
      <w:r>
        <w:rPr>
          <w:lang w:val="fr-FR"/>
        </w:rPr>
        <w:t>’</w:t>
      </w:r>
      <w:r w:rsidRPr="0029223D">
        <w:rPr>
          <w:lang w:val="fr-FR"/>
        </w:rPr>
        <w:t>environnement et de l</w:t>
      </w:r>
      <w:r>
        <w:rPr>
          <w:lang w:val="fr-FR"/>
        </w:rPr>
        <w:t>’</w:t>
      </w:r>
      <w:r w:rsidRPr="0029223D">
        <w:rPr>
          <w:lang w:val="fr-FR"/>
        </w:rPr>
        <w:t>évaluation stratégique environnementale, puis diffusion par le secrétariat</w:t>
      </w:r>
      <w:r>
        <w:rPr>
          <w:lang w:val="fr-FR"/>
        </w:rPr>
        <w:t> </w:t>
      </w:r>
      <w:r w:rsidRPr="0029223D">
        <w:rPr>
          <w:lang w:val="fr-FR"/>
        </w:rPr>
        <w:t>;</w:t>
      </w:r>
    </w:p>
    <w:p w14:paraId="20EBC8BD" w14:textId="205A4ACD" w:rsidR="0029223D" w:rsidRPr="0029223D" w:rsidRDefault="0029223D" w:rsidP="0029223D">
      <w:pPr>
        <w:pStyle w:val="SingleTxtG"/>
        <w:ind w:firstLine="567"/>
        <w:rPr>
          <w:lang w:val="fr-FR"/>
        </w:rPr>
      </w:pPr>
      <w:bookmarkStart w:id="3" w:name="_Hlk32336393"/>
      <w:r w:rsidRPr="0029223D">
        <w:rPr>
          <w:lang w:val="fr-FR"/>
        </w:rPr>
        <w:t>9.</w:t>
      </w:r>
      <w:r w:rsidRPr="0029223D">
        <w:rPr>
          <w:lang w:val="fr-FR"/>
        </w:rPr>
        <w:tab/>
      </w:r>
      <w:r w:rsidRPr="0029223D">
        <w:rPr>
          <w:i/>
          <w:iCs/>
          <w:lang w:val="fr-FR"/>
        </w:rPr>
        <w:t>Prend note</w:t>
      </w:r>
      <w:r w:rsidRPr="0029223D">
        <w:rPr>
          <w:lang w:val="fr-FR"/>
        </w:rPr>
        <w:t xml:space="preserve"> du modèle de rapport élaboré au cours de la période 2021-2023 par le Comité d</w:t>
      </w:r>
      <w:r>
        <w:rPr>
          <w:lang w:val="fr-FR"/>
        </w:rPr>
        <w:t>’</w:t>
      </w:r>
      <w:r w:rsidRPr="0029223D">
        <w:rPr>
          <w:lang w:val="fr-FR"/>
        </w:rPr>
        <w:t>application, en consultation avec la Commission européenne, pour faciliter l</w:t>
      </w:r>
      <w:r>
        <w:rPr>
          <w:lang w:val="fr-FR"/>
        </w:rPr>
        <w:t>’</w:t>
      </w:r>
      <w:r w:rsidRPr="0029223D">
        <w:rPr>
          <w:lang w:val="fr-FR"/>
        </w:rPr>
        <w:t>établissement des rapports que l</w:t>
      </w:r>
      <w:r>
        <w:rPr>
          <w:lang w:val="fr-FR"/>
        </w:rPr>
        <w:t>’</w:t>
      </w:r>
      <w:r w:rsidRPr="0029223D">
        <w:rPr>
          <w:lang w:val="fr-FR"/>
        </w:rPr>
        <w:t>Union européenne doit soumettre au titre du Protocole</w:t>
      </w:r>
      <w:r>
        <w:rPr>
          <w:lang w:val="fr-FR"/>
        </w:rPr>
        <w:t> </w:t>
      </w:r>
      <w:r w:rsidRPr="0029223D">
        <w:rPr>
          <w:lang w:val="fr-FR"/>
        </w:rPr>
        <w:t>;</w:t>
      </w:r>
      <w:bookmarkStart w:id="4" w:name="_Hlk126239509"/>
      <w:bookmarkEnd w:id="3"/>
      <w:bookmarkEnd w:id="4"/>
    </w:p>
    <w:p w14:paraId="1080B914" w14:textId="36350399" w:rsidR="0029223D" w:rsidRPr="0029223D" w:rsidRDefault="0029223D" w:rsidP="0029223D">
      <w:pPr>
        <w:pStyle w:val="SingleTxtG"/>
        <w:ind w:firstLine="567"/>
        <w:rPr>
          <w:rFonts w:eastAsia="Calibri"/>
          <w:lang w:val="fr-FR"/>
        </w:rPr>
      </w:pPr>
      <w:r w:rsidRPr="0029223D">
        <w:rPr>
          <w:lang w:val="fr-FR"/>
        </w:rPr>
        <w:t>10.</w:t>
      </w:r>
      <w:r w:rsidRPr="0029223D">
        <w:rPr>
          <w:lang w:val="fr-FR"/>
        </w:rPr>
        <w:tab/>
      </w:r>
      <w:r w:rsidRPr="0029223D">
        <w:rPr>
          <w:i/>
          <w:iCs/>
          <w:lang w:val="fr-FR"/>
        </w:rPr>
        <w:t>Prie</w:t>
      </w:r>
      <w:r w:rsidRPr="0029223D">
        <w:rPr>
          <w:lang w:val="fr-FR"/>
        </w:rPr>
        <w:t xml:space="preserve"> les Parties au Protocole de remplir le questionnaire, et l</w:t>
      </w:r>
      <w:r>
        <w:rPr>
          <w:lang w:val="fr-FR"/>
        </w:rPr>
        <w:t>’</w:t>
      </w:r>
      <w:r w:rsidRPr="0029223D">
        <w:rPr>
          <w:lang w:val="fr-FR"/>
        </w:rPr>
        <w:t>Union européenne son modèle de rapport, ces documents devant tenir lieu de rapports sur l</w:t>
      </w:r>
      <w:r>
        <w:rPr>
          <w:lang w:val="fr-FR"/>
        </w:rPr>
        <w:t>’</w:t>
      </w:r>
      <w:r w:rsidRPr="0029223D">
        <w:rPr>
          <w:lang w:val="fr-FR"/>
        </w:rPr>
        <w:t>application du Protocole au cours de la période</w:t>
      </w:r>
      <w:r w:rsidR="000461A0">
        <w:rPr>
          <w:lang w:val="fr-FR"/>
        </w:rPr>
        <w:t xml:space="preserve"> </w:t>
      </w:r>
      <w:r w:rsidRPr="0029223D">
        <w:rPr>
          <w:lang w:val="fr-FR"/>
        </w:rPr>
        <w:t>2022-2024, compte tenu de l</w:t>
      </w:r>
      <w:r>
        <w:rPr>
          <w:lang w:val="fr-FR"/>
        </w:rPr>
        <w:t>’</w:t>
      </w:r>
      <w:r w:rsidRPr="0029223D">
        <w:rPr>
          <w:lang w:val="fr-FR"/>
        </w:rPr>
        <w:t>obligation de faire rapport qui découle du paragraphe</w:t>
      </w:r>
      <w:r w:rsidR="000461A0">
        <w:rPr>
          <w:lang w:val="fr-FR"/>
        </w:rPr>
        <w:t xml:space="preserve"> </w:t>
      </w:r>
      <w:r w:rsidRPr="0029223D">
        <w:rPr>
          <w:lang w:val="fr-FR"/>
        </w:rPr>
        <w:t>7 de l</w:t>
      </w:r>
      <w:r>
        <w:rPr>
          <w:lang w:val="fr-FR"/>
        </w:rPr>
        <w:t xml:space="preserve">’article </w:t>
      </w:r>
      <w:r w:rsidRPr="0029223D">
        <w:rPr>
          <w:lang w:val="fr-FR"/>
        </w:rPr>
        <w:t>14 et du paragraphe 4 de l</w:t>
      </w:r>
      <w:r>
        <w:rPr>
          <w:lang w:val="fr-FR"/>
        </w:rPr>
        <w:t xml:space="preserve">’article </w:t>
      </w:r>
      <w:r w:rsidRPr="0029223D">
        <w:rPr>
          <w:lang w:val="fr-FR"/>
        </w:rPr>
        <w:t>13 du Protocole</w:t>
      </w:r>
      <w:r>
        <w:rPr>
          <w:lang w:val="fr-FR"/>
        </w:rPr>
        <w:t> </w:t>
      </w:r>
      <w:r w:rsidRPr="0029223D">
        <w:rPr>
          <w:lang w:val="fr-FR"/>
        </w:rPr>
        <w:t>;</w:t>
      </w:r>
    </w:p>
    <w:p w14:paraId="3548F382" w14:textId="7354067A" w:rsidR="0029223D" w:rsidRPr="0029223D" w:rsidRDefault="0029223D" w:rsidP="0029223D">
      <w:pPr>
        <w:pStyle w:val="SingleTxtG"/>
        <w:ind w:firstLine="567"/>
        <w:rPr>
          <w:rFonts w:eastAsia="Calibri"/>
          <w:lang w:val="fr-FR"/>
        </w:rPr>
      </w:pPr>
      <w:r w:rsidRPr="0029223D">
        <w:rPr>
          <w:lang w:val="fr-FR"/>
        </w:rPr>
        <w:t>11.</w:t>
      </w:r>
      <w:r w:rsidRPr="0029223D">
        <w:rPr>
          <w:lang w:val="fr-FR"/>
        </w:rPr>
        <w:tab/>
      </w:r>
      <w:r w:rsidRPr="0029223D">
        <w:rPr>
          <w:i/>
          <w:iCs/>
          <w:lang w:val="fr-FR"/>
        </w:rPr>
        <w:t>Engage vivement</w:t>
      </w:r>
      <w:r w:rsidRPr="0029223D">
        <w:rPr>
          <w:lang w:val="fr-FR"/>
        </w:rPr>
        <w:t xml:space="preserve"> les Parties à soumettre leur rapport [avant la date limite qui sera arrêtée par le Groupe de travail] [d</w:t>
      </w:r>
      <w:r>
        <w:rPr>
          <w:lang w:val="fr-FR"/>
        </w:rPr>
        <w:t>’</w:t>
      </w:r>
      <w:r w:rsidRPr="0029223D">
        <w:rPr>
          <w:lang w:val="fr-FR"/>
        </w:rPr>
        <w:t>ici à la fin avril 2024]</w:t>
      </w:r>
      <w:r>
        <w:rPr>
          <w:lang w:val="fr-FR"/>
        </w:rPr>
        <w:t> </w:t>
      </w:r>
      <w:r w:rsidRPr="0029223D">
        <w:rPr>
          <w:lang w:val="fr-FR"/>
        </w:rPr>
        <w:t>;</w:t>
      </w:r>
    </w:p>
    <w:p w14:paraId="4AB28164" w14:textId="51C3B353" w:rsidR="0029223D" w:rsidRPr="0029223D" w:rsidRDefault="0029223D" w:rsidP="0029223D">
      <w:pPr>
        <w:pStyle w:val="SingleTxtG"/>
        <w:ind w:firstLine="567"/>
        <w:rPr>
          <w:rFonts w:eastAsia="Calibri"/>
          <w:lang w:val="fr-FR"/>
        </w:rPr>
      </w:pPr>
      <w:r w:rsidRPr="0029223D">
        <w:rPr>
          <w:lang w:val="fr-FR"/>
        </w:rPr>
        <w:t>12.</w:t>
      </w:r>
      <w:r w:rsidRPr="0029223D">
        <w:rPr>
          <w:lang w:val="fr-FR"/>
        </w:rPr>
        <w:tab/>
      </w:r>
      <w:r w:rsidRPr="0029223D">
        <w:rPr>
          <w:i/>
          <w:iCs/>
          <w:lang w:val="fr-FR"/>
        </w:rPr>
        <w:t xml:space="preserve">Invite </w:t>
      </w:r>
      <w:r w:rsidRPr="0029223D">
        <w:rPr>
          <w:lang w:val="fr-FR"/>
        </w:rPr>
        <w:t>les Parties à donner des exemples de bonnes pratiques concernant l</w:t>
      </w:r>
      <w:r>
        <w:rPr>
          <w:lang w:val="fr-FR"/>
        </w:rPr>
        <w:t>’</w:t>
      </w:r>
      <w:r w:rsidRPr="0029223D">
        <w:rPr>
          <w:lang w:val="fr-FR"/>
        </w:rPr>
        <w:t>application du Protocole et des éléments attestant l</w:t>
      </w:r>
      <w:r>
        <w:rPr>
          <w:lang w:val="fr-FR"/>
        </w:rPr>
        <w:t>’</w:t>
      </w:r>
      <w:r w:rsidRPr="0029223D">
        <w:rPr>
          <w:lang w:val="fr-FR"/>
        </w:rPr>
        <w:t>efficacité de ces pratiques</w:t>
      </w:r>
      <w:r>
        <w:rPr>
          <w:lang w:val="fr-FR"/>
        </w:rPr>
        <w:t> </w:t>
      </w:r>
      <w:r w:rsidRPr="0029223D">
        <w:rPr>
          <w:lang w:val="fr-FR"/>
        </w:rPr>
        <w:t>;</w:t>
      </w:r>
    </w:p>
    <w:p w14:paraId="3D1AB7E3" w14:textId="6EEA333C" w:rsidR="0029223D" w:rsidRPr="0029223D" w:rsidRDefault="0029223D" w:rsidP="0029223D">
      <w:pPr>
        <w:pStyle w:val="SingleTxtG"/>
        <w:ind w:firstLine="567"/>
        <w:rPr>
          <w:rFonts w:eastAsia="Calibri"/>
          <w:lang w:val="fr-FR"/>
        </w:rPr>
      </w:pPr>
      <w:r w:rsidRPr="0029223D">
        <w:rPr>
          <w:lang w:val="fr-FR"/>
        </w:rPr>
        <w:t>13.</w:t>
      </w:r>
      <w:r w:rsidRPr="0029223D">
        <w:rPr>
          <w:lang w:val="fr-FR"/>
        </w:rPr>
        <w:tab/>
      </w:r>
      <w:r w:rsidRPr="0029223D">
        <w:rPr>
          <w:i/>
          <w:iCs/>
          <w:lang w:val="fr-FR"/>
        </w:rPr>
        <w:t xml:space="preserve">Demande </w:t>
      </w:r>
      <w:r w:rsidRPr="0029223D">
        <w:rPr>
          <w:lang w:val="fr-FR"/>
        </w:rPr>
        <w:t>au secrétariat d</w:t>
      </w:r>
      <w:r>
        <w:rPr>
          <w:lang w:val="fr-FR"/>
        </w:rPr>
        <w:t>’</w:t>
      </w:r>
      <w:r w:rsidRPr="0029223D">
        <w:rPr>
          <w:lang w:val="fr-FR"/>
        </w:rPr>
        <w:t>afficher les rapports nationaux sur le site Web du Protocole dans les langues dans lesquelles ils sont disponibles</w:t>
      </w:r>
      <w:r>
        <w:rPr>
          <w:lang w:val="fr-FR"/>
        </w:rPr>
        <w:t> </w:t>
      </w:r>
      <w:r w:rsidRPr="0029223D">
        <w:rPr>
          <w:lang w:val="fr-FR"/>
        </w:rPr>
        <w:t>;</w:t>
      </w:r>
    </w:p>
    <w:p w14:paraId="450D6225" w14:textId="6BF84A61" w:rsidR="0029223D" w:rsidRPr="0029223D" w:rsidRDefault="0029223D" w:rsidP="0029223D">
      <w:pPr>
        <w:pStyle w:val="SingleTxtG"/>
        <w:ind w:firstLine="567"/>
        <w:rPr>
          <w:rFonts w:eastAsia="Calibri"/>
          <w:lang w:val="fr-FR"/>
        </w:rPr>
      </w:pPr>
      <w:r w:rsidRPr="0029223D">
        <w:rPr>
          <w:lang w:val="fr-FR"/>
        </w:rPr>
        <w:t>14.</w:t>
      </w:r>
      <w:r w:rsidRPr="0029223D">
        <w:rPr>
          <w:lang w:val="fr-FR"/>
        </w:rPr>
        <w:tab/>
      </w:r>
      <w:r w:rsidRPr="0029223D">
        <w:rPr>
          <w:i/>
          <w:iCs/>
          <w:lang w:val="fr-FR"/>
        </w:rPr>
        <w:t xml:space="preserve">Demande également </w:t>
      </w:r>
      <w:r w:rsidRPr="0029223D">
        <w:rPr>
          <w:lang w:val="fr-FR"/>
        </w:rPr>
        <w:t>au secrétariat d</w:t>
      </w:r>
      <w:r>
        <w:rPr>
          <w:lang w:val="fr-FR"/>
        </w:rPr>
        <w:t>’</w:t>
      </w:r>
      <w:r w:rsidRPr="0029223D">
        <w:rPr>
          <w:lang w:val="fr-FR"/>
        </w:rPr>
        <w:t>afficher sur le site Web du Protocole les listes de cas d</w:t>
      </w:r>
      <w:r>
        <w:rPr>
          <w:lang w:val="fr-FR"/>
        </w:rPr>
        <w:t>’</w:t>
      </w:r>
      <w:r w:rsidRPr="0029223D">
        <w:rPr>
          <w:lang w:val="fr-FR"/>
        </w:rPr>
        <w:t>évaluation stratégique environnementale nationale et transfrontière figurant dans les réponses au questionnaire, à moins que les États n</w:t>
      </w:r>
      <w:r>
        <w:rPr>
          <w:lang w:val="fr-FR"/>
        </w:rPr>
        <w:t>’</w:t>
      </w:r>
      <w:r w:rsidRPr="0029223D">
        <w:rPr>
          <w:lang w:val="fr-FR"/>
        </w:rPr>
        <w:t>y fassent objection</w:t>
      </w:r>
      <w:r>
        <w:rPr>
          <w:lang w:val="fr-FR"/>
        </w:rPr>
        <w:t> </w:t>
      </w:r>
      <w:r w:rsidRPr="0029223D">
        <w:rPr>
          <w:lang w:val="fr-FR"/>
        </w:rPr>
        <w:t>;</w:t>
      </w:r>
    </w:p>
    <w:p w14:paraId="2D7B07C0" w14:textId="35F86CDB" w:rsidR="0029223D" w:rsidRPr="0029223D" w:rsidRDefault="0029223D" w:rsidP="0029223D">
      <w:pPr>
        <w:pStyle w:val="SingleTxtG"/>
        <w:ind w:firstLine="567"/>
        <w:rPr>
          <w:rFonts w:eastAsia="Calibri"/>
          <w:lang w:val="fr-FR"/>
        </w:rPr>
      </w:pPr>
      <w:r w:rsidRPr="0029223D">
        <w:rPr>
          <w:lang w:val="fr-FR"/>
        </w:rPr>
        <w:t>15.</w:t>
      </w:r>
      <w:r w:rsidRPr="0029223D">
        <w:rPr>
          <w:lang w:val="fr-FR"/>
        </w:rPr>
        <w:tab/>
      </w:r>
      <w:r w:rsidRPr="0029223D">
        <w:rPr>
          <w:i/>
          <w:iCs/>
          <w:lang w:val="fr-FR"/>
        </w:rPr>
        <w:t>Décide</w:t>
      </w:r>
      <w:r w:rsidRPr="0029223D">
        <w:rPr>
          <w:lang w:val="fr-FR"/>
        </w:rPr>
        <w:t xml:space="preserve"> qu</w:t>
      </w:r>
      <w:r>
        <w:rPr>
          <w:lang w:val="fr-FR"/>
        </w:rPr>
        <w:t>’</w:t>
      </w:r>
      <w:r w:rsidRPr="0029223D">
        <w:rPr>
          <w:lang w:val="fr-FR"/>
        </w:rPr>
        <w:t>un projet de cinquième examen de l</w:t>
      </w:r>
      <w:r>
        <w:rPr>
          <w:lang w:val="fr-FR"/>
        </w:rPr>
        <w:t>’</w:t>
      </w:r>
      <w:r w:rsidRPr="0029223D">
        <w:rPr>
          <w:lang w:val="fr-FR"/>
        </w:rPr>
        <w:t>application du Protocole au cours de la période</w:t>
      </w:r>
      <w:r w:rsidR="000461A0">
        <w:rPr>
          <w:lang w:val="fr-FR"/>
        </w:rPr>
        <w:t xml:space="preserve"> </w:t>
      </w:r>
      <w:r w:rsidRPr="0029223D">
        <w:rPr>
          <w:lang w:val="fr-FR"/>
        </w:rPr>
        <w:t>2022-2024, établi sur la base des rapports soumis par les Parties, sera présenté à la sixième session de la Réunion des Parties au Protocole, et que le plan de travail tiendra compte des éléments nécessaires pour établir ce projet d</w:t>
      </w:r>
      <w:r>
        <w:rPr>
          <w:lang w:val="fr-FR"/>
        </w:rPr>
        <w:t>’</w:t>
      </w:r>
      <w:r w:rsidRPr="0029223D">
        <w:rPr>
          <w:lang w:val="fr-FR"/>
        </w:rPr>
        <w:t>examen</w:t>
      </w:r>
      <w:r>
        <w:rPr>
          <w:lang w:val="fr-FR"/>
        </w:rPr>
        <w:t> </w:t>
      </w:r>
      <w:r w:rsidRPr="0029223D">
        <w:rPr>
          <w:lang w:val="fr-FR"/>
        </w:rPr>
        <w:t>;</w:t>
      </w:r>
    </w:p>
    <w:p w14:paraId="63E51036" w14:textId="3A12AB00" w:rsidR="0029223D" w:rsidRPr="0029223D" w:rsidRDefault="0029223D" w:rsidP="0029223D">
      <w:pPr>
        <w:pStyle w:val="SingleTxtG"/>
        <w:ind w:firstLine="567"/>
        <w:rPr>
          <w:u w:val="single"/>
          <w:lang w:val="fr-FR"/>
        </w:rPr>
      </w:pPr>
      <w:r w:rsidRPr="0029223D">
        <w:rPr>
          <w:lang w:val="fr-FR"/>
        </w:rPr>
        <w:t>16.</w:t>
      </w:r>
      <w:r w:rsidRPr="0029223D">
        <w:rPr>
          <w:lang w:val="fr-FR"/>
        </w:rPr>
        <w:tab/>
      </w:r>
      <w:r w:rsidRPr="0029223D">
        <w:rPr>
          <w:i/>
          <w:iCs/>
          <w:lang w:val="fr-FR"/>
        </w:rPr>
        <w:t>Demande</w:t>
      </w:r>
      <w:r w:rsidRPr="0029223D">
        <w:rPr>
          <w:lang w:val="fr-FR"/>
        </w:rPr>
        <w:t xml:space="preserve"> au secrétariat de prévoir la publication du rapport sur le cinquième examen de l</w:t>
      </w:r>
      <w:r>
        <w:rPr>
          <w:lang w:val="fr-FR"/>
        </w:rPr>
        <w:t>’</w:t>
      </w:r>
      <w:r w:rsidRPr="0029223D">
        <w:rPr>
          <w:lang w:val="fr-FR"/>
        </w:rPr>
        <w:t>application du Protocole, quand il aura été adopté, sous forme électronique et dans les trois langues officielles de la CEE.</w:t>
      </w:r>
    </w:p>
    <w:p w14:paraId="65ABE20C" w14:textId="77777777" w:rsidR="0029223D" w:rsidRPr="0029223D" w:rsidRDefault="0029223D" w:rsidP="0029223D">
      <w:pPr>
        <w:rPr>
          <w:lang w:val="fr-FR"/>
        </w:rPr>
      </w:pPr>
      <w:r w:rsidRPr="0029223D">
        <w:rPr>
          <w:lang w:val="fr-FR"/>
        </w:rPr>
        <w:br w:type="page"/>
      </w:r>
    </w:p>
    <w:p w14:paraId="0E0BDEEC" w14:textId="77777777" w:rsidR="0029223D" w:rsidRPr="0029223D" w:rsidRDefault="0029223D" w:rsidP="0029223D">
      <w:pPr>
        <w:pStyle w:val="HChG"/>
        <w:rPr>
          <w:lang w:val="fr-FR"/>
        </w:rPr>
      </w:pPr>
      <w:bookmarkStart w:id="5" w:name="_Hlk130570720"/>
      <w:r w:rsidRPr="0029223D">
        <w:rPr>
          <w:lang w:val="fr-FR"/>
        </w:rPr>
        <w:lastRenderedPageBreak/>
        <w:tab/>
      </w:r>
      <w:r w:rsidRPr="0029223D">
        <w:rPr>
          <w:lang w:val="fr-FR"/>
        </w:rPr>
        <w:tab/>
      </w:r>
      <w:r w:rsidRPr="0029223D">
        <w:rPr>
          <w:bCs/>
          <w:lang w:val="fr-FR"/>
        </w:rPr>
        <w:t>Projet de décision V/6</w:t>
      </w:r>
    </w:p>
    <w:p w14:paraId="7873C12C" w14:textId="4A2C41DA" w:rsidR="0029223D" w:rsidRPr="0029223D" w:rsidRDefault="0029223D" w:rsidP="0029223D">
      <w:pPr>
        <w:pStyle w:val="H1G"/>
        <w:rPr>
          <w:lang w:val="fr-FR"/>
        </w:rPr>
      </w:pPr>
      <w:r w:rsidRPr="0029223D">
        <w:rPr>
          <w:lang w:val="fr-FR"/>
        </w:rPr>
        <w:tab/>
      </w:r>
      <w:r w:rsidRPr="0029223D">
        <w:rPr>
          <w:lang w:val="fr-FR"/>
        </w:rPr>
        <w:tab/>
      </w:r>
      <w:r w:rsidRPr="0029223D">
        <w:rPr>
          <w:bCs/>
          <w:lang w:val="fr-FR"/>
        </w:rPr>
        <w:t>Évaluation des impacts sur la santé dans le cadre de l</w:t>
      </w:r>
      <w:r>
        <w:rPr>
          <w:bCs/>
          <w:lang w:val="fr-FR"/>
        </w:rPr>
        <w:t>’</w:t>
      </w:r>
      <w:r w:rsidRPr="0029223D">
        <w:rPr>
          <w:bCs/>
          <w:lang w:val="fr-FR"/>
        </w:rPr>
        <w:t>évaluation stratégique environnementale</w:t>
      </w:r>
    </w:p>
    <w:p w14:paraId="0BC6B318" w14:textId="77777777" w:rsidR="0029223D" w:rsidRPr="0029223D" w:rsidRDefault="0029223D" w:rsidP="0029223D">
      <w:pPr>
        <w:pStyle w:val="SingleTxtG"/>
        <w:ind w:firstLine="567"/>
        <w:rPr>
          <w:i/>
          <w:iCs/>
          <w:lang w:val="fr-FR"/>
        </w:rPr>
      </w:pPr>
      <w:r w:rsidRPr="0029223D">
        <w:rPr>
          <w:i/>
          <w:iCs/>
          <w:lang w:val="fr-FR"/>
        </w:rPr>
        <w:t>La Réunion des Parties au Protocole</w:t>
      </w:r>
      <w:r w:rsidRPr="000461A0">
        <w:rPr>
          <w:lang w:val="fr-FR"/>
        </w:rPr>
        <w:t>,</w:t>
      </w:r>
    </w:p>
    <w:p w14:paraId="60D147CE" w14:textId="10A807A9" w:rsidR="0029223D" w:rsidRPr="0029223D" w:rsidRDefault="0029223D" w:rsidP="0029223D">
      <w:pPr>
        <w:pStyle w:val="SingleTxtG"/>
        <w:ind w:firstLine="567"/>
        <w:rPr>
          <w:lang w:val="fr-FR"/>
        </w:rPr>
      </w:pPr>
      <w:r w:rsidRPr="0029223D">
        <w:rPr>
          <w:i/>
          <w:iCs/>
          <w:lang w:val="fr-FR"/>
        </w:rPr>
        <w:t>Rappelant</w:t>
      </w:r>
      <w:r w:rsidRPr="0029223D">
        <w:rPr>
          <w:lang w:val="fr-FR"/>
        </w:rPr>
        <w:t xml:space="preserve"> le préambule du Protocole</w:t>
      </w:r>
      <w:r w:rsidRPr="0029223D">
        <w:rPr>
          <w:rStyle w:val="Appelnotedebasdep"/>
          <w:lang w:val="fr-FR"/>
        </w:rPr>
        <w:footnoteReference w:id="5"/>
      </w:r>
      <w:r w:rsidRPr="0029223D">
        <w:rPr>
          <w:lang w:val="fr-FR"/>
        </w:rPr>
        <w:t>, dans lequel les Parties se disent conscientes des avantages qui en découleront pour la santé et le bien-être des générations actuelles et futures si la nécessité de protéger et d</w:t>
      </w:r>
      <w:r>
        <w:rPr>
          <w:lang w:val="fr-FR"/>
        </w:rPr>
        <w:t>’</w:t>
      </w:r>
      <w:r w:rsidRPr="0029223D">
        <w:rPr>
          <w:lang w:val="fr-FR"/>
        </w:rPr>
        <w:t>améliorer la santé des personnes est prise en compte en tant que partie intégrante de l</w:t>
      </w:r>
      <w:r>
        <w:rPr>
          <w:lang w:val="fr-FR"/>
        </w:rPr>
        <w:t>’</w:t>
      </w:r>
      <w:r w:rsidRPr="0029223D">
        <w:rPr>
          <w:lang w:val="fr-FR"/>
        </w:rPr>
        <w:t>évaluation stratégique environnementale,</w:t>
      </w:r>
    </w:p>
    <w:bookmarkEnd w:id="5"/>
    <w:p w14:paraId="57BC8A7E" w14:textId="54F4CBB0" w:rsidR="0029223D" w:rsidRPr="0029223D" w:rsidRDefault="0029223D" w:rsidP="0029223D">
      <w:pPr>
        <w:pStyle w:val="SingleTxtG"/>
        <w:ind w:firstLine="567"/>
        <w:rPr>
          <w:lang w:val="fr-FR"/>
        </w:rPr>
      </w:pPr>
      <w:r w:rsidRPr="0029223D">
        <w:rPr>
          <w:i/>
          <w:iCs/>
          <w:lang w:val="fr-FR"/>
        </w:rPr>
        <w:t>Rappelant également</w:t>
      </w:r>
      <w:r w:rsidRPr="0029223D">
        <w:rPr>
          <w:lang w:val="fr-FR"/>
        </w:rPr>
        <w:t xml:space="preserve"> la publication intitulée </w:t>
      </w:r>
      <w:r w:rsidRPr="000461A0">
        <w:rPr>
          <w:i/>
          <w:iCs/>
          <w:lang w:val="en-GB"/>
        </w:rPr>
        <w:t>Resource Manual to Support Application of the UNECE Protocol on Strategic Environmental Assessment</w:t>
      </w:r>
      <w:r w:rsidRPr="0029223D">
        <w:rPr>
          <w:lang w:val="fr-FR"/>
        </w:rPr>
        <w:t xml:space="preserve"> (manuel pratique destiné à appuyer l</w:t>
      </w:r>
      <w:r>
        <w:rPr>
          <w:lang w:val="fr-FR"/>
        </w:rPr>
        <w:t>’</w:t>
      </w:r>
      <w:r w:rsidRPr="0029223D">
        <w:rPr>
          <w:lang w:val="fr-FR"/>
        </w:rPr>
        <w:t>application du Protocole relatif à l</w:t>
      </w:r>
      <w:r>
        <w:rPr>
          <w:lang w:val="fr-FR"/>
        </w:rPr>
        <w:t>’</w:t>
      </w:r>
      <w:r w:rsidRPr="0029223D">
        <w:rPr>
          <w:lang w:val="fr-FR"/>
        </w:rPr>
        <w:t>évaluation stratégique environnementale)</w:t>
      </w:r>
      <w:r w:rsidRPr="0029223D">
        <w:rPr>
          <w:rStyle w:val="Appelnotedebasdep"/>
          <w:lang w:val="fr-FR"/>
        </w:rPr>
        <w:footnoteReference w:id="6"/>
      </w:r>
      <w:r w:rsidRPr="0029223D">
        <w:rPr>
          <w:lang w:val="fr-FR"/>
        </w:rPr>
        <w:t>, et en particulier son annexe A1.1 sur la santé, élaborée en collaboration avec l</w:t>
      </w:r>
      <w:r>
        <w:rPr>
          <w:lang w:val="fr-FR"/>
        </w:rPr>
        <w:t>’</w:t>
      </w:r>
      <w:r w:rsidRPr="0029223D">
        <w:rPr>
          <w:lang w:val="fr-FR"/>
        </w:rPr>
        <w:t>Organisation mondiale de la Santé,</w:t>
      </w:r>
    </w:p>
    <w:p w14:paraId="7719E9BF" w14:textId="7FD9325A" w:rsidR="0029223D" w:rsidRPr="004D09A2" w:rsidRDefault="0029223D" w:rsidP="0029223D">
      <w:pPr>
        <w:pStyle w:val="SingleTxtG"/>
        <w:ind w:firstLine="567"/>
        <w:rPr>
          <w:spacing w:val="-1"/>
          <w:lang w:val="fr-FR"/>
        </w:rPr>
      </w:pPr>
      <w:r w:rsidRPr="004D09A2">
        <w:rPr>
          <w:i/>
          <w:iCs/>
          <w:spacing w:val="-1"/>
          <w:lang w:val="fr-FR"/>
        </w:rPr>
        <w:t xml:space="preserve">Rappelant en outre </w:t>
      </w:r>
      <w:r w:rsidRPr="004D09A2">
        <w:rPr>
          <w:spacing w:val="-1"/>
          <w:lang w:val="fr-FR"/>
        </w:rPr>
        <w:t>le point IV.1 de l</w:t>
      </w:r>
      <w:r w:rsidRPr="004D09A2">
        <w:rPr>
          <w:spacing w:val="-1"/>
          <w:lang w:val="fr-FR"/>
        </w:rPr>
        <w:t>’</w:t>
      </w:r>
      <w:r w:rsidRPr="004D09A2">
        <w:rPr>
          <w:spacing w:val="-1"/>
          <w:lang w:val="fr-FR"/>
        </w:rPr>
        <w:t>annexe II de</w:t>
      </w:r>
      <w:r w:rsidRPr="004D09A2">
        <w:rPr>
          <w:i/>
          <w:iCs/>
          <w:spacing w:val="-1"/>
          <w:lang w:val="fr-FR"/>
        </w:rPr>
        <w:t xml:space="preserve"> </w:t>
      </w:r>
      <w:r w:rsidRPr="004D09A2">
        <w:rPr>
          <w:spacing w:val="-1"/>
          <w:lang w:val="fr-FR"/>
        </w:rPr>
        <w:t>sa décision</w:t>
      </w:r>
      <w:r w:rsidR="000461A0" w:rsidRPr="004D09A2">
        <w:rPr>
          <w:spacing w:val="-1"/>
          <w:lang w:val="fr-FR"/>
        </w:rPr>
        <w:t xml:space="preserve"> </w:t>
      </w:r>
      <w:r w:rsidRPr="004D09A2">
        <w:rPr>
          <w:spacing w:val="-1"/>
          <w:lang w:val="fr-FR"/>
        </w:rPr>
        <w:t>VII/3-III/3 sur l</w:t>
      </w:r>
      <w:r w:rsidRPr="004D09A2">
        <w:rPr>
          <w:spacing w:val="-1"/>
          <w:lang w:val="fr-FR"/>
        </w:rPr>
        <w:t>’</w:t>
      </w:r>
      <w:r w:rsidRPr="004D09A2">
        <w:rPr>
          <w:spacing w:val="-1"/>
          <w:lang w:val="fr-FR"/>
        </w:rPr>
        <w:t>adoption du plan de travail pour l</w:t>
      </w:r>
      <w:r w:rsidRPr="004D09A2">
        <w:rPr>
          <w:spacing w:val="-1"/>
          <w:lang w:val="fr-FR"/>
        </w:rPr>
        <w:t>’</w:t>
      </w:r>
      <w:r w:rsidRPr="004D09A2">
        <w:rPr>
          <w:spacing w:val="-1"/>
          <w:lang w:val="fr-FR"/>
        </w:rPr>
        <w:t>application de la Convention et de son Protocole au cours de la période</w:t>
      </w:r>
      <w:r w:rsidR="000461A0" w:rsidRPr="004D09A2">
        <w:rPr>
          <w:spacing w:val="-1"/>
          <w:lang w:val="fr-FR"/>
        </w:rPr>
        <w:t xml:space="preserve"> </w:t>
      </w:r>
      <w:r w:rsidRPr="004D09A2">
        <w:rPr>
          <w:spacing w:val="-1"/>
          <w:lang w:val="fr-FR"/>
        </w:rPr>
        <w:t>2017-2020</w:t>
      </w:r>
      <w:r w:rsidRPr="004D09A2">
        <w:rPr>
          <w:rStyle w:val="Appelnotedebasdep"/>
          <w:spacing w:val="-1"/>
          <w:lang w:val="fr-FR"/>
        </w:rPr>
        <w:footnoteReference w:id="7"/>
      </w:r>
      <w:r w:rsidRPr="004D09A2">
        <w:rPr>
          <w:spacing w:val="-1"/>
          <w:lang w:val="fr-FR"/>
        </w:rPr>
        <w:t>, qui prévoit l</w:t>
      </w:r>
      <w:r w:rsidRPr="004D09A2">
        <w:rPr>
          <w:spacing w:val="-1"/>
          <w:lang w:val="fr-FR"/>
        </w:rPr>
        <w:t>’</w:t>
      </w:r>
      <w:r w:rsidRPr="004D09A2">
        <w:rPr>
          <w:spacing w:val="-1"/>
          <w:lang w:val="fr-FR"/>
        </w:rPr>
        <w:t>élaboration de lignes directrices sur l</w:t>
      </w:r>
      <w:r w:rsidRPr="004D09A2">
        <w:rPr>
          <w:spacing w:val="-1"/>
          <w:lang w:val="fr-FR"/>
        </w:rPr>
        <w:t>’</w:t>
      </w:r>
      <w:r w:rsidRPr="004D09A2">
        <w:rPr>
          <w:spacing w:val="-1"/>
          <w:lang w:val="fr-FR"/>
        </w:rPr>
        <w:t>évaluation des impacts sur la santé des plans et des programmes et sur la participation des autorités</w:t>
      </w:r>
      <w:r w:rsidR="004D09A2">
        <w:rPr>
          <w:spacing w:val="-1"/>
          <w:lang w:val="fr-FR"/>
        </w:rPr>
        <w:t xml:space="preserve"> </w:t>
      </w:r>
      <w:r w:rsidRPr="004D09A2">
        <w:rPr>
          <w:spacing w:val="-1"/>
          <w:lang w:val="fr-FR"/>
        </w:rPr>
        <w:t>sanitaires,</w:t>
      </w:r>
    </w:p>
    <w:p w14:paraId="38294CC2" w14:textId="431CAED9" w:rsidR="0029223D" w:rsidRPr="0029223D" w:rsidRDefault="0029223D" w:rsidP="0029223D">
      <w:pPr>
        <w:pStyle w:val="SingleTxtG"/>
        <w:ind w:firstLine="567"/>
        <w:rPr>
          <w:lang w:val="fr-FR"/>
        </w:rPr>
      </w:pPr>
      <w:r w:rsidRPr="0029223D">
        <w:rPr>
          <w:i/>
          <w:iCs/>
          <w:lang w:val="fr-FR"/>
        </w:rPr>
        <w:t>Rappelant</w:t>
      </w:r>
      <w:r w:rsidRPr="0029223D">
        <w:rPr>
          <w:lang w:val="fr-FR"/>
        </w:rPr>
        <w:t xml:space="preserve"> qu</w:t>
      </w:r>
      <w:r>
        <w:rPr>
          <w:lang w:val="fr-FR"/>
        </w:rPr>
        <w:t>’</w:t>
      </w:r>
      <w:r w:rsidRPr="0029223D">
        <w:rPr>
          <w:lang w:val="fr-FR"/>
        </w:rPr>
        <w:t>elle s</w:t>
      </w:r>
      <w:r>
        <w:rPr>
          <w:lang w:val="fr-FR"/>
        </w:rPr>
        <w:t>’</w:t>
      </w:r>
      <w:r w:rsidRPr="0029223D">
        <w:rPr>
          <w:lang w:val="fr-FR"/>
        </w:rPr>
        <w:t>est engagée à établir sous leur forme définitive et à adopter officiellement les lignes directrices au cours de la période intersessions 2021-2023, sous réserve de la disponibilité de ressources suffisantes</w:t>
      </w:r>
      <w:r w:rsidRPr="0029223D">
        <w:rPr>
          <w:rStyle w:val="Appelnotedebasdep"/>
          <w:lang w:val="fr-FR"/>
        </w:rPr>
        <w:footnoteReference w:id="8"/>
      </w:r>
      <w:r w:rsidRPr="0029223D">
        <w:rPr>
          <w:lang w:val="fr-FR"/>
        </w:rPr>
        <w:t>,</w:t>
      </w:r>
    </w:p>
    <w:p w14:paraId="2372786F" w14:textId="686CA1BE" w:rsidR="0029223D" w:rsidRPr="0029223D" w:rsidRDefault="0029223D" w:rsidP="0029223D">
      <w:pPr>
        <w:pStyle w:val="SingleTxtG"/>
        <w:ind w:firstLine="567"/>
        <w:rPr>
          <w:iCs/>
          <w:lang w:val="fr-FR"/>
        </w:rPr>
      </w:pPr>
      <w:r w:rsidRPr="0029223D">
        <w:rPr>
          <w:i/>
          <w:iCs/>
          <w:lang w:val="fr-FR"/>
        </w:rPr>
        <w:t>Soulignant</w:t>
      </w:r>
      <w:r w:rsidRPr="0029223D">
        <w:rPr>
          <w:lang w:val="fr-FR"/>
        </w:rPr>
        <w:t xml:space="preserve"> combien il est important de consulter tant les autorités sanitaires que les autorités environnementales pour faire en sorte que les considérations environnementales et sanitaires soient prises en compte dans l</w:t>
      </w:r>
      <w:r>
        <w:rPr>
          <w:lang w:val="fr-FR"/>
        </w:rPr>
        <w:t>’</w:t>
      </w:r>
      <w:r w:rsidRPr="0029223D">
        <w:rPr>
          <w:lang w:val="fr-FR"/>
        </w:rPr>
        <w:t>élaboration de plans et de programmes et, selon qu</w:t>
      </w:r>
      <w:r>
        <w:rPr>
          <w:lang w:val="fr-FR"/>
        </w:rPr>
        <w:t>’</w:t>
      </w:r>
      <w:r w:rsidRPr="0029223D">
        <w:rPr>
          <w:lang w:val="fr-FR"/>
        </w:rPr>
        <w:t>il convient, des politiques et des textes de loi,</w:t>
      </w:r>
    </w:p>
    <w:p w14:paraId="7982F883" w14:textId="68ECABB2" w:rsidR="0029223D" w:rsidRPr="0029223D" w:rsidRDefault="0029223D" w:rsidP="0029223D">
      <w:pPr>
        <w:pStyle w:val="SingleTxtG"/>
        <w:ind w:firstLine="567"/>
        <w:rPr>
          <w:lang w:val="fr-FR"/>
        </w:rPr>
      </w:pPr>
      <w:r w:rsidRPr="0029223D">
        <w:rPr>
          <w:i/>
          <w:iCs/>
          <w:lang w:val="fr-FR"/>
        </w:rPr>
        <w:t>Désireuse</w:t>
      </w:r>
      <w:r w:rsidRPr="0029223D">
        <w:rPr>
          <w:lang w:val="fr-FR"/>
        </w:rPr>
        <w:t xml:space="preserve"> d</w:t>
      </w:r>
      <w:r>
        <w:rPr>
          <w:lang w:val="fr-FR"/>
        </w:rPr>
        <w:t>’</w:t>
      </w:r>
      <w:r w:rsidRPr="0029223D">
        <w:rPr>
          <w:lang w:val="fr-FR"/>
        </w:rPr>
        <w:t>aider les Parties à s</w:t>
      </w:r>
      <w:r>
        <w:rPr>
          <w:lang w:val="fr-FR"/>
        </w:rPr>
        <w:t>’</w:t>
      </w:r>
      <w:r w:rsidRPr="0029223D">
        <w:rPr>
          <w:lang w:val="fr-FR"/>
        </w:rPr>
        <w:t>acquitter des obligations qui leur incombent au titre du Protocole et de promouvoir l</w:t>
      </w:r>
      <w:r>
        <w:rPr>
          <w:lang w:val="fr-FR"/>
        </w:rPr>
        <w:t>’</w:t>
      </w:r>
      <w:r w:rsidRPr="0029223D">
        <w:rPr>
          <w:lang w:val="fr-FR"/>
        </w:rPr>
        <w:t>application effective de celui-ci,</w:t>
      </w:r>
    </w:p>
    <w:p w14:paraId="3084B0A7" w14:textId="7DA3B6E9" w:rsidR="0029223D" w:rsidRPr="0029223D" w:rsidRDefault="0029223D" w:rsidP="0029223D">
      <w:pPr>
        <w:pStyle w:val="SingleTxtG"/>
        <w:ind w:firstLine="567"/>
        <w:rPr>
          <w:iCs/>
          <w:lang w:val="fr-FR"/>
        </w:rPr>
      </w:pPr>
      <w:r w:rsidRPr="0029223D">
        <w:rPr>
          <w:i/>
          <w:iCs/>
          <w:lang w:val="fr-FR"/>
        </w:rPr>
        <w:t>Désireuse également</w:t>
      </w:r>
      <w:r w:rsidRPr="0029223D">
        <w:rPr>
          <w:lang w:val="fr-FR"/>
        </w:rPr>
        <w:t xml:space="preserve"> d</w:t>
      </w:r>
      <w:r>
        <w:rPr>
          <w:lang w:val="fr-FR"/>
        </w:rPr>
        <w:t>’</w:t>
      </w:r>
      <w:r w:rsidRPr="0029223D">
        <w:rPr>
          <w:lang w:val="fr-FR"/>
        </w:rPr>
        <w:t>aider les futures Parties à mettre leur législation et leurs pratiques en matière d</w:t>
      </w:r>
      <w:r>
        <w:rPr>
          <w:lang w:val="fr-FR"/>
        </w:rPr>
        <w:t>’</w:t>
      </w:r>
      <w:r w:rsidRPr="0029223D">
        <w:rPr>
          <w:lang w:val="fr-FR"/>
        </w:rPr>
        <w:t>évaluation stratégique environnementale en conformité avec le Protocole, notamment en ce qui concerne l</w:t>
      </w:r>
      <w:r>
        <w:rPr>
          <w:lang w:val="fr-FR"/>
        </w:rPr>
        <w:t>’</w:t>
      </w:r>
      <w:r w:rsidRPr="0029223D">
        <w:rPr>
          <w:lang w:val="fr-FR"/>
        </w:rPr>
        <w:t>évaluation des impacts sur la santé et la participation des autorités sanitaires,</w:t>
      </w:r>
    </w:p>
    <w:p w14:paraId="6D79C245" w14:textId="593A7697" w:rsidR="0029223D" w:rsidRPr="0029223D" w:rsidRDefault="0029223D" w:rsidP="0029223D">
      <w:pPr>
        <w:pStyle w:val="SingleTxtG"/>
        <w:ind w:firstLine="567"/>
        <w:rPr>
          <w:lang w:val="fr-FR"/>
        </w:rPr>
      </w:pPr>
      <w:r w:rsidRPr="0029223D">
        <w:rPr>
          <w:lang w:val="fr-FR"/>
        </w:rPr>
        <w:t>1.</w:t>
      </w:r>
      <w:r w:rsidRPr="0029223D">
        <w:rPr>
          <w:lang w:val="fr-FR"/>
        </w:rPr>
        <w:tab/>
      </w:r>
      <w:r w:rsidRPr="0029223D">
        <w:rPr>
          <w:i/>
          <w:iCs/>
          <w:lang w:val="fr-FR"/>
        </w:rPr>
        <w:t xml:space="preserve">Accueille avec intérêt </w:t>
      </w:r>
      <w:r w:rsidRPr="0029223D">
        <w:rPr>
          <w:lang w:val="fr-FR"/>
        </w:rPr>
        <w:t>le projet de lignes directrices élaboré au cours de la période</w:t>
      </w:r>
      <w:r w:rsidR="000461A0">
        <w:rPr>
          <w:lang w:val="fr-FR"/>
        </w:rPr>
        <w:t xml:space="preserve"> </w:t>
      </w:r>
      <w:r w:rsidRPr="0029223D">
        <w:rPr>
          <w:lang w:val="fr-FR"/>
        </w:rPr>
        <w:t>2019-2020 par deux consultants, grâce au financement de la Banque européenne d</w:t>
      </w:r>
      <w:r>
        <w:rPr>
          <w:lang w:val="fr-FR"/>
        </w:rPr>
        <w:t>’</w:t>
      </w:r>
      <w:r w:rsidRPr="0029223D">
        <w:rPr>
          <w:lang w:val="fr-FR"/>
        </w:rPr>
        <w:t>investissement, en concertation avec le secrétariat, l</w:t>
      </w:r>
      <w:r>
        <w:rPr>
          <w:lang w:val="fr-FR"/>
        </w:rPr>
        <w:t>’</w:t>
      </w:r>
      <w:r w:rsidRPr="0029223D">
        <w:rPr>
          <w:lang w:val="fr-FR"/>
        </w:rPr>
        <w:t>Organisation mondiale de la Santé et une équipe spéciale composée de représentants de l</w:t>
      </w:r>
      <w:r>
        <w:rPr>
          <w:lang w:val="fr-FR"/>
        </w:rPr>
        <w:t>’</w:t>
      </w:r>
      <w:r w:rsidRPr="0029223D">
        <w:rPr>
          <w:lang w:val="fr-FR"/>
        </w:rPr>
        <w:t>Autriche, de la Finlande, de l</w:t>
      </w:r>
      <w:r>
        <w:rPr>
          <w:lang w:val="fr-FR"/>
        </w:rPr>
        <w:t>’</w:t>
      </w:r>
      <w:r w:rsidRPr="0029223D">
        <w:rPr>
          <w:lang w:val="fr-FR"/>
        </w:rPr>
        <w:t>Irlande et de la Slovénie</w:t>
      </w:r>
      <w:r>
        <w:rPr>
          <w:lang w:val="fr-FR"/>
        </w:rPr>
        <w:t> </w:t>
      </w:r>
      <w:r w:rsidRPr="0029223D">
        <w:rPr>
          <w:lang w:val="fr-FR"/>
        </w:rPr>
        <w:t>;</w:t>
      </w:r>
    </w:p>
    <w:p w14:paraId="731EB578" w14:textId="7D735319" w:rsidR="0029223D" w:rsidRPr="0029223D" w:rsidRDefault="0029223D" w:rsidP="0029223D">
      <w:pPr>
        <w:pStyle w:val="SingleTxtG"/>
        <w:ind w:firstLine="567"/>
        <w:rPr>
          <w:lang w:val="fr-FR"/>
        </w:rPr>
      </w:pPr>
      <w:r w:rsidRPr="0029223D">
        <w:rPr>
          <w:lang w:val="fr-FR"/>
        </w:rPr>
        <w:t>2.</w:t>
      </w:r>
      <w:r w:rsidRPr="0029223D">
        <w:rPr>
          <w:lang w:val="fr-FR"/>
        </w:rPr>
        <w:tab/>
      </w:r>
      <w:r w:rsidRPr="0029223D">
        <w:rPr>
          <w:i/>
          <w:iCs/>
          <w:lang w:val="fr-FR"/>
        </w:rPr>
        <w:t>Salue</w:t>
      </w:r>
      <w:r w:rsidRPr="0029223D">
        <w:rPr>
          <w:lang w:val="fr-FR"/>
        </w:rPr>
        <w:t xml:space="preserve"> les efforts déployés au cours de la période</w:t>
      </w:r>
      <w:r w:rsidR="000461A0">
        <w:rPr>
          <w:lang w:val="fr-FR"/>
        </w:rPr>
        <w:t xml:space="preserve"> </w:t>
      </w:r>
      <w:r w:rsidRPr="0029223D">
        <w:rPr>
          <w:lang w:val="fr-FR"/>
        </w:rPr>
        <w:t>2022-2023 par le Président et les membres volontaires du Bureau, ainsi que par l</w:t>
      </w:r>
      <w:r>
        <w:rPr>
          <w:lang w:val="fr-FR"/>
        </w:rPr>
        <w:t>’</w:t>
      </w:r>
      <w:r w:rsidRPr="0029223D">
        <w:rPr>
          <w:lang w:val="fr-FR"/>
        </w:rPr>
        <w:t>Union européenne et ses États membres, afin de poursuivre l</w:t>
      </w:r>
      <w:r>
        <w:rPr>
          <w:lang w:val="fr-FR"/>
        </w:rPr>
        <w:t>’</w:t>
      </w:r>
      <w:r w:rsidRPr="0029223D">
        <w:rPr>
          <w:lang w:val="fr-FR"/>
        </w:rPr>
        <w:t>élaboration du projet de lignes directrices</w:t>
      </w:r>
      <w:r>
        <w:rPr>
          <w:lang w:val="fr-FR"/>
        </w:rPr>
        <w:t> </w:t>
      </w:r>
      <w:r w:rsidRPr="0029223D">
        <w:rPr>
          <w:lang w:val="fr-FR"/>
        </w:rPr>
        <w:t>;</w:t>
      </w:r>
    </w:p>
    <w:p w14:paraId="7C24A5B7" w14:textId="67A700F3" w:rsidR="0029223D" w:rsidRPr="0029223D" w:rsidRDefault="0029223D" w:rsidP="0029223D">
      <w:pPr>
        <w:pStyle w:val="SingleTxtG"/>
        <w:ind w:firstLine="567"/>
        <w:rPr>
          <w:lang w:val="fr-FR"/>
        </w:rPr>
      </w:pPr>
      <w:r w:rsidRPr="0029223D">
        <w:rPr>
          <w:lang w:val="fr-FR"/>
        </w:rPr>
        <w:t>3.</w:t>
      </w:r>
      <w:r w:rsidRPr="0029223D">
        <w:rPr>
          <w:lang w:val="fr-FR"/>
        </w:rPr>
        <w:tab/>
      </w:r>
      <w:r w:rsidRPr="0029223D">
        <w:rPr>
          <w:i/>
          <w:iCs/>
          <w:lang w:val="fr-FR"/>
        </w:rPr>
        <w:t>[Approuve]</w:t>
      </w:r>
      <w:r w:rsidRPr="0029223D">
        <w:rPr>
          <w:lang w:val="fr-FR"/>
        </w:rPr>
        <w:t xml:space="preserve"> les lignes directrices sur l</w:t>
      </w:r>
      <w:r>
        <w:rPr>
          <w:lang w:val="fr-FR"/>
        </w:rPr>
        <w:t>’</w:t>
      </w:r>
      <w:r w:rsidRPr="0029223D">
        <w:rPr>
          <w:lang w:val="fr-FR"/>
        </w:rPr>
        <w:t>évaluation des impacts sur la santé dans le cadre du Protocole relatif à l</w:t>
      </w:r>
      <w:r>
        <w:rPr>
          <w:lang w:val="fr-FR"/>
        </w:rPr>
        <w:t>’</w:t>
      </w:r>
      <w:r w:rsidRPr="0029223D">
        <w:rPr>
          <w:lang w:val="fr-FR"/>
        </w:rPr>
        <w:t>évaluation stratégique environnementale [(ECE/MP.EIA/SEA/2023/…)]</w:t>
      </w:r>
      <w:r>
        <w:rPr>
          <w:lang w:val="fr-FR"/>
        </w:rPr>
        <w:t> </w:t>
      </w:r>
      <w:r w:rsidRPr="0029223D">
        <w:rPr>
          <w:lang w:val="fr-FR"/>
        </w:rPr>
        <w:t>;</w:t>
      </w:r>
    </w:p>
    <w:p w14:paraId="24F657B1" w14:textId="7C97DD40" w:rsidR="0029223D" w:rsidRPr="0029223D" w:rsidRDefault="0029223D" w:rsidP="0029223D">
      <w:pPr>
        <w:pStyle w:val="SingleTxtG"/>
        <w:ind w:firstLine="567"/>
        <w:rPr>
          <w:lang w:val="fr-FR"/>
        </w:rPr>
      </w:pPr>
      <w:r w:rsidRPr="0029223D">
        <w:rPr>
          <w:lang w:val="fr-FR"/>
        </w:rPr>
        <w:t>4.</w:t>
      </w:r>
      <w:r w:rsidRPr="0029223D">
        <w:rPr>
          <w:lang w:val="fr-FR"/>
        </w:rPr>
        <w:tab/>
      </w:r>
      <w:r w:rsidRPr="0029223D">
        <w:rPr>
          <w:i/>
          <w:iCs/>
          <w:lang w:val="fr-FR"/>
        </w:rPr>
        <w:t>Recommande</w:t>
      </w:r>
      <w:r w:rsidRPr="0029223D">
        <w:rPr>
          <w:lang w:val="fr-FR"/>
        </w:rPr>
        <w:t xml:space="preserve"> que les Parties tiennent compte des lignes directrices lorsqu</w:t>
      </w:r>
      <w:r>
        <w:rPr>
          <w:lang w:val="fr-FR"/>
        </w:rPr>
        <w:t>’</w:t>
      </w:r>
      <w:r w:rsidRPr="0029223D">
        <w:rPr>
          <w:lang w:val="fr-FR"/>
        </w:rPr>
        <w:t>elles appliquent le Protocole</w:t>
      </w:r>
      <w:r>
        <w:rPr>
          <w:lang w:val="fr-FR"/>
        </w:rPr>
        <w:t> </w:t>
      </w:r>
      <w:r w:rsidRPr="0029223D">
        <w:rPr>
          <w:lang w:val="fr-FR"/>
        </w:rPr>
        <w:t>;</w:t>
      </w:r>
    </w:p>
    <w:p w14:paraId="198EDEAB" w14:textId="40083E12" w:rsidR="0029223D" w:rsidRPr="0029223D" w:rsidRDefault="0029223D" w:rsidP="0029223D">
      <w:pPr>
        <w:pStyle w:val="SingleTxtG"/>
        <w:ind w:firstLine="567"/>
        <w:rPr>
          <w:lang w:val="fr-FR"/>
        </w:rPr>
      </w:pPr>
      <w:r w:rsidRPr="0029223D">
        <w:rPr>
          <w:lang w:val="fr-FR"/>
        </w:rPr>
        <w:lastRenderedPageBreak/>
        <w:t>5.</w:t>
      </w:r>
      <w:r w:rsidRPr="0029223D">
        <w:rPr>
          <w:lang w:val="fr-FR"/>
        </w:rPr>
        <w:tab/>
      </w:r>
      <w:r w:rsidRPr="0029223D">
        <w:rPr>
          <w:i/>
          <w:iCs/>
          <w:lang w:val="fr-FR"/>
        </w:rPr>
        <w:t>Engage</w:t>
      </w:r>
      <w:r w:rsidRPr="0029223D">
        <w:rPr>
          <w:lang w:val="fr-FR"/>
        </w:rPr>
        <w:t xml:space="preserve"> les Parties à diffuser largement les lignes directrices auprès des autorités et des autres parties prenantes</w:t>
      </w:r>
      <w:r>
        <w:rPr>
          <w:lang w:val="fr-FR"/>
        </w:rPr>
        <w:t> </w:t>
      </w:r>
      <w:r w:rsidRPr="0029223D">
        <w:rPr>
          <w:lang w:val="fr-FR"/>
        </w:rPr>
        <w:t>;</w:t>
      </w:r>
    </w:p>
    <w:p w14:paraId="190116E6" w14:textId="5C382B60" w:rsidR="0029223D" w:rsidRPr="0029223D" w:rsidRDefault="0029223D" w:rsidP="0029223D">
      <w:pPr>
        <w:pStyle w:val="SingleTxtG"/>
        <w:ind w:firstLine="567"/>
        <w:rPr>
          <w:lang w:val="fr-FR"/>
        </w:rPr>
      </w:pPr>
      <w:r w:rsidRPr="0029223D">
        <w:rPr>
          <w:lang w:val="fr-FR"/>
        </w:rPr>
        <w:t>6.</w:t>
      </w:r>
      <w:r w:rsidRPr="0029223D">
        <w:rPr>
          <w:lang w:val="fr-FR"/>
        </w:rPr>
        <w:tab/>
      </w:r>
      <w:r w:rsidRPr="0029223D">
        <w:rPr>
          <w:i/>
          <w:iCs/>
          <w:lang w:val="fr-FR"/>
        </w:rPr>
        <w:t xml:space="preserve">Propose </w:t>
      </w:r>
      <w:r w:rsidRPr="0029223D">
        <w:rPr>
          <w:lang w:val="fr-FR"/>
        </w:rPr>
        <w:t>que les lignes directrices soient utilisées dans les activités de renforcement des capacités inscrites dans le plan de travail</w:t>
      </w:r>
      <w:r>
        <w:rPr>
          <w:lang w:val="fr-FR"/>
        </w:rPr>
        <w:t> </w:t>
      </w:r>
      <w:r w:rsidRPr="0029223D">
        <w:rPr>
          <w:lang w:val="fr-FR"/>
        </w:rPr>
        <w:t>;</w:t>
      </w:r>
    </w:p>
    <w:p w14:paraId="59D821B0" w14:textId="5966EA3A" w:rsidR="0029223D" w:rsidRPr="0029223D" w:rsidRDefault="0029223D" w:rsidP="0029223D">
      <w:pPr>
        <w:pStyle w:val="SingleTxtG"/>
        <w:ind w:firstLine="567"/>
        <w:rPr>
          <w:lang w:val="fr-FR"/>
        </w:rPr>
      </w:pPr>
      <w:r w:rsidRPr="0029223D">
        <w:rPr>
          <w:lang w:val="fr-FR"/>
        </w:rPr>
        <w:t>7.</w:t>
      </w:r>
      <w:r w:rsidRPr="0029223D">
        <w:rPr>
          <w:lang w:val="fr-FR"/>
        </w:rPr>
        <w:tab/>
      </w:r>
      <w:r w:rsidRPr="0029223D">
        <w:rPr>
          <w:i/>
          <w:iCs/>
          <w:lang w:val="fr-FR"/>
        </w:rPr>
        <w:t>Se félicite</w:t>
      </w:r>
      <w:r w:rsidRPr="0029223D">
        <w:rPr>
          <w:lang w:val="fr-FR"/>
        </w:rPr>
        <w:t xml:space="preserve"> du concours fructueux que prête depuis longtemps l</w:t>
      </w:r>
      <w:r>
        <w:rPr>
          <w:lang w:val="fr-FR"/>
        </w:rPr>
        <w:t>’</w:t>
      </w:r>
      <w:r w:rsidRPr="0029223D">
        <w:rPr>
          <w:lang w:val="fr-FR"/>
        </w:rPr>
        <w:t>Organisation mondiale de la Santé pour faire connaître le Protocole et en appuyer l</w:t>
      </w:r>
      <w:r>
        <w:rPr>
          <w:lang w:val="fr-FR"/>
        </w:rPr>
        <w:t>’</w:t>
      </w:r>
      <w:r w:rsidRPr="0029223D">
        <w:rPr>
          <w:lang w:val="fr-FR"/>
        </w:rPr>
        <w:t>application</w:t>
      </w:r>
      <w:r>
        <w:rPr>
          <w:lang w:val="fr-FR"/>
        </w:rPr>
        <w:t> </w:t>
      </w:r>
      <w:r w:rsidRPr="0029223D">
        <w:rPr>
          <w:lang w:val="fr-FR"/>
        </w:rPr>
        <w:t>;</w:t>
      </w:r>
    </w:p>
    <w:p w14:paraId="53913640" w14:textId="68144146" w:rsidR="0029223D" w:rsidRPr="0029223D" w:rsidRDefault="0029223D" w:rsidP="0029223D">
      <w:pPr>
        <w:pStyle w:val="SingleTxtG"/>
        <w:ind w:firstLine="567"/>
        <w:rPr>
          <w:lang w:val="fr-FR"/>
        </w:rPr>
      </w:pPr>
      <w:r w:rsidRPr="0029223D">
        <w:rPr>
          <w:lang w:val="fr-FR"/>
        </w:rPr>
        <w:t>8.</w:t>
      </w:r>
      <w:r w:rsidRPr="0029223D">
        <w:rPr>
          <w:lang w:val="fr-FR"/>
        </w:rPr>
        <w:tab/>
      </w:r>
      <w:r w:rsidRPr="0029223D">
        <w:rPr>
          <w:i/>
          <w:iCs/>
          <w:lang w:val="fr-FR"/>
        </w:rPr>
        <w:t xml:space="preserve">Invite </w:t>
      </w:r>
      <w:r w:rsidRPr="0029223D">
        <w:rPr>
          <w:lang w:val="fr-FR"/>
        </w:rPr>
        <w:t>les Parties à présenter des exemples de bonnes pratiques en matière d</w:t>
      </w:r>
      <w:r>
        <w:rPr>
          <w:lang w:val="fr-FR"/>
        </w:rPr>
        <w:t>’</w:t>
      </w:r>
      <w:r w:rsidRPr="0029223D">
        <w:rPr>
          <w:lang w:val="fr-FR"/>
        </w:rPr>
        <w:t>évaluation des impacts sur la santé et de participation des autorités sanitaires dans le cadre de l</w:t>
      </w:r>
      <w:r>
        <w:rPr>
          <w:lang w:val="fr-FR"/>
        </w:rPr>
        <w:t>’</w:t>
      </w:r>
      <w:r w:rsidRPr="0029223D">
        <w:rPr>
          <w:lang w:val="fr-FR"/>
        </w:rPr>
        <w:t>évaluation stratégique environnementale.</w:t>
      </w:r>
    </w:p>
    <w:p w14:paraId="33E00667" w14:textId="480EA5EA" w:rsidR="005F26E5" w:rsidRPr="0029223D" w:rsidRDefault="0029223D" w:rsidP="0029223D">
      <w:pPr>
        <w:pStyle w:val="SingleTxtG"/>
        <w:spacing w:before="240" w:after="0"/>
        <w:jc w:val="center"/>
        <w:rPr>
          <w:u w:val="single"/>
          <w:lang w:val="fr-FR"/>
        </w:rPr>
      </w:pPr>
      <w:r w:rsidRPr="0029223D">
        <w:rPr>
          <w:u w:val="single"/>
          <w:lang w:val="fr-FR"/>
        </w:rPr>
        <w:tab/>
      </w:r>
      <w:r w:rsidRPr="0029223D">
        <w:rPr>
          <w:u w:val="single"/>
          <w:lang w:val="fr-FR"/>
        </w:rPr>
        <w:tab/>
      </w:r>
      <w:r w:rsidRPr="0029223D">
        <w:rPr>
          <w:u w:val="single"/>
          <w:lang w:val="fr-FR"/>
        </w:rPr>
        <w:tab/>
      </w:r>
    </w:p>
    <w:sectPr w:rsidR="005F26E5" w:rsidRPr="0029223D" w:rsidSect="00054846">
      <w:headerReference w:type="even" r:id="rId8"/>
      <w:headerReference w:type="default" r:id="rId9"/>
      <w:footerReference w:type="even" r:id="rId10"/>
      <w:footerReference w:type="default" r:id="rId11"/>
      <w:footerReference w:type="first" r:id="rId12"/>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9B0AA" w14:textId="77777777" w:rsidR="006E2188" w:rsidRDefault="006E2188" w:rsidP="00F95C08">
      <w:pPr>
        <w:spacing w:line="240" w:lineRule="auto"/>
      </w:pPr>
    </w:p>
  </w:endnote>
  <w:endnote w:type="continuationSeparator" w:id="0">
    <w:p w14:paraId="22E27ABA" w14:textId="77777777" w:rsidR="006E2188" w:rsidRPr="00AC3823" w:rsidRDefault="006E2188" w:rsidP="00AC3823">
      <w:pPr>
        <w:pStyle w:val="Pieddepage"/>
      </w:pPr>
    </w:p>
  </w:endnote>
  <w:endnote w:type="continuationNotice" w:id="1">
    <w:p w14:paraId="1E1FBC69" w14:textId="77777777" w:rsidR="006E2188" w:rsidRDefault="006E218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1A68F" w14:textId="3E2AC96F" w:rsidR="00054846" w:rsidRPr="00054846" w:rsidRDefault="00054846" w:rsidP="00054846">
    <w:pPr>
      <w:pStyle w:val="Pieddepage"/>
      <w:tabs>
        <w:tab w:val="right" w:pos="9638"/>
      </w:tabs>
    </w:pPr>
    <w:r w:rsidRPr="00054846">
      <w:rPr>
        <w:b/>
        <w:sz w:val="18"/>
      </w:rPr>
      <w:fldChar w:fldCharType="begin"/>
    </w:r>
    <w:r w:rsidRPr="00054846">
      <w:rPr>
        <w:b/>
        <w:sz w:val="18"/>
      </w:rPr>
      <w:instrText xml:space="preserve"> PAGE  \* MERGEFORMAT </w:instrText>
    </w:r>
    <w:r w:rsidRPr="00054846">
      <w:rPr>
        <w:b/>
        <w:sz w:val="18"/>
      </w:rPr>
      <w:fldChar w:fldCharType="separate"/>
    </w:r>
    <w:r w:rsidRPr="00054846">
      <w:rPr>
        <w:b/>
        <w:noProof/>
        <w:sz w:val="18"/>
      </w:rPr>
      <w:t>2</w:t>
    </w:r>
    <w:r w:rsidRPr="00054846">
      <w:rPr>
        <w:b/>
        <w:sz w:val="18"/>
      </w:rPr>
      <w:fldChar w:fldCharType="end"/>
    </w:r>
    <w:r>
      <w:rPr>
        <w:b/>
        <w:sz w:val="18"/>
      </w:rPr>
      <w:tab/>
    </w:r>
    <w:r>
      <w:t>GE.23-05602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144CE" w14:textId="7C652011" w:rsidR="00054846" w:rsidRPr="00054846" w:rsidRDefault="00054846" w:rsidP="00054846">
    <w:pPr>
      <w:pStyle w:val="Pieddepage"/>
      <w:tabs>
        <w:tab w:val="right" w:pos="9638"/>
      </w:tabs>
      <w:rPr>
        <w:b/>
        <w:sz w:val="18"/>
      </w:rPr>
    </w:pPr>
    <w:r>
      <w:t>GE.23-05602</w:t>
    </w:r>
    <w:r>
      <w:tab/>
    </w:r>
    <w:r w:rsidRPr="00054846">
      <w:rPr>
        <w:b/>
        <w:sz w:val="18"/>
      </w:rPr>
      <w:fldChar w:fldCharType="begin"/>
    </w:r>
    <w:r w:rsidRPr="00054846">
      <w:rPr>
        <w:b/>
        <w:sz w:val="18"/>
      </w:rPr>
      <w:instrText xml:space="preserve"> PAGE  \* MERGEFORMAT </w:instrText>
    </w:r>
    <w:r w:rsidRPr="00054846">
      <w:rPr>
        <w:b/>
        <w:sz w:val="18"/>
      </w:rPr>
      <w:fldChar w:fldCharType="separate"/>
    </w:r>
    <w:r w:rsidRPr="00054846">
      <w:rPr>
        <w:b/>
        <w:noProof/>
        <w:sz w:val="18"/>
      </w:rPr>
      <w:t>3</w:t>
    </w:r>
    <w:r w:rsidRPr="0005484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63209" w14:textId="1146396E" w:rsidR="00A14420" w:rsidRPr="00054846" w:rsidRDefault="00054846" w:rsidP="00054846">
    <w:pPr>
      <w:pStyle w:val="Pieddepage"/>
      <w:spacing w:before="120"/>
      <w:rPr>
        <w:sz w:val="20"/>
      </w:rPr>
    </w:pPr>
    <w:r>
      <w:rPr>
        <w:sz w:val="20"/>
      </w:rPr>
      <w:t>GE.</w:t>
    </w:r>
    <w:r w:rsidR="00A14420">
      <w:rPr>
        <w:noProof/>
        <w:lang w:eastAsia="fr-CH"/>
      </w:rPr>
      <w:drawing>
        <wp:anchor distT="0" distB="0" distL="114300" distR="114300" simplePos="0" relativeHeight="251659264" behindDoc="0" locked="0" layoutInCell="1" allowOverlap="0" wp14:anchorId="3B653CCF" wp14:editId="62637ACB">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23-05602  (F)</w:t>
    </w:r>
    <w:r>
      <w:rPr>
        <w:noProof/>
        <w:sz w:val="20"/>
      </w:rPr>
      <w:drawing>
        <wp:anchor distT="0" distB="0" distL="114300" distR="114300" simplePos="0" relativeHeight="251660288" behindDoc="0" locked="0" layoutInCell="1" allowOverlap="1" wp14:anchorId="7D5024F2" wp14:editId="1C8567A7">
          <wp:simplePos x="0" y="0"/>
          <wp:positionH relativeFrom="margin">
            <wp:posOffset>5489575</wp:posOffset>
          </wp:positionH>
          <wp:positionV relativeFrom="margin">
            <wp:posOffset>8891905</wp:posOffset>
          </wp:positionV>
          <wp:extent cx="638175" cy="6381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030423    030423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69557" w14:textId="77777777" w:rsidR="006E2188" w:rsidRPr="00AC3823" w:rsidRDefault="006E2188" w:rsidP="00AC3823">
      <w:pPr>
        <w:pStyle w:val="Pieddepage"/>
        <w:tabs>
          <w:tab w:val="right" w:pos="2155"/>
        </w:tabs>
        <w:spacing w:after="80" w:line="240" w:lineRule="atLeast"/>
        <w:ind w:left="680"/>
        <w:rPr>
          <w:u w:val="single"/>
        </w:rPr>
      </w:pPr>
      <w:r>
        <w:rPr>
          <w:u w:val="single"/>
        </w:rPr>
        <w:tab/>
      </w:r>
    </w:p>
  </w:footnote>
  <w:footnote w:type="continuationSeparator" w:id="0">
    <w:p w14:paraId="0D7956E5" w14:textId="77777777" w:rsidR="006E2188" w:rsidRPr="00AC3823" w:rsidRDefault="006E2188" w:rsidP="00AC3823">
      <w:pPr>
        <w:pStyle w:val="Pieddepage"/>
        <w:tabs>
          <w:tab w:val="right" w:pos="2155"/>
        </w:tabs>
        <w:spacing w:after="80" w:line="240" w:lineRule="atLeast"/>
        <w:ind w:left="680"/>
        <w:rPr>
          <w:u w:val="single"/>
        </w:rPr>
      </w:pPr>
      <w:r>
        <w:rPr>
          <w:u w:val="single"/>
        </w:rPr>
        <w:tab/>
      </w:r>
    </w:p>
  </w:footnote>
  <w:footnote w:type="continuationNotice" w:id="1">
    <w:p w14:paraId="4911063B" w14:textId="77777777" w:rsidR="006E2188" w:rsidRPr="00AC3823" w:rsidRDefault="006E2188">
      <w:pPr>
        <w:spacing w:line="240" w:lineRule="auto"/>
        <w:rPr>
          <w:sz w:val="2"/>
          <w:szCs w:val="2"/>
        </w:rPr>
      </w:pPr>
    </w:p>
  </w:footnote>
  <w:footnote w:id="2">
    <w:p w14:paraId="04DB22E0" w14:textId="745F3A5E" w:rsidR="0029223D" w:rsidRPr="0029223D" w:rsidRDefault="0029223D" w:rsidP="0029223D">
      <w:pPr>
        <w:pStyle w:val="Notedebasdepage"/>
        <w:rPr>
          <w:highlight w:val="green"/>
          <w:lang w:val="fr-FR"/>
        </w:rPr>
      </w:pPr>
      <w:r w:rsidRPr="0029223D">
        <w:rPr>
          <w:lang w:val="fr-FR"/>
        </w:rPr>
        <w:tab/>
      </w:r>
      <w:r w:rsidRPr="0029223D">
        <w:rPr>
          <w:rStyle w:val="Appelnotedebasdep"/>
          <w:lang w:val="fr-FR"/>
        </w:rPr>
        <w:footnoteRef/>
      </w:r>
      <w:r w:rsidRPr="0029223D">
        <w:rPr>
          <w:lang w:val="fr-FR"/>
        </w:rPr>
        <w:tab/>
      </w:r>
      <w:r w:rsidRPr="0029223D">
        <w:rPr>
          <w:lang w:val="fr-FR"/>
        </w:rPr>
        <w:tab/>
        <w:t>Toutes les décisions des Réunions des Parties auxquelles il est fait référence dans la présente décision sont disponibles à l’adresse suivante</w:t>
      </w:r>
      <w:r>
        <w:rPr>
          <w:lang w:val="fr-FR"/>
        </w:rPr>
        <w:t> :</w:t>
      </w:r>
      <w:r w:rsidRPr="0029223D">
        <w:rPr>
          <w:lang w:val="fr-FR"/>
        </w:rPr>
        <w:t xml:space="preserve"> </w:t>
      </w:r>
      <w:hyperlink r:id="rId1" w:history="1">
        <w:r w:rsidRPr="0029223D">
          <w:rPr>
            <w:rStyle w:val="Lienhypertexte"/>
            <w:lang w:val="fr-FR"/>
          </w:rPr>
          <w:t>https</w:t>
        </w:r>
        <w:r w:rsidRPr="0029223D">
          <w:rPr>
            <w:rStyle w:val="Lienhypertexte"/>
            <w:lang w:val="fr-FR"/>
          </w:rPr>
          <w:t>:</w:t>
        </w:r>
        <w:r w:rsidRPr="0029223D">
          <w:rPr>
            <w:rStyle w:val="Lienhypertexte"/>
            <w:lang w:val="fr-FR"/>
          </w:rPr>
          <w:t>//unece.org/environment-policy/environmental-assessment/decisions-taken-meetings-parties</w:t>
        </w:r>
      </w:hyperlink>
      <w:r w:rsidRPr="0029223D">
        <w:rPr>
          <w:lang w:val="fr-FR"/>
        </w:rPr>
        <w:t>.</w:t>
      </w:r>
    </w:p>
  </w:footnote>
  <w:footnote w:id="3">
    <w:p w14:paraId="65D594E2" w14:textId="77777777" w:rsidR="0029223D" w:rsidRPr="0029223D" w:rsidRDefault="0029223D" w:rsidP="0029223D">
      <w:pPr>
        <w:pStyle w:val="Notedebasdepage"/>
        <w:rPr>
          <w:lang w:val="fr-FR"/>
        </w:rPr>
      </w:pPr>
      <w:r w:rsidRPr="0029223D">
        <w:rPr>
          <w:lang w:val="fr-FR"/>
        </w:rPr>
        <w:tab/>
      </w:r>
      <w:r w:rsidRPr="0029223D">
        <w:rPr>
          <w:rStyle w:val="Appelnotedebasdep"/>
          <w:lang w:val="fr-FR"/>
        </w:rPr>
        <w:footnoteRef/>
      </w:r>
      <w:r w:rsidRPr="0029223D">
        <w:rPr>
          <w:lang w:val="fr-FR"/>
        </w:rPr>
        <w:tab/>
        <w:t>ECE/MP.EIA/SEA/2023/[…], à paraître.</w:t>
      </w:r>
    </w:p>
  </w:footnote>
  <w:footnote w:id="4">
    <w:p w14:paraId="7CE63494" w14:textId="7ED208D1" w:rsidR="0029223D" w:rsidRPr="0029223D" w:rsidRDefault="0029223D" w:rsidP="0029223D">
      <w:pPr>
        <w:pStyle w:val="Notedebasdepage"/>
        <w:rPr>
          <w:lang w:val="fr-FR"/>
        </w:rPr>
      </w:pPr>
      <w:r w:rsidRPr="0029223D">
        <w:rPr>
          <w:lang w:val="fr-FR"/>
        </w:rPr>
        <w:tab/>
      </w:r>
      <w:r w:rsidRPr="0029223D">
        <w:rPr>
          <w:rStyle w:val="Appelnotedebasdep"/>
          <w:lang w:val="fr-FR"/>
        </w:rPr>
        <w:footnoteRef/>
      </w:r>
      <w:r w:rsidRPr="0029223D">
        <w:rPr>
          <w:lang w:val="fr-FR"/>
        </w:rPr>
        <w:tab/>
        <w:t>ECE/MP.EIA/SEA/14, par.</w:t>
      </w:r>
      <w:r w:rsidR="000461A0">
        <w:rPr>
          <w:lang w:val="fr-FR"/>
        </w:rPr>
        <w:t> </w:t>
      </w:r>
      <w:r w:rsidRPr="0029223D">
        <w:rPr>
          <w:lang w:val="fr-FR"/>
        </w:rPr>
        <w:t>84 et 85.</w:t>
      </w:r>
    </w:p>
  </w:footnote>
  <w:footnote w:id="5">
    <w:p w14:paraId="267BFAE4" w14:textId="77777777" w:rsidR="0029223D" w:rsidRPr="0029223D" w:rsidRDefault="0029223D" w:rsidP="0029223D">
      <w:pPr>
        <w:pStyle w:val="Notedebasdepage"/>
        <w:rPr>
          <w:highlight w:val="green"/>
          <w:lang w:val="fr-FR"/>
        </w:rPr>
      </w:pPr>
      <w:r w:rsidRPr="0029223D">
        <w:rPr>
          <w:lang w:val="fr-FR"/>
        </w:rPr>
        <w:tab/>
      </w:r>
      <w:r w:rsidRPr="0029223D">
        <w:rPr>
          <w:rStyle w:val="Appelnotedebasdep"/>
          <w:lang w:val="fr-FR"/>
        </w:rPr>
        <w:footnoteRef/>
      </w:r>
      <w:r w:rsidRPr="0029223D">
        <w:rPr>
          <w:lang w:val="fr-FR"/>
        </w:rPr>
        <w:tab/>
        <w:t>Protocole relatif à l’évaluation stratégique environnementale, septième alinéa du préambule.</w:t>
      </w:r>
    </w:p>
  </w:footnote>
  <w:footnote w:id="6">
    <w:p w14:paraId="7D54D0AB" w14:textId="77777777" w:rsidR="0029223D" w:rsidRPr="0029223D" w:rsidRDefault="0029223D" w:rsidP="0029223D">
      <w:pPr>
        <w:pStyle w:val="Notedebasdepage"/>
        <w:rPr>
          <w:highlight w:val="green"/>
          <w:lang w:val="fr-FR"/>
        </w:rPr>
      </w:pPr>
      <w:r w:rsidRPr="0029223D">
        <w:rPr>
          <w:lang w:val="fr-FR"/>
        </w:rPr>
        <w:tab/>
      </w:r>
      <w:r w:rsidRPr="0029223D">
        <w:rPr>
          <w:rStyle w:val="Appelnotedebasdep"/>
          <w:lang w:val="fr-FR"/>
        </w:rPr>
        <w:footnoteRef/>
      </w:r>
      <w:r w:rsidRPr="0029223D">
        <w:rPr>
          <w:lang w:val="fr-FR"/>
        </w:rPr>
        <w:tab/>
        <w:t>Publication des Nations Unies, ECE/MP.EIA/17.</w:t>
      </w:r>
    </w:p>
  </w:footnote>
  <w:footnote w:id="7">
    <w:p w14:paraId="39D63A24" w14:textId="77777777" w:rsidR="0029223D" w:rsidRPr="0029223D" w:rsidRDefault="0029223D" w:rsidP="0029223D">
      <w:pPr>
        <w:pStyle w:val="Notedebasdepage"/>
        <w:rPr>
          <w:highlight w:val="green"/>
          <w:lang w:val="fr-FR"/>
        </w:rPr>
      </w:pPr>
      <w:r w:rsidRPr="0029223D">
        <w:rPr>
          <w:lang w:val="fr-FR"/>
        </w:rPr>
        <w:tab/>
      </w:r>
      <w:r w:rsidRPr="0029223D">
        <w:rPr>
          <w:rStyle w:val="Appelnotedebasdep"/>
          <w:lang w:val="fr-FR"/>
        </w:rPr>
        <w:footnoteRef/>
      </w:r>
      <w:r w:rsidRPr="0029223D">
        <w:rPr>
          <w:lang w:val="fr-FR"/>
        </w:rPr>
        <w:tab/>
      </w:r>
      <w:r w:rsidRPr="0029223D">
        <w:rPr>
          <w:lang w:val="fr-FR"/>
        </w:rPr>
        <w:tab/>
        <w:t>ECE/MP.EIA/23.Add.1-ECE/MP.EIA/SEA/7.Add.1.</w:t>
      </w:r>
    </w:p>
  </w:footnote>
  <w:footnote w:id="8">
    <w:p w14:paraId="6A814108" w14:textId="2511D7A0" w:rsidR="0029223D" w:rsidRPr="0029223D" w:rsidRDefault="0029223D" w:rsidP="0029223D">
      <w:pPr>
        <w:pStyle w:val="Notedebasdepage"/>
        <w:rPr>
          <w:lang w:val="fr-FR"/>
        </w:rPr>
      </w:pPr>
      <w:r w:rsidRPr="0029223D">
        <w:rPr>
          <w:lang w:val="fr-FR"/>
        </w:rPr>
        <w:tab/>
      </w:r>
      <w:r w:rsidRPr="0029223D">
        <w:rPr>
          <w:rStyle w:val="Appelnotedebasdep"/>
          <w:lang w:val="fr-FR"/>
        </w:rPr>
        <w:footnoteRef/>
      </w:r>
      <w:r w:rsidRPr="0029223D">
        <w:rPr>
          <w:lang w:val="fr-FR"/>
        </w:rPr>
        <w:tab/>
        <w:t>ECE/MP.EIA/30/Add.1-ECE/MP.EIA/SEA/13/Add.1, décision</w:t>
      </w:r>
      <w:r w:rsidR="004D09A2">
        <w:rPr>
          <w:lang w:val="fr-FR"/>
        </w:rPr>
        <w:t xml:space="preserve"> </w:t>
      </w:r>
      <w:r w:rsidRPr="0029223D">
        <w:rPr>
          <w:lang w:val="fr-FR"/>
        </w:rPr>
        <w:t>VIII/3–IV/3, annexe, Déclaration de</w:t>
      </w:r>
      <w:r w:rsidR="004D09A2">
        <w:rPr>
          <w:lang w:val="fr-FR"/>
        </w:rPr>
        <w:t> </w:t>
      </w:r>
      <w:r w:rsidRPr="0029223D">
        <w:rPr>
          <w:lang w:val="fr-FR"/>
        </w:rPr>
        <w:t>Vilnius, par.</w:t>
      </w:r>
      <w:r w:rsidR="000461A0">
        <w:rPr>
          <w:lang w:val="fr-FR"/>
        </w:rPr>
        <w:t> </w:t>
      </w:r>
      <w:r w:rsidRPr="0029223D">
        <w:rPr>
          <w:lang w:val="fr-FR"/>
        </w:rPr>
        <w:t>13</w:t>
      </w:r>
      <w:r w:rsidR="000461A0">
        <w:rPr>
          <w:lang w:val="fr-FR"/>
        </w:rPr>
        <w:t> </w:t>
      </w:r>
      <w:r w:rsidRPr="0029223D">
        <w:rPr>
          <w:lang w:val="fr-FR"/>
        </w:rPr>
        <w:t>; ECE/MP.EIA/30/Add.1-ECE/MP.EIA/SEA/13/Add.1, décision</w:t>
      </w:r>
      <w:r w:rsidR="000461A0">
        <w:rPr>
          <w:lang w:val="fr-FR"/>
        </w:rPr>
        <w:t xml:space="preserve"> </w:t>
      </w:r>
      <w:r w:rsidRPr="0029223D">
        <w:rPr>
          <w:lang w:val="fr-FR"/>
        </w:rPr>
        <w:t>VIII/2-IV/2</w:t>
      </w:r>
      <w:r w:rsidR="000461A0">
        <w:rPr>
          <w:lang w:val="fr-FR"/>
        </w:rPr>
        <w:t> </w:t>
      </w:r>
      <w:r w:rsidRPr="0029223D">
        <w:rPr>
          <w:lang w:val="fr-FR"/>
        </w:rPr>
        <w:t>; ECE/MP.EIA/30-ECE/MP.EIA/SEA/13, par.</w:t>
      </w:r>
      <w:r w:rsidR="004D09A2">
        <w:rPr>
          <w:lang w:val="fr-FR"/>
        </w:rPr>
        <w:t> </w:t>
      </w:r>
      <w:r w:rsidRPr="0029223D">
        <w:rPr>
          <w:lang w:val="fr-FR"/>
        </w:rPr>
        <w:t>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10781" w14:textId="1ECBBBDB" w:rsidR="00054846" w:rsidRPr="00054846" w:rsidRDefault="00054846">
    <w:pPr>
      <w:pStyle w:val="En-tte"/>
    </w:pPr>
    <w:fldSimple w:instr=" TITLE  \* MERGEFORMAT ">
      <w:r>
        <w:t>ECE/MP.EIA/WG.2/2023/6</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FE00A" w14:textId="3A5F8ABF" w:rsidR="00054846" w:rsidRPr="00054846" w:rsidRDefault="00054846" w:rsidP="00054846">
    <w:pPr>
      <w:pStyle w:val="En-tte"/>
      <w:jc w:val="right"/>
    </w:pPr>
    <w:fldSimple w:instr=" TITLE  \* MERGEFORMAT ">
      <w:r>
        <w:t>ECE/MP.EIA/WG.2/2023/6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ABC672CC"/>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B6C4FF4C"/>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8AD07B2"/>
    <w:multiLevelType w:val="hybridMultilevel"/>
    <w:tmpl w:val="BAF4D304"/>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188"/>
    <w:rsid w:val="00017F94"/>
    <w:rsid w:val="00023842"/>
    <w:rsid w:val="00031189"/>
    <w:rsid w:val="000334F9"/>
    <w:rsid w:val="000461A0"/>
    <w:rsid w:val="00054846"/>
    <w:rsid w:val="0007796D"/>
    <w:rsid w:val="000B7790"/>
    <w:rsid w:val="000F77E1"/>
    <w:rsid w:val="00111F2F"/>
    <w:rsid w:val="0014365E"/>
    <w:rsid w:val="00176178"/>
    <w:rsid w:val="001F525A"/>
    <w:rsid w:val="00223272"/>
    <w:rsid w:val="0024779E"/>
    <w:rsid w:val="002832AC"/>
    <w:rsid w:val="0029223D"/>
    <w:rsid w:val="002B40F9"/>
    <w:rsid w:val="002D7C93"/>
    <w:rsid w:val="00441C3B"/>
    <w:rsid w:val="00446FE5"/>
    <w:rsid w:val="00452396"/>
    <w:rsid w:val="004D09A2"/>
    <w:rsid w:val="004E468C"/>
    <w:rsid w:val="005505B7"/>
    <w:rsid w:val="00573BE5"/>
    <w:rsid w:val="00586ED3"/>
    <w:rsid w:val="00596AA9"/>
    <w:rsid w:val="005D6D16"/>
    <w:rsid w:val="005F26E5"/>
    <w:rsid w:val="006C0E3B"/>
    <w:rsid w:val="006E2188"/>
    <w:rsid w:val="0071601D"/>
    <w:rsid w:val="007A5FC4"/>
    <w:rsid w:val="007A62E6"/>
    <w:rsid w:val="0080684C"/>
    <w:rsid w:val="00871C75"/>
    <w:rsid w:val="008776DC"/>
    <w:rsid w:val="008D6B3F"/>
    <w:rsid w:val="0090540F"/>
    <w:rsid w:val="009705C8"/>
    <w:rsid w:val="009C1CF4"/>
    <w:rsid w:val="00A14420"/>
    <w:rsid w:val="00A30353"/>
    <w:rsid w:val="00AC3823"/>
    <w:rsid w:val="00AE323C"/>
    <w:rsid w:val="00B00181"/>
    <w:rsid w:val="00B00B0D"/>
    <w:rsid w:val="00B61815"/>
    <w:rsid w:val="00B765F7"/>
    <w:rsid w:val="00BA0CA9"/>
    <w:rsid w:val="00C02897"/>
    <w:rsid w:val="00C554CE"/>
    <w:rsid w:val="00CE26D2"/>
    <w:rsid w:val="00D3439C"/>
    <w:rsid w:val="00D503D3"/>
    <w:rsid w:val="00DB1831"/>
    <w:rsid w:val="00DD3BFD"/>
    <w:rsid w:val="00DF5712"/>
    <w:rsid w:val="00DF6678"/>
    <w:rsid w:val="00E72BDF"/>
    <w:rsid w:val="00E96BD6"/>
    <w:rsid w:val="00EB61EF"/>
    <w:rsid w:val="00ED5F56"/>
    <w:rsid w:val="00EE22F9"/>
    <w:rsid w:val="00EF2E22"/>
    <w:rsid w:val="00F274A2"/>
    <w:rsid w:val="00F660DF"/>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EF067"/>
  <w15:docId w15:val="{6587ED9B-C184-4043-9BD0-9428401B2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2F9"/>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E22F9"/>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E22F9"/>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E22F9"/>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E22F9"/>
    <w:pPr>
      <w:spacing w:line="240" w:lineRule="auto"/>
    </w:pPr>
    <w:rPr>
      <w:sz w:val="16"/>
    </w:rPr>
  </w:style>
  <w:style w:type="character" w:customStyle="1" w:styleId="PieddepageCar">
    <w:name w:val="Pied de page Car"/>
    <w:aliases w:val="3_G Car"/>
    <w:basedOn w:val="Policepardfaut"/>
    <w:link w:val="Pieddepage"/>
    <w:rsid w:val="00EE22F9"/>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E22F9"/>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E22F9"/>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EE22F9"/>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E22F9"/>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E22F9"/>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E22F9"/>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EE22F9"/>
    <w:pPr>
      <w:tabs>
        <w:tab w:val="left" w:pos="1701"/>
        <w:tab w:val="left" w:pos="2268"/>
        <w:tab w:val="left" w:pos="2835"/>
      </w:tabs>
      <w:spacing w:after="120"/>
      <w:ind w:left="1134" w:right="1134"/>
      <w:jc w:val="both"/>
    </w:pPr>
  </w:style>
  <w:style w:type="paragraph" w:customStyle="1" w:styleId="SLG">
    <w:name w:val="__S_L_G"/>
    <w:basedOn w:val="Normal"/>
    <w:next w:val="Normal"/>
    <w:rsid w:val="00EE22F9"/>
    <w:pPr>
      <w:keepNext/>
      <w:keepLines/>
      <w:spacing w:before="240" w:after="240" w:line="580" w:lineRule="exact"/>
      <w:ind w:left="1134" w:right="1134"/>
    </w:pPr>
    <w:rPr>
      <w:b/>
      <w:sz w:val="56"/>
    </w:rPr>
  </w:style>
  <w:style w:type="paragraph" w:customStyle="1" w:styleId="SMG">
    <w:name w:val="__S_M_G"/>
    <w:basedOn w:val="Normal"/>
    <w:next w:val="Normal"/>
    <w:rsid w:val="00EE22F9"/>
    <w:pPr>
      <w:keepNext/>
      <w:keepLines/>
      <w:spacing w:before="240" w:after="240" w:line="420" w:lineRule="exact"/>
      <w:ind w:left="1134" w:right="1134"/>
    </w:pPr>
    <w:rPr>
      <w:b/>
      <w:sz w:val="40"/>
    </w:rPr>
  </w:style>
  <w:style w:type="paragraph" w:customStyle="1" w:styleId="SSG">
    <w:name w:val="__S_S_G"/>
    <w:basedOn w:val="Normal"/>
    <w:next w:val="Normal"/>
    <w:rsid w:val="00EE22F9"/>
    <w:pPr>
      <w:keepNext/>
      <w:keepLines/>
      <w:spacing w:before="240" w:after="240" w:line="300" w:lineRule="exact"/>
      <w:ind w:left="1134" w:right="1134"/>
    </w:pPr>
    <w:rPr>
      <w:b/>
      <w:sz w:val="28"/>
    </w:rPr>
  </w:style>
  <w:style w:type="paragraph" w:customStyle="1" w:styleId="XLargeG">
    <w:name w:val="__XLarge_G"/>
    <w:basedOn w:val="Normal"/>
    <w:next w:val="Normal"/>
    <w:rsid w:val="00EE22F9"/>
    <w:pPr>
      <w:keepNext/>
      <w:keepLines/>
      <w:spacing w:before="240" w:after="240" w:line="420" w:lineRule="exact"/>
      <w:ind w:left="1134" w:right="1134"/>
    </w:pPr>
    <w:rPr>
      <w:b/>
      <w:sz w:val="40"/>
    </w:rPr>
  </w:style>
  <w:style w:type="paragraph" w:customStyle="1" w:styleId="Bullet1G">
    <w:name w:val="_Bullet 1_G"/>
    <w:basedOn w:val="Normal"/>
    <w:qFormat/>
    <w:rsid w:val="00EE22F9"/>
    <w:pPr>
      <w:numPr>
        <w:numId w:val="14"/>
      </w:numPr>
      <w:spacing w:after="120"/>
      <w:ind w:right="1134"/>
      <w:jc w:val="both"/>
    </w:pPr>
  </w:style>
  <w:style w:type="paragraph" w:customStyle="1" w:styleId="Bullet2G">
    <w:name w:val="_Bullet 2_G"/>
    <w:basedOn w:val="Normal"/>
    <w:qFormat/>
    <w:rsid w:val="00EE22F9"/>
    <w:pPr>
      <w:numPr>
        <w:numId w:val="15"/>
      </w:numPr>
      <w:spacing w:after="120"/>
      <w:ind w:right="1134"/>
      <w:jc w:val="both"/>
    </w:pPr>
  </w:style>
  <w:style w:type="paragraph" w:customStyle="1" w:styleId="ParNoG">
    <w:name w:val="_ParNo_G"/>
    <w:basedOn w:val="Normal"/>
    <w:qFormat/>
    <w:rsid w:val="00EE22F9"/>
    <w:pPr>
      <w:numPr>
        <w:numId w:val="16"/>
      </w:numPr>
      <w:tabs>
        <w:tab w:val="left" w:pos="1701"/>
        <w:tab w:val="left" w:pos="2268"/>
        <w:tab w:val="left" w:pos="2835"/>
      </w:tabs>
      <w:spacing w:after="120"/>
      <w:ind w:right="1134"/>
      <w:jc w:val="both"/>
    </w:pPr>
  </w:style>
  <w:style w:type="character" w:styleId="Appelnotedebasdep">
    <w:name w:val="footnote reference"/>
    <w:aliases w:val="4_G"/>
    <w:basedOn w:val="Policepardfaut"/>
    <w:qFormat/>
    <w:rsid w:val="00EE22F9"/>
    <w:rPr>
      <w:rFonts w:ascii="Times New Roman" w:hAnsi="Times New Roman"/>
      <w:sz w:val="18"/>
      <w:vertAlign w:val="superscript"/>
      <w:lang w:val="fr-CH"/>
    </w:rPr>
  </w:style>
  <w:style w:type="character" w:styleId="Appeldenotedefin">
    <w:name w:val="endnote reference"/>
    <w:aliases w:val="1_G"/>
    <w:basedOn w:val="Appelnotedebasdep"/>
    <w:qFormat/>
    <w:rsid w:val="00EE22F9"/>
    <w:rPr>
      <w:rFonts w:ascii="Times New Roman" w:hAnsi="Times New Roman"/>
      <w:sz w:val="18"/>
      <w:vertAlign w:val="superscript"/>
      <w:lang w:val="fr-CH"/>
    </w:rPr>
  </w:style>
  <w:style w:type="table" w:styleId="Grilledutableau">
    <w:name w:val="Table Grid"/>
    <w:basedOn w:val="TableauNormal"/>
    <w:rsid w:val="00EE22F9"/>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E22F9"/>
    <w:rPr>
      <w:color w:val="0000FF"/>
      <w:u w:val="none"/>
    </w:rPr>
  </w:style>
  <w:style w:type="character" w:styleId="Lienhypertextesuivivisit">
    <w:name w:val="FollowedHyperlink"/>
    <w:basedOn w:val="Policepardfaut"/>
    <w:unhideWhenUsed/>
    <w:rsid w:val="00EE22F9"/>
    <w:rPr>
      <w:color w:val="0000FF"/>
      <w:u w:val="none"/>
    </w:rPr>
  </w:style>
  <w:style w:type="paragraph" w:styleId="Notedebasdepage">
    <w:name w:val="footnote text"/>
    <w:aliases w:val="5_G"/>
    <w:basedOn w:val="Normal"/>
    <w:link w:val="NotedebasdepageCar"/>
    <w:qFormat/>
    <w:rsid w:val="00EE22F9"/>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E22F9"/>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E22F9"/>
  </w:style>
  <w:style w:type="character" w:customStyle="1" w:styleId="NotedefinCar">
    <w:name w:val="Note de fin Car"/>
    <w:aliases w:val="2_G Car"/>
    <w:basedOn w:val="Policepardfaut"/>
    <w:link w:val="Notedefin"/>
    <w:rsid w:val="00EE22F9"/>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E22F9"/>
    <w:rPr>
      <w:rFonts w:ascii="Times New Roman" w:hAnsi="Times New Roman"/>
      <w:b/>
      <w:sz w:val="18"/>
      <w:lang w:val="fr-CH"/>
    </w:rPr>
  </w:style>
  <w:style w:type="character" w:customStyle="1" w:styleId="Titre1Car">
    <w:name w:val="Titre 1 Car"/>
    <w:aliases w:val="Table_G Car"/>
    <w:basedOn w:val="Policepardfaut"/>
    <w:link w:val="Titre1"/>
    <w:rsid w:val="00EE22F9"/>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A1442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4420"/>
    <w:rPr>
      <w:rFonts w:ascii="Tahoma" w:hAnsi="Tahoma" w:cs="Tahoma"/>
      <w:sz w:val="16"/>
      <w:szCs w:val="16"/>
      <w:lang w:eastAsia="en-US"/>
    </w:rPr>
  </w:style>
  <w:style w:type="character" w:customStyle="1" w:styleId="SingleTxtGChar">
    <w:name w:val="_ Single Txt_G Char"/>
    <w:link w:val="SingleTxtG"/>
    <w:rsid w:val="0029223D"/>
    <w:rPr>
      <w:rFonts w:ascii="Times New Roman" w:eastAsiaTheme="minorHAnsi" w:hAnsi="Times New Roman" w:cs="Times New Roman"/>
      <w:sz w:val="20"/>
      <w:szCs w:val="20"/>
      <w:lang w:eastAsia="en-US"/>
    </w:rPr>
  </w:style>
  <w:style w:type="character" w:styleId="Mentionnonrsolue">
    <w:name w:val="Unresolved Mention"/>
    <w:basedOn w:val="Policepardfaut"/>
    <w:uiPriority w:val="99"/>
    <w:semiHidden/>
    <w:unhideWhenUsed/>
    <w:rsid w:val="00292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unece.org/environment-policy/environmental-assessment/decisions-taken-meetings-part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M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2F79B5BE87D40B73359BB004DC9B5" ma:contentTypeVersion="17" ma:contentTypeDescription="Create a new document." ma:contentTypeScope="" ma:versionID="df91b42384f9acd0dc9c7b2b0ca5a4fb">
  <xsd:schema xmlns:xsd="http://www.w3.org/2001/XMLSchema" xmlns:xs="http://www.w3.org/2001/XMLSchema" xmlns:p="http://schemas.microsoft.com/office/2006/metadata/properties" xmlns:ns2="99a2c2c3-fdcf-4e63-9c12-39b3de610a76" xmlns:ns3="a20aa909-956d-4941-9e8e-d4bf2c5fe97e" xmlns:ns4="985ec44e-1bab-4c0b-9df0-6ba128686fc9" targetNamespace="http://schemas.microsoft.com/office/2006/metadata/properties" ma:root="true" ma:fieldsID="5bdeaf74bd075ed71d0bb4235c38229e" ns2:_="" ns3:_="" ns4:_="">
    <xsd:import namespace="99a2c2c3-fdcf-4e63-9c12-39b3de610a76"/>
    <xsd:import namespace="a20aa909-956d-4941-9e8e-d4bf2c5fe97e"/>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eandtim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2c2c3-fdcf-4e63-9c12-39b3de610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20" nillable="true" ma:displayName="Date and time" ma:format="DateOnly"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0aa909-956d-4941-9e8e-d4bf2c5fe9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b577e23-b539-4cbb-a753-31a04c3d9a02}" ma:internalName="TaxCatchAll" ma:showField="CatchAllData" ma:web="a20aa909-956d-4941-9e8e-d4bf2c5fe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ED843C-F77B-4E7F-81A4-8F2F315FE898}"/>
</file>

<file path=customXml/itemProps2.xml><?xml version="1.0" encoding="utf-8"?>
<ds:datastoreItem xmlns:ds="http://schemas.openxmlformats.org/officeDocument/2006/customXml" ds:itemID="{AE56B461-EC9F-4F22-AE49-9C05E3E60154}"/>
</file>

<file path=docProps/app.xml><?xml version="1.0" encoding="utf-8"?>
<Properties xmlns="http://schemas.openxmlformats.org/officeDocument/2006/extended-properties" xmlns:vt="http://schemas.openxmlformats.org/officeDocument/2006/docPropsVTypes">
  <Template>ECE_MP.dotm</Template>
  <TotalTime>0</TotalTime>
  <Pages>7</Pages>
  <Words>2265</Words>
  <Characters>15632</Characters>
  <Application>Microsoft Office Word</Application>
  <DocSecurity>0</DocSecurity>
  <Lines>1736</Lines>
  <Paragraphs>745</Paragraphs>
  <ScaleCrop>false</ScaleCrop>
  <HeadingPairs>
    <vt:vector size="2" baseType="variant">
      <vt:variant>
        <vt:lpstr>Titre</vt:lpstr>
      </vt:variant>
      <vt:variant>
        <vt:i4>1</vt:i4>
      </vt:variant>
    </vt:vector>
  </HeadingPairs>
  <TitlesOfParts>
    <vt:vector size="1" baseType="lpstr">
      <vt:lpstr>ECE/MP.EIA/WG.2/2023/6</vt:lpstr>
    </vt:vector>
  </TitlesOfParts>
  <Company>DCM</Company>
  <LinksUpToDate>false</LinksUpToDate>
  <CharactersWithSpaces>17152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ECE/MP.EIA/WG.2/2023/6</dc:title>
  <dc:subject/>
  <dc:creator>Nicolas MORIN</dc:creator>
  <cp:keywords/>
  <cp:lastModifiedBy>Nicolas Morin</cp:lastModifiedBy>
  <cp:revision>2</cp:revision>
  <cp:lastPrinted>2014-05-14T10:59:00Z</cp:lastPrinted>
  <dcterms:created xsi:type="dcterms:W3CDTF">2023-04-03T08:19:00Z</dcterms:created>
  <dcterms:modified xsi:type="dcterms:W3CDTF">2023-04-03T08:19:00Z</dcterms:modified>
</cp:coreProperties>
</file>