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014C0288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468D710E" w14:textId="77777777" w:rsidR="002D5AAC" w:rsidRDefault="002D5AAC" w:rsidP="00FD78B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3B371368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4AF05725" w14:textId="51705029" w:rsidR="002D5AAC" w:rsidRDefault="00FD78BA" w:rsidP="00FD78BA">
            <w:pPr>
              <w:jc w:val="right"/>
            </w:pPr>
            <w:r w:rsidRPr="00FD78BA">
              <w:rPr>
                <w:sz w:val="40"/>
              </w:rPr>
              <w:t>ECE</w:t>
            </w:r>
            <w:r>
              <w:t>/MP.EIA/WG.2/2023/5</w:t>
            </w:r>
          </w:p>
        </w:tc>
      </w:tr>
      <w:tr w:rsidR="002D5AAC" w:rsidRPr="00182AB7" w14:paraId="790E8AC3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C09D7F2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F546F7A" wp14:editId="25455F48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0AE5621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071EB24F" w14:textId="77777777" w:rsidR="002D5AAC" w:rsidRDefault="00FD78BA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759F2718" w14:textId="77777777" w:rsidR="00FD78BA" w:rsidRDefault="00FD78BA" w:rsidP="00FD78BA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27 March 2023</w:t>
            </w:r>
          </w:p>
          <w:p w14:paraId="352B7185" w14:textId="77777777" w:rsidR="00FD78BA" w:rsidRDefault="00FD78BA" w:rsidP="00FD78BA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3B2AEE8E" w14:textId="7037BF1C" w:rsidR="00FD78BA" w:rsidRPr="008D53B6" w:rsidRDefault="00FD78BA" w:rsidP="00FD78BA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3DEE4397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592411F4" w14:textId="3049CEDE" w:rsidR="00FD78BA" w:rsidRPr="00FD78BA" w:rsidRDefault="00FD78BA" w:rsidP="00FD78BA">
      <w:pPr>
        <w:spacing w:before="120"/>
        <w:rPr>
          <w:bCs/>
          <w:sz w:val="24"/>
          <w:szCs w:val="24"/>
        </w:rPr>
      </w:pPr>
      <w:r w:rsidRPr="00FD78BA">
        <w:rPr>
          <w:sz w:val="24"/>
          <w:szCs w:val="24"/>
        </w:rPr>
        <w:t xml:space="preserve">Совещание Сторон Конвенции об оценке </w:t>
      </w:r>
      <w:r w:rsidRPr="00FD78BA">
        <w:rPr>
          <w:sz w:val="24"/>
          <w:szCs w:val="24"/>
        </w:rPr>
        <w:br/>
        <w:t xml:space="preserve">воздействия на окружающую среду </w:t>
      </w:r>
      <w:r w:rsidRPr="00FD78BA">
        <w:rPr>
          <w:sz w:val="24"/>
          <w:szCs w:val="24"/>
        </w:rPr>
        <w:br/>
        <w:t>в трансграничном контексте</w:t>
      </w:r>
    </w:p>
    <w:p w14:paraId="57D1B36D" w14:textId="1081F137" w:rsidR="00FD78BA" w:rsidRPr="00FD78BA" w:rsidRDefault="00FD78BA" w:rsidP="00FD78BA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FD78BA">
        <w:rPr>
          <w:sz w:val="24"/>
          <w:szCs w:val="24"/>
        </w:rPr>
        <w:t xml:space="preserve">Совещание Сторон Конвенции об оценке </w:t>
      </w:r>
      <w:r>
        <w:rPr>
          <w:sz w:val="24"/>
          <w:szCs w:val="24"/>
        </w:rPr>
        <w:br/>
      </w:r>
      <w:r w:rsidRPr="00FD78BA">
        <w:rPr>
          <w:sz w:val="24"/>
          <w:szCs w:val="24"/>
        </w:rPr>
        <w:t xml:space="preserve">воздействия на окружающую среду </w:t>
      </w:r>
      <w:r>
        <w:rPr>
          <w:sz w:val="24"/>
          <w:szCs w:val="24"/>
        </w:rPr>
        <w:br/>
      </w:r>
      <w:r w:rsidRPr="00FD78BA">
        <w:rPr>
          <w:sz w:val="24"/>
          <w:szCs w:val="24"/>
        </w:rPr>
        <w:t xml:space="preserve">в трансграничном контексте, действующее </w:t>
      </w:r>
      <w:r>
        <w:rPr>
          <w:sz w:val="24"/>
          <w:szCs w:val="24"/>
        </w:rPr>
        <w:br/>
      </w:r>
      <w:r w:rsidRPr="00FD78BA">
        <w:rPr>
          <w:sz w:val="24"/>
          <w:szCs w:val="24"/>
        </w:rPr>
        <w:t xml:space="preserve">в качестве Совещания Сторон Протокола </w:t>
      </w:r>
      <w:r>
        <w:rPr>
          <w:sz w:val="24"/>
          <w:szCs w:val="24"/>
        </w:rPr>
        <w:br/>
      </w:r>
      <w:r w:rsidRPr="00FD78BA">
        <w:rPr>
          <w:sz w:val="24"/>
          <w:szCs w:val="24"/>
        </w:rPr>
        <w:t>по стратегической экологической оценке</w:t>
      </w:r>
    </w:p>
    <w:p w14:paraId="22DD4B1E" w14:textId="1B25EA5B" w:rsidR="00FD78BA" w:rsidRPr="00FD78BA" w:rsidRDefault="00FD78BA" w:rsidP="00FD78BA">
      <w:pPr>
        <w:spacing w:before="120"/>
        <w:rPr>
          <w:b/>
          <w:sz w:val="24"/>
          <w:szCs w:val="24"/>
        </w:rPr>
      </w:pPr>
      <w:r w:rsidRPr="00FD78BA">
        <w:rPr>
          <w:b/>
          <w:bCs/>
          <w:sz w:val="24"/>
          <w:szCs w:val="24"/>
        </w:rPr>
        <w:t xml:space="preserve">Рабочая группа по оценке воздействия </w:t>
      </w:r>
      <w:r>
        <w:rPr>
          <w:b/>
          <w:bCs/>
          <w:sz w:val="24"/>
          <w:szCs w:val="24"/>
        </w:rPr>
        <w:br/>
      </w:r>
      <w:r w:rsidRPr="00FD78BA">
        <w:rPr>
          <w:b/>
          <w:bCs/>
          <w:sz w:val="24"/>
          <w:szCs w:val="24"/>
        </w:rPr>
        <w:t xml:space="preserve">на окружающую среду и стратегической </w:t>
      </w:r>
      <w:r>
        <w:rPr>
          <w:b/>
          <w:bCs/>
          <w:sz w:val="24"/>
          <w:szCs w:val="24"/>
        </w:rPr>
        <w:br/>
      </w:r>
      <w:r w:rsidRPr="00FD78BA">
        <w:rPr>
          <w:b/>
          <w:bCs/>
          <w:sz w:val="24"/>
          <w:szCs w:val="24"/>
        </w:rPr>
        <w:t>экологической оценке</w:t>
      </w:r>
    </w:p>
    <w:p w14:paraId="1E9794AB" w14:textId="77777777" w:rsidR="00FD78BA" w:rsidRPr="001339F1" w:rsidRDefault="00FD78BA" w:rsidP="00FD78BA">
      <w:pPr>
        <w:spacing w:before="120"/>
        <w:rPr>
          <w:b/>
        </w:rPr>
      </w:pPr>
      <w:r w:rsidRPr="001339F1">
        <w:rPr>
          <w:b/>
          <w:bCs/>
        </w:rPr>
        <w:t>Двенадцатое совещание</w:t>
      </w:r>
    </w:p>
    <w:p w14:paraId="382F24A3" w14:textId="189C54A4" w:rsidR="00FD78BA" w:rsidRPr="001339F1" w:rsidRDefault="00FD78BA" w:rsidP="00FD78BA">
      <w:r w:rsidRPr="001339F1">
        <w:t>Женева, 13–15 июня 2023 года</w:t>
      </w:r>
    </w:p>
    <w:p w14:paraId="039D43C1" w14:textId="77777777" w:rsidR="00FD78BA" w:rsidRPr="001339F1" w:rsidRDefault="00FD78BA" w:rsidP="00FD78BA">
      <w:r w:rsidRPr="001339F1">
        <w:t xml:space="preserve">Пункт 5 b) предварительной повестки дня  </w:t>
      </w:r>
    </w:p>
    <w:p w14:paraId="433D01FA" w14:textId="4067D82B" w:rsidR="00FD78BA" w:rsidRPr="001339F1" w:rsidRDefault="00FD78BA" w:rsidP="00FD78BA">
      <w:pPr>
        <w:rPr>
          <w:b/>
          <w:bCs/>
        </w:rPr>
      </w:pPr>
      <w:r w:rsidRPr="001339F1">
        <w:rPr>
          <w:b/>
          <w:bCs/>
        </w:rPr>
        <w:t xml:space="preserve">Соблюдение и осуществление: </w:t>
      </w:r>
      <w:r>
        <w:rPr>
          <w:b/>
          <w:bCs/>
        </w:rPr>
        <w:br/>
      </w:r>
      <w:r w:rsidRPr="001339F1">
        <w:rPr>
          <w:b/>
          <w:bCs/>
        </w:rPr>
        <w:t>представление отчетности и обзор осуществления</w:t>
      </w:r>
    </w:p>
    <w:p w14:paraId="1681BCDF" w14:textId="77777777" w:rsidR="00FD78BA" w:rsidRPr="001339F1" w:rsidRDefault="00FD78BA" w:rsidP="00FD78BA">
      <w:pPr>
        <w:pStyle w:val="HChG"/>
      </w:pPr>
      <w:r w:rsidRPr="001339F1">
        <w:tab/>
      </w:r>
      <w:r w:rsidRPr="001339F1">
        <w:tab/>
        <w:t>Проект решения о представлении отчетности и обзоре осуществления Конвенции</w:t>
      </w:r>
    </w:p>
    <w:p w14:paraId="0A3783D1" w14:textId="0CA3D4EE" w:rsidR="00FD78BA" w:rsidRDefault="00FD78BA" w:rsidP="00FD78BA">
      <w:pPr>
        <w:pStyle w:val="H1G"/>
      </w:pPr>
      <w:r w:rsidRPr="001339F1">
        <w:tab/>
      </w:r>
      <w:r w:rsidRPr="001339F1">
        <w:tab/>
        <w:t>Предложение Президиума</w:t>
      </w:r>
    </w:p>
    <w:tbl>
      <w:tblPr>
        <w:tblStyle w:val="ac"/>
        <w:tblW w:w="0" w:type="auto"/>
        <w:jc w:val="center"/>
        <w:tblLook w:val="05E0" w:firstRow="1" w:lastRow="1" w:firstColumn="1" w:lastColumn="1" w:noHBand="0" w:noVBand="1"/>
      </w:tblPr>
      <w:tblGrid>
        <w:gridCol w:w="9628"/>
      </w:tblGrid>
      <w:tr w:rsidR="00FD78BA" w:rsidRPr="00FD78BA" w14:paraId="3E0DA346" w14:textId="77777777" w:rsidTr="00850215">
        <w:trPr>
          <w:jc w:val="center"/>
        </w:trPr>
        <w:tc>
          <w:tcPr>
            <w:tcW w:w="9637" w:type="dxa"/>
            <w:tcBorders>
              <w:bottom w:val="nil"/>
            </w:tcBorders>
          </w:tcPr>
          <w:p w14:paraId="60C699F8" w14:textId="77777777" w:rsidR="00FD78BA" w:rsidRPr="00FD78BA" w:rsidRDefault="00FD78BA" w:rsidP="00850215">
            <w:pPr>
              <w:tabs>
                <w:tab w:val="left" w:pos="255"/>
              </w:tabs>
              <w:spacing w:before="240" w:after="120"/>
              <w:rPr>
                <w:rFonts w:cs="Times New Roman"/>
                <w:sz w:val="24"/>
              </w:rPr>
            </w:pPr>
            <w:r w:rsidRPr="00FD78BA">
              <w:rPr>
                <w:rFonts w:cs="Times New Roman"/>
              </w:rPr>
              <w:tab/>
            </w:r>
            <w:r w:rsidRPr="00FD78BA">
              <w:rPr>
                <w:rFonts w:cs="Times New Roman"/>
                <w:i/>
                <w:sz w:val="24"/>
              </w:rPr>
              <w:t>Резюме</w:t>
            </w:r>
          </w:p>
        </w:tc>
      </w:tr>
      <w:tr w:rsidR="00FD78BA" w:rsidRPr="00FD78BA" w14:paraId="4FB02870" w14:textId="77777777" w:rsidTr="00850215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2C3D88A7" w14:textId="4801D096" w:rsidR="00FD78BA" w:rsidRPr="00FD78BA" w:rsidRDefault="00FD78BA" w:rsidP="00D6488B">
            <w:pPr>
              <w:pStyle w:val="SingleTxtG"/>
            </w:pPr>
            <w:r>
              <w:tab/>
            </w:r>
            <w:r w:rsidRPr="001339F1">
              <w:t>В соответствии с мандатом, предоставленным Рабочей группе по оценке воздействия на окружающую среду и стратегической экологической оценке Совещанием Сторон Конвенции об оценке воздействия на окружающую среду в трансграничном контексте и Совещанием Сторон Протокола по стратегической экологической оценке, на Рабочую группу возложена задача подготавливать для этих руководящих органов рекомендации в отношении дальнейшей работы по Конвенции и Протоколу.</w:t>
            </w:r>
          </w:p>
        </w:tc>
      </w:tr>
      <w:tr w:rsidR="00FD78BA" w:rsidRPr="00FD78BA" w14:paraId="07405A0B" w14:textId="77777777" w:rsidTr="00850215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16F9C67D" w14:textId="204D6BE1" w:rsidR="00FD78BA" w:rsidRPr="00FD78BA" w:rsidRDefault="00FD78BA" w:rsidP="00D6488B">
            <w:pPr>
              <w:pStyle w:val="SingleTxtG"/>
            </w:pPr>
            <w:r>
              <w:tab/>
            </w:r>
            <w:r w:rsidRPr="001339F1">
              <w:t>В соответствии с вышеупомянутым мандатом в настоящем документе приводится проект решения IX/5 о представлении отчетности и обзоре осуществления Конвенции, подготовленный Президиумом для рассмотрения Рабочей группой.</w:t>
            </w:r>
          </w:p>
        </w:tc>
      </w:tr>
      <w:tr w:rsidR="00FD78BA" w:rsidRPr="00FD78BA" w14:paraId="4EF0DA5A" w14:textId="77777777" w:rsidTr="00850215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3C9583DF" w14:textId="00910741" w:rsidR="00FD78BA" w:rsidRDefault="00FD78BA" w:rsidP="00D6488B">
            <w:pPr>
              <w:pStyle w:val="SingleTxtG"/>
            </w:pPr>
            <w:r>
              <w:tab/>
            </w:r>
            <w:r w:rsidRPr="001339F1">
              <w:t>Как ожидается, Рабочая группа рассмотрит и согласует текст проекта решения, подлежавший препровождению для рассмотрения Совещанием Сторон Конвенции на его девятой сессии (Женева, 12–15 декабря 202</w:t>
            </w:r>
            <w:r w:rsidR="00182AB7">
              <w:t>3</w:t>
            </w:r>
            <w:r w:rsidRPr="001339F1">
              <w:t xml:space="preserve"> года). Следует отметить, что в пункте</w:t>
            </w:r>
            <w:r w:rsidR="00BC4595">
              <w:rPr>
                <w:lang w:val="en-US"/>
              </w:rPr>
              <w:t> </w:t>
            </w:r>
            <w:r w:rsidRPr="001339F1">
              <w:t xml:space="preserve">5 проекта решения IX/5 перечислены основные выводы проекта седьмого обзора осуществления Конвенции (ECE/MP.EIA/WG.2/2023/[...]), согласованные </w:t>
            </w:r>
            <w:r w:rsidRPr="001339F1">
              <w:lastRenderedPageBreak/>
              <w:t>Рабочей группой на ее одиннадцатом совещании (Женева, 19</w:t>
            </w:r>
            <w:r w:rsidR="00BC4595" w:rsidRPr="00BC4595">
              <w:t>–</w:t>
            </w:r>
            <w:r w:rsidRPr="001339F1">
              <w:t>21 декабря 2022 года), а</w:t>
            </w:r>
            <w:r w:rsidR="00BC4595">
              <w:rPr>
                <w:lang w:val="en-US"/>
              </w:rPr>
              <w:t> </w:t>
            </w:r>
            <w:r w:rsidRPr="001339F1">
              <w:t xml:space="preserve">в пункте 6 проекта решения IX/5 те основные выводы, которые остаются действительными по итогам шестого обзора осуществления Конвенции (ECE/MP.EIA/32), принятого Совещанием Сторон на его восьмой сессии (Вильнюс </w:t>
            </w:r>
            <w:r w:rsidR="00BC4595">
              <w:br/>
            </w:r>
            <w:r w:rsidRPr="00BC4595">
              <w:t xml:space="preserve">(в онлайновом режиме), </w:t>
            </w:r>
            <w:r w:rsidRPr="001339F1">
              <w:t>8</w:t>
            </w:r>
            <w:r w:rsidR="00BC4595" w:rsidRPr="00BC4595">
              <w:t>–</w:t>
            </w:r>
            <w:r w:rsidRPr="001339F1">
              <w:t>11 декабря 2020 года).</w:t>
            </w:r>
          </w:p>
        </w:tc>
      </w:tr>
      <w:tr w:rsidR="00FD78BA" w:rsidRPr="00FD78BA" w14:paraId="520A6BBD" w14:textId="77777777" w:rsidTr="00850215">
        <w:trPr>
          <w:jc w:val="center"/>
        </w:trPr>
        <w:tc>
          <w:tcPr>
            <w:tcW w:w="9637" w:type="dxa"/>
            <w:tcBorders>
              <w:top w:val="nil"/>
            </w:tcBorders>
          </w:tcPr>
          <w:p w14:paraId="340C2C40" w14:textId="77777777" w:rsidR="00FD78BA" w:rsidRPr="00FD78BA" w:rsidRDefault="00FD78BA" w:rsidP="00850215">
            <w:pPr>
              <w:rPr>
                <w:rFonts w:cs="Times New Roman"/>
              </w:rPr>
            </w:pPr>
          </w:p>
        </w:tc>
      </w:tr>
    </w:tbl>
    <w:p w14:paraId="5F535F90" w14:textId="77777777" w:rsidR="00FD78BA" w:rsidRDefault="00FD78BA" w:rsidP="00FD78BA">
      <w:pPr>
        <w:pStyle w:val="HChG"/>
        <w:rPr>
          <w:bCs/>
          <w:sz w:val="20"/>
        </w:rPr>
      </w:pPr>
      <w:r>
        <w:rPr>
          <w:bCs/>
          <w:sz w:val="20"/>
        </w:rPr>
        <w:br w:type="page"/>
      </w:r>
    </w:p>
    <w:p w14:paraId="7E76232E" w14:textId="236A2FBB" w:rsidR="00FD78BA" w:rsidRPr="001339F1" w:rsidRDefault="00FD78BA" w:rsidP="00FD78BA">
      <w:pPr>
        <w:pStyle w:val="HChG"/>
      </w:pPr>
      <w:r>
        <w:tab/>
      </w:r>
      <w:r>
        <w:tab/>
      </w:r>
      <w:r w:rsidRPr="001339F1">
        <w:t>Решение IX/5</w:t>
      </w:r>
    </w:p>
    <w:p w14:paraId="15308BA8" w14:textId="77777777" w:rsidR="00FD78BA" w:rsidRPr="001339F1" w:rsidRDefault="00FD78BA" w:rsidP="00FD78BA">
      <w:pPr>
        <w:pStyle w:val="H23G"/>
        <w:rPr>
          <w:rFonts w:eastAsia="Calibri"/>
        </w:rPr>
      </w:pPr>
      <w:r w:rsidRPr="001339F1">
        <w:tab/>
      </w:r>
      <w:r w:rsidRPr="001339F1">
        <w:tab/>
        <w:t>Представление отчетности и обзор осуществления Конвенции</w:t>
      </w:r>
    </w:p>
    <w:p w14:paraId="026A6DE6" w14:textId="77777777" w:rsidR="00FD78BA" w:rsidRPr="001339F1" w:rsidRDefault="00FD78BA" w:rsidP="00FD78BA">
      <w:pPr>
        <w:pStyle w:val="SingleTxtG"/>
        <w:ind w:firstLine="567"/>
        <w:rPr>
          <w:i/>
          <w:iCs/>
        </w:rPr>
      </w:pPr>
      <w:r w:rsidRPr="001339F1">
        <w:rPr>
          <w:i/>
          <w:iCs/>
        </w:rPr>
        <w:t>Совещание Сторон Конвенции,</w:t>
      </w:r>
    </w:p>
    <w:p w14:paraId="4806B711" w14:textId="06E2BFF7" w:rsidR="00FD78BA" w:rsidRPr="001339F1" w:rsidRDefault="00FD78BA" w:rsidP="00FD78BA">
      <w:pPr>
        <w:pStyle w:val="SingleTxtG"/>
        <w:ind w:firstLine="567"/>
      </w:pPr>
      <w:r w:rsidRPr="001339F1">
        <w:rPr>
          <w:i/>
          <w:iCs/>
        </w:rPr>
        <w:t>ссылаясь</w:t>
      </w:r>
      <w:r w:rsidRPr="001339F1">
        <w:t xml:space="preserve"> на свои решения III/1, IV/1 и V/3 об обзоре осуществления и </w:t>
      </w:r>
      <w:r>
        <w:br/>
      </w:r>
      <w:r w:rsidRPr="001339F1">
        <w:t>решения V/7-I/7, VI/1, VII/1 и VIII/5 о представлении отчетности и обзоре осуществления</w:t>
      </w:r>
      <w:r w:rsidRPr="001339F1">
        <w:rPr>
          <w:vertAlign w:val="superscript"/>
        </w:rPr>
        <w:footnoteReference w:id="1"/>
      </w:r>
      <w:r w:rsidRPr="001339F1">
        <w:t>,</w:t>
      </w:r>
    </w:p>
    <w:p w14:paraId="44A9EEF4" w14:textId="6CDDB0AE" w:rsidR="00FD78BA" w:rsidRPr="001339F1" w:rsidRDefault="00FD78BA" w:rsidP="00FD78BA">
      <w:pPr>
        <w:pStyle w:val="SingleTxtG"/>
        <w:ind w:firstLine="567"/>
      </w:pPr>
      <w:r w:rsidRPr="001339F1">
        <w:rPr>
          <w:i/>
          <w:iCs/>
        </w:rPr>
        <w:t>ссылаясь также</w:t>
      </w:r>
      <w:r w:rsidRPr="001339F1">
        <w:t xml:space="preserve"> на статью 14</w:t>
      </w:r>
      <w:r w:rsidR="00BC4595">
        <w:rPr>
          <w:lang w:val="en-US"/>
        </w:rPr>
        <w:t> </w:t>
      </w:r>
      <w:r w:rsidRPr="001339F1">
        <w:t>bis Конвенции об оценке воздействия на окружающую среду в трансграничном контексте, в которой от Сторон требуется представлять доклады об осуществлении ими Конвенции,</w:t>
      </w:r>
    </w:p>
    <w:p w14:paraId="4640E713" w14:textId="77777777" w:rsidR="00FD78BA" w:rsidRPr="001339F1" w:rsidRDefault="00FD78BA" w:rsidP="00FD78BA">
      <w:pPr>
        <w:pStyle w:val="SingleTxtG"/>
        <w:ind w:firstLine="567"/>
      </w:pPr>
      <w:r w:rsidRPr="001339F1">
        <w:rPr>
          <w:i/>
          <w:iCs/>
        </w:rPr>
        <w:t>напоминая далее о том</w:t>
      </w:r>
      <w:r w:rsidRPr="001339F1">
        <w:t>, что регулярное представление докладов каждой Стороной обеспечивает поступление важной информации, которая облегчает обзор соблюдения Конвенции и тем самым способствует работе Комитета по осуществлению,</w:t>
      </w:r>
    </w:p>
    <w:p w14:paraId="42ED94FA" w14:textId="77777777" w:rsidR="00FD78BA" w:rsidRPr="001339F1" w:rsidRDefault="00FD78BA" w:rsidP="00FD78BA">
      <w:pPr>
        <w:pStyle w:val="SingleTxtG"/>
        <w:ind w:firstLine="567"/>
      </w:pPr>
      <w:r w:rsidRPr="001339F1">
        <w:rPr>
          <w:i/>
          <w:iCs/>
        </w:rPr>
        <w:t>признавая,</w:t>
      </w:r>
      <w:r w:rsidRPr="001339F1">
        <w:t xml:space="preserve"> что отчетность Сторон обеспечивает полезную информацию другим странам в регионе Европейской экономической комиссии Организации Объединенных Наций (ЕЭК) и за его пределами, </w:t>
      </w:r>
      <w:r>
        <w:t>а это</w:t>
      </w:r>
      <w:r w:rsidRPr="001339F1">
        <w:t xml:space="preserve"> облегчает их усилия по осуществлению Конвенции и присоединению к ней,</w:t>
      </w:r>
      <w:bookmarkStart w:id="0" w:name="_Hlk35349677"/>
      <w:bookmarkEnd w:id="0"/>
    </w:p>
    <w:p w14:paraId="2F7902D4" w14:textId="260A0C33" w:rsidR="00FD78BA" w:rsidRPr="001339F1" w:rsidRDefault="00FD78BA" w:rsidP="00FD78BA">
      <w:pPr>
        <w:pStyle w:val="SingleTxtG"/>
        <w:rPr>
          <w:iCs/>
        </w:rPr>
      </w:pPr>
      <w:r>
        <w:rPr>
          <w:i/>
          <w:iCs/>
        </w:rPr>
        <w:tab/>
      </w:r>
      <w:r w:rsidRPr="001339F1">
        <w:rPr>
          <w:i/>
          <w:iCs/>
        </w:rPr>
        <w:t>признавая также</w:t>
      </w:r>
      <w:r w:rsidRPr="001339F1">
        <w:t xml:space="preserve"> обеспечиваемые с помощью национальной отчетности возможности сбора информации о надлежащей практике и ее распространения, </w:t>
      </w:r>
    </w:p>
    <w:p w14:paraId="506E47D8" w14:textId="77777777" w:rsidR="00FD78BA" w:rsidRPr="001339F1" w:rsidRDefault="00FD78BA" w:rsidP="00FD78BA">
      <w:pPr>
        <w:pStyle w:val="SingleTxtG"/>
        <w:ind w:firstLine="567"/>
        <w:rPr>
          <w:iCs/>
        </w:rPr>
      </w:pPr>
      <w:r w:rsidRPr="001339F1">
        <w:rPr>
          <w:i/>
          <w:iCs/>
        </w:rPr>
        <w:t>решительно подчеркивая</w:t>
      </w:r>
      <w:r w:rsidRPr="001339F1">
        <w:t xml:space="preserve"> важное значение своевременности и высокого качества национальной отчетности,</w:t>
      </w:r>
    </w:p>
    <w:p w14:paraId="31C71897" w14:textId="77777777" w:rsidR="00FD78BA" w:rsidRPr="001339F1" w:rsidRDefault="00FD78BA" w:rsidP="00FD78BA">
      <w:pPr>
        <w:pStyle w:val="SingleTxtG"/>
        <w:ind w:firstLine="567"/>
        <w:rPr>
          <w:rFonts w:eastAsia="Calibri"/>
        </w:rPr>
      </w:pPr>
      <w:r w:rsidRPr="001339F1">
        <w:rPr>
          <w:i/>
          <w:iCs/>
        </w:rPr>
        <w:t>проанализировав</w:t>
      </w:r>
      <w:r w:rsidRPr="001339F1">
        <w:t xml:space="preserve"> доклады, представленные Сторонами в ответ на вопросник об осуществлении Конвенции в период 2019–2021 годов,</w:t>
      </w:r>
    </w:p>
    <w:p w14:paraId="3E071AA5" w14:textId="77777777" w:rsidR="00FD78BA" w:rsidRPr="001339F1" w:rsidRDefault="00FD78BA" w:rsidP="00FD78BA">
      <w:pPr>
        <w:pStyle w:val="SingleTxtG"/>
        <w:ind w:firstLine="567"/>
      </w:pPr>
      <w:r w:rsidRPr="001339F1">
        <w:t>1.</w:t>
      </w:r>
      <w:r w:rsidRPr="001339F1">
        <w:tab/>
      </w:r>
      <w:r w:rsidRPr="001339F1">
        <w:rPr>
          <w:i/>
          <w:iCs/>
        </w:rPr>
        <w:t>приветствует</w:t>
      </w:r>
      <w:r w:rsidRPr="001339F1">
        <w:t xml:space="preserve"> доклады Сторон и одной страны, не являющейся Стороной (Грузия), об осуществлении ими Конвенции в период 2019–2021 годов, которые были размещены на веб-сайте договора;</w:t>
      </w:r>
    </w:p>
    <w:p w14:paraId="3195F1DA" w14:textId="63DA635F" w:rsidR="00FD78BA" w:rsidRPr="001339F1" w:rsidRDefault="00FD78BA" w:rsidP="00FD78BA">
      <w:pPr>
        <w:pStyle w:val="SingleTxtG"/>
        <w:ind w:firstLine="567"/>
      </w:pPr>
      <w:r w:rsidRPr="001339F1">
        <w:t>2.</w:t>
      </w:r>
      <w:r w:rsidRPr="001339F1">
        <w:tab/>
      </w:r>
      <w:r w:rsidRPr="001339F1">
        <w:rPr>
          <w:i/>
          <w:iCs/>
        </w:rPr>
        <w:t xml:space="preserve">выражает серьезную озабоченность </w:t>
      </w:r>
      <w:r w:rsidRPr="001339F1">
        <w:t xml:space="preserve">тем, что на вопросник не ответили следующие </w:t>
      </w:r>
      <w:r w:rsidR="00BC4595">
        <w:t>шесть</w:t>
      </w:r>
      <w:r w:rsidRPr="001339F1">
        <w:t xml:space="preserve"> Сторон: Болгария, Кыргызстан, Лихтенштейн, Северная Македония, Сербия и Украина и что Европейский союз ограничился представлением незаполненного вопросника с отдельной запиской, содержащей информацию, которую он решил предоставить;  </w:t>
      </w:r>
    </w:p>
    <w:p w14:paraId="606BFDBA" w14:textId="77777777" w:rsidR="00FD78BA" w:rsidRPr="001339F1" w:rsidRDefault="00FD78BA" w:rsidP="00FD78BA">
      <w:pPr>
        <w:pStyle w:val="SingleTxtG"/>
        <w:ind w:firstLine="567"/>
      </w:pPr>
      <w:r w:rsidRPr="001339F1">
        <w:t>3.</w:t>
      </w:r>
      <w:r w:rsidRPr="001339F1">
        <w:tab/>
      </w:r>
      <w:r w:rsidRPr="001339F1">
        <w:rPr>
          <w:i/>
          <w:iCs/>
        </w:rPr>
        <w:t>выражает озабоченность</w:t>
      </w:r>
      <w:r w:rsidRPr="001339F1">
        <w:t xml:space="preserve"> тем, что на вопросник ответили с задержкой в несколько недель или месяцев следующие 10 Сторон: Германия, Дания, Ирландия, Казахстан, Канада, Кипр, Люксембург, Португалия, Словения и Соединенное Королевство Великобритании и Северной Ирландии;</w:t>
      </w:r>
    </w:p>
    <w:p w14:paraId="29F1B7FE" w14:textId="6B7644CF" w:rsidR="00FD78BA" w:rsidRPr="001339F1" w:rsidRDefault="00FD78BA" w:rsidP="00FD78BA">
      <w:pPr>
        <w:pStyle w:val="SingleTxtG"/>
        <w:ind w:firstLine="567"/>
      </w:pPr>
      <w:r w:rsidRPr="001339F1">
        <w:t>4.</w:t>
      </w:r>
      <w:r w:rsidRPr="001339F1">
        <w:tab/>
      </w:r>
      <w:r w:rsidRPr="001339F1">
        <w:rPr>
          <w:i/>
          <w:iCs/>
        </w:rPr>
        <w:t>утверждает</w:t>
      </w:r>
      <w:r w:rsidRPr="001339F1">
        <w:t xml:space="preserve"> седьмой обзор осуществления Конвенции (ECE/MP.EIA/2023/[...]) и просит секретариат при условии наличия ресурсов организовать его опубликование в электронном виде на всех трех официальных языках</w:t>
      </w:r>
      <w:r w:rsidR="00BC4595">
        <w:t> </w:t>
      </w:r>
      <w:r w:rsidRPr="001339F1">
        <w:t>ЕЭК;</w:t>
      </w:r>
    </w:p>
    <w:p w14:paraId="392C4292" w14:textId="77777777" w:rsidR="00FD78BA" w:rsidRPr="001339F1" w:rsidRDefault="00FD78BA" w:rsidP="00FD78BA">
      <w:pPr>
        <w:pStyle w:val="SingleTxtG"/>
        <w:ind w:firstLine="567"/>
      </w:pPr>
      <w:r w:rsidRPr="001339F1">
        <w:t>5.</w:t>
      </w:r>
      <w:r w:rsidRPr="001339F1">
        <w:tab/>
        <w:t>принимает к сведению выводы, содержащиеся в седьмом обзоре осуществления Конвенции</w:t>
      </w:r>
      <w:r w:rsidRPr="001339F1">
        <w:rPr>
          <w:vertAlign w:val="superscript"/>
        </w:rPr>
        <w:footnoteReference w:id="2"/>
      </w:r>
      <w:r w:rsidRPr="001339F1">
        <w:t>, в том числе возможные слабые места или недостатки в осуществлении Конвенции Сторонами, а также области, где требуется его дальнейшее улучшение, которые характеризуются ниже:</w:t>
      </w:r>
    </w:p>
    <w:p w14:paraId="7202B6D3" w14:textId="77777777" w:rsidR="00FD78BA" w:rsidRPr="001339F1" w:rsidRDefault="00FD78BA" w:rsidP="00FD78BA">
      <w:pPr>
        <w:pStyle w:val="SingleTxtG"/>
        <w:ind w:firstLine="567"/>
      </w:pPr>
      <w:r w:rsidRPr="001339F1">
        <w:t>a)</w:t>
      </w:r>
      <w:r w:rsidRPr="001339F1">
        <w:tab/>
        <w:t>ряду Сторон Конвенции еще предстоит ее ратифицировать и/или перенести в национальное законодательство поправки к ней, чтобы обеспечить единообразное применение Конвенции всеми Сторонами;</w:t>
      </w:r>
    </w:p>
    <w:p w14:paraId="6D2CAA0C" w14:textId="77777777" w:rsidR="00FD78BA" w:rsidRPr="001339F1" w:rsidRDefault="00FD78BA" w:rsidP="00FD78BA">
      <w:pPr>
        <w:pStyle w:val="SingleTxtG"/>
        <w:ind w:firstLine="567"/>
      </w:pPr>
      <w:r w:rsidRPr="001339F1">
        <w:t>b)</w:t>
      </w:r>
      <w:r w:rsidRPr="001339F1">
        <w:tab/>
        <w:t>Стороны продолжают сообщать о проблемах, связанных с письменным и устным переводом. Можно и далее привлекать внимание Сторон к практике заключения двусторонних или многосторонних соглашений и/или оказывать им помощь в их заключении, поскольку такие соглашения представляются эффективным средством улучшения положения в том, что касается общих проблем с письменным и устным переводом;</w:t>
      </w:r>
    </w:p>
    <w:p w14:paraId="65846FB0" w14:textId="77777777" w:rsidR="00FD78BA" w:rsidRPr="001339F1" w:rsidRDefault="00FD78BA" w:rsidP="00FD78BA">
      <w:pPr>
        <w:pStyle w:val="SingleTxtG"/>
        <w:ind w:firstLine="567"/>
      </w:pPr>
      <w:r w:rsidRPr="001339F1">
        <w:t>c)</w:t>
      </w:r>
      <w:r w:rsidRPr="001339F1">
        <w:tab/>
        <w:t>имеет место использование сетей «координационных центров» и «контактных пунктов», которые высоко ценятся, но необходимо добиться того, чтобы Стороны постоянно обновляли контактную информацию. В силу этого крайне важно, чтобы любые изменения в контактной информации национальных структур незамедлительно доводились до сведения секретариата;</w:t>
      </w:r>
    </w:p>
    <w:p w14:paraId="24BDB158" w14:textId="77777777" w:rsidR="00FD78BA" w:rsidRPr="001339F1" w:rsidRDefault="00FD78BA" w:rsidP="00FD78BA">
      <w:pPr>
        <w:pStyle w:val="SingleTxtG"/>
        <w:ind w:firstLine="567"/>
      </w:pPr>
      <w:r w:rsidRPr="001339F1">
        <w:t>d)</w:t>
      </w:r>
      <w:r w:rsidRPr="001339F1">
        <w:tab/>
        <w:t>масштабы использования Сторонами официальных руководящих указаний ЕЭК выросли по сравнению с тенденциями использования, о которых сообщалось в шестом обзоре. Следует и далее содействовать повышению осведомленности о руководящих документах и их использованию;</w:t>
      </w:r>
    </w:p>
    <w:p w14:paraId="1C4940DB" w14:textId="77777777" w:rsidR="00FD78BA" w:rsidRPr="001339F1" w:rsidRDefault="00FD78BA" w:rsidP="00FD78BA">
      <w:pPr>
        <w:pStyle w:val="SingleTxtG"/>
        <w:ind w:firstLine="567"/>
      </w:pPr>
      <w:r w:rsidRPr="001339F1">
        <w:t>e)</w:t>
      </w:r>
      <w:r w:rsidRPr="001339F1">
        <w:tab/>
        <w:t>за время пандемии коронавирусного заболевания (COVID-19) некоторые Стороны</w:t>
      </w:r>
      <w:r>
        <w:t xml:space="preserve"> </w:t>
      </w:r>
      <w:r w:rsidRPr="001339F1">
        <w:t xml:space="preserve">приобрели опыт использования электронных технологий для дистанционного проведения консультаций и процедур участия. В эффективном и действенном продвижении практики консультаций и участия может помочь пропаганда </w:t>
      </w:r>
      <w:r>
        <w:t>информации об</w:t>
      </w:r>
      <w:r w:rsidRPr="001339F1">
        <w:t xml:space="preserve"> извлеченных урок</w:t>
      </w:r>
      <w:r>
        <w:t>ах</w:t>
      </w:r>
      <w:r w:rsidRPr="001339F1">
        <w:t xml:space="preserve"> и </w:t>
      </w:r>
      <w:r>
        <w:t xml:space="preserve">о </w:t>
      </w:r>
      <w:r w:rsidRPr="001339F1">
        <w:t>надлежащей практик</w:t>
      </w:r>
      <w:r>
        <w:t>е</w:t>
      </w:r>
      <w:r w:rsidRPr="001339F1">
        <w:t xml:space="preserve"> использования дистанционных коммуникационных технологий;</w:t>
      </w:r>
    </w:p>
    <w:p w14:paraId="4149DAC4" w14:textId="77777777" w:rsidR="00FD78BA" w:rsidRPr="001339F1" w:rsidRDefault="00FD78BA" w:rsidP="00FD78BA">
      <w:pPr>
        <w:pStyle w:val="SingleTxtG"/>
        <w:ind w:firstLine="567"/>
      </w:pPr>
      <w:r w:rsidRPr="001339F1">
        <w:t>f)</w:t>
      </w:r>
      <w:r w:rsidRPr="001339F1">
        <w:tab/>
        <w:t>двенадцать Сторон, а также Грузия сообщают, что трансграничная оценка воздействия на окружающую среду внесла значительный вклад в достижение Целей в области устойчивого развития, однако многие респонденты в ответ на этот вопрос обратили внимание на трудности с получением надежных документальных подтверждений такого вклада;</w:t>
      </w:r>
    </w:p>
    <w:p w14:paraId="495A5670" w14:textId="4C327855" w:rsidR="00FD78BA" w:rsidRPr="001339F1" w:rsidRDefault="00FD78BA" w:rsidP="00FD78BA">
      <w:pPr>
        <w:pStyle w:val="SingleTxtG"/>
        <w:ind w:firstLine="567"/>
      </w:pPr>
      <w:r w:rsidRPr="001339F1">
        <w:t>g)</w:t>
      </w:r>
      <w:r w:rsidRPr="001339F1">
        <w:tab/>
        <w:t>за отчетный период увеличилось число Сторон (</w:t>
      </w:r>
      <w:r w:rsidR="00BC4595">
        <w:t>10</w:t>
      </w:r>
      <w:r w:rsidRPr="001339F1">
        <w:t xml:space="preserve"> Сторон против трех в предыдущем обзоре), которые не представили отчетность вовремя, а также не направили ответы на вопросник в течение двух месяцев с момента наступления предельного срока представления отчетности. Соответственно, доля Сторон, представленных в данных, которые легли в основу обзора осуществления, сократилась с 93 % в шестом докладе до 75 % в седьмом;</w:t>
      </w:r>
    </w:p>
    <w:p w14:paraId="29B2DA3C" w14:textId="77777777" w:rsidR="00FD78BA" w:rsidRPr="001339F1" w:rsidRDefault="00FD78BA" w:rsidP="00FD78BA">
      <w:pPr>
        <w:pStyle w:val="SingleTxtG"/>
        <w:ind w:firstLine="567"/>
      </w:pPr>
      <w:r w:rsidRPr="001339F1">
        <w:t>h)</w:t>
      </w:r>
      <w:r w:rsidRPr="001339F1">
        <w:tab/>
        <w:t>возросло число Сторон, пред</w:t>
      </w:r>
      <w:r>
        <w:t>о</w:t>
      </w:r>
      <w:r w:rsidRPr="001339F1">
        <w:t>ставивших примеры надлежащей практики, что свидетельствует о пользе и потенциале вопросников как инструментов для сбора информации о надлежащей практике в будущем;</w:t>
      </w:r>
    </w:p>
    <w:p w14:paraId="4D6AF794" w14:textId="5C2CCED1" w:rsidR="00FD78BA" w:rsidRPr="001339F1" w:rsidRDefault="00FD78BA" w:rsidP="00FD78BA">
      <w:pPr>
        <w:pStyle w:val="SingleTxtG"/>
        <w:ind w:firstLine="567"/>
      </w:pPr>
      <w:r w:rsidRPr="001339F1">
        <w:t>6.</w:t>
      </w:r>
      <w:r w:rsidRPr="001339F1">
        <w:tab/>
        <w:t xml:space="preserve">вновь </w:t>
      </w:r>
      <w:r w:rsidRPr="001339F1">
        <w:rPr>
          <w:i/>
          <w:iCs/>
        </w:rPr>
        <w:t>отмечает</w:t>
      </w:r>
      <w:r w:rsidRPr="001339F1">
        <w:t xml:space="preserve"> ранее сделанные в шестом обзоре осуществления</w:t>
      </w:r>
      <w:r w:rsidRPr="001339F1">
        <w:rPr>
          <w:vertAlign w:val="superscript"/>
        </w:rPr>
        <w:footnoteReference w:id="3"/>
      </w:r>
      <w:r w:rsidRPr="001339F1">
        <w:t xml:space="preserve"> выводы, из которых остаются действительными и могут потребовать рассмотрения следующие:  </w:t>
      </w:r>
    </w:p>
    <w:p w14:paraId="1BA8C30F" w14:textId="32C3B55C" w:rsidR="00FD78BA" w:rsidRPr="001339F1" w:rsidRDefault="00FD78BA" w:rsidP="00FD78BA">
      <w:pPr>
        <w:pStyle w:val="SingleTxtG"/>
        <w:ind w:firstLine="567"/>
      </w:pPr>
      <w:r w:rsidRPr="001339F1">
        <w:t>a)</w:t>
      </w:r>
      <w:r w:rsidRPr="001339F1">
        <w:tab/>
        <w:t>применяемые Сторонами определения ключевых терминов Конвенции и их подходы к таким ключевым терминам, как «воздействие», «трансграничное воздействие» и «существенное изменение», по-прежнему различаются, что может вызвать проблемы, особенно в случае, если следствием этого является отсутствие ясности в отношении того, какие планируемые виды деятельности подпадают под сферу действия Конвенции (ст. 1 и 6);</w:t>
      </w:r>
    </w:p>
    <w:p w14:paraId="344FC535" w14:textId="77777777" w:rsidR="00FD78BA" w:rsidRPr="001339F1" w:rsidRDefault="00FD78BA" w:rsidP="00FD78BA">
      <w:pPr>
        <w:pStyle w:val="SingleTxtG"/>
        <w:ind w:firstLine="567"/>
      </w:pPr>
      <w:r w:rsidRPr="001339F1">
        <w:t>b)</w:t>
      </w:r>
      <w:r w:rsidRPr="001339F1">
        <w:tab/>
        <w:t>четко сформулированное положение о том, как обеспечивать применение пункта 3 статьи 6, требующего доводить до сведения заинтересованных Сторон обновленную дополнительную информацию, которая может вызвать необходимость проведения консультаций и принятия нового решения до начала деятельности, имеет в своем законодательстве лишь меньшая часть Сторон;</w:t>
      </w:r>
    </w:p>
    <w:p w14:paraId="734D42EA" w14:textId="1B21EB70" w:rsidR="00FD78BA" w:rsidRPr="001339F1" w:rsidRDefault="00FD78BA" w:rsidP="00FD78BA">
      <w:pPr>
        <w:pStyle w:val="SingleTxtG"/>
      </w:pPr>
      <w:r>
        <w:tab/>
      </w:r>
      <w:r w:rsidRPr="001339F1">
        <w:t>c)</w:t>
      </w:r>
      <w:r w:rsidRPr="001339F1">
        <w:tab/>
        <w:t>накоплен лишь первичный опыт проведения послепроектного анализа в соответствии со статьей 7, при этом четко сформулированных положений, обеспечивающих выполнение этой статьи, в своем законодательстве не имеют 11</w:t>
      </w:r>
      <w:r>
        <w:rPr>
          <w:lang w:val="en-US"/>
        </w:rPr>
        <w:t> </w:t>
      </w:r>
      <w:r w:rsidRPr="001339F1">
        <w:t>Сторон;</w:t>
      </w:r>
    </w:p>
    <w:p w14:paraId="760D01D7" w14:textId="77777777" w:rsidR="00FD78BA" w:rsidRPr="001339F1" w:rsidRDefault="00FD78BA" w:rsidP="00FD78BA">
      <w:pPr>
        <w:pStyle w:val="SingleTxtG"/>
        <w:ind w:firstLine="567"/>
      </w:pPr>
      <w:r w:rsidRPr="001339F1">
        <w:t>d)</w:t>
      </w:r>
      <w:r w:rsidRPr="001339F1">
        <w:tab/>
        <w:t>практика перевода документации для затрагиваемых Сторон различается. Стороны указывают в связи с такой практикой на ряд трудностей и вызывающих беспокойство проблем, в частности на проблему качества перевода и необходимость выполнения перевода с должным учетом графиков проведения консультаций и участия общественности;</w:t>
      </w:r>
    </w:p>
    <w:p w14:paraId="6C0C989A" w14:textId="77777777" w:rsidR="00FD78BA" w:rsidRPr="001339F1" w:rsidRDefault="00FD78BA" w:rsidP="00FD78BA">
      <w:pPr>
        <w:pStyle w:val="SingleTxtG"/>
        <w:ind w:firstLine="567"/>
      </w:pPr>
      <w:r w:rsidRPr="001339F1">
        <w:t>e)</w:t>
      </w:r>
      <w:r w:rsidRPr="001339F1">
        <w:tab/>
        <w:t>может быть полезным заключение двусторонних и многосторонних соглашений или других договоренностей в соответствии со статьей 8, в частности для устранения различий между практикой применения Конвенции Сторонами;</w:t>
      </w:r>
    </w:p>
    <w:p w14:paraId="3A4743C2" w14:textId="77777777" w:rsidR="00FD78BA" w:rsidRPr="001339F1" w:rsidRDefault="00FD78BA" w:rsidP="00FD78BA">
      <w:pPr>
        <w:pStyle w:val="SingleTxtG"/>
        <w:ind w:firstLine="567"/>
      </w:pPr>
      <w:r w:rsidRPr="001339F1">
        <w:t>f)</w:t>
      </w:r>
      <w:r w:rsidRPr="001339F1">
        <w:tab/>
        <w:t>обзор осложнило несвоевременное представление отчетности Сторонами;</w:t>
      </w:r>
    </w:p>
    <w:p w14:paraId="5AFF2E09" w14:textId="77777777" w:rsidR="00FD78BA" w:rsidRPr="001339F1" w:rsidRDefault="00FD78BA" w:rsidP="00FD78BA">
      <w:pPr>
        <w:pStyle w:val="SingleTxtG"/>
        <w:ind w:firstLine="567"/>
      </w:pPr>
      <w:r w:rsidRPr="001339F1">
        <w:t>g)</w:t>
      </w:r>
      <w:r w:rsidRPr="001339F1">
        <w:tab/>
        <w:t>для обеспечения качества документации по оценке воздействия на окружающую среду Стороны используют разные меры контроля качества;</w:t>
      </w:r>
    </w:p>
    <w:p w14:paraId="0A95F0D4" w14:textId="77777777" w:rsidR="00FD78BA" w:rsidRPr="001339F1" w:rsidRDefault="00FD78BA" w:rsidP="00FD78BA">
      <w:pPr>
        <w:pStyle w:val="SingleTxtG"/>
        <w:ind w:firstLine="567"/>
      </w:pPr>
      <w:r w:rsidRPr="001339F1">
        <w:t>h)</w:t>
      </w:r>
      <w:r w:rsidRPr="001339F1">
        <w:tab/>
        <w:t>сообщается о большом разнообразии практики и опыта осуществления Конвенции, однако добровольные инициативы по распространению информации о применяемой ими надлежащей практике путем подготовки информационных бюллетеней берут на себя лишь немногие Стороны.</w:t>
      </w:r>
    </w:p>
    <w:p w14:paraId="3544BB86" w14:textId="77777777" w:rsidR="00FD78BA" w:rsidRPr="001339F1" w:rsidRDefault="00FD78BA" w:rsidP="00FD78BA">
      <w:pPr>
        <w:pStyle w:val="SingleTxtG"/>
        <w:ind w:firstLine="567"/>
      </w:pPr>
      <w:r w:rsidRPr="001339F1">
        <w:t>7.</w:t>
      </w:r>
      <w:r w:rsidRPr="001339F1">
        <w:tab/>
      </w:r>
      <w:r w:rsidRPr="001339F1">
        <w:rPr>
          <w:i/>
          <w:iCs/>
        </w:rPr>
        <w:t>просит</w:t>
      </w:r>
      <w:r w:rsidRPr="001339F1">
        <w:t xml:space="preserve"> секретариат обратить внимание Комитета по осуществлению на общие и конкретные вопросы соблюдения, указанные в шестом обзоре осуществления Конвенции, и просит Комитет по осуществлению учитывать их в своей работе;</w:t>
      </w:r>
    </w:p>
    <w:p w14:paraId="28DADA99" w14:textId="77777777" w:rsidR="00FD78BA" w:rsidRPr="001339F1" w:rsidRDefault="00FD78BA" w:rsidP="00FD78BA">
      <w:pPr>
        <w:pStyle w:val="SingleTxtG"/>
        <w:ind w:firstLine="567"/>
      </w:pPr>
      <w:r w:rsidRPr="001339F1">
        <w:t>8.</w:t>
      </w:r>
      <w:r w:rsidRPr="001339F1">
        <w:tab/>
      </w:r>
      <w:r w:rsidRPr="001339F1">
        <w:rPr>
          <w:i/>
          <w:iCs/>
        </w:rPr>
        <w:t>просит</w:t>
      </w:r>
      <w:r w:rsidRPr="001339F1">
        <w:t xml:space="preserve"> Комитет по осуществлению, при необходимости, скорректировать вопросник для следующего цикла представления докладов об осуществлении Конвенции Сторонами в период 2022–2024 годов с учетом предложенных улучшений вопросника об осуществлении Конвенции и представить, при необходимости, измененный вариант для рассмотрения Рабочей группой по оценке воздействия на окружающую среду и стратегической экологической оценке и последующего распространения секретариатом;</w:t>
      </w:r>
      <w:bookmarkStart w:id="2" w:name="_Hlk31813970"/>
      <w:bookmarkEnd w:id="2"/>
    </w:p>
    <w:p w14:paraId="6F00EE08" w14:textId="7D2DB9D6" w:rsidR="00FD78BA" w:rsidRPr="001339F1" w:rsidRDefault="00FD78BA" w:rsidP="00FD78BA">
      <w:pPr>
        <w:pStyle w:val="SingleTxtG"/>
        <w:ind w:firstLine="567"/>
      </w:pPr>
      <w:bookmarkStart w:id="3" w:name="_Hlk32336393"/>
      <w:r w:rsidRPr="001339F1">
        <w:t>9.</w:t>
      </w:r>
      <w:r w:rsidRPr="001339F1">
        <w:tab/>
      </w:r>
      <w:r w:rsidRPr="001339F1">
        <w:rPr>
          <w:i/>
          <w:iCs/>
        </w:rPr>
        <w:t>принимает к сведению</w:t>
      </w:r>
      <w:r w:rsidRPr="001339F1">
        <w:t xml:space="preserve"> типовую форму отчетности, подготовленную в течение периода 2021</w:t>
      </w:r>
      <w:r w:rsidRPr="00FD78BA">
        <w:t>–</w:t>
      </w:r>
      <w:r w:rsidRPr="001339F1">
        <w:t>2023 годов Комитетом по осуществлению в консультации с Европейской комиссией для облегчения представления отчетности Европейского союза в соответствии со статьей 14</w:t>
      </w:r>
      <w:r w:rsidRPr="00FD78BA">
        <w:t xml:space="preserve"> </w:t>
      </w:r>
      <w:r>
        <w:rPr>
          <w:lang w:val="fr-CH"/>
        </w:rPr>
        <w:t>bis</w:t>
      </w:r>
      <w:r w:rsidRPr="001339F1">
        <w:t xml:space="preserve"> Конвенции;</w:t>
      </w:r>
      <w:bookmarkEnd w:id="3"/>
    </w:p>
    <w:p w14:paraId="11B88991" w14:textId="0DCFB753" w:rsidR="00FD78BA" w:rsidRPr="001339F1" w:rsidRDefault="00FD78BA" w:rsidP="00FD78BA">
      <w:pPr>
        <w:pStyle w:val="SingleTxtG"/>
        <w:ind w:firstLine="567"/>
      </w:pPr>
      <w:r w:rsidRPr="001339F1">
        <w:t>10.</w:t>
      </w:r>
      <w:r w:rsidRPr="001339F1">
        <w:tab/>
      </w:r>
      <w:r w:rsidRPr="001339F1">
        <w:rPr>
          <w:i/>
          <w:iCs/>
        </w:rPr>
        <w:t>просит</w:t>
      </w:r>
      <w:r w:rsidRPr="001339F1">
        <w:t xml:space="preserve"> государства-участники и Европейский союз заполнять в качестве отчетов об осуществлении ими Конвенции в период 2022</w:t>
      </w:r>
      <w:r w:rsidRPr="00FD78BA">
        <w:t>–</w:t>
      </w:r>
      <w:r w:rsidRPr="001339F1">
        <w:t>2024 годов соответственно вопросник и типовую форму последнего;</w:t>
      </w:r>
    </w:p>
    <w:p w14:paraId="6F823F70" w14:textId="2E3B7CB7" w:rsidR="00FD78BA" w:rsidRPr="001339F1" w:rsidRDefault="00FD78BA" w:rsidP="00FD78BA">
      <w:pPr>
        <w:pStyle w:val="SingleTxtG"/>
        <w:ind w:firstLine="567"/>
      </w:pPr>
      <w:r w:rsidRPr="001339F1">
        <w:t>11.</w:t>
      </w:r>
      <w:r w:rsidRPr="001339F1">
        <w:tab/>
      </w:r>
      <w:r w:rsidRPr="001339F1">
        <w:rPr>
          <w:i/>
          <w:iCs/>
        </w:rPr>
        <w:t>настоятельно призывает</w:t>
      </w:r>
      <w:r w:rsidRPr="001339F1">
        <w:t xml:space="preserve"> Стороны представить доклады [до истечения крайнего срока, который будет согласован Рабочей группой] [до конца апреля 2024</w:t>
      </w:r>
      <w:r>
        <w:rPr>
          <w:lang w:val="fr-CH"/>
        </w:rPr>
        <w:t> </w:t>
      </w:r>
      <w:r w:rsidRPr="001339F1">
        <w:t>года];</w:t>
      </w:r>
    </w:p>
    <w:p w14:paraId="72C89BA1" w14:textId="77777777" w:rsidR="00FD78BA" w:rsidRPr="001339F1" w:rsidRDefault="00FD78BA" w:rsidP="00FD78BA">
      <w:pPr>
        <w:pStyle w:val="SingleTxtG"/>
        <w:ind w:firstLine="567"/>
      </w:pPr>
      <w:r w:rsidRPr="001339F1">
        <w:t>12.</w:t>
      </w:r>
      <w:r w:rsidRPr="001339F1">
        <w:tab/>
      </w:r>
      <w:r w:rsidRPr="001339F1">
        <w:rPr>
          <w:i/>
          <w:iCs/>
        </w:rPr>
        <w:t>предлагает</w:t>
      </w:r>
      <w:r w:rsidRPr="001339F1">
        <w:t xml:space="preserve"> Сторонам предоставить примеры надлежащей практики осуществления ими Конвенции и свидетельства в отношении того, что именно сделало их практику успешной;  </w:t>
      </w:r>
    </w:p>
    <w:p w14:paraId="150757B7" w14:textId="77777777" w:rsidR="00FD78BA" w:rsidRPr="001339F1" w:rsidRDefault="00FD78BA" w:rsidP="00FD78BA">
      <w:pPr>
        <w:pStyle w:val="SingleTxtG"/>
        <w:ind w:firstLine="567"/>
      </w:pPr>
      <w:r w:rsidRPr="001339F1">
        <w:t>13.</w:t>
      </w:r>
      <w:r w:rsidRPr="001339F1">
        <w:tab/>
      </w:r>
      <w:r w:rsidRPr="001339F1">
        <w:rPr>
          <w:i/>
          <w:iCs/>
        </w:rPr>
        <w:t>просит</w:t>
      </w:r>
      <w:r w:rsidRPr="001339F1">
        <w:t xml:space="preserve"> секретариат размещать на веб-сайте Конвенции национальные доклады на тех языках, на которых они будут доступны;</w:t>
      </w:r>
      <w:bookmarkStart w:id="4" w:name="_Hlk31814066"/>
      <w:bookmarkEnd w:id="4"/>
    </w:p>
    <w:p w14:paraId="55BCD46E" w14:textId="77777777" w:rsidR="00FD78BA" w:rsidRPr="001339F1" w:rsidRDefault="00FD78BA" w:rsidP="00FD78BA">
      <w:pPr>
        <w:pStyle w:val="SingleTxtG"/>
        <w:ind w:firstLine="567"/>
      </w:pPr>
      <w:r w:rsidRPr="001339F1">
        <w:t>14.</w:t>
      </w:r>
      <w:r w:rsidRPr="001339F1">
        <w:tab/>
      </w:r>
      <w:r w:rsidRPr="001339F1">
        <w:rPr>
          <w:i/>
          <w:iCs/>
        </w:rPr>
        <w:t>просит</w:t>
      </w:r>
      <w:r w:rsidRPr="001339F1">
        <w:t xml:space="preserve"> </w:t>
      </w:r>
      <w:r w:rsidRPr="001339F1">
        <w:rPr>
          <w:i/>
          <w:iCs/>
        </w:rPr>
        <w:t>также</w:t>
      </w:r>
      <w:r w:rsidRPr="001339F1">
        <w:t xml:space="preserve"> секретариат размещать на веб-сайте Конвенции перечни проектов, охваченных в ответах на вопросник, если страны не возражают против такой практики;</w:t>
      </w:r>
    </w:p>
    <w:p w14:paraId="482E6EB4" w14:textId="77777777" w:rsidR="00FD78BA" w:rsidRPr="001339F1" w:rsidRDefault="00FD78BA" w:rsidP="00FD78BA">
      <w:pPr>
        <w:pStyle w:val="SingleTxtG"/>
        <w:ind w:firstLine="567"/>
      </w:pPr>
      <w:r w:rsidRPr="001339F1">
        <w:t>15.</w:t>
      </w:r>
      <w:r w:rsidRPr="001339F1">
        <w:tab/>
      </w:r>
      <w:r w:rsidRPr="001339F1">
        <w:rPr>
          <w:i/>
          <w:iCs/>
        </w:rPr>
        <w:t>постановляет</w:t>
      </w:r>
      <w:r w:rsidRPr="001339F1">
        <w:t>, что проект восьмого обзора осуществления Конвенции в период 2022–2024 годов, основанный на докладах Сторон, будет представлен на десятой сессии Совещания Сторон Конвенции и что элементы, необходимые для подготовки проекта обзора, будут отражены в плане работы;</w:t>
      </w:r>
    </w:p>
    <w:p w14:paraId="3859DB10" w14:textId="689384B4" w:rsidR="00FD78BA" w:rsidRPr="001339F1" w:rsidRDefault="00FD78BA" w:rsidP="00FD78BA">
      <w:pPr>
        <w:pStyle w:val="SingleTxtG"/>
        <w:ind w:firstLine="567"/>
      </w:pPr>
      <w:r w:rsidRPr="001339F1">
        <w:t>16.</w:t>
      </w:r>
      <w:r w:rsidRPr="001339F1">
        <w:tab/>
      </w:r>
      <w:r w:rsidRPr="001339F1">
        <w:rPr>
          <w:i/>
          <w:iCs/>
        </w:rPr>
        <w:t>просит</w:t>
      </w:r>
      <w:r w:rsidRPr="001339F1">
        <w:t xml:space="preserve"> секретариат предусмотреть после утверждения восьмого обзора осуществления последующее его опубликование в электронном виде на всех трех</w:t>
      </w:r>
      <w:r w:rsidR="00BC4595">
        <w:t> </w:t>
      </w:r>
      <w:r w:rsidRPr="001339F1">
        <w:t xml:space="preserve">официальных языках ЕЭК; </w:t>
      </w:r>
      <w:bookmarkStart w:id="5" w:name="_Hlk31814353"/>
      <w:bookmarkEnd w:id="5"/>
    </w:p>
    <w:p w14:paraId="6A35CF53" w14:textId="77777777" w:rsidR="00FD78BA" w:rsidRPr="001339F1" w:rsidRDefault="00FD78BA" w:rsidP="00FD78BA">
      <w:pPr>
        <w:pStyle w:val="SingleTxtG"/>
        <w:ind w:firstLine="567"/>
      </w:pPr>
      <w:r w:rsidRPr="001339F1">
        <w:t>17.</w:t>
      </w:r>
      <w:r w:rsidRPr="001339F1">
        <w:tab/>
      </w:r>
      <w:r w:rsidRPr="001339F1">
        <w:rPr>
          <w:i/>
          <w:iCs/>
        </w:rPr>
        <w:t>постановляет</w:t>
      </w:r>
      <w:r w:rsidRPr="001339F1">
        <w:t>, что Рабочая группа по оценке воздействия на окружающую среду и стратегической экологической оценке согласует дальнейший проект решения о представлении отчетности и обзоре осуществления Конвенции для принятия Совещанием Сторон на его десятой сессии на основе результатов следующего цикла отчетности.</w:t>
      </w:r>
    </w:p>
    <w:p w14:paraId="2D5F8D2D" w14:textId="77777777" w:rsidR="00FD78BA" w:rsidRPr="001339F1" w:rsidRDefault="00FD78BA" w:rsidP="00FD78BA">
      <w:pPr>
        <w:spacing w:before="240"/>
        <w:jc w:val="center"/>
        <w:rPr>
          <w:u w:val="single"/>
        </w:rPr>
      </w:pPr>
      <w:r w:rsidRPr="001339F1">
        <w:rPr>
          <w:u w:val="single"/>
        </w:rPr>
        <w:tab/>
      </w:r>
      <w:r w:rsidRPr="001339F1">
        <w:rPr>
          <w:u w:val="single"/>
        </w:rPr>
        <w:tab/>
      </w:r>
      <w:r w:rsidRPr="001339F1">
        <w:rPr>
          <w:u w:val="single"/>
        </w:rPr>
        <w:tab/>
      </w:r>
    </w:p>
    <w:p w14:paraId="403EAA00" w14:textId="77777777" w:rsidR="00E12C5F" w:rsidRPr="008D53B6" w:rsidRDefault="00E12C5F" w:rsidP="00D9145B"/>
    <w:sectPr w:rsidR="00E12C5F" w:rsidRPr="008D53B6" w:rsidSect="00FD78B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3A12C" w14:textId="77777777" w:rsidR="00686D3B" w:rsidRPr="00A312BC" w:rsidRDefault="00686D3B" w:rsidP="00A312BC"/>
  </w:endnote>
  <w:endnote w:type="continuationSeparator" w:id="0">
    <w:p w14:paraId="660A2198" w14:textId="77777777" w:rsidR="00686D3B" w:rsidRPr="00A312BC" w:rsidRDefault="00686D3B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52E7" w14:textId="5E322C73" w:rsidR="00FD78BA" w:rsidRPr="00FD78BA" w:rsidRDefault="00FD78BA">
    <w:pPr>
      <w:pStyle w:val="a8"/>
    </w:pPr>
    <w:r w:rsidRPr="00FD78BA">
      <w:rPr>
        <w:b/>
        <w:sz w:val="18"/>
      </w:rPr>
      <w:fldChar w:fldCharType="begin"/>
    </w:r>
    <w:r w:rsidRPr="00FD78BA">
      <w:rPr>
        <w:b/>
        <w:sz w:val="18"/>
      </w:rPr>
      <w:instrText xml:space="preserve"> PAGE  \* MERGEFORMAT </w:instrText>
    </w:r>
    <w:r w:rsidRPr="00FD78BA">
      <w:rPr>
        <w:b/>
        <w:sz w:val="18"/>
      </w:rPr>
      <w:fldChar w:fldCharType="separate"/>
    </w:r>
    <w:r w:rsidRPr="00FD78BA">
      <w:rPr>
        <w:b/>
        <w:noProof/>
        <w:sz w:val="18"/>
      </w:rPr>
      <w:t>2</w:t>
    </w:r>
    <w:r w:rsidRPr="00FD78BA">
      <w:rPr>
        <w:b/>
        <w:sz w:val="18"/>
      </w:rPr>
      <w:fldChar w:fldCharType="end"/>
    </w:r>
    <w:r>
      <w:rPr>
        <w:b/>
        <w:sz w:val="18"/>
      </w:rPr>
      <w:tab/>
    </w:r>
    <w:r>
      <w:t>GE.23-05601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8DD1" w14:textId="4DC1DB07" w:rsidR="00FD78BA" w:rsidRPr="00FD78BA" w:rsidRDefault="00FD78BA" w:rsidP="00FD78BA">
    <w:pPr>
      <w:pStyle w:val="a8"/>
      <w:tabs>
        <w:tab w:val="clear" w:pos="9639"/>
        <w:tab w:val="right" w:pos="9638"/>
      </w:tabs>
      <w:rPr>
        <w:b/>
        <w:sz w:val="18"/>
      </w:rPr>
    </w:pPr>
    <w:r>
      <w:t>GE.23-05601</w:t>
    </w:r>
    <w:r>
      <w:tab/>
    </w:r>
    <w:r w:rsidRPr="00FD78BA">
      <w:rPr>
        <w:b/>
        <w:sz w:val="18"/>
      </w:rPr>
      <w:fldChar w:fldCharType="begin"/>
    </w:r>
    <w:r w:rsidRPr="00FD78BA">
      <w:rPr>
        <w:b/>
        <w:sz w:val="18"/>
      </w:rPr>
      <w:instrText xml:space="preserve"> PAGE  \* MERGEFORMAT </w:instrText>
    </w:r>
    <w:r w:rsidRPr="00FD78BA">
      <w:rPr>
        <w:b/>
        <w:sz w:val="18"/>
      </w:rPr>
      <w:fldChar w:fldCharType="separate"/>
    </w:r>
    <w:r w:rsidRPr="00FD78BA">
      <w:rPr>
        <w:b/>
        <w:noProof/>
        <w:sz w:val="18"/>
      </w:rPr>
      <w:t>3</w:t>
    </w:r>
    <w:r w:rsidRPr="00FD78BA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6376" w14:textId="6B84D033" w:rsidR="00042B72" w:rsidRPr="00FD78BA" w:rsidRDefault="00FD78BA" w:rsidP="00FD78BA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4B721F9" wp14:editId="374001DE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23-05601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9B5457C" wp14:editId="26417EF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310323  310323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1D54" w14:textId="77777777" w:rsidR="00686D3B" w:rsidRPr="001075E9" w:rsidRDefault="00686D3B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DD01245" w14:textId="77777777" w:rsidR="00686D3B" w:rsidRDefault="00686D3B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45B7D203" w14:textId="0039E3DA" w:rsidR="00FD78BA" w:rsidRPr="001339F1" w:rsidRDefault="00FD78BA" w:rsidP="00FD78BA">
      <w:pPr>
        <w:pStyle w:val="ad"/>
        <w:rPr>
          <w:szCs w:val="18"/>
        </w:rPr>
      </w:pPr>
      <w:r>
        <w:tab/>
      </w:r>
      <w:r w:rsidRPr="001339F1">
        <w:rPr>
          <w:rStyle w:val="aa"/>
          <w:szCs w:val="18"/>
        </w:rPr>
        <w:footnoteRef/>
      </w:r>
      <w:r w:rsidRPr="001339F1">
        <w:rPr>
          <w:szCs w:val="18"/>
        </w:rPr>
        <w:tab/>
        <w:t xml:space="preserve">Все решения Совещания Сторон Конвенции, упомянутые в настоящем решении, доступны по адресу </w:t>
      </w:r>
      <w:hyperlink r:id="rId1" w:history="1">
        <w:r w:rsidRPr="003F2102">
          <w:rPr>
            <w:rStyle w:val="af1"/>
            <w:szCs w:val="18"/>
          </w:rPr>
          <w:t>https://unece.org/environment-policy/environmental-assessment/decisions-taken-meetings-parties</w:t>
        </w:r>
      </w:hyperlink>
      <w:r w:rsidRPr="001339F1">
        <w:rPr>
          <w:szCs w:val="18"/>
        </w:rPr>
        <w:t xml:space="preserve">. </w:t>
      </w:r>
    </w:p>
  </w:footnote>
  <w:footnote w:id="2">
    <w:p w14:paraId="38008EB0" w14:textId="77777777" w:rsidR="00FD78BA" w:rsidRPr="001339F1" w:rsidRDefault="00FD78BA" w:rsidP="00FD78BA">
      <w:pPr>
        <w:pStyle w:val="ad"/>
        <w:rPr>
          <w:szCs w:val="18"/>
        </w:rPr>
      </w:pPr>
      <w:r w:rsidRPr="001339F1">
        <w:rPr>
          <w:szCs w:val="18"/>
        </w:rPr>
        <w:tab/>
      </w:r>
      <w:r w:rsidRPr="001339F1">
        <w:rPr>
          <w:rStyle w:val="aa"/>
          <w:szCs w:val="18"/>
        </w:rPr>
        <w:footnoteRef/>
      </w:r>
      <w:r w:rsidRPr="001339F1">
        <w:rPr>
          <w:szCs w:val="18"/>
        </w:rPr>
        <w:tab/>
        <w:t>ECE/MP.EIA/2023/[...], готовится к выпуску.</w:t>
      </w:r>
    </w:p>
  </w:footnote>
  <w:footnote w:id="3">
    <w:p w14:paraId="086EC85D" w14:textId="49AE4615" w:rsidR="00FD78BA" w:rsidRPr="001339F1" w:rsidRDefault="00FD78BA" w:rsidP="00FD78BA">
      <w:pPr>
        <w:pStyle w:val="ad"/>
        <w:rPr>
          <w:szCs w:val="18"/>
        </w:rPr>
      </w:pPr>
      <w:r w:rsidRPr="001339F1">
        <w:rPr>
          <w:szCs w:val="18"/>
        </w:rPr>
        <w:tab/>
      </w:r>
      <w:r w:rsidRPr="001339F1">
        <w:rPr>
          <w:rStyle w:val="aa"/>
          <w:szCs w:val="18"/>
        </w:rPr>
        <w:footnoteRef/>
      </w:r>
      <w:bookmarkStart w:id="1" w:name="_Hlk130481288"/>
      <w:r w:rsidRPr="001339F1">
        <w:rPr>
          <w:szCs w:val="18"/>
        </w:rPr>
        <w:tab/>
        <w:t>ECE/MP.EIA/32, п</w:t>
      </w:r>
      <w:r w:rsidR="00BC4595">
        <w:rPr>
          <w:szCs w:val="18"/>
        </w:rPr>
        <w:t>п.</w:t>
      </w:r>
      <w:r w:rsidRPr="001339F1">
        <w:rPr>
          <w:szCs w:val="18"/>
        </w:rPr>
        <w:t xml:space="preserve"> 62–63.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7CB5" w14:textId="5AAFBB35" w:rsidR="00FD78BA" w:rsidRPr="00FD78BA" w:rsidRDefault="000851BD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r>
      <w:t>ECE</w:t>
    </w:r>
    <w:proofErr w:type="spellEnd"/>
    <w:r>
      <w:t>/</w:t>
    </w:r>
    <w:proofErr w:type="spellStart"/>
    <w:r>
      <w:t>MP.EIA</w:t>
    </w:r>
    <w:proofErr w:type="spellEnd"/>
    <w:r>
      <w:t>/WG.2/2023/5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06EE" w14:textId="02524826" w:rsidR="00FD78BA" w:rsidRPr="00FD78BA" w:rsidRDefault="000851BD" w:rsidP="00FD78BA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r>
      <w:t>ECE</w:t>
    </w:r>
    <w:proofErr w:type="spellEnd"/>
    <w:r>
      <w:t>/</w:t>
    </w:r>
    <w:proofErr w:type="spellStart"/>
    <w:r>
      <w:t>MP.EIA</w:t>
    </w:r>
    <w:proofErr w:type="spellEnd"/>
    <w:r>
      <w:t>/WG.2/2023/5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547595259">
    <w:abstractNumId w:val="16"/>
  </w:num>
  <w:num w:numId="2" w16cid:durableId="670566720">
    <w:abstractNumId w:val="11"/>
  </w:num>
  <w:num w:numId="3" w16cid:durableId="526676010">
    <w:abstractNumId w:val="10"/>
  </w:num>
  <w:num w:numId="4" w16cid:durableId="67961710">
    <w:abstractNumId w:val="17"/>
  </w:num>
  <w:num w:numId="5" w16cid:durableId="637148529">
    <w:abstractNumId w:val="13"/>
  </w:num>
  <w:num w:numId="6" w16cid:durableId="796224061">
    <w:abstractNumId w:val="8"/>
  </w:num>
  <w:num w:numId="7" w16cid:durableId="594048671">
    <w:abstractNumId w:val="3"/>
  </w:num>
  <w:num w:numId="8" w16cid:durableId="193809900">
    <w:abstractNumId w:val="2"/>
  </w:num>
  <w:num w:numId="9" w16cid:durableId="2131850764">
    <w:abstractNumId w:val="1"/>
  </w:num>
  <w:num w:numId="10" w16cid:durableId="1215043357">
    <w:abstractNumId w:val="0"/>
  </w:num>
  <w:num w:numId="11" w16cid:durableId="997272712">
    <w:abstractNumId w:val="9"/>
  </w:num>
  <w:num w:numId="12" w16cid:durableId="1903977490">
    <w:abstractNumId w:val="7"/>
  </w:num>
  <w:num w:numId="13" w16cid:durableId="457067444">
    <w:abstractNumId w:val="6"/>
  </w:num>
  <w:num w:numId="14" w16cid:durableId="2142261841">
    <w:abstractNumId w:val="5"/>
  </w:num>
  <w:num w:numId="15" w16cid:durableId="557473542">
    <w:abstractNumId w:val="4"/>
  </w:num>
  <w:num w:numId="16" w16cid:durableId="1855146125">
    <w:abstractNumId w:val="15"/>
  </w:num>
  <w:num w:numId="17" w16cid:durableId="1794713912">
    <w:abstractNumId w:val="12"/>
  </w:num>
  <w:num w:numId="18" w16cid:durableId="1704595697">
    <w:abstractNumId w:val="14"/>
  </w:num>
  <w:num w:numId="19" w16cid:durableId="1601639286">
    <w:abstractNumId w:val="15"/>
  </w:num>
  <w:num w:numId="20" w16cid:durableId="2013097340">
    <w:abstractNumId w:val="12"/>
  </w:num>
  <w:num w:numId="21" w16cid:durableId="91975852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3B"/>
    <w:rsid w:val="00033EE1"/>
    <w:rsid w:val="00042B72"/>
    <w:rsid w:val="000558BD"/>
    <w:rsid w:val="000851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2AB7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86D3B"/>
    <w:rsid w:val="006A1ED8"/>
    <w:rsid w:val="006C2031"/>
    <w:rsid w:val="006D461A"/>
    <w:rsid w:val="006E6DDE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060B"/>
    <w:rsid w:val="00894693"/>
    <w:rsid w:val="008A08D7"/>
    <w:rsid w:val="008A37C8"/>
    <w:rsid w:val="008B6909"/>
    <w:rsid w:val="008D53B6"/>
    <w:rsid w:val="008F7609"/>
    <w:rsid w:val="00906890"/>
    <w:rsid w:val="00911BE4"/>
    <w:rsid w:val="00936774"/>
    <w:rsid w:val="00951972"/>
    <w:rsid w:val="009608F3"/>
    <w:rsid w:val="009A24AC"/>
    <w:rsid w:val="009C59D7"/>
    <w:rsid w:val="009C6FE6"/>
    <w:rsid w:val="009D050E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C4595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447BF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D78BA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29985"/>
  <w15:docId w15:val="{4E0B74F1-BA3E-4503-A263-60020806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4_GR"/>
    <w:basedOn w:val="a0"/>
    <w:uiPriority w:val="99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rsid w:val="00FD78BA"/>
    <w:rPr>
      <w:lang w:val="ru-RU" w:eastAsia="en-US"/>
    </w:rPr>
  </w:style>
  <w:style w:type="character" w:styleId="af3">
    <w:name w:val="Unresolved Mention"/>
    <w:basedOn w:val="a0"/>
    <w:uiPriority w:val="99"/>
    <w:semiHidden/>
    <w:unhideWhenUsed/>
    <w:rsid w:val="00FD7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ece.org/environment-policy/environmental-assessment/decisions-taken-meetings-parti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2F79B5BE87D40B73359BB004DC9B5" ma:contentTypeVersion="17" ma:contentTypeDescription="Create a new document." ma:contentTypeScope="" ma:versionID="df91b42384f9acd0dc9c7b2b0ca5a4fb">
  <xsd:schema xmlns:xsd="http://www.w3.org/2001/XMLSchema" xmlns:xs="http://www.w3.org/2001/XMLSchema" xmlns:p="http://schemas.microsoft.com/office/2006/metadata/properties" xmlns:ns2="99a2c2c3-fdcf-4e63-9c12-39b3de610a76" xmlns:ns3="a20aa909-956d-4941-9e8e-d4bf2c5fe97e" xmlns:ns4="985ec44e-1bab-4c0b-9df0-6ba128686fc9" targetNamespace="http://schemas.microsoft.com/office/2006/metadata/properties" ma:root="true" ma:fieldsID="5bdeaf74bd075ed71d0bb4235c38229e" ns2:_="" ns3:_="" ns4:_="">
    <xsd:import namespace="99a2c2c3-fdcf-4e63-9c12-39b3de610a76"/>
    <xsd:import namespace="a20aa909-956d-4941-9e8e-d4bf2c5fe97e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andtim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c2c3-fdcf-4e63-9c12-39b3de610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andtime" ma:index="20" nillable="true" ma:displayName="Date and time" ma:format="DateOnly" ma:internalName="Datean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aa909-956d-4941-9e8e-d4bf2c5fe9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b577e23-b539-4cbb-a753-31a04c3d9a02}" ma:internalName="TaxCatchAll" ma:showField="CatchAllData" ma:web="a20aa909-956d-4941-9e8e-d4bf2c5fe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F09453-860C-4F69-B616-B32E332A515E}"/>
</file>

<file path=customXml/itemProps2.xml><?xml version="1.0" encoding="utf-8"?>
<ds:datastoreItem xmlns:ds="http://schemas.openxmlformats.org/officeDocument/2006/customXml" ds:itemID="{681AFB2A-8643-44EB-AE0E-457FEFF0D23F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6</Pages>
  <Words>1510</Words>
  <Characters>10491</Characters>
  <Application>Microsoft Office Word</Application>
  <DocSecurity>0</DocSecurity>
  <Lines>87</Lines>
  <Paragraphs>23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ECE/MP.EIA/WG.2/2023/5</vt:lpstr>
      <vt:lpstr>A/</vt:lpstr>
      <vt:lpstr>A/</vt:lpstr>
    </vt:vector>
  </TitlesOfParts>
  <Company>DCM</Company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ECE/MP.EIA/WG.2/2023/5</dc:title>
  <dc:subject/>
  <dc:creator>Elena IZOTOVA</dc:creator>
  <cp:keywords/>
  <cp:lastModifiedBy>Anna Petelina</cp:lastModifiedBy>
  <cp:revision>3</cp:revision>
  <cp:lastPrinted>2023-03-31T15:08:00Z</cp:lastPrinted>
  <dcterms:created xsi:type="dcterms:W3CDTF">2023-03-31T15:08:00Z</dcterms:created>
  <dcterms:modified xsi:type="dcterms:W3CDTF">2023-03-31T15:09:00Z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