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973E05" w14:paraId="7F734483" w14:textId="77777777" w:rsidTr="00B20551">
        <w:trPr>
          <w:cantSplit/>
          <w:trHeight w:hRule="exact" w:val="851"/>
        </w:trPr>
        <w:tc>
          <w:tcPr>
            <w:tcW w:w="1276" w:type="dxa"/>
            <w:tcBorders>
              <w:bottom w:val="single" w:sz="4" w:space="0" w:color="auto"/>
            </w:tcBorders>
            <w:vAlign w:val="bottom"/>
          </w:tcPr>
          <w:p w14:paraId="50317DB3" w14:textId="77777777" w:rsidR="009E6CB7" w:rsidRDefault="009E6CB7" w:rsidP="00B20551">
            <w:pPr>
              <w:spacing w:after="80"/>
            </w:pPr>
          </w:p>
        </w:tc>
        <w:tc>
          <w:tcPr>
            <w:tcW w:w="2268" w:type="dxa"/>
            <w:tcBorders>
              <w:bottom w:val="single" w:sz="4" w:space="0" w:color="auto"/>
            </w:tcBorders>
            <w:vAlign w:val="bottom"/>
          </w:tcPr>
          <w:p w14:paraId="15B028D3" w14:textId="77777777" w:rsidR="009E6CB7" w:rsidRPr="00973E05" w:rsidRDefault="009E6CB7" w:rsidP="00B20551">
            <w:pPr>
              <w:spacing w:after="80" w:line="300" w:lineRule="exact"/>
              <w:rPr>
                <w:b/>
                <w:sz w:val="24"/>
                <w:szCs w:val="24"/>
              </w:rPr>
            </w:pPr>
            <w:r w:rsidRPr="00973E05">
              <w:rPr>
                <w:sz w:val="28"/>
                <w:szCs w:val="28"/>
              </w:rPr>
              <w:t>United Nations</w:t>
            </w:r>
          </w:p>
        </w:tc>
        <w:tc>
          <w:tcPr>
            <w:tcW w:w="6095" w:type="dxa"/>
            <w:gridSpan w:val="2"/>
            <w:tcBorders>
              <w:bottom w:val="single" w:sz="4" w:space="0" w:color="auto"/>
            </w:tcBorders>
            <w:vAlign w:val="bottom"/>
          </w:tcPr>
          <w:p w14:paraId="221AF69A" w14:textId="6E9F9221" w:rsidR="009E6CB7" w:rsidRPr="00973E05" w:rsidRDefault="00422B71" w:rsidP="00422B71">
            <w:pPr>
              <w:jc w:val="right"/>
            </w:pPr>
            <w:r w:rsidRPr="00973E05">
              <w:rPr>
                <w:sz w:val="40"/>
              </w:rPr>
              <w:t>ECE</w:t>
            </w:r>
            <w:r w:rsidRPr="00973E05">
              <w:t>/CTCS/202</w:t>
            </w:r>
            <w:r w:rsidR="006F0A56">
              <w:t>3</w:t>
            </w:r>
            <w:r w:rsidRPr="00973E05">
              <w:t>/1</w:t>
            </w:r>
          </w:p>
        </w:tc>
      </w:tr>
      <w:tr w:rsidR="009E6CB7" w:rsidRPr="00973E05" w14:paraId="31E7DBE5" w14:textId="77777777" w:rsidTr="00B20551">
        <w:trPr>
          <w:cantSplit/>
          <w:trHeight w:hRule="exact" w:val="2835"/>
        </w:trPr>
        <w:tc>
          <w:tcPr>
            <w:tcW w:w="1276" w:type="dxa"/>
            <w:tcBorders>
              <w:top w:val="single" w:sz="4" w:space="0" w:color="auto"/>
              <w:bottom w:val="single" w:sz="12" w:space="0" w:color="auto"/>
            </w:tcBorders>
          </w:tcPr>
          <w:p w14:paraId="04185C3D" w14:textId="77777777" w:rsidR="009E6CB7" w:rsidRPr="00973E05" w:rsidRDefault="00686A48" w:rsidP="00B20551">
            <w:pPr>
              <w:spacing w:before="120"/>
            </w:pPr>
            <w:r w:rsidRPr="00973E05">
              <w:rPr>
                <w:noProof/>
                <w:lang w:val="fr-CH" w:eastAsia="fr-CH"/>
              </w:rPr>
              <w:drawing>
                <wp:inline distT="0" distB="0" distL="0" distR="0" wp14:anchorId="3AD9C743" wp14:editId="4FBE294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597535F" w14:textId="77777777" w:rsidR="009E6CB7" w:rsidRPr="00973E05" w:rsidRDefault="009E6CB7" w:rsidP="00B20551">
            <w:pPr>
              <w:spacing w:before="120" w:line="420" w:lineRule="exact"/>
              <w:rPr>
                <w:sz w:val="40"/>
                <w:szCs w:val="40"/>
              </w:rPr>
            </w:pPr>
            <w:r w:rsidRPr="00973E05">
              <w:rPr>
                <w:b/>
                <w:sz w:val="40"/>
                <w:szCs w:val="40"/>
              </w:rPr>
              <w:t>Economic and Social Council</w:t>
            </w:r>
          </w:p>
        </w:tc>
        <w:tc>
          <w:tcPr>
            <w:tcW w:w="2835" w:type="dxa"/>
            <w:tcBorders>
              <w:top w:val="single" w:sz="4" w:space="0" w:color="auto"/>
              <w:bottom w:val="single" w:sz="12" w:space="0" w:color="auto"/>
            </w:tcBorders>
          </w:tcPr>
          <w:p w14:paraId="42AAD6F5" w14:textId="77777777" w:rsidR="009E6CB7" w:rsidRPr="00973E05" w:rsidRDefault="00422B71" w:rsidP="00422B71">
            <w:pPr>
              <w:spacing w:before="240" w:line="240" w:lineRule="exact"/>
            </w:pPr>
            <w:r w:rsidRPr="00973E05">
              <w:t>Distr.: General</w:t>
            </w:r>
          </w:p>
          <w:p w14:paraId="2600ADAE" w14:textId="70A781D6" w:rsidR="00422B71" w:rsidRPr="00973E05" w:rsidRDefault="00090AE4" w:rsidP="00422B71">
            <w:pPr>
              <w:spacing w:line="240" w:lineRule="exact"/>
            </w:pPr>
            <w:r>
              <w:t>2</w:t>
            </w:r>
            <w:r w:rsidR="007C7B1E">
              <w:t>9</w:t>
            </w:r>
            <w:r w:rsidR="001C7F7B">
              <w:t xml:space="preserve"> </w:t>
            </w:r>
            <w:r>
              <w:t>March</w:t>
            </w:r>
            <w:r w:rsidR="00EA3A67" w:rsidRPr="00540F54">
              <w:t xml:space="preserve"> 2023</w:t>
            </w:r>
          </w:p>
          <w:p w14:paraId="27823F54" w14:textId="4F67C1D0" w:rsidR="00422B71" w:rsidRPr="00973E05" w:rsidRDefault="00422B71" w:rsidP="00422B71">
            <w:pPr>
              <w:spacing w:line="240" w:lineRule="exact"/>
            </w:pPr>
          </w:p>
          <w:p w14:paraId="08DDB141" w14:textId="77777777" w:rsidR="00FF0644" w:rsidRDefault="00FF0644" w:rsidP="00422B71">
            <w:pPr>
              <w:spacing w:line="240" w:lineRule="exact"/>
            </w:pPr>
          </w:p>
          <w:p w14:paraId="09663ABB" w14:textId="5E202508" w:rsidR="00422B71" w:rsidRPr="00973E05" w:rsidRDefault="00422B71" w:rsidP="00422B71">
            <w:pPr>
              <w:spacing w:line="240" w:lineRule="exact"/>
            </w:pPr>
            <w:r w:rsidRPr="00973E05">
              <w:t>Original: English</w:t>
            </w:r>
          </w:p>
        </w:tc>
      </w:tr>
    </w:tbl>
    <w:p w14:paraId="6E75BD19" w14:textId="77777777" w:rsidR="00422B71" w:rsidRPr="00973E05" w:rsidRDefault="00422B71" w:rsidP="00422B71">
      <w:pPr>
        <w:spacing w:before="120"/>
        <w:rPr>
          <w:b/>
          <w:sz w:val="28"/>
          <w:szCs w:val="28"/>
        </w:rPr>
      </w:pPr>
      <w:r w:rsidRPr="00973E05">
        <w:rPr>
          <w:b/>
          <w:sz w:val="28"/>
          <w:szCs w:val="28"/>
        </w:rPr>
        <w:t>Economic Commission for Europe</w:t>
      </w:r>
    </w:p>
    <w:p w14:paraId="35E44A2A" w14:textId="77777777" w:rsidR="00422B71" w:rsidRPr="00973E05" w:rsidRDefault="00422B71" w:rsidP="00422B71">
      <w:pPr>
        <w:spacing w:before="120"/>
        <w:rPr>
          <w:sz w:val="28"/>
          <w:szCs w:val="28"/>
        </w:rPr>
      </w:pPr>
      <w:r w:rsidRPr="00973E05">
        <w:rPr>
          <w:sz w:val="28"/>
          <w:szCs w:val="28"/>
        </w:rPr>
        <w:t>Steering Committee on Trade Capacity and Standards</w:t>
      </w:r>
    </w:p>
    <w:p w14:paraId="580FEB03" w14:textId="17894496" w:rsidR="00422B71" w:rsidRPr="00973E05" w:rsidRDefault="009D5D6F" w:rsidP="00422B71">
      <w:pPr>
        <w:spacing w:before="120"/>
        <w:rPr>
          <w:b/>
          <w:bCs/>
        </w:rPr>
      </w:pPr>
      <w:r>
        <w:rPr>
          <w:b/>
          <w:bCs/>
        </w:rPr>
        <w:t>Eight</w:t>
      </w:r>
      <w:r w:rsidRPr="00973E05">
        <w:rPr>
          <w:b/>
          <w:bCs/>
        </w:rPr>
        <w:t>h</w:t>
      </w:r>
      <w:r w:rsidR="00422B71" w:rsidRPr="00973E05">
        <w:rPr>
          <w:b/>
          <w:bCs/>
        </w:rPr>
        <w:t xml:space="preserve"> session</w:t>
      </w:r>
    </w:p>
    <w:p w14:paraId="75B7C567" w14:textId="3CEE8833" w:rsidR="00422B71" w:rsidRPr="00973E05" w:rsidRDefault="00422B71" w:rsidP="00422B71">
      <w:r w:rsidRPr="00973E05">
        <w:t>Geneva, 2</w:t>
      </w:r>
      <w:r w:rsidR="006F0A56">
        <w:t>6</w:t>
      </w:r>
      <w:r w:rsidRPr="00973E05">
        <w:t>–2</w:t>
      </w:r>
      <w:r w:rsidR="006F0A56">
        <w:t>7</w:t>
      </w:r>
      <w:r w:rsidRPr="00973E05">
        <w:t>(am) June 202</w:t>
      </w:r>
      <w:r w:rsidR="006061DB">
        <w:t>3</w:t>
      </w:r>
    </w:p>
    <w:p w14:paraId="261CEF2A" w14:textId="7EEF1B99" w:rsidR="00422B71" w:rsidRPr="00973E05" w:rsidRDefault="00422B71" w:rsidP="00422B71">
      <w:r w:rsidRPr="00973E05">
        <w:t>Item 1 of the provisional agenda</w:t>
      </w:r>
    </w:p>
    <w:p w14:paraId="3F0FE3B7" w14:textId="16D8BDC0" w:rsidR="00422B71" w:rsidRPr="00973E05" w:rsidRDefault="00422B71" w:rsidP="00422B71">
      <w:pPr>
        <w:rPr>
          <w:b/>
          <w:bCs/>
        </w:rPr>
      </w:pPr>
      <w:r w:rsidRPr="00973E05">
        <w:rPr>
          <w:b/>
          <w:bCs/>
        </w:rPr>
        <w:t>Adoption of the agenda</w:t>
      </w:r>
    </w:p>
    <w:p w14:paraId="394EE072" w14:textId="6E1949EC" w:rsidR="001C6663" w:rsidRPr="00973E05" w:rsidRDefault="00422B71" w:rsidP="00F656BE">
      <w:pPr>
        <w:pStyle w:val="HChG"/>
      </w:pPr>
      <w:r w:rsidRPr="00973E05">
        <w:tab/>
      </w:r>
      <w:r w:rsidR="009C5544">
        <w:tab/>
      </w:r>
      <w:r w:rsidRPr="00973E05">
        <w:tab/>
      </w:r>
      <w:r w:rsidR="003C5247">
        <w:t>A</w:t>
      </w:r>
      <w:r w:rsidRPr="00973E05">
        <w:t>nnotated provisional agenda</w:t>
      </w:r>
    </w:p>
    <w:p w14:paraId="59577440" w14:textId="69A209B2" w:rsidR="00422B71" w:rsidRPr="00845D2D" w:rsidRDefault="00422B71" w:rsidP="00176238">
      <w:pPr>
        <w:pStyle w:val="SingleTxtG"/>
        <w:spacing w:after="0" w:line="240" w:lineRule="auto"/>
        <w:rPr>
          <w:lang w:val="en-US"/>
        </w:rPr>
      </w:pPr>
      <w:r w:rsidRPr="00845D2D">
        <w:rPr>
          <w:lang w:val="en-US"/>
        </w:rPr>
        <w:t xml:space="preserve">Palais des Nations, Geneva, </w:t>
      </w:r>
      <w:r w:rsidR="00176238" w:rsidRPr="00845D2D">
        <w:rPr>
          <w:lang w:val="en-US"/>
        </w:rPr>
        <w:t xml:space="preserve">Salle </w:t>
      </w:r>
      <w:r w:rsidR="00EF38E6" w:rsidRPr="00845D2D">
        <w:rPr>
          <w:lang w:val="en-US"/>
        </w:rPr>
        <w:t>XXII</w:t>
      </w:r>
      <w:r w:rsidRPr="00845D2D">
        <w:rPr>
          <w:lang w:val="en-US"/>
        </w:rPr>
        <w:t xml:space="preserve">, </w:t>
      </w:r>
    </w:p>
    <w:p w14:paraId="52C0AB1F" w14:textId="06667159" w:rsidR="00422B71" w:rsidRPr="00973E05" w:rsidRDefault="00422B71" w:rsidP="00422B71">
      <w:pPr>
        <w:pStyle w:val="SingleTxtG"/>
      </w:pPr>
      <w:r w:rsidRPr="00973E05">
        <w:t>starting at 10</w:t>
      </w:r>
      <w:r w:rsidR="00086187">
        <w:t xml:space="preserve"> a.m.</w:t>
      </w:r>
      <w:r w:rsidR="00634BCA">
        <w:t xml:space="preserve"> </w:t>
      </w:r>
      <w:r w:rsidRPr="00973E05">
        <w:t>on Monday 2</w:t>
      </w:r>
      <w:r w:rsidR="00C96676">
        <w:t>6</w:t>
      </w:r>
      <w:r w:rsidRPr="00973E05">
        <w:t xml:space="preserve"> June 202</w:t>
      </w:r>
      <w:r w:rsidR="00C96676">
        <w:t>3</w:t>
      </w:r>
      <w:r w:rsidR="00D807E4" w:rsidRPr="00973E05">
        <w:rPr>
          <w:rStyle w:val="FootnoteReference"/>
          <w:sz w:val="20"/>
          <w:vertAlign w:val="baseline"/>
        </w:rPr>
        <w:footnoteReference w:customMarkFollows="1" w:id="2"/>
        <w:t>*</w:t>
      </w:r>
    </w:p>
    <w:p w14:paraId="1C2DB43B" w14:textId="43E62DAD" w:rsidR="003A428D" w:rsidRPr="00973E05" w:rsidRDefault="007B0EB7" w:rsidP="007B0EB7">
      <w:pPr>
        <w:pStyle w:val="HChG"/>
      </w:pPr>
      <w:r w:rsidRPr="00973E05">
        <w:tab/>
        <w:t>I.</w:t>
      </w:r>
      <w:r w:rsidRPr="00973E05">
        <w:tab/>
        <w:t>Provisional agenda</w:t>
      </w:r>
    </w:p>
    <w:p w14:paraId="46D65C6D" w14:textId="5841580A" w:rsidR="00C5232C" w:rsidRPr="00973E05" w:rsidRDefault="00C479CF" w:rsidP="00C5232C">
      <w:pPr>
        <w:pStyle w:val="SingleTxtG"/>
      </w:pPr>
      <w:r w:rsidRPr="00973E05">
        <w:t>1.</w:t>
      </w:r>
      <w:r w:rsidR="003D4F70" w:rsidRPr="00973E05">
        <w:tab/>
      </w:r>
      <w:r w:rsidR="0021398D" w:rsidRPr="00973E05">
        <w:t>Adoption of the agenda</w:t>
      </w:r>
      <w:r w:rsidR="00EA5609" w:rsidRPr="00973E05">
        <w:t>.</w:t>
      </w:r>
    </w:p>
    <w:p w14:paraId="01F7DD6B" w14:textId="5663008A" w:rsidR="00C5232C" w:rsidRDefault="003D4F70" w:rsidP="00EC3B92">
      <w:pPr>
        <w:pStyle w:val="SingleTxtG"/>
      </w:pPr>
      <w:r w:rsidRPr="00973E05">
        <w:t>2.</w:t>
      </w:r>
      <w:r w:rsidRPr="00973E05">
        <w:tab/>
      </w:r>
      <w:r w:rsidR="00771E8C">
        <w:t>Election of officers.</w:t>
      </w:r>
    </w:p>
    <w:p w14:paraId="26D30684" w14:textId="18ED1545" w:rsidR="00C5232C" w:rsidRDefault="00EC3B92" w:rsidP="00EC3B92">
      <w:pPr>
        <w:pStyle w:val="H1G"/>
      </w:pPr>
      <w:r w:rsidRPr="00AA5754">
        <w:tab/>
        <w:t>A.</w:t>
      </w:r>
      <w:r w:rsidRPr="00AA5754">
        <w:tab/>
        <w:t>General segment</w:t>
      </w:r>
    </w:p>
    <w:p w14:paraId="0F52EA86" w14:textId="61852874" w:rsidR="001264B4" w:rsidRPr="00973E05" w:rsidRDefault="00EC3B92" w:rsidP="001264B4">
      <w:pPr>
        <w:pStyle w:val="SingleTxtG"/>
      </w:pPr>
      <w:r>
        <w:t>3.</w:t>
      </w:r>
      <w:r>
        <w:tab/>
      </w:r>
      <w:r w:rsidR="00A020B0" w:rsidRPr="00973E05">
        <w:t>Matters arising.</w:t>
      </w:r>
    </w:p>
    <w:p w14:paraId="2671A370" w14:textId="583E8CA5" w:rsidR="003D4F70" w:rsidRDefault="00EC3B92" w:rsidP="003D4F70">
      <w:pPr>
        <w:pStyle w:val="SingleTxtG"/>
      </w:pPr>
      <w:r>
        <w:t>4</w:t>
      </w:r>
      <w:r w:rsidR="003D4F70" w:rsidRPr="00973E05">
        <w:t>.</w:t>
      </w:r>
      <w:r w:rsidR="003D4F70" w:rsidRPr="00973E05">
        <w:tab/>
      </w:r>
      <w:r w:rsidR="005B56A4" w:rsidRPr="00973E05">
        <w:t>Updates from the Working Party on Regulatory Cooperation and Standardization Policies (WP.6).</w:t>
      </w:r>
    </w:p>
    <w:p w14:paraId="7C1BAF50" w14:textId="572F1090" w:rsidR="009F68B9" w:rsidRDefault="00A21588" w:rsidP="00A21588">
      <w:pPr>
        <w:pStyle w:val="SingleTxtG"/>
      </w:pPr>
      <w:r>
        <w:t>5</w:t>
      </w:r>
      <w:r w:rsidRPr="00973E05">
        <w:t>.</w:t>
      </w:r>
      <w:r w:rsidRPr="00973E05">
        <w:tab/>
        <w:t>Updates f</w:t>
      </w:r>
      <w:r w:rsidR="002521EE">
        <w:t>rom</w:t>
      </w:r>
      <w:r w:rsidRPr="00973E05">
        <w:t xml:space="preserve"> the Working Party on Agricultural Quality Standards (WP.7).</w:t>
      </w:r>
    </w:p>
    <w:p w14:paraId="0B2EAEB2" w14:textId="0845CDE5" w:rsidR="003660B9" w:rsidRDefault="00BE39AD" w:rsidP="00D6031D">
      <w:pPr>
        <w:pStyle w:val="H1G"/>
      </w:pPr>
      <w:r>
        <w:tab/>
      </w:r>
      <w:r w:rsidRPr="00AA5754">
        <w:t xml:space="preserve">B. </w:t>
      </w:r>
      <w:r w:rsidRPr="00AA5754">
        <w:tab/>
        <w:t>High-level segment:</w:t>
      </w:r>
      <w:r w:rsidR="003660B9">
        <w:t xml:space="preserve"> </w:t>
      </w:r>
      <w:r w:rsidR="003660B9" w:rsidRPr="00AA5754">
        <w:t>Removing regulatory and procedural barriers to trade in the Economic Commission for Europe</w:t>
      </w:r>
      <w:r w:rsidR="009778B9">
        <w:t xml:space="preserve"> </w:t>
      </w:r>
      <w:r w:rsidR="003660B9" w:rsidRPr="00AA5754">
        <w:t>region</w:t>
      </w:r>
    </w:p>
    <w:p w14:paraId="18F08835" w14:textId="6A00E413" w:rsidR="003660B9" w:rsidRDefault="003660B9" w:rsidP="003660B9">
      <w:pPr>
        <w:pStyle w:val="SingleTxtG"/>
      </w:pPr>
      <w:r>
        <w:t>6.</w:t>
      </w:r>
      <w:r>
        <w:tab/>
      </w:r>
      <w:bookmarkStart w:id="0" w:name="_Hlk129628882"/>
      <w:r w:rsidR="00CC73A0">
        <w:t>Country studies</w:t>
      </w:r>
      <w:r w:rsidR="00CC73A0" w:rsidRPr="00FD2A88">
        <w:t>: Kyrgyzstan</w:t>
      </w:r>
      <w:r w:rsidR="00CC73A0">
        <w:t xml:space="preserve"> and the Republic of Moldova</w:t>
      </w:r>
      <w:r w:rsidRPr="00973E05">
        <w:t>.</w:t>
      </w:r>
    </w:p>
    <w:p w14:paraId="19EFD1E8" w14:textId="77777777" w:rsidR="00597C04" w:rsidRDefault="00597C04" w:rsidP="003660B9">
      <w:pPr>
        <w:pStyle w:val="SingleTxtG"/>
      </w:pPr>
    </w:p>
    <w:p w14:paraId="3618B9E2" w14:textId="77777777" w:rsidR="0047556A" w:rsidRDefault="0047556A" w:rsidP="003660B9">
      <w:pPr>
        <w:pStyle w:val="SingleTxtG"/>
      </w:pPr>
    </w:p>
    <w:p w14:paraId="438BFDBB" w14:textId="6EE2BBEF" w:rsidR="00F0353D" w:rsidRPr="00AA5754" w:rsidRDefault="00F0353D" w:rsidP="00F0353D">
      <w:pPr>
        <w:pStyle w:val="H1G"/>
      </w:pPr>
      <w:r>
        <w:lastRenderedPageBreak/>
        <w:tab/>
        <w:t>C.</w:t>
      </w:r>
      <w:r>
        <w:tab/>
      </w:r>
      <w:r w:rsidRPr="00AA5754">
        <w:t xml:space="preserve">High-level segment: </w:t>
      </w:r>
      <w:r>
        <w:t>L</w:t>
      </w:r>
      <w:r w:rsidRPr="002C2089">
        <w:t>essons learned from the</w:t>
      </w:r>
      <w:r>
        <w:t xml:space="preserve"> Studies on</w:t>
      </w:r>
      <w:r w:rsidRPr="002C2089">
        <w:t xml:space="preserve"> Regulatory </w:t>
      </w:r>
      <w:r w:rsidR="00CD61D8">
        <w:t xml:space="preserve">and Procedural </w:t>
      </w:r>
      <w:r w:rsidRPr="002C2089">
        <w:t xml:space="preserve">Barriers to Trade </w:t>
      </w:r>
      <w:r>
        <w:t>and</w:t>
      </w:r>
      <w:r w:rsidRPr="00AA5754">
        <w:t xml:space="preserve"> </w:t>
      </w:r>
      <w:r>
        <w:t xml:space="preserve">emerging areas for consideration </w:t>
      </w:r>
    </w:p>
    <w:bookmarkEnd w:id="0"/>
    <w:p w14:paraId="257BA24B" w14:textId="003D9B4F" w:rsidR="00A85A32" w:rsidRDefault="000E4259" w:rsidP="004206C2">
      <w:pPr>
        <w:pStyle w:val="SingleTxtG"/>
      </w:pPr>
      <w:r>
        <w:t>7</w:t>
      </w:r>
      <w:r w:rsidR="00A85A32" w:rsidRPr="00973E05">
        <w:t>.</w:t>
      </w:r>
      <w:r w:rsidR="00A85A32" w:rsidRPr="00973E05">
        <w:tab/>
      </w:r>
      <w:r w:rsidR="00394ABC">
        <w:t>L</w:t>
      </w:r>
      <w:r w:rsidR="00394ABC" w:rsidRPr="002C2089">
        <w:t>essons learned from the</w:t>
      </w:r>
      <w:r w:rsidR="00394ABC">
        <w:t xml:space="preserve"> </w:t>
      </w:r>
      <w:r w:rsidR="00394ABC" w:rsidRPr="0092087B">
        <w:t>Studies on Regulatory</w:t>
      </w:r>
      <w:r w:rsidR="00CF1885" w:rsidRPr="0092087B">
        <w:t xml:space="preserve"> and Procedural</w:t>
      </w:r>
      <w:r w:rsidR="00394ABC" w:rsidRPr="0092087B">
        <w:t xml:space="preserve"> Barriers to Trade and </w:t>
      </w:r>
      <w:r w:rsidR="008728E0" w:rsidRPr="0092087B">
        <w:t>country follow-up</w:t>
      </w:r>
      <w:r w:rsidR="0047041C" w:rsidRPr="0092087B">
        <w:t>s</w:t>
      </w:r>
      <w:r w:rsidR="008A520E" w:rsidRPr="0092087B">
        <w:t>.</w:t>
      </w:r>
      <w:r w:rsidR="0047041C">
        <w:t xml:space="preserve"> </w:t>
      </w:r>
    </w:p>
    <w:p w14:paraId="707B6F71" w14:textId="567BCBD6" w:rsidR="003660B9" w:rsidRPr="0092087B" w:rsidRDefault="000E4259" w:rsidP="00AB3F7F">
      <w:pPr>
        <w:pStyle w:val="SingleTxtG"/>
      </w:pPr>
      <w:r>
        <w:t>8</w:t>
      </w:r>
      <w:r w:rsidR="003660B9" w:rsidRPr="00973E05">
        <w:t>.</w:t>
      </w:r>
      <w:r w:rsidR="003660B9" w:rsidRPr="00973E05">
        <w:tab/>
      </w:r>
      <w:r w:rsidR="00E249E3">
        <w:t>I</w:t>
      </w:r>
      <w:r w:rsidR="003660B9">
        <w:t xml:space="preserve">ntegrating circular economy </w:t>
      </w:r>
      <w:r w:rsidR="00AB3F7F" w:rsidRPr="00AB3F7F">
        <w:t>considerations</w:t>
      </w:r>
      <w:r w:rsidR="003660B9">
        <w:t xml:space="preserve"> into</w:t>
      </w:r>
      <w:r w:rsidR="00E249E3">
        <w:t xml:space="preserve"> </w:t>
      </w:r>
      <w:r w:rsidR="001D49CE" w:rsidRPr="0092087B">
        <w:t>S</w:t>
      </w:r>
      <w:r w:rsidR="00E249E3" w:rsidRPr="0092087B">
        <w:t xml:space="preserve">tudies on </w:t>
      </w:r>
      <w:r w:rsidR="00E07B19" w:rsidRPr="0092087B">
        <w:t>R</w:t>
      </w:r>
      <w:r w:rsidR="00E249E3" w:rsidRPr="0092087B">
        <w:t xml:space="preserve">egulatory and </w:t>
      </w:r>
      <w:r w:rsidR="00E07B19" w:rsidRPr="0092087B">
        <w:t>P</w:t>
      </w:r>
      <w:r w:rsidR="00E249E3" w:rsidRPr="0092087B">
        <w:t xml:space="preserve">rocedural </w:t>
      </w:r>
      <w:r w:rsidR="00E07B19" w:rsidRPr="0092087B">
        <w:t>B</w:t>
      </w:r>
      <w:r w:rsidR="00E249E3" w:rsidRPr="0092087B">
        <w:t xml:space="preserve">arriers to </w:t>
      </w:r>
      <w:r w:rsidR="00E07B19" w:rsidRPr="0092087B">
        <w:t>T</w:t>
      </w:r>
      <w:r w:rsidR="00E249E3" w:rsidRPr="0092087B">
        <w:t>rade</w:t>
      </w:r>
      <w:r w:rsidR="00ED1BCF" w:rsidRPr="0092087B">
        <w:t>.</w:t>
      </w:r>
    </w:p>
    <w:p w14:paraId="506132CE" w14:textId="6647BC0A" w:rsidR="00225896" w:rsidRPr="00973E05" w:rsidRDefault="000E4259" w:rsidP="00225896">
      <w:pPr>
        <w:pStyle w:val="SingleTxtG"/>
      </w:pPr>
      <w:r w:rsidRPr="0092087B">
        <w:t>9</w:t>
      </w:r>
      <w:r w:rsidR="00225896" w:rsidRPr="0092087B">
        <w:t>.</w:t>
      </w:r>
      <w:r w:rsidR="00320B60" w:rsidRPr="0092087B">
        <w:tab/>
      </w:r>
      <w:r w:rsidR="00B44811" w:rsidRPr="0092087B">
        <w:t>Integrating digital economy considerations into Studies on Regulatory and Procedural Barriers to Trade.</w:t>
      </w:r>
    </w:p>
    <w:p w14:paraId="48E4A58B" w14:textId="37027609" w:rsidR="00650AC4" w:rsidRDefault="00C95362" w:rsidP="00286659">
      <w:pPr>
        <w:pStyle w:val="H1G"/>
      </w:pPr>
      <w:r>
        <w:tab/>
      </w:r>
      <w:r w:rsidR="00286659">
        <w:t>D</w:t>
      </w:r>
      <w:r w:rsidR="00286659" w:rsidRPr="00AA5754">
        <w:t xml:space="preserve">. </w:t>
      </w:r>
      <w:r w:rsidR="00286659" w:rsidRPr="00AA5754">
        <w:tab/>
      </w:r>
      <w:r>
        <w:tab/>
      </w:r>
      <w:r w:rsidR="00286659" w:rsidRPr="00AA5754">
        <w:t>Continuation of the general segment</w:t>
      </w:r>
    </w:p>
    <w:p w14:paraId="3BE6DB8F" w14:textId="1FE7A431" w:rsidR="00225896" w:rsidRPr="00973E05" w:rsidRDefault="000E4259" w:rsidP="00225896">
      <w:pPr>
        <w:pStyle w:val="SingleTxtG"/>
      </w:pPr>
      <w:r>
        <w:t>10</w:t>
      </w:r>
      <w:r w:rsidR="00225896" w:rsidRPr="00973E05">
        <w:t>.</w:t>
      </w:r>
      <w:r w:rsidR="00225896" w:rsidRPr="00973E05">
        <w:tab/>
      </w:r>
      <w:r w:rsidR="00926ECB" w:rsidRPr="00973E05">
        <w:t>Capacity-building and technical assistance activities.</w:t>
      </w:r>
    </w:p>
    <w:p w14:paraId="2281C4CF" w14:textId="5CEBBF4D" w:rsidR="00225896" w:rsidRPr="00973E05" w:rsidRDefault="000E4259" w:rsidP="00225896">
      <w:pPr>
        <w:pStyle w:val="SingleTxtG"/>
      </w:pPr>
      <w:r w:rsidRPr="00973E05">
        <w:t>1</w:t>
      </w:r>
      <w:r>
        <w:t>1</w:t>
      </w:r>
      <w:r w:rsidR="00225896" w:rsidRPr="00973E05">
        <w:t>.</w:t>
      </w:r>
      <w:r w:rsidR="00225896" w:rsidRPr="00973E05">
        <w:tab/>
      </w:r>
      <w:r w:rsidR="004E7530" w:rsidRPr="00973E05">
        <w:t>Cooperation with other organizations and Economic Commission for Europe bodies.</w:t>
      </w:r>
    </w:p>
    <w:p w14:paraId="7902EF85" w14:textId="4E144C7A" w:rsidR="003E7F1E" w:rsidRPr="003E7F1E" w:rsidRDefault="000E4259" w:rsidP="003E7F1E">
      <w:pPr>
        <w:pStyle w:val="SingleTxtG"/>
      </w:pPr>
      <w:r w:rsidRPr="00973E05">
        <w:t>1</w:t>
      </w:r>
      <w:r>
        <w:t>2</w:t>
      </w:r>
      <w:r w:rsidR="00225896" w:rsidRPr="00973E05">
        <w:t>.</w:t>
      </w:r>
      <w:r w:rsidR="00225896" w:rsidRPr="00973E05">
        <w:tab/>
      </w:r>
      <w:r w:rsidR="003E7F1E" w:rsidRPr="003E7F1E">
        <w:t>Recommendations from the evaluation of the Economic Commission for Europe: Subprogramme 4 and Subprogramme 6 by the United Nations Office of Internal Oversight.</w:t>
      </w:r>
    </w:p>
    <w:p w14:paraId="6767F417" w14:textId="5E22FA36" w:rsidR="00225896" w:rsidRPr="00973E05" w:rsidRDefault="00684E98" w:rsidP="00225896">
      <w:pPr>
        <w:pStyle w:val="SingleTxtG"/>
      </w:pPr>
      <w:r>
        <w:t>1</w:t>
      </w:r>
      <w:r w:rsidR="00CC6890">
        <w:t>3</w:t>
      </w:r>
      <w:r>
        <w:t>.</w:t>
      </w:r>
      <w:r>
        <w:tab/>
      </w:r>
      <w:r w:rsidR="00205761" w:rsidRPr="00973E05">
        <w:t>Programme of work:</w:t>
      </w:r>
    </w:p>
    <w:p w14:paraId="453A358D" w14:textId="5166EA15" w:rsidR="00C24A2B" w:rsidRPr="00973E05" w:rsidRDefault="00193623" w:rsidP="005705D2">
      <w:pPr>
        <w:pStyle w:val="Bullet1G"/>
        <w:numPr>
          <w:ilvl w:val="0"/>
          <w:numId w:val="0"/>
        </w:numPr>
        <w:ind w:left="1701"/>
      </w:pPr>
      <w:r w:rsidRPr="00973E05">
        <w:t>(a)</w:t>
      </w:r>
      <w:r w:rsidRPr="00973E05">
        <w:tab/>
      </w:r>
      <w:r w:rsidR="00DF6A60" w:rsidRPr="00973E05">
        <w:t>Status of implementation of the Trade subprogramme</w:t>
      </w:r>
      <w:r w:rsidR="0015745A" w:rsidRPr="00973E05">
        <w:t>’s</w:t>
      </w:r>
      <w:r w:rsidR="00DF6A60" w:rsidRPr="00973E05">
        <w:t xml:space="preserve"> programme of work</w:t>
      </w:r>
      <w:r w:rsidR="0015745A" w:rsidRPr="00973E05">
        <w:t xml:space="preserve"> for 202</w:t>
      </w:r>
      <w:r w:rsidR="00286659">
        <w:t>3</w:t>
      </w:r>
      <w:r w:rsidR="00DF6A60" w:rsidRPr="00973E05">
        <w:t>; and</w:t>
      </w:r>
    </w:p>
    <w:p w14:paraId="2437EA40" w14:textId="742F1AB7" w:rsidR="00DF6A60" w:rsidRPr="00973E05" w:rsidRDefault="00DF6A60" w:rsidP="00DF6A60">
      <w:pPr>
        <w:pStyle w:val="Bullet1G"/>
        <w:numPr>
          <w:ilvl w:val="0"/>
          <w:numId w:val="0"/>
        </w:numPr>
        <w:ind w:left="1701"/>
      </w:pPr>
      <w:r w:rsidRPr="00973E05">
        <w:t>(b)</w:t>
      </w:r>
      <w:r w:rsidRPr="00973E05">
        <w:tab/>
      </w:r>
      <w:r w:rsidR="009D79AA" w:rsidRPr="00973E05">
        <w:t xml:space="preserve">Trade subprogramme’s programme of work for </w:t>
      </w:r>
      <w:r w:rsidR="00CA3F37" w:rsidRPr="00973E05">
        <w:t>202</w:t>
      </w:r>
      <w:r w:rsidR="00286659">
        <w:t>4</w:t>
      </w:r>
      <w:r w:rsidR="00CA3F37" w:rsidRPr="00973E05">
        <w:t xml:space="preserve"> </w:t>
      </w:r>
      <w:r w:rsidR="009D79AA" w:rsidRPr="00973E05">
        <w:t xml:space="preserve">and outline of key components of the programme of work for </w:t>
      </w:r>
      <w:r w:rsidR="00CA3F37" w:rsidRPr="00973E05">
        <w:t>202</w:t>
      </w:r>
      <w:r w:rsidR="00286659">
        <w:t>5</w:t>
      </w:r>
      <w:r w:rsidR="009D79AA" w:rsidRPr="00973E05">
        <w:t>.</w:t>
      </w:r>
    </w:p>
    <w:p w14:paraId="5B770CE1" w14:textId="7B396DE1" w:rsidR="00225896" w:rsidRPr="00973E05" w:rsidRDefault="008B5192" w:rsidP="00225896">
      <w:pPr>
        <w:pStyle w:val="SingleTxtG"/>
      </w:pPr>
      <w:r>
        <w:t>1</w:t>
      </w:r>
      <w:r w:rsidR="00CC6890">
        <w:t>4</w:t>
      </w:r>
      <w:r>
        <w:t>.</w:t>
      </w:r>
      <w:r>
        <w:tab/>
      </w:r>
      <w:r w:rsidR="00B17393" w:rsidRPr="00973E05">
        <w:t>Other business.</w:t>
      </w:r>
    </w:p>
    <w:p w14:paraId="705E076F" w14:textId="3024ACDD" w:rsidR="00432543" w:rsidRPr="00973E05" w:rsidRDefault="008B5192" w:rsidP="00AB38E3">
      <w:pPr>
        <w:pStyle w:val="SingleTxtG"/>
      </w:pPr>
      <w:r w:rsidRPr="00973E05">
        <w:t>1</w:t>
      </w:r>
      <w:r w:rsidR="00CC6890">
        <w:t>5</w:t>
      </w:r>
      <w:r w:rsidR="00225896" w:rsidRPr="00973E05">
        <w:t>.</w:t>
      </w:r>
      <w:r w:rsidR="00225896" w:rsidRPr="00973E05">
        <w:tab/>
      </w:r>
      <w:r w:rsidR="00AB38E3" w:rsidRPr="00973E05">
        <w:t>Adoption of the report.</w:t>
      </w:r>
    </w:p>
    <w:p w14:paraId="126B5A9C" w14:textId="12B926B6" w:rsidR="00CC7FD7" w:rsidRPr="00973E05" w:rsidRDefault="00CC7FD7" w:rsidP="00CC7FD7">
      <w:pPr>
        <w:pStyle w:val="HChG"/>
      </w:pPr>
      <w:r w:rsidRPr="00973E05">
        <w:tab/>
        <w:t>II.</w:t>
      </w:r>
      <w:r w:rsidRPr="00973E05">
        <w:tab/>
      </w:r>
      <w:r w:rsidR="00B05EC6" w:rsidRPr="00973E05">
        <w:t>Annotations</w:t>
      </w:r>
    </w:p>
    <w:p w14:paraId="34A55731" w14:textId="105EC602" w:rsidR="00432543" w:rsidRDefault="00730BC2" w:rsidP="00730BC2">
      <w:pPr>
        <w:pStyle w:val="H1G"/>
      </w:pPr>
      <w:r w:rsidRPr="00973E05">
        <w:tab/>
      </w:r>
      <w:r w:rsidRPr="00973E05">
        <w:tab/>
        <w:t>Item 1.</w:t>
      </w:r>
      <w:r w:rsidR="00A24793" w:rsidRPr="00973E05">
        <w:t xml:space="preserve"> </w:t>
      </w:r>
      <w:r w:rsidR="00A52A81" w:rsidRPr="00973E05">
        <w:t>Adoption of the agenda</w:t>
      </w:r>
    </w:p>
    <w:p w14:paraId="3E833F86" w14:textId="6411A1FD" w:rsidR="009A65E8" w:rsidRPr="00973E05" w:rsidRDefault="005D4837" w:rsidP="009A65E8">
      <w:pPr>
        <w:pStyle w:val="SingleTxtG"/>
        <w:spacing w:before="120"/>
      </w:pPr>
      <w:r>
        <w:t>1</w:t>
      </w:r>
      <w:r w:rsidR="009A65E8" w:rsidRPr="00973E05">
        <w:t>.</w:t>
      </w:r>
      <w:r w:rsidR="009A65E8" w:rsidRPr="00973E05">
        <w:tab/>
        <w:t>Delegates are invited to adopt the</w:t>
      </w:r>
      <w:r w:rsidR="009A65E8">
        <w:t xml:space="preserve"> </w:t>
      </w:r>
      <w:r w:rsidR="009A65E8" w:rsidRPr="00973E05">
        <w:t>provisional agenda.</w:t>
      </w:r>
    </w:p>
    <w:p w14:paraId="131FC192" w14:textId="77777777" w:rsidR="009A65E8" w:rsidRPr="009A65E8" w:rsidRDefault="009A65E8" w:rsidP="009A65E8"/>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2438"/>
        <w:gridCol w:w="1984"/>
      </w:tblGrid>
      <w:tr w:rsidR="00B24892" w:rsidRPr="00973E05" w14:paraId="1D23B214" w14:textId="77777777" w:rsidTr="00B24892">
        <w:tc>
          <w:tcPr>
            <w:tcW w:w="2948" w:type="dxa"/>
            <w:tcBorders>
              <w:top w:val="single" w:sz="4" w:space="0" w:color="auto"/>
              <w:bottom w:val="single" w:sz="12" w:space="0" w:color="auto"/>
            </w:tcBorders>
            <w:shd w:val="clear" w:color="auto" w:fill="auto"/>
            <w:vAlign w:val="bottom"/>
          </w:tcPr>
          <w:p w14:paraId="7A43E094" w14:textId="6A1A0060" w:rsidR="00461F75" w:rsidRPr="00973E05" w:rsidRDefault="00F04544" w:rsidP="00461F75">
            <w:pPr>
              <w:spacing w:before="80" w:after="80" w:line="200" w:lineRule="exact"/>
              <w:ind w:right="113"/>
              <w:rPr>
                <w:i/>
                <w:sz w:val="16"/>
              </w:rPr>
            </w:pPr>
            <w:r w:rsidRPr="00973E05">
              <w:rPr>
                <w:i/>
                <w:sz w:val="16"/>
              </w:rPr>
              <w:t>Title of document</w:t>
            </w:r>
          </w:p>
        </w:tc>
        <w:tc>
          <w:tcPr>
            <w:tcW w:w="2438" w:type="dxa"/>
            <w:tcBorders>
              <w:top w:val="single" w:sz="4" w:space="0" w:color="auto"/>
              <w:bottom w:val="single" w:sz="12" w:space="0" w:color="auto"/>
            </w:tcBorders>
            <w:shd w:val="clear" w:color="auto" w:fill="auto"/>
            <w:vAlign w:val="bottom"/>
          </w:tcPr>
          <w:p w14:paraId="190B7432" w14:textId="169794FA" w:rsidR="00461F75" w:rsidRPr="00973E05" w:rsidRDefault="000F2B1E" w:rsidP="00461F75">
            <w:pPr>
              <w:spacing w:before="80" w:after="80" w:line="200" w:lineRule="exact"/>
              <w:ind w:right="113"/>
              <w:rPr>
                <w:i/>
                <w:sz w:val="16"/>
              </w:rPr>
            </w:pPr>
            <w:r w:rsidRPr="00973E05">
              <w:rPr>
                <w:i/>
                <w:sz w:val="16"/>
              </w:rPr>
              <w:t>Document symbol</w:t>
            </w:r>
          </w:p>
        </w:tc>
        <w:tc>
          <w:tcPr>
            <w:tcW w:w="1984" w:type="dxa"/>
            <w:tcBorders>
              <w:top w:val="single" w:sz="4" w:space="0" w:color="auto"/>
              <w:bottom w:val="single" w:sz="12" w:space="0" w:color="auto"/>
            </w:tcBorders>
            <w:shd w:val="clear" w:color="auto" w:fill="auto"/>
            <w:vAlign w:val="bottom"/>
          </w:tcPr>
          <w:p w14:paraId="67756154" w14:textId="0267A6A8" w:rsidR="00461F75" w:rsidRPr="00973E05" w:rsidRDefault="006648BA" w:rsidP="00461F75">
            <w:pPr>
              <w:spacing w:before="80" w:after="80" w:line="200" w:lineRule="exact"/>
              <w:ind w:right="113"/>
              <w:rPr>
                <w:i/>
                <w:sz w:val="16"/>
              </w:rPr>
            </w:pPr>
            <w:r w:rsidRPr="00973E05">
              <w:rPr>
                <w:i/>
                <w:sz w:val="16"/>
              </w:rPr>
              <w:t>For information/decision</w:t>
            </w:r>
          </w:p>
        </w:tc>
      </w:tr>
      <w:tr w:rsidR="000676E2" w:rsidRPr="00973E05" w14:paraId="23048946" w14:textId="77777777" w:rsidTr="00394970">
        <w:trPr>
          <w:trHeight w:hRule="exact" w:val="113"/>
        </w:trPr>
        <w:tc>
          <w:tcPr>
            <w:tcW w:w="2948" w:type="dxa"/>
            <w:tcBorders>
              <w:top w:val="single" w:sz="12" w:space="0" w:color="auto"/>
            </w:tcBorders>
            <w:shd w:val="clear" w:color="auto" w:fill="auto"/>
            <w:vAlign w:val="bottom"/>
          </w:tcPr>
          <w:p w14:paraId="243F1FEC" w14:textId="77777777" w:rsidR="00461F75" w:rsidRPr="00973E05" w:rsidRDefault="00461F75" w:rsidP="00461F75">
            <w:pPr>
              <w:spacing w:before="80" w:after="80" w:line="200" w:lineRule="exact"/>
              <w:ind w:right="113"/>
              <w:rPr>
                <w:i/>
                <w:sz w:val="16"/>
              </w:rPr>
            </w:pPr>
          </w:p>
        </w:tc>
        <w:tc>
          <w:tcPr>
            <w:tcW w:w="2438" w:type="dxa"/>
            <w:tcBorders>
              <w:top w:val="single" w:sz="12" w:space="0" w:color="auto"/>
            </w:tcBorders>
            <w:shd w:val="clear" w:color="auto" w:fill="auto"/>
            <w:vAlign w:val="bottom"/>
          </w:tcPr>
          <w:p w14:paraId="24B85436" w14:textId="77777777" w:rsidR="00461F75" w:rsidRPr="00973E05" w:rsidRDefault="00461F75" w:rsidP="00461F75">
            <w:pPr>
              <w:spacing w:before="80" w:after="80" w:line="200" w:lineRule="exact"/>
              <w:ind w:right="113"/>
              <w:rPr>
                <w:i/>
                <w:sz w:val="16"/>
              </w:rPr>
            </w:pPr>
          </w:p>
        </w:tc>
        <w:tc>
          <w:tcPr>
            <w:tcW w:w="1984" w:type="dxa"/>
            <w:tcBorders>
              <w:top w:val="single" w:sz="12" w:space="0" w:color="auto"/>
            </w:tcBorders>
            <w:shd w:val="clear" w:color="auto" w:fill="auto"/>
            <w:vAlign w:val="bottom"/>
          </w:tcPr>
          <w:p w14:paraId="4E836D4A" w14:textId="77777777" w:rsidR="00461F75" w:rsidRPr="00973E05" w:rsidRDefault="00461F75" w:rsidP="00461F75">
            <w:pPr>
              <w:spacing w:before="80" w:after="80" w:line="200" w:lineRule="exact"/>
              <w:ind w:right="113"/>
              <w:rPr>
                <w:i/>
                <w:sz w:val="16"/>
              </w:rPr>
            </w:pPr>
          </w:p>
        </w:tc>
      </w:tr>
      <w:tr w:rsidR="00B24892" w:rsidRPr="00CC3F0F" w14:paraId="47A9733D" w14:textId="77777777" w:rsidTr="00394970">
        <w:tc>
          <w:tcPr>
            <w:tcW w:w="2948" w:type="dxa"/>
            <w:tcBorders>
              <w:bottom w:val="single" w:sz="12" w:space="0" w:color="auto"/>
            </w:tcBorders>
            <w:shd w:val="clear" w:color="auto" w:fill="auto"/>
          </w:tcPr>
          <w:p w14:paraId="7D736594" w14:textId="4ECB3954" w:rsidR="00461F75" w:rsidRPr="00CC3F0F" w:rsidRDefault="00C616F6" w:rsidP="00461F75">
            <w:pPr>
              <w:spacing w:before="40" w:after="120"/>
              <w:ind w:right="113"/>
            </w:pPr>
            <w:r>
              <w:t xml:space="preserve">Annotated </w:t>
            </w:r>
            <w:r w:rsidR="00134DB1" w:rsidRPr="00CC3F0F">
              <w:t>Provisional agenda</w:t>
            </w:r>
          </w:p>
        </w:tc>
        <w:tc>
          <w:tcPr>
            <w:tcW w:w="2438" w:type="dxa"/>
            <w:tcBorders>
              <w:bottom w:val="single" w:sz="12" w:space="0" w:color="auto"/>
            </w:tcBorders>
            <w:shd w:val="clear" w:color="auto" w:fill="auto"/>
          </w:tcPr>
          <w:p w14:paraId="4F0CE76F" w14:textId="01828A67" w:rsidR="00461F75" w:rsidRPr="00CC3F0F" w:rsidRDefault="00AA1D4F" w:rsidP="00461F75">
            <w:pPr>
              <w:spacing w:before="40" w:after="120"/>
              <w:ind w:right="113"/>
            </w:pPr>
            <w:r w:rsidRPr="00CC3F0F">
              <w:t>ECE/CTCS/202</w:t>
            </w:r>
            <w:r w:rsidR="00F42CF4" w:rsidRPr="00CC3F0F">
              <w:t>3</w:t>
            </w:r>
            <w:r w:rsidRPr="00CC3F0F">
              <w:t>/1</w:t>
            </w:r>
          </w:p>
        </w:tc>
        <w:tc>
          <w:tcPr>
            <w:tcW w:w="1984" w:type="dxa"/>
            <w:tcBorders>
              <w:bottom w:val="single" w:sz="12" w:space="0" w:color="auto"/>
            </w:tcBorders>
            <w:shd w:val="clear" w:color="auto" w:fill="auto"/>
          </w:tcPr>
          <w:p w14:paraId="3D177327" w14:textId="4E95E82C" w:rsidR="00461F75" w:rsidRPr="00CC3F0F" w:rsidRDefault="00286CE9" w:rsidP="00461F75">
            <w:pPr>
              <w:spacing w:before="40" w:after="120"/>
              <w:ind w:right="113"/>
            </w:pPr>
            <w:r w:rsidRPr="00CC3F0F">
              <w:t>Decision</w:t>
            </w:r>
          </w:p>
        </w:tc>
      </w:tr>
    </w:tbl>
    <w:p w14:paraId="6BA72290" w14:textId="2AD7E1F9" w:rsidR="00560C60" w:rsidRPr="00A13BE3" w:rsidRDefault="0099547C" w:rsidP="00560C60">
      <w:pPr>
        <w:pStyle w:val="H1G"/>
        <w:rPr>
          <w:color w:val="000000" w:themeColor="text1"/>
        </w:rPr>
      </w:pPr>
      <w:r w:rsidRPr="00973E05">
        <w:tab/>
      </w:r>
      <w:r w:rsidRPr="00973E05">
        <w:tab/>
      </w:r>
      <w:r w:rsidR="00560C60" w:rsidRPr="00A13BE3">
        <w:rPr>
          <w:color w:val="000000" w:themeColor="text1"/>
        </w:rPr>
        <w:t>Item 2. Election of officers</w:t>
      </w:r>
    </w:p>
    <w:p w14:paraId="26E35B48" w14:textId="1380459F" w:rsidR="00321B48" w:rsidRPr="00560C60" w:rsidRDefault="005D4837" w:rsidP="00560C60">
      <w:pPr>
        <w:pStyle w:val="SingleTxtG"/>
        <w:spacing w:before="120" w:line="240" w:lineRule="auto"/>
        <w:ind w:right="1138"/>
        <w:rPr>
          <w:color w:val="000000" w:themeColor="text1"/>
        </w:rPr>
      </w:pPr>
      <w:r>
        <w:rPr>
          <w:color w:val="000000" w:themeColor="text1"/>
        </w:rPr>
        <w:t>2</w:t>
      </w:r>
      <w:r w:rsidR="00560C60" w:rsidRPr="00A13BE3">
        <w:rPr>
          <w:color w:val="000000" w:themeColor="text1"/>
        </w:rPr>
        <w:t>.</w:t>
      </w:r>
      <w:r w:rsidR="00560C60" w:rsidRPr="00A13BE3">
        <w:rPr>
          <w:color w:val="000000" w:themeColor="text1"/>
        </w:rPr>
        <w:tab/>
        <w:t>The delegates will be invited to elect, for a two-year mandate 2023 - 202</w:t>
      </w:r>
      <w:r w:rsidR="005A59D2">
        <w:rPr>
          <w:color w:val="000000" w:themeColor="text1"/>
        </w:rPr>
        <w:t>5</w:t>
      </w:r>
      <w:r w:rsidR="00560C60" w:rsidRPr="00A13BE3">
        <w:rPr>
          <w:color w:val="000000" w:themeColor="text1"/>
        </w:rPr>
        <w:t>, a Chair and Vice-Chairs.</w:t>
      </w:r>
    </w:p>
    <w:p w14:paraId="787CD1B0" w14:textId="26C203C2" w:rsidR="00E66F54" w:rsidRDefault="00321B48" w:rsidP="00D20C08">
      <w:pPr>
        <w:pStyle w:val="H1G"/>
      </w:pPr>
      <w:r>
        <w:tab/>
      </w:r>
      <w:r>
        <w:tab/>
      </w:r>
      <w:r w:rsidR="00E66F54" w:rsidRPr="00AA5754">
        <w:tab/>
        <w:t>A.</w:t>
      </w:r>
      <w:r w:rsidR="00E66F54" w:rsidRPr="00AA5754">
        <w:tab/>
        <w:t>General segment</w:t>
      </w:r>
    </w:p>
    <w:p w14:paraId="749C4BA9" w14:textId="7F467752" w:rsidR="0099547C" w:rsidRPr="00973E05" w:rsidRDefault="00E66F54" w:rsidP="0099547C">
      <w:pPr>
        <w:pStyle w:val="H1G"/>
      </w:pPr>
      <w:r>
        <w:tab/>
      </w:r>
      <w:r>
        <w:tab/>
      </w:r>
      <w:r w:rsidR="0099547C" w:rsidRPr="00973E05">
        <w:t xml:space="preserve">Item </w:t>
      </w:r>
      <w:r w:rsidR="00560C60">
        <w:t>3</w:t>
      </w:r>
      <w:r w:rsidR="0099547C" w:rsidRPr="00973E05">
        <w:t xml:space="preserve">. </w:t>
      </w:r>
      <w:r w:rsidR="008C4C44" w:rsidRPr="00973E05">
        <w:t>Matters arising</w:t>
      </w:r>
    </w:p>
    <w:p w14:paraId="2B0F93A6" w14:textId="284F2141" w:rsidR="0099547C" w:rsidRPr="00973E05" w:rsidRDefault="004E4975" w:rsidP="00EE2F7E">
      <w:pPr>
        <w:pStyle w:val="SingleTxtG"/>
      </w:pPr>
      <w:r>
        <w:t>3</w:t>
      </w:r>
      <w:r w:rsidR="00EE2F7E" w:rsidRPr="00973E05">
        <w:t>.</w:t>
      </w:r>
      <w:r w:rsidR="00EE2F7E" w:rsidRPr="00973E05">
        <w:tab/>
        <w:t xml:space="preserve">Under this item, the secretariat will report on matters arising from the meetings of the Economic Commission for Europe </w:t>
      </w:r>
      <w:r w:rsidR="00510885">
        <w:t xml:space="preserve">(ECE) </w:t>
      </w:r>
      <w:r w:rsidR="00EE2F7E" w:rsidRPr="00973E05">
        <w:t>and its Executive Committee (EXCOM)</w:t>
      </w:r>
      <w:r w:rsidR="00E87CBF">
        <w:t xml:space="preserve"> since the last session</w:t>
      </w:r>
      <w:r w:rsidR="00EE2F7E" w:rsidRPr="00973E05">
        <w:t>.</w:t>
      </w:r>
    </w:p>
    <w:p w14:paraId="094D4659" w14:textId="140DA186" w:rsidR="0099547C" w:rsidRPr="001E6BA9" w:rsidRDefault="0099547C" w:rsidP="0099547C">
      <w:pPr>
        <w:pStyle w:val="H1G"/>
      </w:pPr>
      <w:r w:rsidRPr="00973E05">
        <w:lastRenderedPageBreak/>
        <w:tab/>
      </w:r>
      <w:r w:rsidRPr="00973E05">
        <w:tab/>
      </w:r>
      <w:r w:rsidRPr="001E6BA9">
        <w:t xml:space="preserve">Item </w:t>
      </w:r>
      <w:r w:rsidR="00560C60" w:rsidRPr="001E6BA9">
        <w:t>4</w:t>
      </w:r>
      <w:r w:rsidRPr="001E6BA9">
        <w:t xml:space="preserve">. </w:t>
      </w:r>
      <w:r w:rsidR="00780C67" w:rsidRPr="001E6BA9">
        <w:t>Updates from the Working Party on Regulatory Cooperation and Standardization Policies (WP.6)</w:t>
      </w:r>
    </w:p>
    <w:p w14:paraId="7EA0F7BF" w14:textId="4DAF5855" w:rsidR="00A87E21" w:rsidRPr="00973E05" w:rsidRDefault="00B5717B" w:rsidP="00A87E21">
      <w:pPr>
        <w:pStyle w:val="SingleTxtG"/>
      </w:pPr>
      <w:r>
        <w:t>4</w:t>
      </w:r>
      <w:r w:rsidR="00A87E21" w:rsidRPr="001654B4">
        <w:t>.</w:t>
      </w:r>
      <w:r w:rsidR="00A87E21" w:rsidRPr="001654B4">
        <w:tab/>
      </w:r>
      <w:r w:rsidR="00643C98" w:rsidRPr="00643C98">
        <w:t xml:space="preserve">The Working Party on Regulatory Cooperation and Standardization Policies </w:t>
      </w:r>
      <w:r w:rsidR="00B406AB">
        <w:t>(</w:t>
      </w:r>
      <w:r w:rsidR="00085513" w:rsidRPr="007E4ADF">
        <w:t>WP.</w:t>
      </w:r>
      <w:r w:rsidR="00085513">
        <w:t>6</w:t>
      </w:r>
      <w:r w:rsidR="00B406AB">
        <w:t>)</w:t>
      </w:r>
      <w:r w:rsidR="00085513" w:rsidRPr="007E4ADF">
        <w:t xml:space="preserve"> reports its activities and deliverables to the Steering Committee for endorsement. Delegates will have an opportunity to clarify questions and provide comments on the work of WP.</w:t>
      </w:r>
      <w:r w:rsidR="00085513">
        <w:t>6</w:t>
      </w:r>
      <w:r w:rsidR="00085513" w:rsidRPr="007E4ADF">
        <w:t>.</w:t>
      </w:r>
      <w:r w:rsidR="00085513" w:rsidRPr="00085513">
        <w:t xml:space="preserve"> </w:t>
      </w:r>
      <w:r w:rsidR="00085513" w:rsidRPr="007E4ADF">
        <w:t xml:space="preserve">The Steering Committee is requested to </w:t>
      </w:r>
      <w:r w:rsidR="00085513">
        <w:t>endorse the</w:t>
      </w:r>
      <w:r w:rsidR="00167E8C">
        <w:t xml:space="preserve"> Report </w:t>
      </w:r>
      <w:r w:rsidR="00ED76D4">
        <w:t xml:space="preserve">of the </w:t>
      </w:r>
      <w:r w:rsidR="00ED76D4" w:rsidRPr="001E6BA9">
        <w:t>thirty-second session</w:t>
      </w:r>
      <w:r w:rsidR="00085513">
        <w:t xml:space="preserve"> </w:t>
      </w:r>
      <w:r w:rsidR="000F6BA7">
        <w:t>of the Working Party</w:t>
      </w:r>
      <w:r w:rsidR="00FE1C7A">
        <w:t xml:space="preserve">, </w:t>
      </w:r>
      <w:r w:rsidR="00085513">
        <w:t xml:space="preserve">as well as </w:t>
      </w:r>
      <w:r w:rsidR="00085513" w:rsidRPr="007E4ADF">
        <w:t>review and endorse the work plan of WP.</w:t>
      </w:r>
      <w:r w:rsidR="00A73BEF">
        <w:t>6</w:t>
      </w:r>
      <w:r w:rsidR="00085513" w:rsidRPr="007E4ADF">
        <w:t xml:space="preserve"> and recommend it to </w:t>
      </w:r>
      <w:r w:rsidR="00C15FAC">
        <w:t xml:space="preserve">the </w:t>
      </w:r>
      <w:r w:rsidR="00E506B5">
        <w:t>E</w:t>
      </w:r>
      <w:r w:rsidR="00A73BEF">
        <w:t>XCOM</w:t>
      </w:r>
      <w:r w:rsidR="00085513" w:rsidRPr="007E4ADF">
        <w:t xml:space="preserve"> for approval</w:t>
      </w:r>
      <w:r w:rsidR="00A87E21" w:rsidRPr="001654B4">
        <w:t>.</w:t>
      </w:r>
    </w:p>
    <w:p w14:paraId="173F9EFF" w14:textId="77777777" w:rsidR="00A87E21" w:rsidRDefault="00A87E21" w:rsidP="00A87E21"/>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2438"/>
        <w:gridCol w:w="1984"/>
      </w:tblGrid>
      <w:tr w:rsidR="00D16363" w:rsidRPr="00560C60" w14:paraId="5EEC3D28" w14:textId="77777777" w:rsidTr="00FD4FAA">
        <w:tc>
          <w:tcPr>
            <w:tcW w:w="2948" w:type="dxa"/>
            <w:tcBorders>
              <w:top w:val="single" w:sz="4" w:space="0" w:color="auto"/>
              <w:bottom w:val="single" w:sz="12" w:space="0" w:color="auto"/>
            </w:tcBorders>
            <w:shd w:val="clear" w:color="auto" w:fill="auto"/>
            <w:vAlign w:val="bottom"/>
          </w:tcPr>
          <w:p w14:paraId="4D805446" w14:textId="77777777" w:rsidR="00D16363" w:rsidRPr="001E6BA9" w:rsidRDefault="00D16363" w:rsidP="005E6CC7">
            <w:pPr>
              <w:spacing w:before="80" w:after="80" w:line="200" w:lineRule="exact"/>
              <w:ind w:right="113"/>
              <w:rPr>
                <w:i/>
                <w:sz w:val="16"/>
              </w:rPr>
            </w:pPr>
            <w:r w:rsidRPr="001E6BA9">
              <w:rPr>
                <w:i/>
                <w:sz w:val="16"/>
              </w:rPr>
              <w:t>Title of document</w:t>
            </w:r>
          </w:p>
        </w:tc>
        <w:tc>
          <w:tcPr>
            <w:tcW w:w="2438" w:type="dxa"/>
            <w:tcBorders>
              <w:top w:val="single" w:sz="4" w:space="0" w:color="auto"/>
              <w:bottom w:val="single" w:sz="12" w:space="0" w:color="auto"/>
            </w:tcBorders>
            <w:shd w:val="clear" w:color="auto" w:fill="auto"/>
            <w:vAlign w:val="bottom"/>
          </w:tcPr>
          <w:p w14:paraId="4F2DDB31" w14:textId="77777777" w:rsidR="00D16363" w:rsidRPr="001E6BA9" w:rsidRDefault="00D16363" w:rsidP="005E6CC7">
            <w:pPr>
              <w:spacing w:before="80" w:after="80" w:line="200" w:lineRule="exact"/>
              <w:ind w:right="113"/>
              <w:rPr>
                <w:i/>
                <w:sz w:val="16"/>
              </w:rPr>
            </w:pPr>
            <w:r w:rsidRPr="001E6BA9">
              <w:rPr>
                <w:i/>
                <w:sz w:val="16"/>
              </w:rPr>
              <w:t>Document symbol</w:t>
            </w:r>
          </w:p>
        </w:tc>
        <w:tc>
          <w:tcPr>
            <w:tcW w:w="1984" w:type="dxa"/>
            <w:tcBorders>
              <w:top w:val="single" w:sz="4" w:space="0" w:color="auto"/>
              <w:bottom w:val="single" w:sz="12" w:space="0" w:color="auto"/>
            </w:tcBorders>
            <w:shd w:val="clear" w:color="auto" w:fill="auto"/>
            <w:vAlign w:val="bottom"/>
          </w:tcPr>
          <w:p w14:paraId="2D3ED7DE" w14:textId="65258707" w:rsidR="00D16363" w:rsidRPr="001E6BA9" w:rsidRDefault="00D16363" w:rsidP="005E6CC7">
            <w:pPr>
              <w:spacing w:before="80" w:after="80" w:line="200" w:lineRule="exact"/>
              <w:ind w:right="113"/>
              <w:rPr>
                <w:i/>
                <w:sz w:val="16"/>
              </w:rPr>
            </w:pPr>
            <w:r w:rsidRPr="001E6BA9">
              <w:rPr>
                <w:i/>
                <w:sz w:val="16"/>
              </w:rPr>
              <w:t xml:space="preserve">For </w:t>
            </w:r>
            <w:r w:rsidR="002F5367">
              <w:rPr>
                <w:i/>
                <w:sz w:val="16"/>
              </w:rPr>
              <w:t>review/endorsement</w:t>
            </w:r>
          </w:p>
        </w:tc>
      </w:tr>
      <w:tr w:rsidR="00FD4FAA" w:rsidRPr="00560C60" w14:paraId="1539C1D5" w14:textId="77777777" w:rsidTr="00FD4FAA">
        <w:trPr>
          <w:trHeight w:hRule="exact" w:val="113"/>
        </w:trPr>
        <w:tc>
          <w:tcPr>
            <w:tcW w:w="2948" w:type="dxa"/>
            <w:tcBorders>
              <w:top w:val="single" w:sz="12" w:space="0" w:color="auto"/>
            </w:tcBorders>
            <w:shd w:val="clear" w:color="auto" w:fill="auto"/>
            <w:vAlign w:val="bottom"/>
          </w:tcPr>
          <w:p w14:paraId="27F31BBF" w14:textId="77777777" w:rsidR="00D16363" w:rsidRPr="001E6BA9" w:rsidRDefault="00D16363" w:rsidP="005E6CC7">
            <w:pPr>
              <w:spacing w:before="80" w:after="80" w:line="200" w:lineRule="exact"/>
              <w:ind w:right="113"/>
              <w:rPr>
                <w:i/>
                <w:sz w:val="16"/>
              </w:rPr>
            </w:pPr>
          </w:p>
        </w:tc>
        <w:tc>
          <w:tcPr>
            <w:tcW w:w="2438" w:type="dxa"/>
            <w:tcBorders>
              <w:top w:val="single" w:sz="12" w:space="0" w:color="auto"/>
            </w:tcBorders>
            <w:shd w:val="clear" w:color="auto" w:fill="auto"/>
            <w:vAlign w:val="bottom"/>
          </w:tcPr>
          <w:p w14:paraId="347C3DA9" w14:textId="77777777" w:rsidR="00D16363" w:rsidRPr="001E6BA9" w:rsidRDefault="00D16363" w:rsidP="005E6CC7">
            <w:pPr>
              <w:spacing w:before="80" w:after="80" w:line="200" w:lineRule="exact"/>
              <w:ind w:right="113"/>
              <w:rPr>
                <w:i/>
                <w:sz w:val="16"/>
              </w:rPr>
            </w:pPr>
          </w:p>
        </w:tc>
        <w:tc>
          <w:tcPr>
            <w:tcW w:w="1984" w:type="dxa"/>
            <w:tcBorders>
              <w:top w:val="single" w:sz="12" w:space="0" w:color="auto"/>
            </w:tcBorders>
            <w:shd w:val="clear" w:color="auto" w:fill="auto"/>
            <w:vAlign w:val="bottom"/>
          </w:tcPr>
          <w:p w14:paraId="1D565CFB" w14:textId="77777777" w:rsidR="00D16363" w:rsidRPr="001E6BA9" w:rsidRDefault="00D16363" w:rsidP="005E6CC7">
            <w:pPr>
              <w:spacing w:before="80" w:after="80" w:line="200" w:lineRule="exact"/>
              <w:ind w:right="113"/>
              <w:rPr>
                <w:i/>
                <w:sz w:val="16"/>
              </w:rPr>
            </w:pPr>
          </w:p>
        </w:tc>
      </w:tr>
      <w:tr w:rsidR="00D16363" w:rsidRPr="00560C60" w14:paraId="3A596022" w14:textId="77777777" w:rsidTr="00FD4FAA">
        <w:tc>
          <w:tcPr>
            <w:tcW w:w="2948" w:type="dxa"/>
            <w:shd w:val="clear" w:color="auto" w:fill="auto"/>
          </w:tcPr>
          <w:p w14:paraId="63CDC824" w14:textId="354C902A" w:rsidR="00D16363" w:rsidRPr="001E6BA9" w:rsidRDefault="00117048" w:rsidP="00081CB1">
            <w:pPr>
              <w:spacing w:before="40" w:after="120"/>
              <w:ind w:right="113"/>
            </w:pPr>
            <w:r w:rsidRPr="001E6BA9">
              <w:t xml:space="preserve">Report </w:t>
            </w:r>
            <w:r w:rsidR="007C4B94" w:rsidRPr="001E6BA9">
              <w:t>of</w:t>
            </w:r>
            <w:r w:rsidRPr="001E6BA9">
              <w:t xml:space="preserve"> Working Party on Regulat</w:t>
            </w:r>
            <w:r w:rsidR="00061308">
              <w:t>ion</w:t>
            </w:r>
            <w:r w:rsidRPr="001E6BA9">
              <w:t xml:space="preserve"> Cooperation and Standardization Policies</w:t>
            </w:r>
            <w:r w:rsidR="00631FC0" w:rsidRPr="001E6BA9">
              <w:t xml:space="preserve"> </w:t>
            </w:r>
            <w:r w:rsidR="00116C32">
              <w:t>on its thirty-second session</w:t>
            </w:r>
          </w:p>
        </w:tc>
        <w:tc>
          <w:tcPr>
            <w:tcW w:w="2438" w:type="dxa"/>
            <w:shd w:val="clear" w:color="auto" w:fill="auto"/>
          </w:tcPr>
          <w:p w14:paraId="6883FD05" w14:textId="08FE2769" w:rsidR="00D16363" w:rsidRPr="001E6BA9" w:rsidRDefault="00CE5473" w:rsidP="005E6CC7">
            <w:pPr>
              <w:spacing w:before="40" w:after="120"/>
              <w:ind w:right="113"/>
            </w:pPr>
            <w:r w:rsidRPr="001E6BA9">
              <w:t>ECE/CTCS/WP.6/202</w:t>
            </w:r>
            <w:r w:rsidR="00631FC0" w:rsidRPr="001E6BA9">
              <w:t>2</w:t>
            </w:r>
            <w:r w:rsidRPr="001E6BA9">
              <w:t>/2</w:t>
            </w:r>
          </w:p>
        </w:tc>
        <w:tc>
          <w:tcPr>
            <w:tcW w:w="1984" w:type="dxa"/>
            <w:shd w:val="clear" w:color="auto" w:fill="auto"/>
          </w:tcPr>
          <w:p w14:paraId="2A8E90E5" w14:textId="77777777" w:rsidR="00D16363" w:rsidRPr="001E6BA9" w:rsidRDefault="00D16363" w:rsidP="005E6CC7">
            <w:pPr>
              <w:spacing w:before="40" w:after="120"/>
              <w:ind w:right="113"/>
            </w:pPr>
            <w:r w:rsidRPr="001E6BA9">
              <w:t>Decision</w:t>
            </w:r>
          </w:p>
        </w:tc>
      </w:tr>
      <w:tr w:rsidR="00862209" w:rsidRPr="00560C60" w14:paraId="121A08FA" w14:textId="77777777" w:rsidTr="00FD4FAA">
        <w:tc>
          <w:tcPr>
            <w:tcW w:w="2948" w:type="dxa"/>
            <w:shd w:val="clear" w:color="auto" w:fill="auto"/>
          </w:tcPr>
          <w:p w14:paraId="5A1D8D72" w14:textId="477963C3" w:rsidR="00862209" w:rsidRPr="001E6BA9" w:rsidRDefault="001606EC" w:rsidP="00862209">
            <w:pPr>
              <w:spacing w:before="40" w:after="120"/>
              <w:ind w:right="113"/>
            </w:pPr>
            <w:r w:rsidRPr="001E6BA9">
              <w:t>Programme of work of the Working Party on Regulatory Cooperation and Standardization Policies for 202</w:t>
            </w:r>
            <w:r w:rsidR="0054319E" w:rsidRPr="001E6BA9">
              <w:t>3</w:t>
            </w:r>
          </w:p>
        </w:tc>
        <w:tc>
          <w:tcPr>
            <w:tcW w:w="2438" w:type="dxa"/>
            <w:shd w:val="clear" w:color="auto" w:fill="auto"/>
          </w:tcPr>
          <w:p w14:paraId="3AC82AF3" w14:textId="36D4226F" w:rsidR="00862209" w:rsidRPr="001E6BA9" w:rsidRDefault="00862209" w:rsidP="00862209">
            <w:pPr>
              <w:spacing w:before="40" w:after="120"/>
              <w:ind w:right="113"/>
            </w:pPr>
            <w:r w:rsidRPr="001E6BA9">
              <w:t>ECE/CTCS/WP.6/202</w:t>
            </w:r>
            <w:r w:rsidR="0054319E" w:rsidRPr="001E6BA9">
              <w:t>2</w:t>
            </w:r>
            <w:r w:rsidRPr="001E6BA9">
              <w:t>/1</w:t>
            </w:r>
            <w:r w:rsidR="0054319E" w:rsidRPr="001E6BA9">
              <w:t>2</w:t>
            </w:r>
          </w:p>
        </w:tc>
        <w:tc>
          <w:tcPr>
            <w:tcW w:w="1984" w:type="dxa"/>
            <w:shd w:val="clear" w:color="auto" w:fill="auto"/>
          </w:tcPr>
          <w:p w14:paraId="2C2492A2" w14:textId="02577F26" w:rsidR="00862209" w:rsidRPr="001E6BA9" w:rsidRDefault="00D445AF" w:rsidP="00862209">
            <w:pPr>
              <w:spacing w:before="40" w:after="120"/>
              <w:ind w:right="113"/>
            </w:pPr>
            <w:r w:rsidRPr="001E6BA9">
              <w:t>Decision</w:t>
            </w:r>
          </w:p>
        </w:tc>
      </w:tr>
      <w:tr w:rsidR="00465C0B" w:rsidRPr="00560C60" w14:paraId="2EC08FA4" w14:textId="77777777" w:rsidTr="00FD4FAA">
        <w:tc>
          <w:tcPr>
            <w:tcW w:w="2948" w:type="dxa"/>
            <w:tcBorders>
              <w:bottom w:val="single" w:sz="12" w:space="0" w:color="auto"/>
            </w:tcBorders>
            <w:shd w:val="clear" w:color="auto" w:fill="auto"/>
          </w:tcPr>
          <w:p w14:paraId="78C374D4" w14:textId="0EFC7534" w:rsidR="00465C0B" w:rsidRPr="00AA60FD" w:rsidRDefault="00465C0B" w:rsidP="00465C0B">
            <w:pPr>
              <w:spacing w:before="40" w:after="120"/>
              <w:ind w:right="113"/>
              <w:rPr>
                <w:highlight w:val="yellow"/>
              </w:rPr>
            </w:pPr>
            <w:r w:rsidRPr="00CE3DA2">
              <w:t>Revised terms of reference of the Working Party on Regulatory Cooperation and Standardization Policies</w:t>
            </w:r>
          </w:p>
        </w:tc>
        <w:tc>
          <w:tcPr>
            <w:tcW w:w="2438" w:type="dxa"/>
            <w:tcBorders>
              <w:bottom w:val="single" w:sz="12" w:space="0" w:color="auto"/>
            </w:tcBorders>
            <w:shd w:val="clear" w:color="auto" w:fill="auto"/>
          </w:tcPr>
          <w:p w14:paraId="7D65E3BF" w14:textId="48F2D157" w:rsidR="00465C0B" w:rsidRPr="001E6BA9" w:rsidRDefault="00465C0B" w:rsidP="00465C0B">
            <w:pPr>
              <w:spacing w:before="40" w:after="120"/>
              <w:ind w:right="113"/>
              <w:rPr>
                <w:color w:val="000000" w:themeColor="text1"/>
              </w:rPr>
            </w:pPr>
            <w:r w:rsidRPr="001E6BA9">
              <w:rPr>
                <w:color w:val="000000" w:themeColor="text1"/>
              </w:rPr>
              <w:t>ECE/CTCS/WP.6/2022/11</w:t>
            </w:r>
          </w:p>
        </w:tc>
        <w:tc>
          <w:tcPr>
            <w:tcW w:w="1984" w:type="dxa"/>
            <w:tcBorders>
              <w:bottom w:val="single" w:sz="12" w:space="0" w:color="auto"/>
            </w:tcBorders>
            <w:shd w:val="clear" w:color="auto" w:fill="auto"/>
          </w:tcPr>
          <w:p w14:paraId="48DF049B" w14:textId="309138B4" w:rsidR="00465C0B" w:rsidRPr="001E6BA9" w:rsidRDefault="00465C0B" w:rsidP="00465C0B">
            <w:pPr>
              <w:spacing w:before="40" w:after="120"/>
              <w:ind w:right="113"/>
            </w:pPr>
            <w:r w:rsidRPr="001E6BA9">
              <w:t>Decision</w:t>
            </w:r>
          </w:p>
        </w:tc>
      </w:tr>
    </w:tbl>
    <w:p w14:paraId="15B92E80" w14:textId="59643E1B" w:rsidR="00113EA4" w:rsidRDefault="00B5717B" w:rsidP="00E52FF1">
      <w:pPr>
        <w:pStyle w:val="SingleTxtG"/>
        <w:spacing w:before="120"/>
      </w:pPr>
      <w:r>
        <w:t>5</w:t>
      </w:r>
      <w:r w:rsidR="001654B4">
        <w:t>.</w:t>
      </w:r>
      <w:r w:rsidR="001654B4">
        <w:tab/>
      </w:r>
      <w:r w:rsidR="006E0E97">
        <w:t xml:space="preserve">In </w:t>
      </w:r>
      <w:r w:rsidR="006E0E97" w:rsidRPr="00E52FF1">
        <w:t>response to</w:t>
      </w:r>
      <w:r w:rsidR="009D3E0F" w:rsidRPr="00E52FF1">
        <w:t xml:space="preserve"> </w:t>
      </w:r>
      <w:r w:rsidR="00E52FF1" w:rsidRPr="00E52FF1">
        <w:t>the ECE subprogramme level evaluation </w:t>
      </w:r>
      <w:r w:rsidR="005558F3" w:rsidRPr="00E52FF1">
        <w:t xml:space="preserve">of </w:t>
      </w:r>
      <w:r w:rsidR="002F0AB7" w:rsidRPr="00E52FF1">
        <w:t xml:space="preserve">the </w:t>
      </w:r>
      <w:r w:rsidR="003D04B2" w:rsidRPr="00E52FF1">
        <w:t>Working Party on Regulatory Cooperation and Standardization Policies</w:t>
      </w:r>
      <w:r w:rsidR="003D04B2" w:rsidRPr="003A0F80">
        <w:t xml:space="preserve"> (WP.6) </w:t>
      </w:r>
      <w:r w:rsidR="00CC313C">
        <w:t>of</w:t>
      </w:r>
      <w:r w:rsidR="003D04B2" w:rsidRPr="003A0F80">
        <w:t xml:space="preserve"> </w:t>
      </w:r>
      <w:r w:rsidR="00CC313C">
        <w:t xml:space="preserve">December 2019 </w:t>
      </w:r>
      <w:r w:rsidR="00643DAE">
        <w:t>(ECE/CTCS/WP.6/2019/4)</w:t>
      </w:r>
      <w:r w:rsidR="00113EA4">
        <w:t>, which</w:t>
      </w:r>
      <w:r w:rsidR="009D74DA">
        <w:t xml:space="preserve"> had</w:t>
      </w:r>
      <w:r w:rsidR="00B400EC">
        <w:t xml:space="preserve"> </w:t>
      </w:r>
      <w:r w:rsidR="00E929C9">
        <w:t>proposed</w:t>
      </w:r>
      <w:r w:rsidR="00077550">
        <w:t xml:space="preserve"> that the Working Party review and update its terms of reference, </w:t>
      </w:r>
      <w:r w:rsidR="0099475D">
        <w:t xml:space="preserve">the Bureau </w:t>
      </w:r>
      <w:r w:rsidR="009D74DA">
        <w:t xml:space="preserve">prepared updated terms of references as contained in </w:t>
      </w:r>
      <w:r w:rsidR="00C31711">
        <w:t>document ECE/CTCS/WP.6/2022/</w:t>
      </w:r>
      <w:r w:rsidR="00AF6CB9">
        <w:t>11</w:t>
      </w:r>
      <w:r w:rsidR="00F76343">
        <w:t>,</w:t>
      </w:r>
      <w:r w:rsidR="00AF6CB9">
        <w:t xml:space="preserve"> approved by </w:t>
      </w:r>
      <w:r w:rsidR="004F5263">
        <w:t xml:space="preserve">the </w:t>
      </w:r>
      <w:r w:rsidR="00113EA4">
        <w:t>Working Party at its</w:t>
      </w:r>
      <w:r w:rsidR="004F5263">
        <w:t xml:space="preserve"> thirty</w:t>
      </w:r>
      <w:r w:rsidR="004E1933">
        <w:t>-second annual session</w:t>
      </w:r>
      <w:r w:rsidR="00A741E0">
        <w:t xml:space="preserve"> </w:t>
      </w:r>
      <w:r w:rsidR="0074474B">
        <w:t>in 2022</w:t>
      </w:r>
      <w:r w:rsidR="00113EA4">
        <w:t xml:space="preserve"> (Decision 13)</w:t>
      </w:r>
      <w:r w:rsidR="0077769D">
        <w:t xml:space="preserve">. </w:t>
      </w:r>
      <w:r w:rsidR="005642A2">
        <w:t xml:space="preserve">The </w:t>
      </w:r>
      <w:r w:rsidR="00DC27FF">
        <w:t>updated terms of reference</w:t>
      </w:r>
      <w:r w:rsidR="005642A2">
        <w:t xml:space="preserve"> </w:t>
      </w:r>
      <w:r w:rsidR="001F3A73">
        <w:t>feature</w:t>
      </w:r>
      <w:r w:rsidR="001959DA">
        <w:t xml:space="preserve"> a clear mission statement</w:t>
      </w:r>
      <w:r w:rsidR="000415C4">
        <w:t xml:space="preserve"> and streamline</w:t>
      </w:r>
      <w:r w:rsidR="00DC27FF">
        <w:t>d</w:t>
      </w:r>
      <w:r w:rsidR="00B20F41">
        <w:t xml:space="preserve"> </w:t>
      </w:r>
      <w:r w:rsidR="00972927">
        <w:t xml:space="preserve">objectives of WP.6. </w:t>
      </w:r>
      <w:r w:rsidR="00113EA4">
        <w:t>They</w:t>
      </w:r>
      <w:r w:rsidR="009C2C4A">
        <w:t xml:space="preserve"> also feature an annex with </w:t>
      </w:r>
      <w:r w:rsidR="002478A9">
        <w:t>an intellectual property rights policy for WP.6.</w:t>
      </w:r>
      <w:r w:rsidR="00113EA4" w:rsidRPr="00113EA4">
        <w:t xml:space="preserve"> </w:t>
      </w:r>
      <w:r w:rsidR="00113EA4">
        <w:t xml:space="preserve">These </w:t>
      </w:r>
      <w:r w:rsidR="00113EA4" w:rsidRPr="001E6BA9">
        <w:t>Revised terms of reference of the Working Party on Regulatory Cooperation and Standardization Policies</w:t>
      </w:r>
      <w:r w:rsidR="00113EA4">
        <w:t xml:space="preserve"> are presented to the Steering Committee for endorsement.</w:t>
      </w:r>
      <w:r w:rsidR="001B10F1">
        <w:t xml:space="preserve"> </w:t>
      </w:r>
      <w:r w:rsidR="001B10F1" w:rsidRPr="001B10F1">
        <w:t xml:space="preserve">The WP.6 Chair will also present current work to develop working procedures for </w:t>
      </w:r>
      <w:r w:rsidR="008B2BC5">
        <w:t>the Working Party</w:t>
      </w:r>
      <w:r w:rsidR="001B10F1" w:rsidRPr="001B10F1">
        <w:t>.</w:t>
      </w:r>
    </w:p>
    <w:p w14:paraId="37C63C96" w14:textId="366BA529" w:rsidR="00683334" w:rsidRDefault="00B5717B" w:rsidP="00B55559">
      <w:pPr>
        <w:pStyle w:val="SingleTxtG"/>
        <w:spacing w:before="120"/>
      </w:pPr>
      <w:r>
        <w:t>6</w:t>
      </w:r>
      <w:r w:rsidR="00683334">
        <w:t>.</w:t>
      </w:r>
      <w:r w:rsidR="00683334">
        <w:tab/>
      </w:r>
      <w:r w:rsidR="00552515">
        <w:t xml:space="preserve">The thirty-second session of WP.6 </w:t>
      </w:r>
      <w:r w:rsidR="00AC30BD">
        <w:t xml:space="preserve">launched a Focal Point Network of </w:t>
      </w:r>
      <w:r w:rsidR="002521EC">
        <w:t>academic experts (</w:t>
      </w:r>
      <w:r w:rsidR="00113EA4">
        <w:t>i.</w:t>
      </w:r>
      <w:r w:rsidR="00431A1B">
        <w:t xml:space="preserve">e. </w:t>
      </w:r>
      <w:r w:rsidR="002521EC">
        <w:t>individual professors, researchers, institutions, standards development bodies and member States).</w:t>
      </w:r>
      <w:r w:rsidR="00F260E7">
        <w:t xml:space="preserve"> The objective </w:t>
      </w:r>
      <w:r w:rsidR="00D14230">
        <w:t>is</w:t>
      </w:r>
      <w:r w:rsidR="00F260E7">
        <w:t xml:space="preserve"> to encourage the inclusion of standardization in their training curricula and to share experiences and content. This corresponds to </w:t>
      </w:r>
      <w:r w:rsidR="00643DAE">
        <w:t xml:space="preserve">the second recommendation of the evaluation of WP.6 </w:t>
      </w:r>
      <w:r w:rsidR="00113EA4">
        <w:t>of</w:t>
      </w:r>
      <w:r w:rsidR="00643DAE">
        <w:t xml:space="preserve"> </w:t>
      </w:r>
      <w:r w:rsidR="00113EA4">
        <w:t xml:space="preserve">December 2019 </w:t>
      </w:r>
      <w:r w:rsidR="00643DAE">
        <w:t>(ECE/CTCS/WP.6/2019/4).</w:t>
      </w:r>
      <w:r w:rsidR="00E50E3D">
        <w:t xml:space="preserve"> The terms of reference of this Focal Point Network </w:t>
      </w:r>
      <w:r w:rsidR="0084479F">
        <w:t>are</w:t>
      </w:r>
      <w:r w:rsidR="00E50E3D">
        <w:t xml:space="preserve"> available in the annex of the </w:t>
      </w:r>
      <w:r w:rsidR="0070215D">
        <w:t>report</w:t>
      </w:r>
      <w:r w:rsidR="003613DD">
        <w:t xml:space="preserve"> on </w:t>
      </w:r>
      <w:r w:rsidR="00F6132A">
        <w:t>recent developments in</w:t>
      </w:r>
      <w:r w:rsidR="003613DD">
        <w:t xml:space="preserve"> the sectoral initiatives</w:t>
      </w:r>
      <w:r w:rsidR="00BD56F2">
        <w:t xml:space="preserve"> (ECE/CTCS/WP.6/2022/7).</w:t>
      </w:r>
    </w:p>
    <w:p w14:paraId="45B4B17C" w14:textId="221177B8" w:rsidR="00B55559" w:rsidRPr="00973E05" w:rsidRDefault="00B5717B" w:rsidP="00720A08">
      <w:pPr>
        <w:pStyle w:val="SingleTxtG"/>
        <w:spacing w:before="120"/>
      </w:pPr>
      <w:r>
        <w:t>7</w:t>
      </w:r>
      <w:r w:rsidR="00254E64">
        <w:t>.</w:t>
      </w:r>
      <w:r w:rsidR="00254E64">
        <w:tab/>
      </w:r>
      <w:r w:rsidR="00A4007B">
        <w:t xml:space="preserve"> </w:t>
      </w:r>
      <w:r w:rsidR="003B7860">
        <w:t>At its seventh session</w:t>
      </w:r>
      <w:r w:rsidR="00F6132A">
        <w:t>,</w:t>
      </w:r>
      <w:r w:rsidR="003B7860">
        <w:t xml:space="preserve"> the S</w:t>
      </w:r>
      <w:r w:rsidR="003E531E">
        <w:t>teering Committee</w:t>
      </w:r>
      <w:r w:rsidR="003B7860">
        <w:t xml:space="preserve"> endorsed </w:t>
      </w:r>
      <w:r w:rsidR="00FF115A">
        <w:t>the establishment of a Team of Specialists</w:t>
      </w:r>
      <w:r w:rsidR="00770E91">
        <w:t xml:space="preserve"> </w:t>
      </w:r>
      <w:r w:rsidR="000E4DE9">
        <w:t>(ToS)</w:t>
      </w:r>
      <w:r w:rsidR="00FF115A">
        <w:t xml:space="preserve"> on Gender-Responsive Standards</w:t>
      </w:r>
      <w:r w:rsidR="009E517D">
        <w:t xml:space="preserve"> </w:t>
      </w:r>
      <w:r w:rsidR="00617B71">
        <w:t>(</w:t>
      </w:r>
      <w:r w:rsidR="00617B71" w:rsidRPr="004E4975">
        <w:t>GRS)</w:t>
      </w:r>
      <w:r w:rsidR="00F6132A" w:rsidRPr="004E4975">
        <w:t>,</w:t>
      </w:r>
      <w:r w:rsidR="00617B71" w:rsidRPr="004E4975">
        <w:t xml:space="preserve"> </w:t>
      </w:r>
      <w:r w:rsidR="009E517D" w:rsidRPr="004E4975">
        <w:t xml:space="preserve">which was subsequently approved by the </w:t>
      </w:r>
      <w:r w:rsidR="00267B76" w:rsidRPr="004E4975">
        <w:t>EXCOM</w:t>
      </w:r>
      <w:r w:rsidR="009E517D" w:rsidRPr="004E4975">
        <w:t xml:space="preserve"> </w:t>
      </w:r>
      <w:r w:rsidR="00B026AD" w:rsidRPr="004E4975">
        <w:t>at its</w:t>
      </w:r>
      <w:r w:rsidR="00732290" w:rsidRPr="004E4975">
        <w:t xml:space="preserve"> </w:t>
      </w:r>
      <w:r w:rsidR="00B026AD" w:rsidRPr="004E4975">
        <w:t>meeting</w:t>
      </w:r>
      <w:r w:rsidR="002D0343" w:rsidRPr="004E4975">
        <w:t xml:space="preserve"> on 30 September 2022</w:t>
      </w:r>
      <w:r w:rsidR="00B026AD" w:rsidRPr="004E4975">
        <w:t>.</w:t>
      </w:r>
      <w:r w:rsidR="00A52882" w:rsidRPr="004E4975">
        <w:t xml:space="preserve"> </w:t>
      </w:r>
      <w:r w:rsidR="00A52882" w:rsidRPr="00CE3DA2">
        <w:t xml:space="preserve">The </w:t>
      </w:r>
      <w:r w:rsidR="008A0ED9" w:rsidRPr="00CE3DA2">
        <w:t xml:space="preserve">ToS </w:t>
      </w:r>
      <w:r w:rsidR="00617B71" w:rsidRPr="00CE3DA2">
        <w:t>GRS</w:t>
      </w:r>
      <w:r w:rsidR="00F6132A" w:rsidRPr="00CE3DA2">
        <w:t xml:space="preserve"> </w:t>
      </w:r>
      <w:r w:rsidR="00507596" w:rsidRPr="00CE3DA2">
        <w:t>held its first meeting</w:t>
      </w:r>
      <w:r w:rsidR="00617B71" w:rsidRPr="00CE3DA2">
        <w:t xml:space="preserve"> in December 2022</w:t>
      </w:r>
      <w:r w:rsidR="006F25A3" w:rsidRPr="004E4975">
        <w:t xml:space="preserve">, building on the </w:t>
      </w:r>
      <w:r w:rsidR="00E70939" w:rsidRPr="004E4975">
        <w:t>work of the Gender-Responsive Standards Initiative. Guideline</w:t>
      </w:r>
      <w:r w:rsidR="000558C5" w:rsidRPr="004E4975">
        <w:t>s</w:t>
      </w:r>
      <w:r w:rsidR="00E70939" w:rsidRPr="004E4975">
        <w:t xml:space="preserve"> on Developing Gender-Responsive Standards</w:t>
      </w:r>
      <w:r w:rsidR="00AF7B60">
        <w:t xml:space="preserve"> </w:t>
      </w:r>
      <w:r w:rsidR="00AF7B60" w:rsidRPr="007E642E">
        <w:t>(ECE/TRADE/472)</w:t>
      </w:r>
      <w:r w:rsidR="00E70939">
        <w:t xml:space="preserve"> </w:t>
      </w:r>
      <w:r w:rsidR="00FE6332">
        <w:t>were</w:t>
      </w:r>
      <w:r w:rsidR="00E70939">
        <w:t xml:space="preserve"> published</w:t>
      </w:r>
      <w:r w:rsidR="006B6D9D">
        <w:t xml:space="preserve"> </w:t>
      </w:r>
      <w:r w:rsidR="00B20F41">
        <w:t>in December 2022</w:t>
      </w:r>
      <w:r w:rsidR="00FE6332">
        <w:t>,</w:t>
      </w:r>
      <w:r w:rsidR="00B20F41">
        <w:t xml:space="preserve"> </w:t>
      </w:r>
      <w:r w:rsidR="00E04D47">
        <w:t xml:space="preserve">and </w:t>
      </w:r>
      <w:r w:rsidR="00557785">
        <w:t xml:space="preserve">further </w:t>
      </w:r>
      <w:r w:rsidR="00C037EA">
        <w:t>capacity-building</w:t>
      </w:r>
      <w:r w:rsidR="00E04D47">
        <w:t xml:space="preserve"> tools are </w:t>
      </w:r>
      <w:r w:rsidR="00557785">
        <w:t xml:space="preserve">currently being developed. </w:t>
      </w:r>
    </w:p>
    <w:p w14:paraId="23A588DC" w14:textId="1B2D91A2" w:rsidR="0099547C" w:rsidRPr="00F37E8C" w:rsidRDefault="0099547C" w:rsidP="0099547C">
      <w:pPr>
        <w:pStyle w:val="H1G"/>
      </w:pPr>
      <w:r w:rsidRPr="00973E05">
        <w:lastRenderedPageBreak/>
        <w:tab/>
      </w:r>
      <w:r w:rsidRPr="00973E05">
        <w:tab/>
      </w:r>
      <w:r w:rsidRPr="00F37E8C">
        <w:t xml:space="preserve">Item </w:t>
      </w:r>
      <w:r w:rsidR="00E66F54" w:rsidRPr="00F37E8C">
        <w:t>5</w:t>
      </w:r>
      <w:r w:rsidRPr="00F37E8C">
        <w:t xml:space="preserve">. </w:t>
      </w:r>
      <w:r w:rsidR="00FF768E" w:rsidRPr="00F37E8C">
        <w:t xml:space="preserve">Updates </w:t>
      </w:r>
      <w:r w:rsidR="00613470" w:rsidRPr="00F37E8C">
        <w:t xml:space="preserve">from </w:t>
      </w:r>
      <w:r w:rsidR="00FF768E" w:rsidRPr="00F37E8C">
        <w:t xml:space="preserve">the </w:t>
      </w:r>
      <w:bookmarkStart w:id="1" w:name="_Hlk129948945"/>
      <w:r w:rsidR="00FF768E" w:rsidRPr="00F37E8C">
        <w:t>Working Party on Agricultural Quality Standards (WP.7)</w:t>
      </w:r>
    </w:p>
    <w:bookmarkEnd w:id="1"/>
    <w:p w14:paraId="415B4848" w14:textId="2356DEE8" w:rsidR="00085513" w:rsidRPr="00D80EFA" w:rsidRDefault="00B5717B" w:rsidP="00D80EFA">
      <w:pPr>
        <w:pStyle w:val="SingleTxtG"/>
        <w:spacing w:before="120"/>
      </w:pPr>
      <w:r>
        <w:t>8</w:t>
      </w:r>
      <w:r w:rsidR="00085513" w:rsidRPr="007E4ADF">
        <w:t>.</w:t>
      </w:r>
      <w:r>
        <w:tab/>
      </w:r>
      <w:r w:rsidR="0072222D" w:rsidRPr="0072222D">
        <w:t>Working Party on Agricultural Quality Standards (WP.7)</w:t>
      </w:r>
      <w:r w:rsidR="004B3AFD" w:rsidRPr="00D80EFA">
        <w:t xml:space="preserve"> reports its activities and deliverables to the Steering Committee for endorsement. Delegates will have an opportunity to clarify questions and provide comments on the work of WP.7. The Steering Committee is requested to endorse the Report of the seventy-seventh session of the Working Party, as well as review and endorse the programme of work of the Working Party for 2023 and recommend it to the ECE </w:t>
      </w:r>
      <w:r w:rsidR="004E4975">
        <w:t>EXCOM</w:t>
      </w:r>
      <w:r w:rsidR="004B3AFD" w:rsidRPr="00D80EFA">
        <w:t xml:space="preserve"> for approval.</w:t>
      </w:r>
    </w:p>
    <w:p w14:paraId="6BAFFFA4" w14:textId="77777777" w:rsidR="00085513" w:rsidRPr="00085513" w:rsidRDefault="00085513" w:rsidP="00720A08"/>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2438"/>
        <w:gridCol w:w="1984"/>
      </w:tblGrid>
      <w:tr w:rsidR="00C70F2E" w:rsidRPr="00560C60" w14:paraId="0A79B555" w14:textId="77777777" w:rsidTr="00F2710F">
        <w:tc>
          <w:tcPr>
            <w:tcW w:w="2948" w:type="dxa"/>
            <w:tcBorders>
              <w:top w:val="single" w:sz="4" w:space="0" w:color="auto"/>
              <w:bottom w:val="single" w:sz="12" w:space="0" w:color="auto"/>
            </w:tcBorders>
            <w:shd w:val="clear" w:color="auto" w:fill="auto"/>
            <w:vAlign w:val="bottom"/>
          </w:tcPr>
          <w:p w14:paraId="45882052" w14:textId="77777777" w:rsidR="00C70F2E" w:rsidRPr="00F37E8C" w:rsidRDefault="00C70F2E" w:rsidP="005E6CC7">
            <w:pPr>
              <w:spacing w:before="80" w:after="80" w:line="200" w:lineRule="exact"/>
              <w:ind w:right="113"/>
              <w:rPr>
                <w:i/>
                <w:sz w:val="16"/>
              </w:rPr>
            </w:pPr>
            <w:r w:rsidRPr="00F37E8C">
              <w:rPr>
                <w:i/>
                <w:sz w:val="16"/>
              </w:rPr>
              <w:t>Title of document</w:t>
            </w:r>
          </w:p>
        </w:tc>
        <w:tc>
          <w:tcPr>
            <w:tcW w:w="2438" w:type="dxa"/>
            <w:tcBorders>
              <w:top w:val="single" w:sz="4" w:space="0" w:color="auto"/>
              <w:bottom w:val="single" w:sz="12" w:space="0" w:color="auto"/>
            </w:tcBorders>
            <w:shd w:val="clear" w:color="auto" w:fill="auto"/>
            <w:vAlign w:val="bottom"/>
          </w:tcPr>
          <w:p w14:paraId="124CC0DC" w14:textId="77777777" w:rsidR="00C70F2E" w:rsidRPr="00F37E8C" w:rsidRDefault="00C70F2E" w:rsidP="005E6CC7">
            <w:pPr>
              <w:spacing w:before="80" w:after="80" w:line="200" w:lineRule="exact"/>
              <w:ind w:right="113"/>
              <w:rPr>
                <w:i/>
                <w:sz w:val="16"/>
              </w:rPr>
            </w:pPr>
            <w:r w:rsidRPr="00F37E8C">
              <w:rPr>
                <w:i/>
                <w:sz w:val="16"/>
              </w:rPr>
              <w:t>Document symbol</w:t>
            </w:r>
          </w:p>
        </w:tc>
        <w:tc>
          <w:tcPr>
            <w:tcW w:w="1984" w:type="dxa"/>
            <w:tcBorders>
              <w:top w:val="single" w:sz="4" w:space="0" w:color="auto"/>
              <w:bottom w:val="single" w:sz="12" w:space="0" w:color="auto"/>
            </w:tcBorders>
            <w:shd w:val="clear" w:color="auto" w:fill="auto"/>
            <w:vAlign w:val="bottom"/>
          </w:tcPr>
          <w:p w14:paraId="258F6DF2" w14:textId="14B0572B" w:rsidR="00C70F2E" w:rsidRPr="00F37E8C" w:rsidRDefault="00C70F2E" w:rsidP="005E6CC7">
            <w:pPr>
              <w:spacing w:before="80" w:after="80" w:line="200" w:lineRule="exact"/>
              <w:ind w:right="113"/>
              <w:rPr>
                <w:i/>
                <w:sz w:val="16"/>
              </w:rPr>
            </w:pPr>
            <w:r w:rsidRPr="00F37E8C">
              <w:rPr>
                <w:i/>
                <w:sz w:val="16"/>
              </w:rPr>
              <w:t xml:space="preserve">For </w:t>
            </w:r>
            <w:r w:rsidR="002F5367">
              <w:rPr>
                <w:i/>
                <w:sz w:val="16"/>
              </w:rPr>
              <w:t>review/endorsement</w:t>
            </w:r>
          </w:p>
        </w:tc>
      </w:tr>
      <w:tr w:rsidR="00C70F2E" w:rsidRPr="00560C60" w14:paraId="78EFECFE" w14:textId="77777777" w:rsidTr="00F2710F">
        <w:trPr>
          <w:trHeight w:hRule="exact" w:val="113"/>
        </w:trPr>
        <w:tc>
          <w:tcPr>
            <w:tcW w:w="2948" w:type="dxa"/>
            <w:tcBorders>
              <w:top w:val="single" w:sz="12" w:space="0" w:color="auto"/>
            </w:tcBorders>
            <w:shd w:val="clear" w:color="auto" w:fill="auto"/>
            <w:vAlign w:val="bottom"/>
          </w:tcPr>
          <w:p w14:paraId="7A2E3E3D" w14:textId="77777777" w:rsidR="00C70F2E" w:rsidRPr="00560C60" w:rsidRDefault="00C70F2E" w:rsidP="005E6CC7">
            <w:pPr>
              <w:spacing w:before="80" w:after="80" w:line="200" w:lineRule="exact"/>
              <w:ind w:right="113"/>
              <w:rPr>
                <w:i/>
                <w:sz w:val="16"/>
                <w:highlight w:val="yellow"/>
              </w:rPr>
            </w:pPr>
          </w:p>
        </w:tc>
        <w:tc>
          <w:tcPr>
            <w:tcW w:w="2438" w:type="dxa"/>
            <w:tcBorders>
              <w:top w:val="single" w:sz="12" w:space="0" w:color="auto"/>
            </w:tcBorders>
            <w:shd w:val="clear" w:color="auto" w:fill="auto"/>
            <w:vAlign w:val="bottom"/>
          </w:tcPr>
          <w:p w14:paraId="5B16AB7C" w14:textId="77777777" w:rsidR="00C70F2E" w:rsidRPr="00560C60" w:rsidRDefault="00C70F2E" w:rsidP="005E6CC7">
            <w:pPr>
              <w:spacing w:before="80" w:after="80" w:line="200" w:lineRule="exact"/>
              <w:ind w:right="113"/>
              <w:rPr>
                <w:i/>
                <w:sz w:val="16"/>
                <w:highlight w:val="yellow"/>
              </w:rPr>
            </w:pPr>
          </w:p>
        </w:tc>
        <w:tc>
          <w:tcPr>
            <w:tcW w:w="1984" w:type="dxa"/>
            <w:tcBorders>
              <w:top w:val="single" w:sz="12" w:space="0" w:color="auto"/>
            </w:tcBorders>
            <w:shd w:val="clear" w:color="auto" w:fill="auto"/>
            <w:vAlign w:val="bottom"/>
          </w:tcPr>
          <w:p w14:paraId="0FBDA1AC" w14:textId="77777777" w:rsidR="00C70F2E" w:rsidRPr="00560C60" w:rsidRDefault="00C70F2E" w:rsidP="005E6CC7">
            <w:pPr>
              <w:spacing w:before="80" w:after="80" w:line="200" w:lineRule="exact"/>
              <w:ind w:right="113"/>
              <w:rPr>
                <w:i/>
                <w:sz w:val="16"/>
                <w:highlight w:val="yellow"/>
              </w:rPr>
            </w:pPr>
          </w:p>
        </w:tc>
      </w:tr>
      <w:tr w:rsidR="00C70F2E" w:rsidRPr="00560C60" w14:paraId="4F106D59" w14:textId="77777777" w:rsidTr="00F2710F">
        <w:tc>
          <w:tcPr>
            <w:tcW w:w="2948" w:type="dxa"/>
            <w:shd w:val="clear" w:color="auto" w:fill="auto"/>
          </w:tcPr>
          <w:p w14:paraId="2763BE3E" w14:textId="6E74D519" w:rsidR="00C70F2E" w:rsidRPr="00072822" w:rsidRDefault="0042101E" w:rsidP="005E6CC7">
            <w:pPr>
              <w:spacing w:before="40" w:after="120"/>
              <w:ind w:right="113"/>
            </w:pPr>
            <w:r w:rsidRPr="00072822">
              <w:t>Report of the seventy-</w:t>
            </w:r>
            <w:r w:rsidR="0079266A" w:rsidRPr="00072822">
              <w:t>seventh</w:t>
            </w:r>
            <w:r w:rsidRPr="00072822">
              <w:t xml:space="preserve"> session of the Working Party on Agricultural Quality Standards</w:t>
            </w:r>
          </w:p>
        </w:tc>
        <w:tc>
          <w:tcPr>
            <w:tcW w:w="2438" w:type="dxa"/>
            <w:shd w:val="clear" w:color="auto" w:fill="auto"/>
          </w:tcPr>
          <w:p w14:paraId="38860EA4" w14:textId="4F58C6BC" w:rsidR="00C70F2E" w:rsidRPr="00072822" w:rsidRDefault="00C70F2E" w:rsidP="005E6CC7">
            <w:pPr>
              <w:spacing w:before="40" w:after="120"/>
              <w:ind w:right="113"/>
            </w:pPr>
            <w:r w:rsidRPr="00072822">
              <w:t>ECE/CTCS/WP.</w:t>
            </w:r>
            <w:r w:rsidR="0042101E" w:rsidRPr="00072822">
              <w:t>7</w:t>
            </w:r>
            <w:r w:rsidRPr="00072822">
              <w:t>/202</w:t>
            </w:r>
            <w:r w:rsidR="0079266A" w:rsidRPr="00072822">
              <w:t>2</w:t>
            </w:r>
            <w:r w:rsidRPr="00072822">
              <w:t>/2</w:t>
            </w:r>
          </w:p>
        </w:tc>
        <w:tc>
          <w:tcPr>
            <w:tcW w:w="1984" w:type="dxa"/>
            <w:shd w:val="clear" w:color="auto" w:fill="auto"/>
          </w:tcPr>
          <w:p w14:paraId="09EC7350" w14:textId="6B612714" w:rsidR="00C70F2E" w:rsidRPr="00072822" w:rsidRDefault="00C70F2E" w:rsidP="005E6CC7">
            <w:pPr>
              <w:spacing w:before="40" w:after="120"/>
              <w:ind w:right="113"/>
            </w:pPr>
            <w:r w:rsidRPr="00072822">
              <w:t>Decision</w:t>
            </w:r>
          </w:p>
        </w:tc>
      </w:tr>
      <w:tr w:rsidR="00955DBC" w:rsidRPr="00560C60" w14:paraId="15F3D392" w14:textId="77777777" w:rsidTr="00F2710F">
        <w:tc>
          <w:tcPr>
            <w:tcW w:w="2948" w:type="dxa"/>
            <w:tcBorders>
              <w:bottom w:val="single" w:sz="12" w:space="0" w:color="auto"/>
            </w:tcBorders>
            <w:shd w:val="clear" w:color="auto" w:fill="auto"/>
          </w:tcPr>
          <w:p w14:paraId="0E4DF8D5" w14:textId="6EAE104A" w:rsidR="00955DBC" w:rsidRPr="00560C60" w:rsidRDefault="00D80EFA" w:rsidP="00955DBC">
            <w:pPr>
              <w:spacing w:before="40" w:after="120"/>
              <w:ind w:right="113"/>
              <w:rPr>
                <w:highlight w:val="yellow"/>
              </w:rPr>
            </w:pPr>
            <w:r w:rsidRPr="00F2710F">
              <w:t>Programme of work of the Working Party on Agricultural Quality Standards for 2023</w:t>
            </w:r>
          </w:p>
        </w:tc>
        <w:tc>
          <w:tcPr>
            <w:tcW w:w="2438" w:type="dxa"/>
            <w:tcBorders>
              <w:bottom w:val="single" w:sz="12" w:space="0" w:color="auto"/>
            </w:tcBorders>
            <w:shd w:val="clear" w:color="auto" w:fill="auto"/>
          </w:tcPr>
          <w:p w14:paraId="604FCCF5" w14:textId="5A624F5D" w:rsidR="00955DBC" w:rsidRPr="00560C60" w:rsidRDefault="00D80EFA" w:rsidP="00955DBC">
            <w:pPr>
              <w:spacing w:before="40" w:after="120"/>
              <w:ind w:right="113"/>
              <w:rPr>
                <w:color w:val="000000" w:themeColor="text1"/>
                <w:highlight w:val="yellow"/>
              </w:rPr>
            </w:pPr>
            <w:r w:rsidRPr="00F2710F">
              <w:t>ECE/CTCS/WP.7/2022/20</w:t>
            </w:r>
          </w:p>
        </w:tc>
        <w:tc>
          <w:tcPr>
            <w:tcW w:w="1984" w:type="dxa"/>
            <w:tcBorders>
              <w:bottom w:val="single" w:sz="12" w:space="0" w:color="auto"/>
            </w:tcBorders>
            <w:shd w:val="clear" w:color="auto" w:fill="auto"/>
          </w:tcPr>
          <w:p w14:paraId="7076BB14" w14:textId="2B3D304A" w:rsidR="00955DBC" w:rsidRPr="00560C60" w:rsidRDefault="00AA7B26" w:rsidP="00955DBC">
            <w:pPr>
              <w:spacing w:before="40" w:after="120"/>
              <w:ind w:right="113"/>
              <w:rPr>
                <w:highlight w:val="yellow"/>
              </w:rPr>
            </w:pPr>
            <w:r w:rsidRPr="00AA7B26">
              <w:t>Decision</w:t>
            </w:r>
          </w:p>
        </w:tc>
      </w:tr>
    </w:tbl>
    <w:p w14:paraId="73FF8735" w14:textId="76890B51" w:rsidR="00850FEE" w:rsidRPr="00F832DE" w:rsidRDefault="00B5717B" w:rsidP="007D7BA5">
      <w:pPr>
        <w:pStyle w:val="SingleTxtG"/>
        <w:spacing w:before="120"/>
        <w:rPr>
          <w:color w:val="000000" w:themeColor="text1"/>
        </w:rPr>
      </w:pPr>
      <w:r>
        <w:rPr>
          <w:color w:val="000000" w:themeColor="text1"/>
        </w:rPr>
        <w:t>9</w:t>
      </w:r>
      <w:r w:rsidR="00B4141F" w:rsidRPr="00F832DE">
        <w:rPr>
          <w:color w:val="000000" w:themeColor="text1"/>
        </w:rPr>
        <w:t>.</w:t>
      </w:r>
      <w:r w:rsidR="00B4141F" w:rsidRPr="00F832DE">
        <w:rPr>
          <w:color w:val="000000" w:themeColor="text1"/>
        </w:rPr>
        <w:tab/>
      </w:r>
      <w:r w:rsidR="00B77D1E" w:rsidRPr="00F832DE">
        <w:rPr>
          <w:color w:val="000000" w:themeColor="text1"/>
        </w:rPr>
        <w:t xml:space="preserve">At its </w:t>
      </w:r>
      <w:r w:rsidR="009B494D" w:rsidRPr="00F832DE">
        <w:rPr>
          <w:color w:val="000000" w:themeColor="text1"/>
        </w:rPr>
        <w:t>seventy-seventh session in 2022</w:t>
      </w:r>
      <w:r w:rsidR="00B84BB5" w:rsidRPr="00F832DE">
        <w:rPr>
          <w:color w:val="000000" w:themeColor="text1"/>
        </w:rPr>
        <w:t>,</w:t>
      </w:r>
      <w:r w:rsidR="009B494D" w:rsidRPr="00F832DE">
        <w:rPr>
          <w:color w:val="000000" w:themeColor="text1"/>
        </w:rPr>
        <w:t xml:space="preserve"> the Working Party </w:t>
      </w:r>
      <w:r w:rsidR="00FD3A43" w:rsidRPr="00F832DE">
        <w:rPr>
          <w:color w:val="000000" w:themeColor="text1"/>
        </w:rPr>
        <w:t xml:space="preserve">on </w:t>
      </w:r>
      <w:r w:rsidR="00FD3A43" w:rsidRPr="00072822">
        <w:t xml:space="preserve">Agricultural Quality </w:t>
      </w:r>
      <w:r w:rsidR="00FD3A43" w:rsidRPr="00F832DE">
        <w:rPr>
          <w:color w:val="000000" w:themeColor="text1"/>
        </w:rPr>
        <w:t xml:space="preserve">Standards (WP.7) </w:t>
      </w:r>
      <w:r w:rsidR="009B494D" w:rsidRPr="00F832DE">
        <w:rPr>
          <w:color w:val="000000" w:themeColor="text1"/>
        </w:rPr>
        <w:t>adopted three new standards</w:t>
      </w:r>
      <w:r w:rsidR="00AA4649" w:rsidRPr="00F832DE">
        <w:rPr>
          <w:color w:val="000000" w:themeColor="text1"/>
        </w:rPr>
        <w:t xml:space="preserve"> </w:t>
      </w:r>
      <w:r w:rsidR="009B494D" w:rsidRPr="00F832DE">
        <w:rPr>
          <w:color w:val="000000" w:themeColor="text1"/>
        </w:rPr>
        <w:t>and four revised standards</w:t>
      </w:r>
      <w:r w:rsidR="00AA4649" w:rsidRPr="00F832DE">
        <w:rPr>
          <w:color w:val="000000" w:themeColor="text1"/>
        </w:rPr>
        <w:t xml:space="preserve">, </w:t>
      </w:r>
      <w:r w:rsidR="00850FEE" w:rsidRPr="00F832DE">
        <w:rPr>
          <w:color w:val="000000" w:themeColor="text1"/>
        </w:rPr>
        <w:t>and a revised</w:t>
      </w:r>
      <w:r w:rsidR="00AA4649" w:rsidRPr="00F832DE">
        <w:rPr>
          <w:color w:val="000000" w:themeColor="text1"/>
        </w:rPr>
        <w:t xml:space="preserve"> Standard Layout for ECE Standards on Dry and Dried Produce</w:t>
      </w:r>
      <w:r w:rsidR="009B494D" w:rsidRPr="00F832DE">
        <w:rPr>
          <w:color w:val="000000" w:themeColor="text1"/>
        </w:rPr>
        <w:t xml:space="preserve">. It also </w:t>
      </w:r>
      <w:r w:rsidR="00AA4649" w:rsidRPr="00F832DE">
        <w:rPr>
          <w:color w:val="000000" w:themeColor="text1"/>
        </w:rPr>
        <w:t>adopted</w:t>
      </w:r>
      <w:r w:rsidR="009B494D" w:rsidRPr="00F832DE">
        <w:rPr>
          <w:color w:val="000000" w:themeColor="text1"/>
        </w:rPr>
        <w:t xml:space="preserve"> a new recommendation for Certain small fruits, </w:t>
      </w:r>
      <w:r w:rsidR="008C57D7" w:rsidRPr="00F832DE">
        <w:rPr>
          <w:color w:val="000000" w:themeColor="text1"/>
        </w:rPr>
        <w:t>covering</w:t>
      </w:r>
      <w:r w:rsidR="00AA4649" w:rsidRPr="00F832DE">
        <w:rPr>
          <w:color w:val="000000" w:themeColor="text1"/>
        </w:rPr>
        <w:t xml:space="preserve"> 12 species and varieties of smaller fruits that grow primarily in tropical and subtropical regions</w:t>
      </w:r>
      <w:r w:rsidR="009B494D" w:rsidRPr="00F832DE">
        <w:rPr>
          <w:color w:val="000000" w:themeColor="text1"/>
        </w:rPr>
        <w:t>.</w:t>
      </w:r>
    </w:p>
    <w:p w14:paraId="50B965A6" w14:textId="2E5D0880" w:rsidR="00130939" w:rsidRPr="00F832DE" w:rsidRDefault="00B5717B" w:rsidP="00BE4D02">
      <w:pPr>
        <w:pStyle w:val="SingleTxtG"/>
        <w:rPr>
          <w:color w:val="000000" w:themeColor="text1"/>
        </w:rPr>
      </w:pPr>
      <w:r>
        <w:rPr>
          <w:color w:val="000000" w:themeColor="text1"/>
        </w:rPr>
        <w:t>10</w:t>
      </w:r>
      <w:r w:rsidR="00850FEE" w:rsidRPr="00F832DE">
        <w:rPr>
          <w:color w:val="000000" w:themeColor="text1"/>
        </w:rPr>
        <w:t xml:space="preserve">. </w:t>
      </w:r>
      <w:r w:rsidR="00850FEE" w:rsidRPr="00F832DE">
        <w:rPr>
          <w:color w:val="000000" w:themeColor="text1"/>
        </w:rPr>
        <w:tab/>
      </w:r>
      <w:r w:rsidR="00B201F3">
        <w:rPr>
          <w:color w:val="000000" w:themeColor="text1"/>
        </w:rPr>
        <w:t>The Working Party</w:t>
      </w:r>
      <w:r w:rsidR="009D3028">
        <w:rPr>
          <w:color w:val="000000" w:themeColor="text1"/>
        </w:rPr>
        <w:t xml:space="preserve"> </w:t>
      </w:r>
      <w:r w:rsidR="00B201F3" w:rsidRPr="00B201F3">
        <w:rPr>
          <w:color w:val="000000" w:themeColor="text1"/>
        </w:rPr>
        <w:t xml:space="preserve">developed and launched </w:t>
      </w:r>
      <w:r w:rsidR="00B201F3">
        <w:rPr>
          <w:color w:val="000000" w:themeColor="text1"/>
        </w:rPr>
        <w:t>a</w:t>
      </w:r>
      <w:r w:rsidR="00850FEE" w:rsidRPr="00F832DE">
        <w:rPr>
          <w:color w:val="000000" w:themeColor="text1"/>
        </w:rPr>
        <w:t xml:space="preserve">n online </w:t>
      </w:r>
      <w:r w:rsidR="008B557A" w:rsidRPr="00F832DE">
        <w:rPr>
          <w:color w:val="000000" w:themeColor="text1"/>
        </w:rPr>
        <w:t>course on agricultural quality standards and food loss reduction in fresh produce supply chains</w:t>
      </w:r>
      <w:r w:rsidR="00B201F3">
        <w:rPr>
          <w:color w:val="000000" w:themeColor="text1"/>
        </w:rPr>
        <w:t>, available</w:t>
      </w:r>
      <w:r w:rsidR="008B557A" w:rsidRPr="00F832DE">
        <w:rPr>
          <w:color w:val="000000" w:themeColor="text1"/>
        </w:rPr>
        <w:t xml:space="preserve"> on the ECE website </w:t>
      </w:r>
      <w:r w:rsidR="00B201F3">
        <w:rPr>
          <w:color w:val="000000" w:themeColor="text1"/>
        </w:rPr>
        <w:t>since</w:t>
      </w:r>
      <w:r w:rsidR="00B201F3" w:rsidRPr="00F832DE">
        <w:rPr>
          <w:color w:val="000000" w:themeColor="text1"/>
        </w:rPr>
        <w:t xml:space="preserve"> </w:t>
      </w:r>
      <w:r w:rsidR="009A1945" w:rsidRPr="00F832DE">
        <w:rPr>
          <w:color w:val="000000" w:themeColor="text1"/>
        </w:rPr>
        <w:t>the end of</w:t>
      </w:r>
      <w:r w:rsidR="008B557A" w:rsidRPr="00F832DE">
        <w:rPr>
          <w:color w:val="000000" w:themeColor="text1"/>
        </w:rPr>
        <w:t xml:space="preserve"> June 2022.</w:t>
      </w:r>
      <w:r w:rsidR="009A1945" w:rsidRPr="00F832DE">
        <w:rPr>
          <w:color w:val="000000" w:themeColor="text1"/>
        </w:rPr>
        <w:t xml:space="preserve"> </w:t>
      </w:r>
      <w:r w:rsidR="00995646">
        <w:rPr>
          <w:color w:val="000000" w:themeColor="text1"/>
        </w:rPr>
        <w:t>The course is currently a</w:t>
      </w:r>
      <w:r w:rsidR="009A1945" w:rsidRPr="00F832DE">
        <w:rPr>
          <w:color w:val="000000" w:themeColor="text1"/>
        </w:rPr>
        <w:t xml:space="preserve">vailable </w:t>
      </w:r>
      <w:r w:rsidR="00995646">
        <w:rPr>
          <w:color w:val="000000" w:themeColor="text1"/>
        </w:rPr>
        <w:t xml:space="preserve">only </w:t>
      </w:r>
      <w:r w:rsidR="009A1945" w:rsidRPr="00F832DE">
        <w:rPr>
          <w:color w:val="000000" w:themeColor="text1"/>
        </w:rPr>
        <w:t xml:space="preserve">in English, </w:t>
      </w:r>
      <w:r w:rsidR="00995646">
        <w:rPr>
          <w:color w:val="000000" w:themeColor="text1"/>
        </w:rPr>
        <w:t xml:space="preserve">the WP.7 aims at </w:t>
      </w:r>
      <w:r w:rsidR="00134DD2">
        <w:rPr>
          <w:color w:val="000000" w:themeColor="text1"/>
        </w:rPr>
        <w:t xml:space="preserve">translating it also to </w:t>
      </w:r>
      <w:r w:rsidR="009A1945" w:rsidRPr="00F832DE">
        <w:rPr>
          <w:color w:val="000000" w:themeColor="text1"/>
        </w:rPr>
        <w:t>other ECE languages</w:t>
      </w:r>
      <w:r w:rsidR="00134DD2">
        <w:rPr>
          <w:color w:val="000000" w:themeColor="text1"/>
        </w:rPr>
        <w:t xml:space="preserve"> in the future</w:t>
      </w:r>
      <w:r w:rsidR="009A1945" w:rsidRPr="00F832DE">
        <w:rPr>
          <w:color w:val="000000" w:themeColor="text1"/>
        </w:rPr>
        <w:t xml:space="preserve">. </w:t>
      </w:r>
    </w:p>
    <w:p w14:paraId="6F1977CB" w14:textId="132A8D16" w:rsidR="007B7788" w:rsidRPr="00F832DE" w:rsidRDefault="00B5717B" w:rsidP="00BE4D02">
      <w:pPr>
        <w:pStyle w:val="SingleTxtG"/>
        <w:rPr>
          <w:color w:val="000000" w:themeColor="text1"/>
        </w:rPr>
      </w:pPr>
      <w:r>
        <w:rPr>
          <w:color w:val="000000" w:themeColor="text1"/>
        </w:rPr>
        <w:t>11</w:t>
      </w:r>
      <w:r w:rsidR="00130939" w:rsidRPr="00F832DE">
        <w:rPr>
          <w:color w:val="000000" w:themeColor="text1"/>
        </w:rPr>
        <w:t xml:space="preserve">. </w:t>
      </w:r>
      <w:r w:rsidR="00130939" w:rsidRPr="00F832DE">
        <w:rPr>
          <w:color w:val="000000" w:themeColor="text1"/>
        </w:rPr>
        <w:tab/>
        <w:t>The Working Party continued its work on food loss and waste</w:t>
      </w:r>
      <w:r w:rsidR="00C03F4C" w:rsidRPr="00F832DE">
        <w:rPr>
          <w:color w:val="000000" w:themeColor="text1"/>
        </w:rPr>
        <w:t>, sustainability and its link to standards</w:t>
      </w:r>
      <w:r w:rsidR="00130939" w:rsidRPr="00F832DE">
        <w:rPr>
          <w:color w:val="000000" w:themeColor="text1"/>
        </w:rPr>
        <w:t xml:space="preserve">, </w:t>
      </w:r>
      <w:r w:rsidR="00954AC0" w:rsidRPr="00F832DE">
        <w:rPr>
          <w:color w:val="000000" w:themeColor="text1"/>
        </w:rPr>
        <w:t xml:space="preserve">including </w:t>
      </w:r>
      <w:r w:rsidR="00130939" w:rsidRPr="00F832DE">
        <w:rPr>
          <w:color w:val="000000" w:themeColor="text1"/>
        </w:rPr>
        <w:t xml:space="preserve">through the </w:t>
      </w:r>
      <w:r w:rsidR="00954AC0" w:rsidRPr="00F832DE">
        <w:rPr>
          <w:color w:val="000000" w:themeColor="text1"/>
        </w:rPr>
        <w:t>organization of a roundtable on food loss and waste</w:t>
      </w:r>
      <w:r w:rsidR="009A5BDF" w:rsidRPr="00F832DE">
        <w:rPr>
          <w:color w:val="000000" w:themeColor="text1"/>
        </w:rPr>
        <w:t xml:space="preserve"> prevention and reduction (15 November </w:t>
      </w:r>
      <w:r w:rsidR="00C03F4C" w:rsidRPr="00F832DE">
        <w:rPr>
          <w:color w:val="000000" w:themeColor="text1"/>
        </w:rPr>
        <w:t>2022</w:t>
      </w:r>
      <w:r w:rsidR="00FC4EB0">
        <w:rPr>
          <w:color w:val="000000" w:themeColor="text1"/>
        </w:rPr>
        <w:t>, hybrid format, in Geneva and online</w:t>
      </w:r>
      <w:r w:rsidR="00C03F4C" w:rsidRPr="00F832DE">
        <w:rPr>
          <w:color w:val="000000" w:themeColor="text1"/>
        </w:rPr>
        <w:t xml:space="preserve">), a seminar on </w:t>
      </w:r>
      <w:r w:rsidR="00CC7B34" w:rsidRPr="00F832DE">
        <w:rPr>
          <w:color w:val="000000" w:themeColor="text1"/>
        </w:rPr>
        <w:t>sustainable meat and livestock production (29 September 2022</w:t>
      </w:r>
      <w:r w:rsidR="00FC4EB0">
        <w:rPr>
          <w:color w:val="000000" w:themeColor="text1"/>
        </w:rPr>
        <w:t>,</w:t>
      </w:r>
      <w:r w:rsidR="00FC4EB0" w:rsidRPr="00FC4EB0">
        <w:rPr>
          <w:color w:val="000000" w:themeColor="text1"/>
        </w:rPr>
        <w:t xml:space="preserve"> </w:t>
      </w:r>
      <w:r w:rsidR="00FC4EB0">
        <w:rPr>
          <w:color w:val="000000" w:themeColor="text1"/>
        </w:rPr>
        <w:t>hybrid format, in Geneva and online</w:t>
      </w:r>
      <w:r w:rsidR="00CC7B34" w:rsidRPr="00F832DE">
        <w:rPr>
          <w:color w:val="000000" w:themeColor="text1"/>
        </w:rPr>
        <w:t>)</w:t>
      </w:r>
      <w:r w:rsidR="00FC4EB0">
        <w:rPr>
          <w:color w:val="000000" w:themeColor="text1"/>
        </w:rPr>
        <w:t xml:space="preserve"> </w:t>
      </w:r>
      <w:r w:rsidR="00CC7B34" w:rsidRPr="00F832DE">
        <w:rPr>
          <w:color w:val="000000" w:themeColor="text1"/>
        </w:rPr>
        <w:t xml:space="preserve">and the </w:t>
      </w:r>
      <w:r w:rsidR="00C03F4C" w:rsidRPr="00F832DE">
        <w:rPr>
          <w:color w:val="000000" w:themeColor="text1"/>
        </w:rPr>
        <w:t xml:space="preserve">development of </w:t>
      </w:r>
      <w:r w:rsidR="00954AC0" w:rsidRPr="00F832DE">
        <w:rPr>
          <w:color w:val="000000" w:themeColor="text1"/>
        </w:rPr>
        <w:t>four</w:t>
      </w:r>
      <w:r w:rsidR="00CC7B34" w:rsidRPr="00F832DE">
        <w:rPr>
          <w:color w:val="000000" w:themeColor="text1"/>
        </w:rPr>
        <w:t xml:space="preserve"> </w:t>
      </w:r>
      <w:r w:rsidR="0078381C" w:rsidRPr="00F832DE">
        <w:rPr>
          <w:color w:val="000000" w:themeColor="text1"/>
        </w:rPr>
        <w:t>practical leaflets</w:t>
      </w:r>
      <w:r w:rsidR="00CC7B34" w:rsidRPr="00F832DE">
        <w:rPr>
          <w:color w:val="000000" w:themeColor="text1"/>
        </w:rPr>
        <w:t xml:space="preserve"> </w:t>
      </w:r>
      <w:r w:rsidR="0078381C" w:rsidRPr="00F832DE">
        <w:rPr>
          <w:color w:val="000000" w:themeColor="text1"/>
        </w:rPr>
        <w:t>on good practices in harvest and post-harvest handling of four groups of vegetables.</w:t>
      </w:r>
      <w:r w:rsidR="009B494D" w:rsidRPr="00F832DE">
        <w:rPr>
          <w:color w:val="000000" w:themeColor="text1"/>
        </w:rPr>
        <w:t xml:space="preserve"> </w:t>
      </w:r>
    </w:p>
    <w:p w14:paraId="4B74ED25" w14:textId="0A086358" w:rsidR="0099547C" w:rsidRPr="00973E05" w:rsidRDefault="00E66F54" w:rsidP="00E66F54">
      <w:pPr>
        <w:pStyle w:val="H1G"/>
      </w:pPr>
      <w:r w:rsidRPr="00A13BE3">
        <w:rPr>
          <w:color w:val="000000" w:themeColor="text1"/>
        </w:rPr>
        <w:tab/>
      </w:r>
      <w:r w:rsidRPr="00A13BE3">
        <w:rPr>
          <w:color w:val="000000" w:themeColor="text1"/>
        </w:rPr>
        <w:tab/>
        <w:t>B.</w:t>
      </w:r>
      <w:r w:rsidRPr="00A13BE3">
        <w:rPr>
          <w:color w:val="000000" w:themeColor="text1"/>
        </w:rPr>
        <w:tab/>
        <w:t>High-level segment: Removing regulatory and procedural barriers to trade in the Economic Commission for Europe region</w:t>
      </w:r>
      <w:r w:rsidR="0099547C" w:rsidRPr="00973E05">
        <w:tab/>
      </w:r>
      <w:r w:rsidR="0099547C" w:rsidRPr="00973E05">
        <w:tab/>
      </w:r>
      <w:r>
        <w:br/>
      </w:r>
      <w:r w:rsidR="0099547C" w:rsidRPr="00973E05">
        <w:t xml:space="preserve">Item </w:t>
      </w:r>
      <w:r>
        <w:t>6</w:t>
      </w:r>
      <w:r w:rsidR="0099547C" w:rsidRPr="00973E05">
        <w:t xml:space="preserve">. </w:t>
      </w:r>
      <w:r w:rsidR="006D323D" w:rsidRPr="006D323D">
        <w:t>Country studies: Kyrgyzstan and the Republic of Moldova</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2438"/>
        <w:gridCol w:w="1984"/>
      </w:tblGrid>
      <w:tr w:rsidR="00102430" w:rsidRPr="00973E05" w14:paraId="7E70A627" w14:textId="77777777" w:rsidTr="005E6CC7">
        <w:tc>
          <w:tcPr>
            <w:tcW w:w="2948" w:type="dxa"/>
            <w:tcBorders>
              <w:top w:val="single" w:sz="4" w:space="0" w:color="auto"/>
              <w:bottom w:val="single" w:sz="12" w:space="0" w:color="auto"/>
            </w:tcBorders>
            <w:shd w:val="clear" w:color="auto" w:fill="auto"/>
            <w:vAlign w:val="bottom"/>
          </w:tcPr>
          <w:p w14:paraId="742A5C29" w14:textId="77777777" w:rsidR="00102430" w:rsidRPr="00973E05" w:rsidRDefault="00102430" w:rsidP="005E6CC7">
            <w:pPr>
              <w:spacing w:before="80" w:after="80" w:line="200" w:lineRule="exact"/>
              <w:ind w:right="113"/>
              <w:rPr>
                <w:i/>
                <w:sz w:val="16"/>
              </w:rPr>
            </w:pPr>
            <w:r w:rsidRPr="00973E05">
              <w:rPr>
                <w:i/>
                <w:sz w:val="16"/>
              </w:rPr>
              <w:t>Title of document</w:t>
            </w:r>
          </w:p>
        </w:tc>
        <w:tc>
          <w:tcPr>
            <w:tcW w:w="2438" w:type="dxa"/>
            <w:tcBorders>
              <w:top w:val="single" w:sz="4" w:space="0" w:color="auto"/>
              <w:bottom w:val="single" w:sz="12" w:space="0" w:color="auto"/>
            </w:tcBorders>
            <w:shd w:val="clear" w:color="auto" w:fill="auto"/>
            <w:vAlign w:val="bottom"/>
          </w:tcPr>
          <w:p w14:paraId="181E7F57" w14:textId="77777777" w:rsidR="00102430" w:rsidRPr="00973E05" w:rsidRDefault="00102430" w:rsidP="005E6CC7">
            <w:pPr>
              <w:spacing w:before="80" w:after="80" w:line="200" w:lineRule="exact"/>
              <w:ind w:right="113"/>
              <w:rPr>
                <w:i/>
                <w:sz w:val="16"/>
              </w:rPr>
            </w:pPr>
            <w:r w:rsidRPr="00973E05">
              <w:rPr>
                <w:i/>
                <w:sz w:val="16"/>
              </w:rPr>
              <w:t>Document symbol</w:t>
            </w:r>
          </w:p>
        </w:tc>
        <w:tc>
          <w:tcPr>
            <w:tcW w:w="1984" w:type="dxa"/>
            <w:tcBorders>
              <w:top w:val="single" w:sz="4" w:space="0" w:color="auto"/>
              <w:bottom w:val="single" w:sz="12" w:space="0" w:color="auto"/>
            </w:tcBorders>
            <w:shd w:val="clear" w:color="auto" w:fill="auto"/>
            <w:vAlign w:val="bottom"/>
          </w:tcPr>
          <w:p w14:paraId="6507FC8D" w14:textId="77777777" w:rsidR="00102430" w:rsidRPr="00973E05" w:rsidRDefault="00102430" w:rsidP="005E6CC7">
            <w:pPr>
              <w:spacing w:before="80" w:after="80" w:line="200" w:lineRule="exact"/>
              <w:ind w:right="113"/>
              <w:rPr>
                <w:i/>
                <w:sz w:val="16"/>
              </w:rPr>
            </w:pPr>
            <w:r w:rsidRPr="00973E05">
              <w:rPr>
                <w:i/>
                <w:sz w:val="16"/>
              </w:rPr>
              <w:t>For information/decision</w:t>
            </w:r>
          </w:p>
        </w:tc>
      </w:tr>
      <w:tr w:rsidR="00102430" w:rsidRPr="00973E05" w14:paraId="378D8EC9" w14:textId="77777777" w:rsidTr="005E6CC7">
        <w:trPr>
          <w:trHeight w:hRule="exact" w:val="113"/>
        </w:trPr>
        <w:tc>
          <w:tcPr>
            <w:tcW w:w="2948" w:type="dxa"/>
            <w:tcBorders>
              <w:top w:val="single" w:sz="12" w:space="0" w:color="auto"/>
            </w:tcBorders>
            <w:shd w:val="clear" w:color="auto" w:fill="auto"/>
            <w:vAlign w:val="bottom"/>
          </w:tcPr>
          <w:p w14:paraId="42A32CD0" w14:textId="77777777" w:rsidR="00102430" w:rsidRPr="00973E05" w:rsidRDefault="00102430" w:rsidP="005E6CC7">
            <w:pPr>
              <w:spacing w:before="80" w:after="80" w:line="200" w:lineRule="exact"/>
              <w:ind w:right="113"/>
              <w:rPr>
                <w:i/>
                <w:sz w:val="16"/>
              </w:rPr>
            </w:pPr>
          </w:p>
        </w:tc>
        <w:tc>
          <w:tcPr>
            <w:tcW w:w="2438" w:type="dxa"/>
            <w:tcBorders>
              <w:top w:val="single" w:sz="12" w:space="0" w:color="auto"/>
            </w:tcBorders>
            <w:shd w:val="clear" w:color="auto" w:fill="auto"/>
            <w:vAlign w:val="bottom"/>
          </w:tcPr>
          <w:p w14:paraId="08FB1124" w14:textId="77777777" w:rsidR="00102430" w:rsidRPr="00973E05" w:rsidRDefault="00102430" w:rsidP="005E6CC7">
            <w:pPr>
              <w:spacing w:before="80" w:after="80" w:line="200" w:lineRule="exact"/>
              <w:ind w:right="113"/>
              <w:rPr>
                <w:i/>
                <w:sz w:val="16"/>
              </w:rPr>
            </w:pPr>
          </w:p>
        </w:tc>
        <w:tc>
          <w:tcPr>
            <w:tcW w:w="1984" w:type="dxa"/>
            <w:tcBorders>
              <w:top w:val="single" w:sz="12" w:space="0" w:color="auto"/>
            </w:tcBorders>
            <w:shd w:val="clear" w:color="auto" w:fill="auto"/>
            <w:vAlign w:val="bottom"/>
          </w:tcPr>
          <w:p w14:paraId="22CD42EF" w14:textId="77777777" w:rsidR="00102430" w:rsidRPr="00973E05" w:rsidRDefault="00102430" w:rsidP="005E6CC7">
            <w:pPr>
              <w:spacing w:before="80" w:after="80" w:line="200" w:lineRule="exact"/>
              <w:ind w:right="113"/>
              <w:rPr>
                <w:i/>
                <w:sz w:val="16"/>
              </w:rPr>
            </w:pPr>
          </w:p>
        </w:tc>
      </w:tr>
      <w:tr w:rsidR="00102430" w:rsidRPr="00973E05" w14:paraId="43027BBE" w14:textId="77777777" w:rsidTr="00CE3DA2">
        <w:tc>
          <w:tcPr>
            <w:tcW w:w="2948" w:type="dxa"/>
            <w:shd w:val="clear" w:color="auto" w:fill="auto"/>
          </w:tcPr>
          <w:p w14:paraId="4CAB8531" w14:textId="5FC9A851" w:rsidR="00102430" w:rsidRPr="00CE3DA2" w:rsidRDefault="00097426" w:rsidP="005E6CC7">
            <w:pPr>
              <w:spacing w:before="40" w:after="120"/>
              <w:ind w:right="113"/>
              <w:rPr>
                <w:strike/>
              </w:rPr>
            </w:pPr>
            <w:r>
              <w:t xml:space="preserve">Economic Commission for Europe </w:t>
            </w:r>
            <w:r w:rsidRPr="00CE3DA2">
              <w:t xml:space="preserve">Study on Regulatory and Procedural Barriers to Trade in </w:t>
            </w:r>
            <w:r w:rsidR="006D323D" w:rsidRPr="006D323D">
              <w:t xml:space="preserve">Kyrgyzstan: </w:t>
            </w:r>
            <w:r w:rsidRPr="00CE3DA2">
              <w:t>Outline and Initial Findings</w:t>
            </w:r>
          </w:p>
        </w:tc>
        <w:tc>
          <w:tcPr>
            <w:tcW w:w="2438" w:type="dxa"/>
            <w:shd w:val="clear" w:color="auto" w:fill="auto"/>
          </w:tcPr>
          <w:p w14:paraId="6B219046" w14:textId="05BFE120" w:rsidR="00102430" w:rsidRPr="00B472F4" w:rsidRDefault="00102430" w:rsidP="005E6CC7">
            <w:pPr>
              <w:spacing w:before="40" w:after="120"/>
              <w:ind w:right="113"/>
            </w:pPr>
            <w:r w:rsidRPr="00B472F4">
              <w:t>ECE/CTCS/202</w:t>
            </w:r>
            <w:r w:rsidR="002330DB" w:rsidRPr="00B472F4">
              <w:t>3</w:t>
            </w:r>
            <w:r w:rsidRPr="00B472F4">
              <w:t>/</w:t>
            </w:r>
            <w:r w:rsidR="00A90D66">
              <w:t>3</w:t>
            </w:r>
          </w:p>
        </w:tc>
        <w:tc>
          <w:tcPr>
            <w:tcW w:w="1984" w:type="dxa"/>
            <w:shd w:val="clear" w:color="auto" w:fill="auto"/>
          </w:tcPr>
          <w:p w14:paraId="01A8C7B7" w14:textId="77777777" w:rsidR="00102430" w:rsidRPr="00B472F4" w:rsidRDefault="00102430" w:rsidP="005E6CC7">
            <w:pPr>
              <w:spacing w:before="40" w:after="120"/>
              <w:ind w:right="113"/>
            </w:pPr>
            <w:r w:rsidRPr="00B472F4">
              <w:t>Decision</w:t>
            </w:r>
          </w:p>
        </w:tc>
      </w:tr>
      <w:tr w:rsidR="00247803" w:rsidRPr="00973E05" w14:paraId="70E600E3" w14:textId="77777777" w:rsidTr="005E6CC7">
        <w:tc>
          <w:tcPr>
            <w:tcW w:w="2948" w:type="dxa"/>
            <w:tcBorders>
              <w:bottom w:val="single" w:sz="12" w:space="0" w:color="auto"/>
            </w:tcBorders>
            <w:shd w:val="clear" w:color="auto" w:fill="auto"/>
          </w:tcPr>
          <w:p w14:paraId="42494418" w14:textId="38443612" w:rsidR="00247803" w:rsidRDefault="00247803" w:rsidP="00247803">
            <w:pPr>
              <w:spacing w:before="40" w:after="120"/>
              <w:ind w:right="113"/>
            </w:pPr>
            <w:r w:rsidRPr="00D94F92">
              <w:t>Economic Commission for Europe Study on Regulatory and Procedural Barriers to Trade in the Republic of Moldova: Findings and Recommendations</w:t>
            </w:r>
          </w:p>
        </w:tc>
        <w:tc>
          <w:tcPr>
            <w:tcW w:w="2438" w:type="dxa"/>
            <w:tcBorders>
              <w:bottom w:val="single" w:sz="12" w:space="0" w:color="auto"/>
            </w:tcBorders>
            <w:shd w:val="clear" w:color="auto" w:fill="auto"/>
          </w:tcPr>
          <w:p w14:paraId="0FC62E47" w14:textId="3800355D" w:rsidR="00247803" w:rsidRPr="00B472F4" w:rsidRDefault="00247803" w:rsidP="00247803">
            <w:pPr>
              <w:spacing w:before="40" w:after="120"/>
              <w:ind w:right="113"/>
            </w:pPr>
            <w:r w:rsidRPr="00D94F92">
              <w:t>ECE/CTCS/2023/</w:t>
            </w:r>
            <w:r w:rsidR="00A90D66">
              <w:t>4</w:t>
            </w:r>
          </w:p>
        </w:tc>
        <w:tc>
          <w:tcPr>
            <w:tcW w:w="1984" w:type="dxa"/>
            <w:tcBorders>
              <w:bottom w:val="single" w:sz="12" w:space="0" w:color="auto"/>
            </w:tcBorders>
            <w:shd w:val="clear" w:color="auto" w:fill="auto"/>
          </w:tcPr>
          <w:p w14:paraId="40EA204D" w14:textId="13150FFB" w:rsidR="00247803" w:rsidRPr="00B472F4" w:rsidRDefault="00247803" w:rsidP="00247803">
            <w:pPr>
              <w:spacing w:before="40" w:after="120"/>
              <w:ind w:right="113"/>
            </w:pPr>
            <w:r w:rsidRPr="00D94F92">
              <w:t>Decision</w:t>
            </w:r>
          </w:p>
        </w:tc>
      </w:tr>
    </w:tbl>
    <w:p w14:paraId="07634793" w14:textId="62734428" w:rsidR="000207B2" w:rsidRDefault="006D323D" w:rsidP="003212EA">
      <w:pPr>
        <w:pStyle w:val="SingleTxtG"/>
        <w:spacing w:before="120"/>
      </w:pPr>
      <w:r w:rsidRPr="00CE3DA2">
        <w:t>12</w:t>
      </w:r>
      <w:r w:rsidR="00E22E78" w:rsidRPr="006D323D">
        <w:t>.</w:t>
      </w:r>
      <w:r w:rsidR="00E22E78" w:rsidRPr="00973E05">
        <w:tab/>
      </w:r>
      <w:r w:rsidR="00E22E78" w:rsidRPr="0082569F">
        <w:t>Delegates will be briefed about the</w:t>
      </w:r>
      <w:r w:rsidR="0010057A">
        <w:t xml:space="preserve"> initial</w:t>
      </w:r>
      <w:r w:rsidR="00E22E78" w:rsidRPr="0082569F">
        <w:t xml:space="preserve"> findings and recommendations emerging from the ECE </w:t>
      </w:r>
      <w:r w:rsidR="0082569F" w:rsidRPr="0082569F">
        <w:t xml:space="preserve">Study on </w:t>
      </w:r>
      <w:r w:rsidR="003212EA" w:rsidRPr="003212EA">
        <w:t>Regulatory and Procedural Barriers to Trade in Kyrgyzstan</w:t>
      </w:r>
      <w:r w:rsidR="00E22E78" w:rsidRPr="0082569F">
        <w:t xml:space="preserve">. The </w:t>
      </w:r>
      <w:r w:rsidR="004D0B85">
        <w:lastRenderedPageBreak/>
        <w:t>S</w:t>
      </w:r>
      <w:r w:rsidR="004D0B85" w:rsidRPr="0082569F">
        <w:t>tud</w:t>
      </w:r>
      <w:r w:rsidR="004D0B85">
        <w:t xml:space="preserve">y </w:t>
      </w:r>
      <w:r w:rsidR="00E42725">
        <w:t>responds</w:t>
      </w:r>
      <w:r w:rsidR="004704EB">
        <w:t xml:space="preserve"> to the capacity</w:t>
      </w:r>
      <w:r w:rsidR="00630B5E">
        <w:t xml:space="preserve">-building </w:t>
      </w:r>
      <w:r w:rsidR="001948F4">
        <w:t xml:space="preserve">request </w:t>
      </w:r>
      <w:r w:rsidR="00B201F3">
        <w:t xml:space="preserve">that the delegation of </w:t>
      </w:r>
      <w:r w:rsidR="001948F4">
        <w:t xml:space="preserve">Kyrgyzstan </w:t>
      </w:r>
      <w:r w:rsidR="00474E09">
        <w:t>made at the seventh session of the Steering Committee in 2022.</w:t>
      </w:r>
    </w:p>
    <w:p w14:paraId="7D4F9A38" w14:textId="7AF8046D" w:rsidR="0099547C" w:rsidRPr="003B200E" w:rsidRDefault="006D323D" w:rsidP="00CE3DA2">
      <w:pPr>
        <w:pStyle w:val="SingleTxtG"/>
        <w:spacing w:before="120"/>
      </w:pPr>
      <w:r>
        <w:t>13</w:t>
      </w:r>
      <w:r w:rsidR="00A74EE9">
        <w:t>.</w:t>
      </w:r>
      <w:r w:rsidR="00A74EE9">
        <w:tab/>
      </w:r>
      <w:r w:rsidR="00B201F3">
        <w:t>T</w:t>
      </w:r>
      <w:r w:rsidR="001A7189">
        <w:t>he ECE Study</w:t>
      </w:r>
      <w:r w:rsidR="003212EA">
        <w:t xml:space="preserve"> takes the sectoral approach and</w:t>
      </w:r>
      <w:r w:rsidR="001A7189">
        <w:t xml:space="preserve"> </w:t>
      </w:r>
      <w:r w:rsidR="000207B2">
        <w:t>analys</w:t>
      </w:r>
      <w:r w:rsidR="0067067F">
        <w:t>es</w:t>
      </w:r>
      <w:r w:rsidR="000207B2">
        <w:t xml:space="preserve"> of </w:t>
      </w:r>
      <w:r w:rsidR="000207B2" w:rsidRPr="000207B2">
        <w:t>current and potential export markets, business</w:t>
      </w:r>
      <w:r w:rsidR="000207B2">
        <w:t xml:space="preserve"> </w:t>
      </w:r>
      <w:r w:rsidR="000207B2" w:rsidRPr="000207B2">
        <w:t>process analysis and</w:t>
      </w:r>
      <w:r w:rsidR="000207B2" w:rsidRPr="002F337E">
        <w:t xml:space="preserve"> </w:t>
      </w:r>
      <w:r w:rsidR="00F92C94" w:rsidRPr="00720A08">
        <w:t>needs assessment with regards to</w:t>
      </w:r>
      <w:r w:rsidR="000207B2" w:rsidRPr="0067067F">
        <w:t xml:space="preserve"> </w:t>
      </w:r>
      <w:r w:rsidR="000207B2" w:rsidRPr="000207B2">
        <w:t xml:space="preserve">quality </w:t>
      </w:r>
      <w:r w:rsidR="00E13977" w:rsidRPr="0067067F">
        <w:t>standard</w:t>
      </w:r>
      <w:r w:rsidR="00F92C94">
        <w:t xml:space="preserve"> compliance</w:t>
      </w:r>
      <w:r w:rsidR="0067067F">
        <w:t xml:space="preserve"> for selected markets</w:t>
      </w:r>
      <w:r w:rsidR="000207B2" w:rsidRPr="000207B2">
        <w:t>.</w:t>
      </w:r>
      <w:r w:rsidR="007567B9" w:rsidRPr="007567B9">
        <w:t xml:space="preserve"> </w:t>
      </w:r>
      <w:r w:rsidR="007567B9" w:rsidRPr="0082569F">
        <w:t>It also highlights the implication</w:t>
      </w:r>
      <w:r w:rsidR="00303DCA">
        <w:t>s</w:t>
      </w:r>
      <w:r w:rsidR="007567B9" w:rsidRPr="0082569F">
        <w:t xml:space="preserve"> of </w:t>
      </w:r>
      <w:r w:rsidR="00303DCA" w:rsidRPr="0082569F">
        <w:t>regulatory and procedural barriers to tr</w:t>
      </w:r>
      <w:r w:rsidR="00C0592C">
        <w:t xml:space="preserve">ade </w:t>
      </w:r>
      <w:r w:rsidR="007567B9" w:rsidRPr="0082569F">
        <w:t xml:space="preserve">for </w:t>
      </w:r>
      <w:r w:rsidR="005204F8">
        <w:t>achieving</w:t>
      </w:r>
      <w:r w:rsidR="007567B9" w:rsidRPr="0082569F">
        <w:t xml:space="preserve"> SDGs and provides </w:t>
      </w:r>
      <w:r w:rsidR="00F33A82">
        <w:t>action-oriented</w:t>
      </w:r>
      <w:r w:rsidR="007567B9" w:rsidRPr="0082569F">
        <w:t xml:space="preserve"> recommendations.</w:t>
      </w:r>
      <w:r w:rsidR="0067067F" w:rsidRPr="0067067F">
        <w:t xml:space="preserve"> </w:t>
      </w:r>
      <w:r w:rsidR="0067067F">
        <w:t xml:space="preserve">It </w:t>
      </w:r>
      <w:r w:rsidR="0067067F" w:rsidRPr="0067067F">
        <w:t>aims at enhanc</w:t>
      </w:r>
      <w:r w:rsidR="0067067F">
        <w:t>ing</w:t>
      </w:r>
      <w:r w:rsidR="0067067F" w:rsidRPr="0067067F">
        <w:t xml:space="preserve"> export opportunities for selected agricultural products of </w:t>
      </w:r>
      <w:r w:rsidR="0067067F" w:rsidRPr="003B200E">
        <w:t>Kyrgyzstan.</w:t>
      </w:r>
    </w:p>
    <w:p w14:paraId="71DC4409" w14:textId="45ED158B" w:rsidR="0099547C" w:rsidRPr="00F96B1F" w:rsidRDefault="006D323D" w:rsidP="00EA5421">
      <w:pPr>
        <w:pStyle w:val="SingleTxtG"/>
        <w:spacing w:before="120"/>
      </w:pPr>
      <w:r w:rsidRPr="003B200E">
        <w:t>14</w:t>
      </w:r>
      <w:r w:rsidR="00FE770E" w:rsidRPr="003B200E">
        <w:t>.</w:t>
      </w:r>
      <w:r w:rsidR="00FE770E" w:rsidRPr="003B200E">
        <w:tab/>
      </w:r>
      <w:r w:rsidR="00A74EE9" w:rsidRPr="003B200E">
        <w:t>Delegates will be</w:t>
      </w:r>
      <w:r w:rsidR="00DD399F" w:rsidRPr="003B200E">
        <w:t xml:space="preserve"> also</w:t>
      </w:r>
      <w:r w:rsidR="00A74EE9" w:rsidRPr="003B200E">
        <w:t xml:space="preserve"> briefed about t</w:t>
      </w:r>
      <w:r w:rsidR="00DD399F" w:rsidRPr="003B200E">
        <w:t>he</w:t>
      </w:r>
      <w:r w:rsidR="00A74EE9" w:rsidRPr="003B200E">
        <w:t xml:space="preserve"> findings and recommendations emerging from the ECE </w:t>
      </w:r>
      <w:r w:rsidR="003B200E" w:rsidRPr="00F03A77">
        <w:t>Study on Regulatory and Procedural Barriers to Trade</w:t>
      </w:r>
      <w:r w:rsidR="00B80457" w:rsidRPr="00F03A77">
        <w:t xml:space="preserve"> in the Republic of Moldova</w:t>
      </w:r>
      <w:r w:rsidR="00E536FD" w:rsidRPr="00CE3DA2">
        <w:t xml:space="preserve">, which builds on the ECE </w:t>
      </w:r>
      <w:r w:rsidR="004D0B85">
        <w:t>earlier Study</w:t>
      </w:r>
      <w:r w:rsidR="00E536FD" w:rsidRPr="00CE3DA2">
        <w:t xml:space="preserve">, conducted in </w:t>
      </w:r>
      <w:r w:rsidR="006F45E0" w:rsidRPr="00CE3DA2">
        <w:t xml:space="preserve">2017 </w:t>
      </w:r>
      <w:r w:rsidR="008E27DA" w:rsidRPr="00CE3DA2">
        <w:t>(</w:t>
      </w:r>
      <w:r w:rsidR="006F45E0" w:rsidRPr="00CE3DA2">
        <w:t>ECE/</w:t>
      </w:r>
      <w:r w:rsidR="008E27DA" w:rsidRPr="00CE3DA2">
        <w:t>TRADE/433)</w:t>
      </w:r>
      <w:r w:rsidR="000135E0" w:rsidRPr="003B200E">
        <w:t xml:space="preserve">. The </w:t>
      </w:r>
      <w:r w:rsidR="004D0B85">
        <w:t>S</w:t>
      </w:r>
      <w:r w:rsidR="004D0B85" w:rsidRPr="003B200E">
        <w:t xml:space="preserve">tudy </w:t>
      </w:r>
      <w:r w:rsidR="000135E0" w:rsidRPr="003B200E">
        <w:t>responds to the capacity-building request of the Republic of Moldova made at the seventh session of the Steering Committee in 2022.</w:t>
      </w:r>
    </w:p>
    <w:p w14:paraId="503DB1E0" w14:textId="1088DA0E" w:rsidR="0099547C" w:rsidRPr="00DD0CA0" w:rsidRDefault="006D323D" w:rsidP="007E6411">
      <w:pPr>
        <w:pStyle w:val="SingleTxtG"/>
        <w:rPr>
          <w:lang w:val="en-US"/>
        </w:rPr>
      </w:pPr>
      <w:r>
        <w:t>15</w:t>
      </w:r>
      <w:r w:rsidR="00F32E28" w:rsidRPr="00F96B1F">
        <w:t>.</w:t>
      </w:r>
      <w:r w:rsidR="00F32E28" w:rsidRPr="00F96B1F">
        <w:tab/>
      </w:r>
      <w:r w:rsidR="00F96B1F">
        <w:rPr>
          <w:lang w:val="en-US"/>
        </w:rPr>
        <w:t xml:space="preserve">The </w:t>
      </w:r>
      <w:r w:rsidR="00AE5850">
        <w:rPr>
          <w:lang w:val="en-US"/>
        </w:rPr>
        <w:t xml:space="preserve">Study </w:t>
      </w:r>
      <w:r w:rsidR="00F776E5">
        <w:rPr>
          <w:lang w:val="en-US"/>
        </w:rPr>
        <w:t xml:space="preserve">provides an </w:t>
      </w:r>
      <w:r w:rsidR="00F776E5" w:rsidRPr="00F776E5">
        <w:rPr>
          <w:lang w:val="en-US"/>
        </w:rPr>
        <w:t>in-depth assessment of the trade facilitation framework in the Republic of Moldova</w:t>
      </w:r>
      <w:r w:rsidR="00390CFB">
        <w:rPr>
          <w:lang w:val="en-US"/>
        </w:rPr>
        <w:t xml:space="preserve"> and</w:t>
      </w:r>
      <w:r w:rsidR="00F96B1F" w:rsidRPr="00F96B1F">
        <w:rPr>
          <w:lang w:val="en-US"/>
        </w:rPr>
        <w:t xml:space="preserve"> aims to </w:t>
      </w:r>
      <w:r w:rsidR="00F96B1F" w:rsidRPr="00F96B1F">
        <w:t xml:space="preserve">enhance trade facilitation efforts in the </w:t>
      </w:r>
      <w:r w:rsidR="00390CFB">
        <w:t>country</w:t>
      </w:r>
      <w:r w:rsidR="00F96B1F" w:rsidRPr="00F96B1F">
        <w:t xml:space="preserve"> </w:t>
      </w:r>
      <w:r w:rsidR="00882E5B">
        <w:t>in light of this country’s commitments to</w:t>
      </w:r>
      <w:r w:rsidR="00F96B1F" w:rsidRPr="00F96B1F">
        <w:t xml:space="preserve"> implementation of the WTO Agreement on Trade Facilitation (TFA)</w:t>
      </w:r>
      <w:r w:rsidR="00AB423B">
        <w:t>, including on</w:t>
      </w:r>
      <w:r w:rsidR="00F96B1F" w:rsidRPr="00F96B1F">
        <w:t xml:space="preserve"> fostering </w:t>
      </w:r>
      <w:r w:rsidR="005204F8">
        <w:t>digitalisation</w:t>
      </w:r>
      <w:r w:rsidR="00F96B1F" w:rsidRPr="00F96B1F">
        <w:t xml:space="preserve"> of customs borders procedures, which could result in efficiencies and spill-over effects in terms of jobs and poverty reduction. </w:t>
      </w:r>
    </w:p>
    <w:p w14:paraId="4C378CD2" w14:textId="22D4B2E4" w:rsidR="00BD5D9F" w:rsidRPr="00973E05" w:rsidRDefault="00BD5D9F" w:rsidP="0085674E">
      <w:pPr>
        <w:pStyle w:val="H1G"/>
        <w:jc w:val="both"/>
      </w:pPr>
      <w:r w:rsidRPr="00AA5754">
        <w:tab/>
      </w:r>
      <w:r>
        <w:tab/>
        <w:t>C</w:t>
      </w:r>
      <w:r w:rsidRPr="00AA5754">
        <w:t xml:space="preserve">. </w:t>
      </w:r>
      <w:r w:rsidRPr="00AA5754">
        <w:tab/>
        <w:t xml:space="preserve">High-level segment: </w:t>
      </w:r>
      <w:r w:rsidR="0085674E">
        <w:t>L</w:t>
      </w:r>
      <w:r w:rsidR="0085674E" w:rsidRPr="002C2089">
        <w:t>essons learned from the</w:t>
      </w:r>
      <w:r w:rsidR="0085674E">
        <w:t xml:space="preserve"> </w:t>
      </w:r>
      <w:r w:rsidR="00CF6F1F">
        <w:t>S</w:t>
      </w:r>
      <w:r w:rsidR="00AF451C" w:rsidRPr="00973E05">
        <w:t xml:space="preserve">tudies on </w:t>
      </w:r>
      <w:r w:rsidR="00CF6F1F">
        <w:t>R</w:t>
      </w:r>
      <w:r w:rsidR="00AF451C" w:rsidRPr="00973E05">
        <w:t xml:space="preserve">egulatory </w:t>
      </w:r>
      <w:r w:rsidR="00BB3240">
        <w:t xml:space="preserve">and Procedural </w:t>
      </w:r>
      <w:r w:rsidR="00CF6F1F">
        <w:t>B</w:t>
      </w:r>
      <w:r w:rsidR="00AF451C" w:rsidRPr="00973E05">
        <w:t xml:space="preserve">arriers to </w:t>
      </w:r>
      <w:r w:rsidR="00CF6F1F">
        <w:t>T</w:t>
      </w:r>
      <w:r w:rsidR="00AF451C" w:rsidRPr="00973E05">
        <w:t>rade</w:t>
      </w:r>
      <w:r w:rsidR="0085674E" w:rsidRPr="002C2089">
        <w:t xml:space="preserve"> </w:t>
      </w:r>
      <w:r w:rsidR="0085674E">
        <w:t>and</w:t>
      </w:r>
      <w:r w:rsidR="0085674E" w:rsidRPr="00AA5754">
        <w:t xml:space="preserve"> </w:t>
      </w:r>
      <w:r w:rsidR="00FA2EEE" w:rsidRPr="00973E05">
        <w:t xml:space="preserve">emerging </w:t>
      </w:r>
      <w:r>
        <w:t>areas for consideration</w:t>
      </w:r>
    </w:p>
    <w:p w14:paraId="1DB0A6EE" w14:textId="6D221710" w:rsidR="0099547C" w:rsidRPr="00973E05" w:rsidRDefault="0099547C" w:rsidP="0099547C">
      <w:pPr>
        <w:pStyle w:val="H1G"/>
      </w:pPr>
      <w:r w:rsidRPr="00973E05">
        <w:tab/>
      </w:r>
      <w:r w:rsidRPr="00973E05">
        <w:tab/>
        <w:t xml:space="preserve">Item </w:t>
      </w:r>
      <w:r w:rsidR="00B867B0">
        <w:t>7</w:t>
      </w:r>
      <w:r w:rsidRPr="00973E05">
        <w:t xml:space="preserve">. </w:t>
      </w:r>
      <w:r w:rsidR="00DD0CA0">
        <w:t>L</w:t>
      </w:r>
      <w:r w:rsidR="00DD0CA0" w:rsidRPr="002C2089">
        <w:t>essons</w:t>
      </w:r>
      <w:r w:rsidR="000B554E" w:rsidRPr="002C2089">
        <w:t xml:space="preserve"> learned from the</w:t>
      </w:r>
      <w:r w:rsidR="000B554E">
        <w:t xml:space="preserve"> Studies on</w:t>
      </w:r>
      <w:r w:rsidR="000B554E" w:rsidRPr="002C2089">
        <w:t xml:space="preserve"> Regulatory Barriers to Trade and </w:t>
      </w:r>
      <w:r w:rsidR="00DD0CA0">
        <w:t>country follow-ups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2438"/>
        <w:gridCol w:w="1984"/>
      </w:tblGrid>
      <w:tr w:rsidR="00AD119D" w:rsidRPr="00973E05" w14:paraId="29979114" w14:textId="77777777" w:rsidTr="00AA0D6E">
        <w:tc>
          <w:tcPr>
            <w:tcW w:w="2948" w:type="dxa"/>
            <w:tcBorders>
              <w:top w:val="single" w:sz="4" w:space="0" w:color="auto"/>
              <w:bottom w:val="single" w:sz="12" w:space="0" w:color="auto"/>
            </w:tcBorders>
            <w:shd w:val="clear" w:color="auto" w:fill="auto"/>
            <w:vAlign w:val="bottom"/>
          </w:tcPr>
          <w:p w14:paraId="612FB41C" w14:textId="77777777" w:rsidR="00AD119D" w:rsidRPr="00973E05" w:rsidRDefault="00AD119D" w:rsidP="005E6CC7">
            <w:pPr>
              <w:spacing w:before="80" w:after="80" w:line="200" w:lineRule="exact"/>
              <w:ind w:right="113"/>
              <w:rPr>
                <w:i/>
                <w:sz w:val="16"/>
              </w:rPr>
            </w:pPr>
            <w:r w:rsidRPr="00973E05">
              <w:rPr>
                <w:i/>
                <w:sz w:val="16"/>
              </w:rPr>
              <w:t>Title of document</w:t>
            </w:r>
          </w:p>
        </w:tc>
        <w:tc>
          <w:tcPr>
            <w:tcW w:w="2438" w:type="dxa"/>
            <w:tcBorders>
              <w:top w:val="single" w:sz="4" w:space="0" w:color="auto"/>
              <w:bottom w:val="single" w:sz="12" w:space="0" w:color="auto"/>
            </w:tcBorders>
            <w:shd w:val="clear" w:color="auto" w:fill="auto"/>
            <w:vAlign w:val="bottom"/>
          </w:tcPr>
          <w:p w14:paraId="7E1D8417" w14:textId="77777777" w:rsidR="00AD119D" w:rsidRPr="00973E05" w:rsidRDefault="00AD119D" w:rsidP="005E6CC7">
            <w:pPr>
              <w:spacing w:before="80" w:after="80" w:line="200" w:lineRule="exact"/>
              <w:ind w:right="113"/>
              <w:rPr>
                <w:i/>
                <w:sz w:val="16"/>
              </w:rPr>
            </w:pPr>
            <w:r w:rsidRPr="00973E05">
              <w:rPr>
                <w:i/>
                <w:sz w:val="16"/>
              </w:rPr>
              <w:t>Document symbol</w:t>
            </w:r>
          </w:p>
        </w:tc>
        <w:tc>
          <w:tcPr>
            <w:tcW w:w="1984" w:type="dxa"/>
            <w:tcBorders>
              <w:top w:val="single" w:sz="4" w:space="0" w:color="auto"/>
              <w:bottom w:val="single" w:sz="12" w:space="0" w:color="auto"/>
            </w:tcBorders>
            <w:shd w:val="clear" w:color="auto" w:fill="auto"/>
            <w:vAlign w:val="bottom"/>
          </w:tcPr>
          <w:p w14:paraId="4D61521A" w14:textId="77777777" w:rsidR="00AD119D" w:rsidRPr="00973E05" w:rsidRDefault="00AD119D" w:rsidP="005E6CC7">
            <w:pPr>
              <w:spacing w:before="80" w:after="80" w:line="200" w:lineRule="exact"/>
              <w:ind w:right="113"/>
              <w:rPr>
                <w:i/>
                <w:sz w:val="16"/>
              </w:rPr>
            </w:pPr>
            <w:r w:rsidRPr="00973E05">
              <w:rPr>
                <w:i/>
                <w:sz w:val="16"/>
              </w:rPr>
              <w:t>For information/decision</w:t>
            </w:r>
          </w:p>
        </w:tc>
      </w:tr>
      <w:tr w:rsidR="00AD119D" w:rsidRPr="00973E05" w14:paraId="643F40AB" w14:textId="77777777" w:rsidTr="00AA0D6E">
        <w:trPr>
          <w:trHeight w:hRule="exact" w:val="113"/>
        </w:trPr>
        <w:tc>
          <w:tcPr>
            <w:tcW w:w="2948" w:type="dxa"/>
            <w:tcBorders>
              <w:top w:val="single" w:sz="12" w:space="0" w:color="auto"/>
            </w:tcBorders>
            <w:shd w:val="clear" w:color="auto" w:fill="auto"/>
            <w:vAlign w:val="bottom"/>
          </w:tcPr>
          <w:p w14:paraId="36A579BE" w14:textId="77777777" w:rsidR="00AD119D" w:rsidRPr="00973E05" w:rsidRDefault="00AD119D" w:rsidP="005E6CC7">
            <w:pPr>
              <w:spacing w:before="80" w:after="80" w:line="200" w:lineRule="exact"/>
              <w:ind w:right="113"/>
              <w:rPr>
                <w:i/>
                <w:sz w:val="16"/>
              </w:rPr>
            </w:pPr>
          </w:p>
        </w:tc>
        <w:tc>
          <w:tcPr>
            <w:tcW w:w="2438" w:type="dxa"/>
            <w:tcBorders>
              <w:top w:val="single" w:sz="12" w:space="0" w:color="auto"/>
            </w:tcBorders>
            <w:shd w:val="clear" w:color="auto" w:fill="auto"/>
            <w:vAlign w:val="bottom"/>
          </w:tcPr>
          <w:p w14:paraId="053C40D3" w14:textId="77777777" w:rsidR="00AD119D" w:rsidRPr="00973E05" w:rsidRDefault="00AD119D" w:rsidP="005E6CC7">
            <w:pPr>
              <w:spacing w:before="80" w:after="80" w:line="200" w:lineRule="exact"/>
              <w:ind w:right="113"/>
              <w:rPr>
                <w:i/>
                <w:sz w:val="16"/>
              </w:rPr>
            </w:pPr>
          </w:p>
        </w:tc>
        <w:tc>
          <w:tcPr>
            <w:tcW w:w="1984" w:type="dxa"/>
            <w:tcBorders>
              <w:top w:val="single" w:sz="12" w:space="0" w:color="auto"/>
            </w:tcBorders>
            <w:shd w:val="clear" w:color="auto" w:fill="auto"/>
            <w:vAlign w:val="bottom"/>
          </w:tcPr>
          <w:p w14:paraId="738F871C" w14:textId="77777777" w:rsidR="00AD119D" w:rsidRPr="00973E05" w:rsidRDefault="00AD119D" w:rsidP="005E6CC7">
            <w:pPr>
              <w:spacing w:before="80" w:after="80" w:line="200" w:lineRule="exact"/>
              <w:ind w:right="113"/>
              <w:rPr>
                <w:i/>
                <w:sz w:val="16"/>
              </w:rPr>
            </w:pPr>
          </w:p>
        </w:tc>
      </w:tr>
      <w:tr w:rsidR="00AD119D" w:rsidRPr="00973E05" w14:paraId="6C985E82" w14:textId="77777777" w:rsidTr="00AA0D6E">
        <w:tc>
          <w:tcPr>
            <w:tcW w:w="2948" w:type="dxa"/>
            <w:tcBorders>
              <w:bottom w:val="single" w:sz="12" w:space="0" w:color="auto"/>
            </w:tcBorders>
            <w:shd w:val="clear" w:color="auto" w:fill="auto"/>
          </w:tcPr>
          <w:p w14:paraId="69A0D7EE" w14:textId="4F43B1EE" w:rsidR="00AD119D" w:rsidRPr="00973E05" w:rsidRDefault="00EB45B8" w:rsidP="005E6CC7">
            <w:pPr>
              <w:spacing w:before="40" w:after="120"/>
              <w:ind w:right="113"/>
            </w:pPr>
            <w:r>
              <w:t>L</w:t>
            </w:r>
            <w:r w:rsidR="00313B4A" w:rsidRPr="002C2089">
              <w:t>essons learned from the</w:t>
            </w:r>
            <w:r w:rsidR="00313B4A">
              <w:t xml:space="preserve"> Studies on</w:t>
            </w:r>
            <w:r w:rsidR="00313B4A" w:rsidRPr="002C2089">
              <w:t xml:space="preserve"> Regulatory Barriers to Trade and the Way Forward</w:t>
            </w:r>
            <w:r>
              <w:t xml:space="preserve"> </w:t>
            </w:r>
          </w:p>
        </w:tc>
        <w:tc>
          <w:tcPr>
            <w:tcW w:w="2438" w:type="dxa"/>
            <w:tcBorders>
              <w:bottom w:val="single" w:sz="12" w:space="0" w:color="auto"/>
            </w:tcBorders>
            <w:shd w:val="clear" w:color="auto" w:fill="auto"/>
          </w:tcPr>
          <w:p w14:paraId="5A88B04F" w14:textId="4B8F1306" w:rsidR="00AD119D" w:rsidRPr="00B472F4" w:rsidRDefault="00AD119D" w:rsidP="005E6CC7">
            <w:pPr>
              <w:spacing w:before="40" w:after="120"/>
              <w:ind w:right="113"/>
            </w:pPr>
            <w:r w:rsidRPr="00B472F4">
              <w:t>ECE/CTCS/202</w:t>
            </w:r>
            <w:r w:rsidR="00313B4A" w:rsidRPr="00B472F4">
              <w:t>3</w:t>
            </w:r>
            <w:r w:rsidRPr="00B472F4">
              <w:t>/</w:t>
            </w:r>
            <w:r w:rsidR="00A90D66">
              <w:t>5</w:t>
            </w:r>
          </w:p>
        </w:tc>
        <w:tc>
          <w:tcPr>
            <w:tcW w:w="1984" w:type="dxa"/>
            <w:tcBorders>
              <w:bottom w:val="single" w:sz="12" w:space="0" w:color="auto"/>
            </w:tcBorders>
            <w:shd w:val="clear" w:color="auto" w:fill="auto"/>
          </w:tcPr>
          <w:p w14:paraId="48E0A14A" w14:textId="71B3BE06" w:rsidR="00AD119D" w:rsidRPr="00B472F4" w:rsidRDefault="00774B57" w:rsidP="005E6CC7">
            <w:pPr>
              <w:spacing w:before="40" w:after="120"/>
              <w:ind w:right="113"/>
            </w:pPr>
            <w:r>
              <w:rPr>
                <w:color w:val="000000" w:themeColor="text1"/>
              </w:rPr>
              <w:t>Decision</w:t>
            </w:r>
          </w:p>
        </w:tc>
      </w:tr>
    </w:tbl>
    <w:p w14:paraId="486CBB3B" w14:textId="4FDBA1B2" w:rsidR="00BB3965" w:rsidRPr="00BB3965" w:rsidRDefault="00B867B0" w:rsidP="006C61DE">
      <w:pPr>
        <w:pStyle w:val="SingleTxtG"/>
        <w:spacing w:before="120"/>
      </w:pPr>
      <w:r>
        <w:t>16</w:t>
      </w:r>
      <w:r w:rsidR="006C61DE">
        <w:t>.</w:t>
      </w:r>
      <w:r w:rsidR="006C61DE">
        <w:tab/>
      </w:r>
      <w:r w:rsidR="00C74D98" w:rsidRPr="00C74D98">
        <w:t>The</w:t>
      </w:r>
      <w:r w:rsidR="00C74D98" w:rsidRPr="00C74D98">
        <w:rPr>
          <w:bCs/>
        </w:rPr>
        <w:t xml:space="preserve"> Steering</w:t>
      </w:r>
      <w:r w:rsidR="00C74D98">
        <w:rPr>
          <w:bCs/>
        </w:rPr>
        <w:t xml:space="preserve"> Committee, at its seventh session in 2022, expressed appreciation of the secretariat’s work on Studies on Regulatory and Procedural Barriers to Trade conducted over the years</w:t>
      </w:r>
      <w:r w:rsidR="00B3617A">
        <w:rPr>
          <w:bCs/>
        </w:rPr>
        <w:t xml:space="preserve"> and asked the secretariat to </w:t>
      </w:r>
      <w:r w:rsidR="00963043">
        <w:rPr>
          <w:bCs/>
        </w:rPr>
        <w:t>prepare a fol</w:t>
      </w:r>
      <w:r w:rsidR="00C44B95">
        <w:rPr>
          <w:bCs/>
        </w:rPr>
        <w:t>low-up report on lessons learned from the studies and the way forward (</w:t>
      </w:r>
      <w:r w:rsidR="003929F6" w:rsidRPr="0016441F">
        <w:rPr>
          <w:bCs/>
        </w:rPr>
        <w:t>ECE/CTCS/2022/2</w:t>
      </w:r>
      <w:r w:rsidR="00C44B95">
        <w:rPr>
          <w:bCs/>
        </w:rPr>
        <w:t xml:space="preserve">, </w:t>
      </w:r>
      <w:r w:rsidR="00C44B95" w:rsidRPr="0016441F">
        <w:rPr>
          <w:bCs/>
        </w:rPr>
        <w:t>Decision 2022-10</w:t>
      </w:r>
      <w:r w:rsidR="003929F6" w:rsidRPr="0016441F">
        <w:rPr>
          <w:bCs/>
        </w:rPr>
        <w:t>)</w:t>
      </w:r>
      <w:r w:rsidR="00C44B95">
        <w:rPr>
          <w:bCs/>
        </w:rPr>
        <w:t xml:space="preserve">. </w:t>
      </w:r>
    </w:p>
    <w:p w14:paraId="32A439E9" w14:textId="6206F758" w:rsidR="00DB0FA1" w:rsidRPr="00DB0FA1" w:rsidRDefault="00B867B0" w:rsidP="00FC1D7D">
      <w:pPr>
        <w:pStyle w:val="SingleTxtG"/>
        <w:spacing w:before="120"/>
      </w:pPr>
      <w:r>
        <w:rPr>
          <w:bCs/>
        </w:rPr>
        <w:t>17</w:t>
      </w:r>
      <w:r w:rsidR="006C61DE">
        <w:rPr>
          <w:bCs/>
        </w:rPr>
        <w:t>.</w:t>
      </w:r>
      <w:r w:rsidR="006C61DE">
        <w:rPr>
          <w:bCs/>
        </w:rPr>
        <w:tab/>
      </w:r>
      <w:r w:rsidR="000D7688">
        <w:rPr>
          <w:bCs/>
        </w:rPr>
        <w:t>The</w:t>
      </w:r>
      <w:r w:rsidR="00B23FDC">
        <w:rPr>
          <w:bCs/>
        </w:rPr>
        <w:t xml:space="preserve"> secretariat will present the results of </w:t>
      </w:r>
      <w:r w:rsidR="00BB3965" w:rsidRPr="0016441F">
        <w:t xml:space="preserve">the comprehensive </w:t>
      </w:r>
      <w:r w:rsidR="00E567FA">
        <w:t>review</w:t>
      </w:r>
      <w:r w:rsidR="00E567FA" w:rsidRPr="0016441F">
        <w:t xml:space="preserve"> </w:t>
      </w:r>
      <w:r w:rsidR="00BB3965" w:rsidRPr="0016441F">
        <w:t>of the ECE studies</w:t>
      </w:r>
      <w:r w:rsidR="00B52B9B">
        <w:t xml:space="preserve"> </w:t>
      </w:r>
      <w:r w:rsidR="00D1218B">
        <w:t>that have been undertaken since 2012</w:t>
      </w:r>
      <w:r w:rsidR="002060EA">
        <w:t>. The review will also</w:t>
      </w:r>
      <w:r w:rsidR="00B52B9B">
        <w:t xml:space="preserve"> </w:t>
      </w:r>
      <w:r w:rsidR="009F744F">
        <w:t xml:space="preserve">propose for the consideration </w:t>
      </w:r>
      <w:r w:rsidR="00FD77AD">
        <w:t>member States</w:t>
      </w:r>
      <w:r w:rsidR="00E01E60">
        <w:t xml:space="preserve"> </w:t>
      </w:r>
      <w:r w:rsidR="00987DDA" w:rsidRPr="0016441F">
        <w:rPr>
          <w:bCs/>
        </w:rPr>
        <w:t xml:space="preserve">how to </w:t>
      </w:r>
      <w:r w:rsidR="00987DDA" w:rsidRPr="0016441F">
        <w:t xml:space="preserve">integrate </w:t>
      </w:r>
      <w:r w:rsidR="00D1218B">
        <w:t>new topics</w:t>
      </w:r>
      <w:r w:rsidR="007A1A5E">
        <w:t xml:space="preserve">, including </w:t>
      </w:r>
      <w:r w:rsidR="00E01E60">
        <w:t xml:space="preserve">those </w:t>
      </w:r>
      <w:r w:rsidR="007A1A5E">
        <w:t xml:space="preserve">related to </w:t>
      </w:r>
      <w:r w:rsidR="00E01E60">
        <w:t xml:space="preserve">a </w:t>
      </w:r>
      <w:r w:rsidR="00821B68">
        <w:t>circular economy</w:t>
      </w:r>
      <w:r w:rsidR="00CB793C">
        <w:t xml:space="preserve"> </w:t>
      </w:r>
      <w:r w:rsidR="00821B68">
        <w:t xml:space="preserve">( </w:t>
      </w:r>
      <w:r w:rsidR="0088066B">
        <w:t xml:space="preserve">sixty-ninth </w:t>
      </w:r>
      <w:r w:rsidR="00821B68">
        <w:t xml:space="preserve">session of the Commission) and </w:t>
      </w:r>
      <w:r w:rsidR="00D1218B">
        <w:t>green and</w:t>
      </w:r>
      <w:r w:rsidR="00821B68">
        <w:t xml:space="preserve"> digital transformations ( </w:t>
      </w:r>
      <w:r w:rsidR="00090F47">
        <w:t xml:space="preserve">seventieth </w:t>
      </w:r>
      <w:r w:rsidR="00821B68">
        <w:t xml:space="preserve">session of the Commission), </w:t>
      </w:r>
      <w:r w:rsidR="00987DDA" w:rsidRPr="0016441F">
        <w:t xml:space="preserve">into </w:t>
      </w:r>
      <w:r w:rsidR="00D1218B">
        <w:t>upcoming</w:t>
      </w:r>
      <w:r w:rsidR="00987DDA" w:rsidRPr="0016441F">
        <w:t xml:space="preserve"> </w:t>
      </w:r>
      <w:r w:rsidR="00987DDA">
        <w:t>studies</w:t>
      </w:r>
      <w:r w:rsidR="002D68DB">
        <w:t xml:space="preserve"> with the objective</w:t>
      </w:r>
      <w:r w:rsidR="00987DDA">
        <w:t xml:space="preserve"> </w:t>
      </w:r>
      <w:r w:rsidR="00987DDA" w:rsidRPr="0016441F">
        <w:t xml:space="preserve">to ensure </w:t>
      </w:r>
      <w:r w:rsidR="00CE6546">
        <w:t>ECE transition economies</w:t>
      </w:r>
      <w:r w:rsidR="00987DDA" w:rsidRPr="0016441F">
        <w:t xml:space="preserve"> have effective recourse to address emerging and ever-growing challenges of </w:t>
      </w:r>
      <w:r w:rsidR="00B8337E">
        <w:t>the 2030</w:t>
      </w:r>
      <w:r w:rsidR="00774B57">
        <w:t xml:space="preserve"> Agenda for</w:t>
      </w:r>
      <w:r w:rsidR="00B8337E">
        <w:t xml:space="preserve"> sustainable development</w:t>
      </w:r>
      <w:r w:rsidR="00F1731C">
        <w:t>.</w:t>
      </w:r>
    </w:p>
    <w:p w14:paraId="06F3878A" w14:textId="4DE50696" w:rsidR="00DD0CA0" w:rsidRPr="00CB793C" w:rsidRDefault="00B867B0" w:rsidP="00CB793C">
      <w:pPr>
        <w:pStyle w:val="SingleTxtG"/>
      </w:pPr>
      <w:r>
        <w:t>18</w:t>
      </w:r>
      <w:r w:rsidR="006C61DE">
        <w:t>.</w:t>
      </w:r>
      <w:r w:rsidR="006C61DE">
        <w:tab/>
      </w:r>
      <w:r w:rsidR="00DD0CA0" w:rsidRPr="0016441F">
        <w:t xml:space="preserve">Delegates from countries where ECE </w:t>
      </w:r>
      <w:r w:rsidR="00DD0CA0" w:rsidRPr="0092087B">
        <w:t>Studies on Regulatory and Procedural Barriers to Trade</w:t>
      </w:r>
      <w:r w:rsidR="00DD0CA0" w:rsidRPr="0016441F">
        <w:t xml:space="preserve"> were undertaken will </w:t>
      </w:r>
      <w:r w:rsidR="00F1731C">
        <w:t xml:space="preserve">have an opportunity to </w:t>
      </w:r>
      <w:r w:rsidR="00DD0CA0" w:rsidRPr="0016441F">
        <w:t>inform the Steering Committee about ongoing and planned follow-up activities</w:t>
      </w:r>
      <w:r w:rsidR="003E60B5">
        <w:t xml:space="preserve"> </w:t>
      </w:r>
      <w:r w:rsidR="00DD0CA0" w:rsidRPr="0016441F">
        <w:t>related to implementing the recommendations emerging from the</w:t>
      </w:r>
      <w:r w:rsidR="003E60B5">
        <w:t xml:space="preserve"> ECE</w:t>
      </w:r>
      <w:r w:rsidR="00DD0CA0" w:rsidRPr="0016441F">
        <w:t xml:space="preserve"> </w:t>
      </w:r>
      <w:r w:rsidR="003E60B5">
        <w:t>s</w:t>
      </w:r>
      <w:r w:rsidR="00DD0CA0" w:rsidRPr="0016441F">
        <w:t>tudies</w:t>
      </w:r>
      <w:r w:rsidR="003E60B5">
        <w:t>.</w:t>
      </w:r>
    </w:p>
    <w:p w14:paraId="36B36E7C" w14:textId="1A256744" w:rsidR="000B554E" w:rsidRDefault="000B554E" w:rsidP="000B554E">
      <w:pPr>
        <w:pStyle w:val="H1G"/>
      </w:pPr>
      <w:r>
        <w:tab/>
      </w:r>
      <w:r>
        <w:tab/>
      </w:r>
      <w:r w:rsidRPr="00973E05">
        <w:t xml:space="preserve">Item </w:t>
      </w:r>
      <w:r w:rsidR="00586C54">
        <w:t>8</w:t>
      </w:r>
      <w:r w:rsidRPr="00973E05">
        <w:t xml:space="preserve">. </w:t>
      </w:r>
      <w:r>
        <w:t xml:space="preserve">Integrating circular economy </w:t>
      </w:r>
      <w:r w:rsidR="00576880">
        <w:t xml:space="preserve">considerations </w:t>
      </w:r>
      <w:r>
        <w:t xml:space="preserve">into </w:t>
      </w:r>
      <w:r w:rsidRPr="006B2BFF">
        <w:t>Studies on Regulatory and Procedural Barriers to Trade</w:t>
      </w:r>
    </w:p>
    <w:p w14:paraId="1F7D952A" w14:textId="77777777" w:rsidR="002F250C" w:rsidRPr="002F250C" w:rsidRDefault="002F250C" w:rsidP="002F250C"/>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2438"/>
        <w:gridCol w:w="1984"/>
      </w:tblGrid>
      <w:tr w:rsidR="000B554E" w:rsidRPr="00973E05" w14:paraId="6B9FE5F0" w14:textId="77777777" w:rsidTr="00543DBC">
        <w:tc>
          <w:tcPr>
            <w:tcW w:w="2948" w:type="dxa"/>
            <w:tcBorders>
              <w:top w:val="single" w:sz="4" w:space="0" w:color="auto"/>
              <w:bottom w:val="single" w:sz="12" w:space="0" w:color="auto"/>
            </w:tcBorders>
            <w:shd w:val="clear" w:color="auto" w:fill="auto"/>
            <w:vAlign w:val="bottom"/>
          </w:tcPr>
          <w:p w14:paraId="39C0324E" w14:textId="77777777" w:rsidR="000B554E" w:rsidRPr="00973E05" w:rsidRDefault="000B554E" w:rsidP="00543DBC">
            <w:pPr>
              <w:spacing w:before="80" w:after="80" w:line="200" w:lineRule="exact"/>
              <w:ind w:right="113"/>
              <w:rPr>
                <w:i/>
                <w:sz w:val="16"/>
              </w:rPr>
            </w:pPr>
            <w:r w:rsidRPr="00973E05">
              <w:rPr>
                <w:i/>
                <w:sz w:val="16"/>
              </w:rPr>
              <w:t>Title of document</w:t>
            </w:r>
          </w:p>
        </w:tc>
        <w:tc>
          <w:tcPr>
            <w:tcW w:w="2438" w:type="dxa"/>
            <w:tcBorders>
              <w:top w:val="single" w:sz="4" w:space="0" w:color="auto"/>
              <w:bottom w:val="single" w:sz="12" w:space="0" w:color="auto"/>
            </w:tcBorders>
            <w:shd w:val="clear" w:color="auto" w:fill="auto"/>
            <w:vAlign w:val="bottom"/>
          </w:tcPr>
          <w:p w14:paraId="1D56B24E" w14:textId="77777777" w:rsidR="000B554E" w:rsidRPr="00973E05" w:rsidRDefault="000B554E" w:rsidP="00543DBC">
            <w:pPr>
              <w:spacing w:before="80" w:after="80" w:line="200" w:lineRule="exact"/>
              <w:ind w:right="113"/>
              <w:rPr>
                <w:i/>
                <w:sz w:val="16"/>
              </w:rPr>
            </w:pPr>
            <w:r w:rsidRPr="00973E05">
              <w:rPr>
                <w:i/>
                <w:sz w:val="16"/>
              </w:rPr>
              <w:t>Document symbol</w:t>
            </w:r>
          </w:p>
        </w:tc>
        <w:tc>
          <w:tcPr>
            <w:tcW w:w="1984" w:type="dxa"/>
            <w:tcBorders>
              <w:top w:val="single" w:sz="4" w:space="0" w:color="auto"/>
              <w:bottom w:val="single" w:sz="12" w:space="0" w:color="auto"/>
            </w:tcBorders>
            <w:shd w:val="clear" w:color="auto" w:fill="auto"/>
            <w:vAlign w:val="bottom"/>
          </w:tcPr>
          <w:p w14:paraId="22031741" w14:textId="77777777" w:rsidR="000B554E" w:rsidRPr="00973E05" w:rsidRDefault="000B554E" w:rsidP="00543DBC">
            <w:pPr>
              <w:spacing w:before="80" w:after="80" w:line="200" w:lineRule="exact"/>
              <w:ind w:right="113"/>
              <w:rPr>
                <w:i/>
                <w:sz w:val="16"/>
              </w:rPr>
            </w:pPr>
            <w:r w:rsidRPr="00973E05">
              <w:rPr>
                <w:i/>
                <w:sz w:val="16"/>
              </w:rPr>
              <w:t>For information/decision</w:t>
            </w:r>
          </w:p>
        </w:tc>
      </w:tr>
      <w:tr w:rsidR="000B554E" w:rsidRPr="00973E05" w14:paraId="5C52B68A" w14:textId="77777777" w:rsidTr="00543DBC">
        <w:trPr>
          <w:trHeight w:hRule="exact" w:val="113"/>
        </w:trPr>
        <w:tc>
          <w:tcPr>
            <w:tcW w:w="2948" w:type="dxa"/>
            <w:tcBorders>
              <w:top w:val="single" w:sz="12" w:space="0" w:color="auto"/>
            </w:tcBorders>
            <w:shd w:val="clear" w:color="auto" w:fill="auto"/>
            <w:vAlign w:val="bottom"/>
          </w:tcPr>
          <w:p w14:paraId="70451368" w14:textId="77777777" w:rsidR="000B554E" w:rsidRPr="00973E05" w:rsidRDefault="000B554E" w:rsidP="00543DBC">
            <w:pPr>
              <w:spacing w:before="80" w:after="80" w:line="200" w:lineRule="exact"/>
              <w:ind w:right="113"/>
              <w:rPr>
                <w:i/>
                <w:sz w:val="16"/>
              </w:rPr>
            </w:pPr>
          </w:p>
        </w:tc>
        <w:tc>
          <w:tcPr>
            <w:tcW w:w="2438" w:type="dxa"/>
            <w:tcBorders>
              <w:top w:val="single" w:sz="12" w:space="0" w:color="auto"/>
            </w:tcBorders>
            <w:shd w:val="clear" w:color="auto" w:fill="auto"/>
            <w:vAlign w:val="bottom"/>
          </w:tcPr>
          <w:p w14:paraId="25067A4A" w14:textId="77777777" w:rsidR="000B554E" w:rsidRPr="00973E05" w:rsidRDefault="000B554E" w:rsidP="00543DBC">
            <w:pPr>
              <w:spacing w:before="80" w:after="80" w:line="200" w:lineRule="exact"/>
              <w:ind w:right="113"/>
              <w:rPr>
                <w:i/>
                <w:sz w:val="16"/>
              </w:rPr>
            </w:pPr>
          </w:p>
        </w:tc>
        <w:tc>
          <w:tcPr>
            <w:tcW w:w="1984" w:type="dxa"/>
            <w:tcBorders>
              <w:top w:val="single" w:sz="12" w:space="0" w:color="auto"/>
            </w:tcBorders>
            <w:shd w:val="clear" w:color="auto" w:fill="auto"/>
            <w:vAlign w:val="bottom"/>
          </w:tcPr>
          <w:p w14:paraId="048E25F4" w14:textId="77777777" w:rsidR="000B554E" w:rsidRPr="00973E05" w:rsidRDefault="000B554E" w:rsidP="00543DBC">
            <w:pPr>
              <w:spacing w:before="80" w:after="80" w:line="200" w:lineRule="exact"/>
              <w:ind w:right="113"/>
              <w:rPr>
                <w:i/>
                <w:sz w:val="16"/>
              </w:rPr>
            </w:pPr>
          </w:p>
        </w:tc>
      </w:tr>
      <w:tr w:rsidR="000B554E" w:rsidRPr="00973E05" w14:paraId="47693A33" w14:textId="77777777" w:rsidTr="00543DBC">
        <w:tc>
          <w:tcPr>
            <w:tcW w:w="2948" w:type="dxa"/>
            <w:tcBorders>
              <w:bottom w:val="single" w:sz="12" w:space="0" w:color="auto"/>
            </w:tcBorders>
            <w:shd w:val="clear" w:color="auto" w:fill="auto"/>
          </w:tcPr>
          <w:p w14:paraId="6C31AF1C" w14:textId="03A70774" w:rsidR="000B554E" w:rsidRPr="00973E05" w:rsidRDefault="000E1F29" w:rsidP="00543DBC">
            <w:pPr>
              <w:spacing w:before="40" w:after="120"/>
              <w:ind w:right="113"/>
            </w:pPr>
            <w:r>
              <w:lastRenderedPageBreak/>
              <w:t xml:space="preserve">Integrating circular economy </w:t>
            </w:r>
            <w:r w:rsidR="006E7F9F">
              <w:t>considerations</w:t>
            </w:r>
            <w:r>
              <w:t xml:space="preserve"> into S</w:t>
            </w:r>
            <w:r w:rsidRPr="00E249E3">
              <w:t xml:space="preserve">tudies on </w:t>
            </w:r>
            <w:r>
              <w:t>R</w:t>
            </w:r>
            <w:r w:rsidRPr="00E249E3">
              <w:t xml:space="preserve">egulatory and </w:t>
            </w:r>
            <w:r>
              <w:t>P</w:t>
            </w:r>
            <w:r w:rsidRPr="00E249E3">
              <w:t xml:space="preserve">rocedural </w:t>
            </w:r>
            <w:r>
              <w:t>B</w:t>
            </w:r>
            <w:r w:rsidRPr="00E249E3">
              <w:t xml:space="preserve">arriers to </w:t>
            </w:r>
            <w:r>
              <w:t>T</w:t>
            </w:r>
            <w:r w:rsidRPr="00E249E3">
              <w:t>rade</w:t>
            </w:r>
            <w:r w:rsidRPr="00FF7690">
              <w:t xml:space="preserve"> </w:t>
            </w:r>
          </w:p>
        </w:tc>
        <w:tc>
          <w:tcPr>
            <w:tcW w:w="2438" w:type="dxa"/>
            <w:tcBorders>
              <w:bottom w:val="single" w:sz="12" w:space="0" w:color="auto"/>
            </w:tcBorders>
            <w:shd w:val="clear" w:color="auto" w:fill="auto"/>
          </w:tcPr>
          <w:p w14:paraId="4917C35A" w14:textId="65BB4586" w:rsidR="000B554E" w:rsidRPr="00973E05" w:rsidRDefault="000B554E" w:rsidP="00543DBC">
            <w:pPr>
              <w:spacing w:before="40" w:after="120"/>
              <w:ind w:right="113"/>
            </w:pPr>
            <w:r w:rsidRPr="00973E05">
              <w:t>ECE/CTCS/202</w:t>
            </w:r>
            <w:r w:rsidR="00B078A1">
              <w:t>3</w:t>
            </w:r>
            <w:r w:rsidRPr="00973E05">
              <w:t>/</w:t>
            </w:r>
            <w:r w:rsidR="00A90D66">
              <w:t>6</w:t>
            </w:r>
          </w:p>
        </w:tc>
        <w:tc>
          <w:tcPr>
            <w:tcW w:w="1984" w:type="dxa"/>
            <w:tcBorders>
              <w:bottom w:val="single" w:sz="12" w:space="0" w:color="auto"/>
            </w:tcBorders>
            <w:shd w:val="clear" w:color="auto" w:fill="auto"/>
          </w:tcPr>
          <w:p w14:paraId="2FAE290A" w14:textId="23808769" w:rsidR="000B554E" w:rsidRPr="00973E05" w:rsidRDefault="00774B57" w:rsidP="00543DBC">
            <w:pPr>
              <w:spacing w:before="40" w:after="120"/>
              <w:ind w:right="113"/>
            </w:pPr>
            <w:r>
              <w:rPr>
                <w:color w:val="000000" w:themeColor="text1"/>
              </w:rPr>
              <w:t>Decision</w:t>
            </w:r>
          </w:p>
        </w:tc>
      </w:tr>
    </w:tbl>
    <w:p w14:paraId="17750A3F" w14:textId="27F74AE9" w:rsidR="00FF1799" w:rsidRPr="00C45228" w:rsidRDefault="00586C54" w:rsidP="004C3931">
      <w:pPr>
        <w:pStyle w:val="SingleTxtG"/>
        <w:spacing w:before="120"/>
      </w:pPr>
      <w:r>
        <w:t>19</w:t>
      </w:r>
      <w:r w:rsidR="004C3931">
        <w:t>.</w:t>
      </w:r>
      <w:r w:rsidR="004C3931">
        <w:tab/>
      </w:r>
      <w:r w:rsidR="00824E49" w:rsidRPr="00FF1799">
        <w:t>The</w:t>
      </w:r>
      <w:r w:rsidR="00824E49" w:rsidRPr="00FF1799">
        <w:rPr>
          <w:bCs/>
        </w:rPr>
        <w:t xml:space="preserve"> Steering Committee, at its seventh session in 2022, expressed appreciation of the secretariat’s work on circular economy and the sustainable use of natural resources (ECE/CTCS/2022/2, Decision 2022-02) and</w:t>
      </w:r>
      <w:r w:rsidR="008232D0" w:rsidRPr="00FF1799">
        <w:rPr>
          <w:bCs/>
        </w:rPr>
        <w:t xml:space="preserve"> requested </w:t>
      </w:r>
      <w:r w:rsidR="003E1A15" w:rsidRPr="00FF1799">
        <w:rPr>
          <w:bCs/>
        </w:rPr>
        <w:t xml:space="preserve">to explore the possibility of integrating </w:t>
      </w:r>
      <w:r w:rsidR="007D0E77" w:rsidRPr="00FF1799">
        <w:rPr>
          <w:bCs/>
        </w:rPr>
        <w:t xml:space="preserve">circular economy considerations into the ECE Studies on Regulatory and </w:t>
      </w:r>
      <w:r w:rsidR="007D0E77" w:rsidRPr="00C45228">
        <w:rPr>
          <w:bCs/>
        </w:rPr>
        <w:t xml:space="preserve">Procedural Barriers to Trade </w:t>
      </w:r>
      <w:r w:rsidR="00E96E0F" w:rsidRPr="00C45228">
        <w:rPr>
          <w:bCs/>
        </w:rPr>
        <w:t>(ECE/CTCS/2022/2, Decision 2022-11)</w:t>
      </w:r>
      <w:r w:rsidR="007D0E77" w:rsidRPr="00C45228">
        <w:rPr>
          <w:bCs/>
        </w:rPr>
        <w:t xml:space="preserve">.  </w:t>
      </w:r>
      <w:r w:rsidR="00824E49" w:rsidRPr="00C45228">
        <w:rPr>
          <w:bCs/>
        </w:rPr>
        <w:t xml:space="preserve">  </w:t>
      </w:r>
    </w:p>
    <w:p w14:paraId="155F861B" w14:textId="19709619" w:rsidR="00E72FF2" w:rsidRPr="00C45228" w:rsidRDefault="00C45228" w:rsidP="004C3931">
      <w:pPr>
        <w:pStyle w:val="SingleTxtG"/>
        <w:spacing w:before="120"/>
      </w:pPr>
      <w:r w:rsidRPr="00CE3DA2">
        <w:rPr>
          <w:bCs/>
        </w:rPr>
        <w:t>20</w:t>
      </w:r>
      <w:r w:rsidR="004C3931" w:rsidRPr="00CE3DA2">
        <w:rPr>
          <w:bCs/>
        </w:rPr>
        <w:t>.</w:t>
      </w:r>
      <w:r w:rsidR="004C3931" w:rsidRPr="00CE3DA2">
        <w:rPr>
          <w:bCs/>
        </w:rPr>
        <w:tab/>
      </w:r>
      <w:r w:rsidR="00FF1799" w:rsidRPr="00CE3DA2">
        <w:rPr>
          <w:bCs/>
        </w:rPr>
        <w:t xml:space="preserve">Responding to this request, </w:t>
      </w:r>
      <w:r w:rsidR="00FF1799" w:rsidRPr="00CE3DA2">
        <w:t>the secretariat will present</w:t>
      </w:r>
      <w:r w:rsidR="00E72FF2" w:rsidRPr="00CE3DA2">
        <w:t xml:space="preserve"> </w:t>
      </w:r>
      <w:r w:rsidR="001A11B2" w:rsidRPr="00CE3DA2">
        <w:t xml:space="preserve">a proposal containing </w:t>
      </w:r>
      <w:r w:rsidR="00E72FF2" w:rsidRPr="00CE3DA2">
        <w:t xml:space="preserve">options </w:t>
      </w:r>
      <w:r w:rsidR="001A11B2" w:rsidRPr="00CE3DA2">
        <w:t>on</w:t>
      </w:r>
      <w:r w:rsidR="00E72FF2" w:rsidRPr="00CE3DA2">
        <w:t xml:space="preserve"> how to integrate circular economy </w:t>
      </w:r>
      <w:r w:rsidR="000800EF" w:rsidRPr="00CE3DA2">
        <w:t xml:space="preserve">considerations </w:t>
      </w:r>
      <w:r w:rsidR="00E72FF2" w:rsidRPr="00CE3DA2">
        <w:t>into</w:t>
      </w:r>
      <w:r w:rsidR="0078786E" w:rsidRPr="00CE3DA2">
        <w:t xml:space="preserve"> </w:t>
      </w:r>
      <w:r w:rsidR="00480D73" w:rsidRPr="00CE3DA2">
        <w:t>deman</w:t>
      </w:r>
      <w:r w:rsidR="00665E4C" w:rsidRPr="00CE3DA2">
        <w:t xml:space="preserve">d-driven </w:t>
      </w:r>
      <w:r w:rsidR="00FF1799" w:rsidRPr="00CE3DA2">
        <w:t>Studies</w:t>
      </w:r>
      <w:r w:rsidR="00E72FF2" w:rsidRPr="00CE3DA2">
        <w:t>.</w:t>
      </w:r>
      <w:r w:rsidR="00FF1799" w:rsidRPr="00CE3DA2">
        <w:t xml:space="preserve"> </w:t>
      </w:r>
      <w:r w:rsidR="00E72FF2" w:rsidRPr="00CE3DA2">
        <w:t xml:space="preserve">It offers a set of </w:t>
      </w:r>
      <w:r w:rsidR="00DE4EED" w:rsidRPr="00CE3DA2">
        <w:t>approaches</w:t>
      </w:r>
      <w:r w:rsidR="00E72FF2" w:rsidRPr="00CE3DA2">
        <w:t xml:space="preserve"> </w:t>
      </w:r>
      <w:r w:rsidR="00FC4EB0" w:rsidRPr="00CE3DA2">
        <w:t>that</w:t>
      </w:r>
      <w:r w:rsidR="00E72FF2" w:rsidRPr="00CE3DA2">
        <w:t xml:space="preserve"> might help </w:t>
      </w:r>
      <w:r w:rsidR="00CB388F" w:rsidRPr="00CE3DA2">
        <w:t xml:space="preserve">enhance </w:t>
      </w:r>
      <w:r w:rsidR="00E72FF2" w:rsidRPr="00CE3DA2">
        <w:t xml:space="preserve">policy coherence in </w:t>
      </w:r>
      <w:r w:rsidR="00943D70" w:rsidRPr="00CE3DA2">
        <w:t>regulatory cooperation</w:t>
      </w:r>
      <w:r w:rsidR="00E72FF2" w:rsidRPr="00CE3DA2">
        <w:t xml:space="preserve"> and standard</w:t>
      </w:r>
      <w:r w:rsidR="00943D70" w:rsidRPr="00CE3DA2">
        <w:t>isation policies</w:t>
      </w:r>
      <w:r w:rsidR="00E72FF2" w:rsidRPr="00CE3DA2">
        <w:t xml:space="preserve"> </w:t>
      </w:r>
      <w:r w:rsidR="00723187" w:rsidRPr="00CE3DA2">
        <w:t xml:space="preserve">when </w:t>
      </w:r>
      <w:r w:rsidR="00E72FF2" w:rsidRPr="00CE3DA2">
        <w:t>fostering a circular economy transition.</w:t>
      </w:r>
    </w:p>
    <w:p w14:paraId="01617C58" w14:textId="628A76DD" w:rsidR="000B554E" w:rsidRDefault="009F563E" w:rsidP="0099547C">
      <w:pPr>
        <w:pStyle w:val="H1G"/>
      </w:pPr>
      <w:r w:rsidRPr="00C45228">
        <w:tab/>
      </w:r>
      <w:r w:rsidRPr="00C45228">
        <w:tab/>
      </w:r>
      <w:r w:rsidR="000B554E" w:rsidRPr="00C45228">
        <w:t xml:space="preserve">Item </w:t>
      </w:r>
      <w:r w:rsidR="00C45228">
        <w:t>9</w:t>
      </w:r>
      <w:r w:rsidR="000B554E" w:rsidRPr="00C45228">
        <w:t xml:space="preserve">. </w:t>
      </w:r>
      <w:r w:rsidR="00D925BC" w:rsidRPr="00C45228">
        <w:t xml:space="preserve">Integrating digital economy </w:t>
      </w:r>
      <w:r w:rsidR="00D925BC" w:rsidRPr="00CE3DA2">
        <w:t>considerations</w:t>
      </w:r>
      <w:r w:rsidR="00D925BC" w:rsidRPr="00C45228">
        <w:t xml:space="preserve"> into Studies on Regulatory and Procedural Barriers to Trade</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2438"/>
        <w:gridCol w:w="1984"/>
      </w:tblGrid>
      <w:tr w:rsidR="000B554E" w:rsidRPr="00973E05" w14:paraId="2F330A74" w14:textId="77777777" w:rsidTr="00543DBC">
        <w:tc>
          <w:tcPr>
            <w:tcW w:w="2948" w:type="dxa"/>
            <w:tcBorders>
              <w:top w:val="single" w:sz="4" w:space="0" w:color="auto"/>
              <w:bottom w:val="single" w:sz="12" w:space="0" w:color="auto"/>
            </w:tcBorders>
            <w:shd w:val="clear" w:color="auto" w:fill="auto"/>
            <w:vAlign w:val="bottom"/>
          </w:tcPr>
          <w:p w14:paraId="2AEAA101" w14:textId="77777777" w:rsidR="000B554E" w:rsidRPr="00973E05" w:rsidRDefault="000B554E" w:rsidP="00543DBC">
            <w:pPr>
              <w:spacing w:before="80" w:after="80" w:line="200" w:lineRule="exact"/>
              <w:ind w:right="113"/>
              <w:rPr>
                <w:i/>
                <w:sz w:val="16"/>
              </w:rPr>
            </w:pPr>
            <w:r w:rsidRPr="00973E05">
              <w:rPr>
                <w:i/>
                <w:sz w:val="16"/>
              </w:rPr>
              <w:t>Title of document</w:t>
            </w:r>
          </w:p>
        </w:tc>
        <w:tc>
          <w:tcPr>
            <w:tcW w:w="2438" w:type="dxa"/>
            <w:tcBorders>
              <w:top w:val="single" w:sz="4" w:space="0" w:color="auto"/>
              <w:bottom w:val="single" w:sz="12" w:space="0" w:color="auto"/>
            </w:tcBorders>
            <w:shd w:val="clear" w:color="auto" w:fill="auto"/>
            <w:vAlign w:val="bottom"/>
          </w:tcPr>
          <w:p w14:paraId="062F5B1D" w14:textId="77777777" w:rsidR="000B554E" w:rsidRPr="00973E05" w:rsidRDefault="000B554E" w:rsidP="00543DBC">
            <w:pPr>
              <w:spacing w:before="80" w:after="80" w:line="200" w:lineRule="exact"/>
              <w:ind w:right="113"/>
              <w:rPr>
                <w:i/>
                <w:sz w:val="16"/>
              </w:rPr>
            </w:pPr>
            <w:r w:rsidRPr="00973E05">
              <w:rPr>
                <w:i/>
                <w:sz w:val="16"/>
              </w:rPr>
              <w:t>Document symbol</w:t>
            </w:r>
          </w:p>
        </w:tc>
        <w:tc>
          <w:tcPr>
            <w:tcW w:w="1984" w:type="dxa"/>
            <w:tcBorders>
              <w:top w:val="single" w:sz="4" w:space="0" w:color="auto"/>
              <w:bottom w:val="single" w:sz="12" w:space="0" w:color="auto"/>
            </w:tcBorders>
            <w:shd w:val="clear" w:color="auto" w:fill="auto"/>
            <w:vAlign w:val="bottom"/>
          </w:tcPr>
          <w:p w14:paraId="61C72067" w14:textId="77777777" w:rsidR="000B554E" w:rsidRPr="00973E05" w:rsidRDefault="000B554E" w:rsidP="00543DBC">
            <w:pPr>
              <w:spacing w:before="80" w:after="80" w:line="200" w:lineRule="exact"/>
              <w:ind w:right="113"/>
              <w:rPr>
                <w:i/>
                <w:sz w:val="16"/>
              </w:rPr>
            </w:pPr>
            <w:r w:rsidRPr="00973E05">
              <w:rPr>
                <w:i/>
                <w:sz w:val="16"/>
              </w:rPr>
              <w:t>For information/decision</w:t>
            </w:r>
          </w:p>
        </w:tc>
      </w:tr>
      <w:tr w:rsidR="000B554E" w:rsidRPr="00973E05" w14:paraId="1652FC0C" w14:textId="77777777" w:rsidTr="00543DBC">
        <w:trPr>
          <w:trHeight w:hRule="exact" w:val="113"/>
        </w:trPr>
        <w:tc>
          <w:tcPr>
            <w:tcW w:w="2948" w:type="dxa"/>
            <w:tcBorders>
              <w:top w:val="single" w:sz="12" w:space="0" w:color="auto"/>
            </w:tcBorders>
            <w:shd w:val="clear" w:color="auto" w:fill="auto"/>
            <w:vAlign w:val="bottom"/>
          </w:tcPr>
          <w:p w14:paraId="5424C15B" w14:textId="77777777" w:rsidR="000B554E" w:rsidRPr="00973E05" w:rsidRDefault="000B554E" w:rsidP="00543DBC">
            <w:pPr>
              <w:spacing w:before="80" w:after="80" w:line="200" w:lineRule="exact"/>
              <w:ind w:right="113"/>
              <w:rPr>
                <w:i/>
                <w:sz w:val="16"/>
              </w:rPr>
            </w:pPr>
          </w:p>
        </w:tc>
        <w:tc>
          <w:tcPr>
            <w:tcW w:w="2438" w:type="dxa"/>
            <w:tcBorders>
              <w:top w:val="single" w:sz="12" w:space="0" w:color="auto"/>
            </w:tcBorders>
            <w:shd w:val="clear" w:color="auto" w:fill="auto"/>
            <w:vAlign w:val="bottom"/>
          </w:tcPr>
          <w:p w14:paraId="211AA943" w14:textId="77777777" w:rsidR="000B554E" w:rsidRPr="00973E05" w:rsidRDefault="000B554E" w:rsidP="00543DBC">
            <w:pPr>
              <w:spacing w:before="80" w:after="80" w:line="200" w:lineRule="exact"/>
              <w:ind w:right="113"/>
              <w:rPr>
                <w:i/>
                <w:sz w:val="16"/>
              </w:rPr>
            </w:pPr>
          </w:p>
        </w:tc>
        <w:tc>
          <w:tcPr>
            <w:tcW w:w="1984" w:type="dxa"/>
            <w:tcBorders>
              <w:top w:val="single" w:sz="12" w:space="0" w:color="auto"/>
            </w:tcBorders>
            <w:shd w:val="clear" w:color="auto" w:fill="auto"/>
            <w:vAlign w:val="bottom"/>
          </w:tcPr>
          <w:p w14:paraId="16DC23B8" w14:textId="77777777" w:rsidR="000B554E" w:rsidRPr="00973E05" w:rsidRDefault="000B554E" w:rsidP="00543DBC">
            <w:pPr>
              <w:spacing w:before="80" w:after="80" w:line="200" w:lineRule="exact"/>
              <w:ind w:right="113"/>
              <w:rPr>
                <w:i/>
                <w:sz w:val="16"/>
              </w:rPr>
            </w:pPr>
          </w:p>
        </w:tc>
      </w:tr>
      <w:tr w:rsidR="000B554E" w:rsidRPr="00973E05" w14:paraId="5092CF5F" w14:textId="77777777" w:rsidTr="00543DBC">
        <w:tc>
          <w:tcPr>
            <w:tcW w:w="2948" w:type="dxa"/>
            <w:tcBorders>
              <w:bottom w:val="single" w:sz="12" w:space="0" w:color="auto"/>
            </w:tcBorders>
            <w:shd w:val="clear" w:color="auto" w:fill="auto"/>
          </w:tcPr>
          <w:p w14:paraId="089C26AA" w14:textId="2CDD7E54" w:rsidR="000B554E" w:rsidRPr="00973E05" w:rsidRDefault="006E7F9F" w:rsidP="00543DBC">
            <w:pPr>
              <w:spacing w:before="40" w:after="120"/>
              <w:ind w:right="113"/>
            </w:pPr>
            <w:r w:rsidRPr="006E7F9F">
              <w:t>Integrating digital economy considerations into Studies on Regulatory and Procedural Barriers to Trade</w:t>
            </w:r>
            <w:r>
              <w:t xml:space="preserve"> </w:t>
            </w:r>
          </w:p>
        </w:tc>
        <w:tc>
          <w:tcPr>
            <w:tcW w:w="2438" w:type="dxa"/>
            <w:tcBorders>
              <w:bottom w:val="single" w:sz="12" w:space="0" w:color="auto"/>
            </w:tcBorders>
            <w:shd w:val="clear" w:color="auto" w:fill="auto"/>
          </w:tcPr>
          <w:p w14:paraId="6983F41D" w14:textId="5055EC7D" w:rsidR="000B554E" w:rsidRPr="00973E05" w:rsidRDefault="000B554E" w:rsidP="00543DBC">
            <w:pPr>
              <w:spacing w:before="40" w:after="120"/>
              <w:ind w:right="113"/>
            </w:pPr>
            <w:r w:rsidRPr="00973E05">
              <w:t>ECE/CTCS/202</w:t>
            </w:r>
            <w:r w:rsidR="007A6069">
              <w:t>3</w:t>
            </w:r>
            <w:r w:rsidRPr="00973E05">
              <w:t>/</w:t>
            </w:r>
            <w:r w:rsidR="007A6069">
              <w:t>7</w:t>
            </w:r>
          </w:p>
        </w:tc>
        <w:tc>
          <w:tcPr>
            <w:tcW w:w="1984" w:type="dxa"/>
            <w:tcBorders>
              <w:bottom w:val="single" w:sz="12" w:space="0" w:color="auto"/>
            </w:tcBorders>
            <w:shd w:val="clear" w:color="auto" w:fill="auto"/>
          </w:tcPr>
          <w:p w14:paraId="0638EAC2" w14:textId="6DA9E24B" w:rsidR="000B554E" w:rsidRPr="00090786" w:rsidRDefault="000355AD" w:rsidP="00543DBC">
            <w:pPr>
              <w:spacing w:before="40" w:after="120"/>
              <w:ind w:right="113"/>
              <w:rPr>
                <w:highlight w:val="yellow"/>
              </w:rPr>
            </w:pPr>
            <w:r w:rsidRPr="000355AD">
              <w:rPr>
                <w:color w:val="000000" w:themeColor="text1"/>
              </w:rPr>
              <w:t>Decision</w:t>
            </w:r>
          </w:p>
        </w:tc>
      </w:tr>
    </w:tbl>
    <w:p w14:paraId="430F4E1D" w14:textId="2B70E060" w:rsidR="006C248F" w:rsidRPr="006C248F" w:rsidRDefault="00C45228" w:rsidP="004C3931">
      <w:pPr>
        <w:pStyle w:val="SingleTxtG"/>
        <w:spacing w:before="120"/>
      </w:pPr>
      <w:r>
        <w:t>21</w:t>
      </w:r>
      <w:r w:rsidR="004C3931">
        <w:t>.</w:t>
      </w:r>
      <w:r w:rsidR="004C3931">
        <w:tab/>
      </w:r>
      <w:r w:rsidR="00C665B3">
        <w:t>A</w:t>
      </w:r>
      <w:r w:rsidR="00C665B3" w:rsidRPr="00C665B3">
        <w:t xml:space="preserve">t </w:t>
      </w:r>
      <w:r w:rsidR="00C665B3">
        <w:t xml:space="preserve">the </w:t>
      </w:r>
      <w:r w:rsidR="00C665B3" w:rsidRPr="00C665B3">
        <w:t xml:space="preserve">seventh session </w:t>
      </w:r>
      <w:r w:rsidR="00C665B3">
        <w:t xml:space="preserve">of the Steering Committee </w:t>
      </w:r>
      <w:r w:rsidR="00C665B3" w:rsidRPr="00C665B3">
        <w:t xml:space="preserve">in 2022, several member States expressed their capacity-building needs regarding the issues related to digital trade in the context of the ECE </w:t>
      </w:r>
      <w:r w:rsidR="00E61BBF">
        <w:t>S</w:t>
      </w:r>
      <w:r w:rsidR="00C665B3" w:rsidRPr="00C665B3">
        <w:t>tudies on Regulatory and Procedural Barriers to Trade</w:t>
      </w:r>
      <w:r w:rsidR="00E61BBF">
        <w:t>.</w:t>
      </w:r>
      <w:r w:rsidR="009B4289">
        <w:t xml:space="preserve"> Responding to these requests</w:t>
      </w:r>
      <w:r w:rsidR="00D76DE9">
        <w:t>,</w:t>
      </w:r>
      <w:r w:rsidR="009B4289">
        <w:t xml:space="preserve"> and also in line with</w:t>
      </w:r>
      <w:r w:rsidR="00E61BBF">
        <w:t xml:space="preserve"> </w:t>
      </w:r>
      <w:r w:rsidR="006C248F" w:rsidRPr="006C248F">
        <w:t>the topic of</w:t>
      </w:r>
      <w:r w:rsidR="009B4289">
        <w:t xml:space="preserve"> the </w:t>
      </w:r>
      <w:r w:rsidR="001E57B5">
        <w:t xml:space="preserve">seventieth </w:t>
      </w:r>
      <w:r w:rsidR="009B4289">
        <w:t>session of the Commission on</w:t>
      </w:r>
      <w:r w:rsidR="006C248F" w:rsidRPr="006C248F">
        <w:t xml:space="preserve"> “Digital and green transformations for sustainable development in the ECE region”</w:t>
      </w:r>
      <w:r w:rsidR="00EF3FD6">
        <w:t xml:space="preserve">, the secretariat </w:t>
      </w:r>
      <w:r w:rsidR="00107E15">
        <w:t xml:space="preserve">will </w:t>
      </w:r>
      <w:r w:rsidR="00FF2C42">
        <w:t xml:space="preserve">present </w:t>
      </w:r>
      <w:r w:rsidR="00D4285E">
        <w:t>proposals</w:t>
      </w:r>
      <w:r w:rsidR="00B75873">
        <w:t xml:space="preserve"> on how digital economy considerations could be integrated into the work under the Studies.</w:t>
      </w:r>
      <w:r w:rsidR="006C248F" w:rsidRPr="006C248F">
        <w:t xml:space="preserve"> </w:t>
      </w:r>
    </w:p>
    <w:p w14:paraId="28350ED3" w14:textId="6F6F1B09" w:rsidR="006C248F" w:rsidRDefault="00C45228" w:rsidP="004C3931">
      <w:pPr>
        <w:pStyle w:val="SingleTxtG"/>
        <w:spacing w:before="120"/>
      </w:pPr>
      <w:r>
        <w:t>22</w:t>
      </w:r>
      <w:r w:rsidR="004C3931">
        <w:t>.</w:t>
      </w:r>
      <w:r w:rsidR="004C3931">
        <w:tab/>
      </w:r>
      <w:r w:rsidR="00671829">
        <w:t>Responding to digitalisation and automation developments, digital trade governance has become a</w:t>
      </w:r>
      <w:r w:rsidR="005E2DE5">
        <w:t xml:space="preserve">n essential part of trade </w:t>
      </w:r>
      <w:r w:rsidR="00D925BC">
        <w:t>policymaking</w:t>
      </w:r>
      <w:r w:rsidR="005E2DE5">
        <w:t xml:space="preserve">. </w:t>
      </w:r>
      <w:r w:rsidR="000048FD">
        <w:t>Based on the analysis of the recent developm</w:t>
      </w:r>
      <w:r w:rsidR="00E236EE">
        <w:t>ents</w:t>
      </w:r>
      <w:r w:rsidR="001413DF">
        <w:t xml:space="preserve">, the secretariat’s report </w:t>
      </w:r>
      <w:r w:rsidR="00B0289B">
        <w:t>suggest</w:t>
      </w:r>
      <w:r w:rsidR="009B763D">
        <w:t>s</w:t>
      </w:r>
      <w:r w:rsidR="00676151">
        <w:t xml:space="preserve"> </w:t>
      </w:r>
      <w:r w:rsidR="00AF7EBC">
        <w:t>on</w:t>
      </w:r>
      <w:r w:rsidR="00676151">
        <w:t xml:space="preserve"> </w:t>
      </w:r>
      <w:r w:rsidR="00B0289B">
        <w:t xml:space="preserve">how </w:t>
      </w:r>
      <w:r w:rsidR="00AF7EBC">
        <w:t>the</w:t>
      </w:r>
      <w:r w:rsidR="00B0289B">
        <w:t xml:space="preserve"> </w:t>
      </w:r>
      <w:r w:rsidR="006515EF">
        <w:t>ECE Studies can integrate these new emerging issues</w:t>
      </w:r>
      <w:r w:rsidR="00AF7EBC">
        <w:t xml:space="preserve"> in the future</w:t>
      </w:r>
      <w:r w:rsidR="006515EF">
        <w:t>.</w:t>
      </w:r>
    </w:p>
    <w:p w14:paraId="0C150C82" w14:textId="6095262F" w:rsidR="00FE0ED5" w:rsidRDefault="000B554E" w:rsidP="0099547C">
      <w:pPr>
        <w:pStyle w:val="H1G"/>
      </w:pPr>
      <w:r>
        <w:tab/>
      </w:r>
      <w:r>
        <w:tab/>
      </w:r>
      <w:r w:rsidR="00FE0ED5">
        <w:t>D</w:t>
      </w:r>
      <w:r w:rsidR="00FE0ED5" w:rsidRPr="00AA5754">
        <w:t xml:space="preserve">. </w:t>
      </w:r>
      <w:r w:rsidR="00FE0ED5" w:rsidRPr="00AA5754">
        <w:tab/>
        <w:t>Continuation of the general segment</w:t>
      </w:r>
    </w:p>
    <w:p w14:paraId="76C25A8F" w14:textId="39690AB5" w:rsidR="0099547C" w:rsidRPr="00973E05" w:rsidRDefault="00FE0ED5" w:rsidP="0099547C">
      <w:pPr>
        <w:pStyle w:val="H1G"/>
      </w:pPr>
      <w:r>
        <w:tab/>
      </w:r>
      <w:r>
        <w:tab/>
      </w:r>
      <w:r w:rsidR="0099547C" w:rsidRPr="00973E05">
        <w:t xml:space="preserve">Item </w:t>
      </w:r>
      <w:r w:rsidR="00C45228">
        <w:t>10</w:t>
      </w:r>
      <w:r w:rsidR="0099547C" w:rsidRPr="00973E05">
        <w:t xml:space="preserve">. </w:t>
      </w:r>
      <w:r w:rsidR="00806477" w:rsidRPr="00973E05">
        <w:rPr>
          <w:bCs/>
          <w:color w:val="000000" w:themeColor="text1"/>
        </w:rPr>
        <w:t>Capacity-building and technical assistance activities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2438"/>
        <w:gridCol w:w="1984"/>
      </w:tblGrid>
      <w:tr w:rsidR="000554AA" w:rsidRPr="00973E05" w14:paraId="6A5AB143" w14:textId="77777777" w:rsidTr="005E6CC7">
        <w:tc>
          <w:tcPr>
            <w:tcW w:w="2948" w:type="dxa"/>
            <w:tcBorders>
              <w:top w:val="single" w:sz="4" w:space="0" w:color="auto"/>
              <w:bottom w:val="single" w:sz="12" w:space="0" w:color="auto"/>
            </w:tcBorders>
            <w:shd w:val="clear" w:color="auto" w:fill="auto"/>
            <w:vAlign w:val="bottom"/>
          </w:tcPr>
          <w:p w14:paraId="0D5F6AB3" w14:textId="77777777" w:rsidR="000554AA" w:rsidRPr="00973E05" w:rsidRDefault="000554AA" w:rsidP="005E6CC7">
            <w:pPr>
              <w:spacing w:before="80" w:after="80" w:line="200" w:lineRule="exact"/>
              <w:ind w:right="113"/>
              <w:rPr>
                <w:i/>
                <w:sz w:val="16"/>
              </w:rPr>
            </w:pPr>
            <w:r w:rsidRPr="00973E05">
              <w:rPr>
                <w:i/>
                <w:sz w:val="16"/>
              </w:rPr>
              <w:t>Title of document</w:t>
            </w:r>
          </w:p>
        </w:tc>
        <w:tc>
          <w:tcPr>
            <w:tcW w:w="2438" w:type="dxa"/>
            <w:tcBorders>
              <w:top w:val="single" w:sz="4" w:space="0" w:color="auto"/>
              <w:bottom w:val="single" w:sz="12" w:space="0" w:color="auto"/>
            </w:tcBorders>
            <w:shd w:val="clear" w:color="auto" w:fill="auto"/>
            <w:vAlign w:val="bottom"/>
          </w:tcPr>
          <w:p w14:paraId="208D1FBC" w14:textId="77777777" w:rsidR="000554AA" w:rsidRPr="00973E05" w:rsidRDefault="000554AA" w:rsidP="005E6CC7">
            <w:pPr>
              <w:spacing w:before="80" w:after="80" w:line="200" w:lineRule="exact"/>
              <w:ind w:right="113"/>
              <w:rPr>
                <w:i/>
                <w:sz w:val="16"/>
              </w:rPr>
            </w:pPr>
            <w:r w:rsidRPr="00973E05">
              <w:rPr>
                <w:i/>
                <w:sz w:val="16"/>
              </w:rPr>
              <w:t>Document symbol</w:t>
            </w:r>
          </w:p>
        </w:tc>
        <w:tc>
          <w:tcPr>
            <w:tcW w:w="1984" w:type="dxa"/>
            <w:tcBorders>
              <w:top w:val="single" w:sz="4" w:space="0" w:color="auto"/>
              <w:bottom w:val="single" w:sz="12" w:space="0" w:color="auto"/>
            </w:tcBorders>
            <w:shd w:val="clear" w:color="auto" w:fill="auto"/>
            <w:vAlign w:val="bottom"/>
          </w:tcPr>
          <w:p w14:paraId="61072671" w14:textId="77777777" w:rsidR="000554AA" w:rsidRPr="00973E05" w:rsidRDefault="000554AA" w:rsidP="005E6CC7">
            <w:pPr>
              <w:spacing w:before="80" w:after="80" w:line="200" w:lineRule="exact"/>
              <w:ind w:right="113"/>
              <w:rPr>
                <w:i/>
                <w:sz w:val="16"/>
              </w:rPr>
            </w:pPr>
            <w:r w:rsidRPr="00973E05">
              <w:rPr>
                <w:i/>
                <w:sz w:val="16"/>
              </w:rPr>
              <w:t>For information/decision</w:t>
            </w:r>
          </w:p>
        </w:tc>
      </w:tr>
      <w:tr w:rsidR="000554AA" w:rsidRPr="00973E05" w14:paraId="32A75CBA" w14:textId="77777777" w:rsidTr="005E6CC7">
        <w:trPr>
          <w:trHeight w:hRule="exact" w:val="113"/>
        </w:trPr>
        <w:tc>
          <w:tcPr>
            <w:tcW w:w="2948" w:type="dxa"/>
            <w:tcBorders>
              <w:top w:val="single" w:sz="12" w:space="0" w:color="auto"/>
            </w:tcBorders>
            <w:shd w:val="clear" w:color="auto" w:fill="auto"/>
            <w:vAlign w:val="bottom"/>
          </w:tcPr>
          <w:p w14:paraId="344F4CFA" w14:textId="77777777" w:rsidR="000554AA" w:rsidRPr="00973E05" w:rsidRDefault="000554AA" w:rsidP="005E6CC7">
            <w:pPr>
              <w:spacing w:before="80" w:after="80" w:line="200" w:lineRule="exact"/>
              <w:ind w:right="113"/>
              <w:rPr>
                <w:i/>
                <w:sz w:val="16"/>
              </w:rPr>
            </w:pPr>
          </w:p>
        </w:tc>
        <w:tc>
          <w:tcPr>
            <w:tcW w:w="2438" w:type="dxa"/>
            <w:tcBorders>
              <w:top w:val="single" w:sz="12" w:space="0" w:color="auto"/>
            </w:tcBorders>
            <w:shd w:val="clear" w:color="auto" w:fill="auto"/>
            <w:vAlign w:val="bottom"/>
          </w:tcPr>
          <w:p w14:paraId="6148F367" w14:textId="77777777" w:rsidR="000554AA" w:rsidRPr="00973E05" w:rsidRDefault="000554AA" w:rsidP="005E6CC7">
            <w:pPr>
              <w:spacing w:before="80" w:after="80" w:line="200" w:lineRule="exact"/>
              <w:ind w:right="113"/>
              <w:rPr>
                <w:i/>
                <w:sz w:val="16"/>
              </w:rPr>
            </w:pPr>
          </w:p>
        </w:tc>
        <w:tc>
          <w:tcPr>
            <w:tcW w:w="1984" w:type="dxa"/>
            <w:tcBorders>
              <w:top w:val="single" w:sz="12" w:space="0" w:color="auto"/>
            </w:tcBorders>
            <w:shd w:val="clear" w:color="auto" w:fill="auto"/>
            <w:vAlign w:val="bottom"/>
          </w:tcPr>
          <w:p w14:paraId="46AE956D" w14:textId="77777777" w:rsidR="000554AA" w:rsidRPr="00973E05" w:rsidRDefault="000554AA" w:rsidP="005E6CC7">
            <w:pPr>
              <w:spacing w:before="80" w:after="80" w:line="200" w:lineRule="exact"/>
              <w:ind w:right="113"/>
              <w:rPr>
                <w:i/>
                <w:sz w:val="16"/>
              </w:rPr>
            </w:pPr>
          </w:p>
        </w:tc>
      </w:tr>
      <w:tr w:rsidR="000554AA" w:rsidRPr="00973E05" w14:paraId="515402A6" w14:textId="77777777" w:rsidTr="005E6CC7">
        <w:tc>
          <w:tcPr>
            <w:tcW w:w="2948" w:type="dxa"/>
            <w:tcBorders>
              <w:bottom w:val="single" w:sz="12" w:space="0" w:color="auto"/>
            </w:tcBorders>
            <w:shd w:val="clear" w:color="auto" w:fill="auto"/>
          </w:tcPr>
          <w:p w14:paraId="599D1526" w14:textId="1C9987E3" w:rsidR="000554AA" w:rsidRPr="00973E05" w:rsidRDefault="00194601" w:rsidP="005E6CC7">
            <w:pPr>
              <w:spacing w:before="40" w:after="120"/>
              <w:ind w:right="113"/>
            </w:pPr>
            <w:r w:rsidRPr="00973E05">
              <w:t>Report on capacity-building and technical assistance activities</w:t>
            </w:r>
          </w:p>
        </w:tc>
        <w:tc>
          <w:tcPr>
            <w:tcW w:w="2438" w:type="dxa"/>
            <w:tcBorders>
              <w:bottom w:val="single" w:sz="12" w:space="0" w:color="auto"/>
            </w:tcBorders>
            <w:shd w:val="clear" w:color="auto" w:fill="auto"/>
          </w:tcPr>
          <w:p w14:paraId="7A413AE0" w14:textId="083AF648" w:rsidR="000554AA" w:rsidRPr="00973E05" w:rsidRDefault="000554AA" w:rsidP="005E6CC7">
            <w:pPr>
              <w:spacing w:before="40" w:after="120"/>
              <w:ind w:right="113"/>
            </w:pPr>
            <w:r w:rsidRPr="00973E05">
              <w:t>ECE/CTCS/202</w:t>
            </w:r>
            <w:r w:rsidR="00080AD9">
              <w:t>3</w:t>
            </w:r>
            <w:r w:rsidRPr="00973E05">
              <w:t>/</w:t>
            </w:r>
            <w:r w:rsidR="00080AD9">
              <w:t>8</w:t>
            </w:r>
          </w:p>
        </w:tc>
        <w:tc>
          <w:tcPr>
            <w:tcW w:w="1984" w:type="dxa"/>
            <w:tcBorders>
              <w:bottom w:val="single" w:sz="12" w:space="0" w:color="auto"/>
            </w:tcBorders>
            <w:shd w:val="clear" w:color="auto" w:fill="auto"/>
          </w:tcPr>
          <w:p w14:paraId="337CAF0B" w14:textId="77777777" w:rsidR="000554AA" w:rsidRPr="00973E05" w:rsidRDefault="000554AA" w:rsidP="005E6CC7">
            <w:pPr>
              <w:spacing w:before="40" w:after="120"/>
              <w:ind w:right="113"/>
            </w:pPr>
            <w:r w:rsidRPr="00973E05">
              <w:t>Decision</w:t>
            </w:r>
          </w:p>
        </w:tc>
      </w:tr>
    </w:tbl>
    <w:p w14:paraId="573AEBD0" w14:textId="0DCC8D6F" w:rsidR="00612A3B" w:rsidRPr="00973E05" w:rsidRDefault="000B00F0" w:rsidP="00053780">
      <w:pPr>
        <w:pStyle w:val="SingleTxtG"/>
        <w:spacing w:before="120"/>
      </w:pPr>
      <w:r>
        <w:t>23</w:t>
      </w:r>
      <w:r w:rsidR="004C3931">
        <w:t>.</w:t>
      </w:r>
      <w:r w:rsidR="004C3931">
        <w:tab/>
      </w:r>
      <w:r w:rsidR="0011062E" w:rsidRPr="00973E05">
        <w:t xml:space="preserve">Delegates will be invited to endorse the relevant sections of the Trade subprogramme’s report on capacity-building and technical assistance activities implemented since the previous session. The activities reported by the United Nations Centre for Trade </w:t>
      </w:r>
      <w:r w:rsidR="0011062E" w:rsidRPr="008C015F">
        <w:t>Facilitation and Electronic Business (UN/CEFACT) are for information only.</w:t>
      </w:r>
      <w:r w:rsidR="0008204C">
        <w:t xml:space="preserve"> </w:t>
      </w:r>
      <w:r w:rsidR="00612A3B" w:rsidRPr="008C015F">
        <w:tab/>
        <w:t>Delegates will</w:t>
      </w:r>
      <w:r w:rsidR="00183D93" w:rsidRPr="008C015F">
        <w:t xml:space="preserve"> also</w:t>
      </w:r>
      <w:r w:rsidR="00612A3B" w:rsidRPr="008C015F">
        <w:t xml:space="preserve"> be invited to </w:t>
      </w:r>
      <w:r w:rsidR="00E557D3" w:rsidRPr="008C015F">
        <w:t>present</w:t>
      </w:r>
      <w:r w:rsidR="00612A3B" w:rsidRPr="008C015F">
        <w:t xml:space="preserve"> the</w:t>
      </w:r>
      <w:r w:rsidR="00E557D3" w:rsidRPr="008C015F">
        <w:t>ir</w:t>
      </w:r>
      <w:r w:rsidR="00612A3B" w:rsidRPr="008C015F">
        <w:t xml:space="preserve"> </w:t>
      </w:r>
      <w:r w:rsidR="00FD4510" w:rsidRPr="008C015F">
        <w:t xml:space="preserve">capacity-building </w:t>
      </w:r>
      <w:r w:rsidR="00612A3B" w:rsidRPr="008C015F">
        <w:t xml:space="preserve">needs </w:t>
      </w:r>
      <w:r w:rsidR="00E557D3" w:rsidRPr="008C015F">
        <w:t>for the ECE technical assistance activities</w:t>
      </w:r>
      <w:r w:rsidR="003E4E4E" w:rsidRPr="008C015F">
        <w:t xml:space="preserve">, including </w:t>
      </w:r>
      <w:r w:rsidR="008218BF" w:rsidRPr="008C015F">
        <w:t xml:space="preserve">on </w:t>
      </w:r>
      <w:r w:rsidR="003E4E4E" w:rsidRPr="008C015F">
        <w:t xml:space="preserve">conducting ECE </w:t>
      </w:r>
      <w:r w:rsidR="003E4E4E" w:rsidRPr="0092087B">
        <w:t>Studies on Regulatory and Procedural Barriers to Trade</w:t>
      </w:r>
      <w:r w:rsidR="003E4E4E" w:rsidRPr="008C015F">
        <w:t xml:space="preserve"> </w:t>
      </w:r>
      <w:r w:rsidR="00AD2C06" w:rsidRPr="008C015F">
        <w:t xml:space="preserve">and </w:t>
      </w:r>
      <w:r w:rsidR="003663AE" w:rsidRPr="008C015F">
        <w:t xml:space="preserve">follow-up activities to the </w:t>
      </w:r>
      <w:r w:rsidR="00416A1E" w:rsidRPr="008C015F">
        <w:t xml:space="preserve">existing Studies. </w:t>
      </w:r>
      <w:r w:rsidR="00612A3B" w:rsidRPr="008C015F">
        <w:t xml:space="preserve">The discussion will </w:t>
      </w:r>
      <w:r w:rsidR="00C0494D" w:rsidRPr="008C015F">
        <w:t xml:space="preserve">focus on member States’ priorities and </w:t>
      </w:r>
      <w:r w:rsidR="005E2797" w:rsidRPr="008C015F">
        <w:t xml:space="preserve">explore </w:t>
      </w:r>
      <w:r w:rsidR="00612A3B" w:rsidRPr="008C015F">
        <w:t xml:space="preserve">how the Trade subprogramme might assist in addressing these needs drawing on </w:t>
      </w:r>
      <w:r w:rsidR="00E448E2" w:rsidRPr="008C015F">
        <w:t xml:space="preserve">its </w:t>
      </w:r>
      <w:r w:rsidR="00612A3B" w:rsidRPr="008C015F">
        <w:t xml:space="preserve">experience </w:t>
      </w:r>
      <w:r w:rsidR="00141AB1" w:rsidRPr="008C015F">
        <w:t xml:space="preserve">and </w:t>
      </w:r>
      <w:r w:rsidR="00E54AFA" w:rsidRPr="008C015F">
        <w:t xml:space="preserve">potential </w:t>
      </w:r>
      <w:r w:rsidR="00141AB1" w:rsidRPr="008C015F">
        <w:t>extrabu</w:t>
      </w:r>
      <w:r w:rsidR="00A16415" w:rsidRPr="008C015F">
        <w:t>dgetary funding</w:t>
      </w:r>
      <w:r w:rsidR="00612A3B" w:rsidRPr="008C015F">
        <w:t>.</w:t>
      </w:r>
    </w:p>
    <w:p w14:paraId="601AB887" w14:textId="14426006" w:rsidR="003325E1" w:rsidRDefault="0099547C" w:rsidP="00C46E19">
      <w:pPr>
        <w:pStyle w:val="H1G"/>
      </w:pPr>
      <w:r w:rsidRPr="00973E05">
        <w:lastRenderedPageBreak/>
        <w:tab/>
      </w:r>
      <w:r w:rsidRPr="00973E05">
        <w:tab/>
        <w:t xml:space="preserve">Item </w:t>
      </w:r>
      <w:r w:rsidR="000B00F0" w:rsidRPr="00973E05">
        <w:t>1</w:t>
      </w:r>
      <w:r w:rsidR="000B00F0">
        <w:t>1</w:t>
      </w:r>
      <w:r w:rsidRPr="00973E05">
        <w:t xml:space="preserve">. </w:t>
      </w:r>
      <w:r w:rsidR="00EB76E3" w:rsidRPr="00973E05">
        <w:t>Cooperation with other organizations and Economic Commission for Europe bodies</w:t>
      </w:r>
    </w:p>
    <w:p w14:paraId="1F7526E4" w14:textId="77777777" w:rsidR="00FC004C" w:rsidRPr="00FC004C" w:rsidRDefault="00FC004C" w:rsidP="00FC004C"/>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2438"/>
        <w:gridCol w:w="1984"/>
      </w:tblGrid>
      <w:tr w:rsidR="00C83054" w:rsidRPr="00973E05" w14:paraId="51CC86EF" w14:textId="77777777" w:rsidTr="005E6CC7">
        <w:tc>
          <w:tcPr>
            <w:tcW w:w="2948" w:type="dxa"/>
            <w:tcBorders>
              <w:top w:val="single" w:sz="4" w:space="0" w:color="auto"/>
              <w:bottom w:val="single" w:sz="12" w:space="0" w:color="auto"/>
            </w:tcBorders>
            <w:shd w:val="clear" w:color="auto" w:fill="auto"/>
            <w:vAlign w:val="bottom"/>
          </w:tcPr>
          <w:p w14:paraId="7948AD74" w14:textId="77777777" w:rsidR="00C83054" w:rsidRPr="00973E05" w:rsidRDefault="00C83054" w:rsidP="005E6CC7">
            <w:pPr>
              <w:spacing w:before="80" w:after="80" w:line="200" w:lineRule="exact"/>
              <w:ind w:right="113"/>
              <w:rPr>
                <w:i/>
                <w:sz w:val="16"/>
              </w:rPr>
            </w:pPr>
            <w:r w:rsidRPr="00973E05">
              <w:rPr>
                <w:i/>
                <w:sz w:val="16"/>
              </w:rPr>
              <w:t>Title of document</w:t>
            </w:r>
          </w:p>
        </w:tc>
        <w:tc>
          <w:tcPr>
            <w:tcW w:w="2438" w:type="dxa"/>
            <w:tcBorders>
              <w:top w:val="single" w:sz="4" w:space="0" w:color="auto"/>
              <w:bottom w:val="single" w:sz="12" w:space="0" w:color="auto"/>
            </w:tcBorders>
            <w:shd w:val="clear" w:color="auto" w:fill="auto"/>
            <w:vAlign w:val="bottom"/>
          </w:tcPr>
          <w:p w14:paraId="74333B6A" w14:textId="77777777" w:rsidR="00C83054" w:rsidRPr="00973E05" w:rsidRDefault="00C83054" w:rsidP="005E6CC7">
            <w:pPr>
              <w:spacing w:before="80" w:after="80" w:line="200" w:lineRule="exact"/>
              <w:ind w:right="113"/>
              <w:rPr>
                <w:i/>
                <w:sz w:val="16"/>
              </w:rPr>
            </w:pPr>
            <w:r w:rsidRPr="00973E05">
              <w:rPr>
                <w:i/>
                <w:sz w:val="16"/>
              </w:rPr>
              <w:t>Document symbol</w:t>
            </w:r>
          </w:p>
        </w:tc>
        <w:tc>
          <w:tcPr>
            <w:tcW w:w="1984" w:type="dxa"/>
            <w:tcBorders>
              <w:top w:val="single" w:sz="4" w:space="0" w:color="auto"/>
              <w:bottom w:val="single" w:sz="12" w:space="0" w:color="auto"/>
            </w:tcBorders>
            <w:shd w:val="clear" w:color="auto" w:fill="auto"/>
            <w:vAlign w:val="bottom"/>
          </w:tcPr>
          <w:p w14:paraId="6C7B5082" w14:textId="77777777" w:rsidR="00C83054" w:rsidRPr="00973E05" w:rsidRDefault="00C83054" w:rsidP="005E6CC7">
            <w:pPr>
              <w:spacing w:before="80" w:after="80" w:line="200" w:lineRule="exact"/>
              <w:ind w:right="113"/>
              <w:rPr>
                <w:i/>
                <w:sz w:val="16"/>
              </w:rPr>
            </w:pPr>
            <w:r w:rsidRPr="00973E05">
              <w:rPr>
                <w:i/>
                <w:sz w:val="16"/>
              </w:rPr>
              <w:t>For information/decision</w:t>
            </w:r>
          </w:p>
        </w:tc>
      </w:tr>
      <w:tr w:rsidR="00C83054" w:rsidRPr="00973E05" w14:paraId="1EC53B91" w14:textId="77777777" w:rsidTr="005E6CC7">
        <w:trPr>
          <w:trHeight w:hRule="exact" w:val="113"/>
        </w:trPr>
        <w:tc>
          <w:tcPr>
            <w:tcW w:w="2948" w:type="dxa"/>
            <w:tcBorders>
              <w:top w:val="single" w:sz="12" w:space="0" w:color="auto"/>
            </w:tcBorders>
            <w:shd w:val="clear" w:color="auto" w:fill="auto"/>
            <w:vAlign w:val="bottom"/>
          </w:tcPr>
          <w:p w14:paraId="2E615478" w14:textId="77777777" w:rsidR="00C83054" w:rsidRPr="00973E05" w:rsidRDefault="00C83054" w:rsidP="005E6CC7">
            <w:pPr>
              <w:spacing w:before="80" w:after="80" w:line="200" w:lineRule="exact"/>
              <w:ind w:right="113"/>
              <w:rPr>
                <w:i/>
                <w:sz w:val="16"/>
              </w:rPr>
            </w:pPr>
          </w:p>
        </w:tc>
        <w:tc>
          <w:tcPr>
            <w:tcW w:w="2438" w:type="dxa"/>
            <w:tcBorders>
              <w:top w:val="single" w:sz="12" w:space="0" w:color="auto"/>
            </w:tcBorders>
            <w:shd w:val="clear" w:color="auto" w:fill="auto"/>
            <w:vAlign w:val="bottom"/>
          </w:tcPr>
          <w:p w14:paraId="66F24AAB" w14:textId="77777777" w:rsidR="00C83054" w:rsidRPr="00973E05" w:rsidRDefault="00C83054" w:rsidP="005E6CC7">
            <w:pPr>
              <w:spacing w:before="80" w:after="80" w:line="200" w:lineRule="exact"/>
              <w:ind w:right="113"/>
              <w:rPr>
                <w:i/>
                <w:sz w:val="16"/>
              </w:rPr>
            </w:pPr>
          </w:p>
        </w:tc>
        <w:tc>
          <w:tcPr>
            <w:tcW w:w="1984" w:type="dxa"/>
            <w:tcBorders>
              <w:top w:val="single" w:sz="12" w:space="0" w:color="auto"/>
            </w:tcBorders>
            <w:shd w:val="clear" w:color="auto" w:fill="auto"/>
            <w:vAlign w:val="bottom"/>
          </w:tcPr>
          <w:p w14:paraId="78278278" w14:textId="77777777" w:rsidR="00C83054" w:rsidRPr="00973E05" w:rsidRDefault="00C83054" w:rsidP="005E6CC7">
            <w:pPr>
              <w:spacing w:before="80" w:after="80" w:line="200" w:lineRule="exact"/>
              <w:ind w:right="113"/>
              <w:rPr>
                <w:i/>
                <w:sz w:val="16"/>
              </w:rPr>
            </w:pPr>
          </w:p>
        </w:tc>
      </w:tr>
      <w:tr w:rsidR="00C83054" w:rsidRPr="00973E05" w14:paraId="55DB15A8" w14:textId="77777777" w:rsidTr="005E6CC7">
        <w:tc>
          <w:tcPr>
            <w:tcW w:w="2948" w:type="dxa"/>
            <w:tcBorders>
              <w:bottom w:val="single" w:sz="12" w:space="0" w:color="auto"/>
            </w:tcBorders>
            <w:shd w:val="clear" w:color="auto" w:fill="auto"/>
          </w:tcPr>
          <w:p w14:paraId="0F8AFAD4" w14:textId="4E767489" w:rsidR="00C83054" w:rsidRPr="00973E05" w:rsidRDefault="00080AD9" w:rsidP="005E6CC7">
            <w:pPr>
              <w:spacing w:before="40" w:after="120"/>
              <w:ind w:right="113"/>
            </w:pPr>
            <w:r>
              <w:t>Report on c</w:t>
            </w:r>
            <w:r w:rsidR="00CC3A64" w:rsidRPr="00973E05">
              <w:t>ooperation with other organizations and Economic Commission for Europe bodies</w:t>
            </w:r>
          </w:p>
        </w:tc>
        <w:tc>
          <w:tcPr>
            <w:tcW w:w="2438" w:type="dxa"/>
            <w:tcBorders>
              <w:bottom w:val="single" w:sz="12" w:space="0" w:color="auto"/>
            </w:tcBorders>
            <w:shd w:val="clear" w:color="auto" w:fill="auto"/>
          </w:tcPr>
          <w:p w14:paraId="61C53FA0" w14:textId="78D79E1E" w:rsidR="00C83054" w:rsidRPr="00973E05" w:rsidRDefault="00C83054" w:rsidP="005E6CC7">
            <w:pPr>
              <w:spacing w:before="40" w:after="120"/>
              <w:ind w:right="113"/>
            </w:pPr>
            <w:r w:rsidRPr="00973E05">
              <w:t>ECE/CTCS/202</w:t>
            </w:r>
            <w:r w:rsidR="00F30393">
              <w:t>3</w:t>
            </w:r>
            <w:r w:rsidRPr="00973E05">
              <w:t>/</w:t>
            </w:r>
            <w:r w:rsidR="00F30393">
              <w:t>9</w:t>
            </w:r>
          </w:p>
        </w:tc>
        <w:tc>
          <w:tcPr>
            <w:tcW w:w="1984" w:type="dxa"/>
            <w:tcBorders>
              <w:bottom w:val="single" w:sz="12" w:space="0" w:color="auto"/>
            </w:tcBorders>
            <w:shd w:val="clear" w:color="auto" w:fill="auto"/>
          </w:tcPr>
          <w:p w14:paraId="6726C832" w14:textId="77777777" w:rsidR="00C83054" w:rsidRPr="00973E05" w:rsidRDefault="00C83054" w:rsidP="005E6CC7">
            <w:pPr>
              <w:spacing w:before="40" w:after="120"/>
              <w:ind w:right="113"/>
            </w:pPr>
            <w:r w:rsidRPr="00973E05">
              <w:t>Decision</w:t>
            </w:r>
          </w:p>
        </w:tc>
      </w:tr>
    </w:tbl>
    <w:p w14:paraId="5192D54E" w14:textId="513A7D0D" w:rsidR="0099547C" w:rsidRPr="00973E05" w:rsidRDefault="000B00F0" w:rsidP="00B363ED">
      <w:pPr>
        <w:pStyle w:val="SingleTxtG"/>
        <w:spacing w:before="120"/>
      </w:pPr>
      <w:r>
        <w:t>24</w:t>
      </w:r>
      <w:r w:rsidR="004C3931">
        <w:t>.</w:t>
      </w:r>
      <w:r w:rsidR="004C3931">
        <w:tab/>
      </w:r>
      <w:r w:rsidR="00DC171B" w:rsidRPr="00973E05">
        <w:t xml:space="preserve">The secretariat will report on </w:t>
      </w:r>
      <w:r w:rsidR="00396170">
        <w:t xml:space="preserve">the </w:t>
      </w:r>
      <w:r w:rsidR="00DC171B" w:rsidRPr="00973E05">
        <w:t>ongoing collaboration with other international organizations.</w:t>
      </w:r>
    </w:p>
    <w:p w14:paraId="6671BAD0" w14:textId="5ADFDCE5" w:rsidR="00B363ED" w:rsidRPr="00973E05" w:rsidRDefault="000B00F0" w:rsidP="0099547C">
      <w:pPr>
        <w:pStyle w:val="SingleTxtG"/>
      </w:pPr>
      <w:r>
        <w:t>25</w:t>
      </w:r>
      <w:r w:rsidR="004C3931">
        <w:t>.</w:t>
      </w:r>
      <w:r w:rsidR="004C3931">
        <w:tab/>
      </w:r>
      <w:r w:rsidR="00280BF1" w:rsidRPr="00973E05">
        <w:t>Representatives from other international organizations will be invited to highlight areas for potential cooperation with the Steering Committee as well as current and future activities of relevance to delegates.</w:t>
      </w:r>
    </w:p>
    <w:p w14:paraId="090DE69C" w14:textId="4243373B" w:rsidR="0099547C" w:rsidRPr="00973E05" w:rsidRDefault="000B00F0" w:rsidP="0099547C">
      <w:pPr>
        <w:pStyle w:val="SingleTxtG"/>
      </w:pPr>
      <w:r>
        <w:rPr>
          <w:rStyle w:val="SingleTxtGChar"/>
          <w:color w:val="000000" w:themeColor="text1"/>
        </w:rPr>
        <w:t>26</w:t>
      </w:r>
      <w:r w:rsidR="004C3931">
        <w:rPr>
          <w:rStyle w:val="SingleTxtGChar"/>
          <w:color w:val="000000" w:themeColor="text1"/>
        </w:rPr>
        <w:t>.</w:t>
      </w:r>
      <w:r w:rsidR="004C3931">
        <w:rPr>
          <w:rStyle w:val="SingleTxtGChar"/>
          <w:color w:val="000000" w:themeColor="text1"/>
        </w:rPr>
        <w:tab/>
      </w:r>
      <w:r w:rsidR="00723E14" w:rsidRPr="00973E05">
        <w:rPr>
          <w:rStyle w:val="SingleTxtGChar"/>
          <w:color w:val="000000" w:themeColor="text1"/>
        </w:rPr>
        <w:t xml:space="preserve">A discussion will take place on potential areas for collaboration between the Steering Committee </w:t>
      </w:r>
      <w:r w:rsidR="00723E14" w:rsidRPr="00973E05">
        <w:rPr>
          <w:color w:val="000000" w:themeColor="text1"/>
        </w:rPr>
        <w:t>and</w:t>
      </w:r>
      <w:r w:rsidR="00723E14" w:rsidRPr="00973E05">
        <w:rPr>
          <w:rStyle w:val="SingleTxtGChar"/>
          <w:color w:val="000000" w:themeColor="text1"/>
        </w:rPr>
        <w:t xml:space="preserve"> other </w:t>
      </w:r>
      <w:r w:rsidR="00ED4424" w:rsidRPr="00973E05">
        <w:rPr>
          <w:color w:val="000000" w:themeColor="text1"/>
        </w:rPr>
        <w:t>ECE</w:t>
      </w:r>
      <w:r w:rsidR="00723E14" w:rsidRPr="00973E05">
        <w:rPr>
          <w:rStyle w:val="SingleTxtGChar"/>
          <w:color w:val="000000" w:themeColor="text1"/>
        </w:rPr>
        <w:t xml:space="preserve"> bodies</w:t>
      </w:r>
      <w:r w:rsidR="00F30393">
        <w:rPr>
          <w:rStyle w:val="SingleTxtGChar"/>
          <w:color w:val="000000" w:themeColor="text1"/>
        </w:rPr>
        <w:t>,</w:t>
      </w:r>
      <w:r w:rsidR="00723E14" w:rsidRPr="00973E05">
        <w:rPr>
          <w:rStyle w:val="SingleTxtGChar"/>
          <w:color w:val="000000" w:themeColor="text1"/>
        </w:rPr>
        <w:t xml:space="preserve"> and international organizations.</w:t>
      </w:r>
    </w:p>
    <w:p w14:paraId="5F906853" w14:textId="3779D9C3" w:rsidR="00336C47" w:rsidRPr="00336C47" w:rsidRDefault="0099547C" w:rsidP="009E3DB7">
      <w:pPr>
        <w:pStyle w:val="H1G"/>
        <w:ind w:firstLine="0"/>
      </w:pPr>
      <w:r w:rsidRPr="00973E05">
        <w:tab/>
        <w:t xml:space="preserve">Item </w:t>
      </w:r>
      <w:r w:rsidR="000B00F0" w:rsidRPr="00973E05">
        <w:t>1</w:t>
      </w:r>
      <w:r w:rsidR="000B00F0">
        <w:t>2</w:t>
      </w:r>
      <w:r w:rsidRPr="00973E05">
        <w:t xml:space="preserve">. </w:t>
      </w:r>
      <w:r w:rsidR="00336C47" w:rsidRPr="00336C47">
        <w:t>Recommendations from the evaluation of the Economic Commission for Europe: Subprogramme 4 and Subprogramme 6 by the United Nations Office of Internal Oversight</w:t>
      </w:r>
    </w:p>
    <w:p w14:paraId="708C9534" w14:textId="7F02D579" w:rsidR="00336C47" w:rsidRPr="006A5091" w:rsidRDefault="00667FE7" w:rsidP="00336C47">
      <w:pPr>
        <w:spacing w:after="120"/>
        <w:ind w:left="1134" w:right="1134"/>
        <w:jc w:val="both"/>
        <w:rPr>
          <w:bCs/>
          <w:lang w:eastAsia="en-US"/>
        </w:rPr>
      </w:pPr>
      <w:r>
        <w:t>27</w:t>
      </w:r>
      <w:r w:rsidR="00336C47">
        <w:t>.</w:t>
      </w:r>
      <w:r w:rsidR="00336C47">
        <w:tab/>
        <w:t xml:space="preserve">In 2022, the United Nations Office of Internal Oversight Services (OIOS) evaluated the </w:t>
      </w:r>
      <w:r w:rsidR="00336C47">
        <w:rPr>
          <w:rStyle w:val="SingleTxtGChar"/>
          <w:lang w:eastAsia="en-US"/>
        </w:rPr>
        <w:t>relevance</w:t>
      </w:r>
      <w:r w:rsidR="00336C47">
        <w:t>, effectiveness, coherence, sustainability, and integration of cross-cutting issues in Subprogramme 4: Economic Cooperation and Integration, and Subprogramme 6: Trade of the United Nations Economic Cooperation for Europe for the period 2018 - 2021. The evaluation was part of the UN secretariat’s regular program periodically evaluating selected aspects of its operations. Delegates will be briefed on the key findings and recommendations of the evaluation as they pertain to Subprogramme 6, the associated management response, and plans on how to implement relevant recommendations.</w:t>
      </w:r>
    </w:p>
    <w:p w14:paraId="42D12EF8" w14:textId="4BD77275" w:rsidR="00336C47" w:rsidRPr="00336C47" w:rsidRDefault="00336C47" w:rsidP="00336C47">
      <w:pPr>
        <w:pStyle w:val="H1G"/>
      </w:pPr>
      <w:r>
        <w:tab/>
      </w:r>
      <w:r>
        <w:tab/>
      </w:r>
      <w:r w:rsidRPr="00336C47">
        <w:t>Item 1</w:t>
      </w:r>
      <w:r>
        <w:t>3</w:t>
      </w:r>
      <w:r w:rsidRPr="00336C47">
        <w:t>. Programme of work</w:t>
      </w:r>
    </w:p>
    <w:p w14:paraId="492E30E0" w14:textId="4C001F1B" w:rsidR="0099547C" w:rsidRPr="00973E05" w:rsidRDefault="00614A8E" w:rsidP="00E57040">
      <w:pPr>
        <w:pStyle w:val="H23G"/>
        <w:ind w:hanging="144"/>
      </w:pPr>
      <w:r w:rsidRPr="00973E05">
        <w:tab/>
      </w:r>
      <w:r w:rsidR="004D3400" w:rsidRPr="00973E05">
        <w:t>(a)</w:t>
      </w:r>
      <w:r w:rsidR="004D3400" w:rsidRPr="00973E05">
        <w:tab/>
      </w:r>
      <w:r w:rsidR="00787A95" w:rsidRPr="00973E05">
        <w:t>Status of implementation of the Trade subprogramme</w:t>
      </w:r>
      <w:r w:rsidR="0015745A" w:rsidRPr="00973E05">
        <w:t>’s</w:t>
      </w:r>
      <w:r w:rsidR="00787A95" w:rsidRPr="00973E05">
        <w:t xml:space="preserve"> programme of work</w:t>
      </w:r>
      <w:r w:rsidR="0015745A" w:rsidRPr="00973E05">
        <w:t xml:space="preserve"> for 202</w:t>
      </w:r>
      <w:r w:rsidR="00FD023D">
        <w:t>3</w:t>
      </w:r>
    </w:p>
    <w:p w14:paraId="243046E2" w14:textId="2AC48D0D" w:rsidR="004D3400" w:rsidRPr="00973E05" w:rsidRDefault="00667FE7" w:rsidP="00E57040">
      <w:pPr>
        <w:pStyle w:val="SingleTxtG"/>
        <w:ind w:firstLine="36"/>
      </w:pPr>
      <w:r>
        <w:t>28</w:t>
      </w:r>
      <w:r w:rsidR="004C3931">
        <w:t>.</w:t>
      </w:r>
      <w:r w:rsidR="004C3931">
        <w:tab/>
      </w:r>
      <w:r w:rsidR="00FD067D" w:rsidRPr="00973E05">
        <w:t xml:space="preserve">The secretariat will report on the status of the implementation of the programme of work currently </w:t>
      </w:r>
      <w:r w:rsidR="00FD023D">
        <w:t>underway</w:t>
      </w:r>
      <w:r w:rsidR="00FD067D" w:rsidRPr="00973E05">
        <w:t>.</w:t>
      </w:r>
    </w:p>
    <w:p w14:paraId="0DFCA5C3" w14:textId="1CEEA183" w:rsidR="00E34F0D" w:rsidRPr="00973E05" w:rsidRDefault="00E34F0D" w:rsidP="00E57040">
      <w:pPr>
        <w:pStyle w:val="H23G"/>
        <w:ind w:hanging="54"/>
      </w:pPr>
      <w:r w:rsidRPr="00973E05">
        <w:tab/>
        <w:t>(b)</w:t>
      </w:r>
      <w:r w:rsidRPr="00973E05">
        <w:tab/>
      </w:r>
      <w:r w:rsidR="00014C1D" w:rsidRPr="00973E05">
        <w:t>Trade subprogramme’s programme of work for 202</w:t>
      </w:r>
      <w:r w:rsidR="00236EC1">
        <w:t>4</w:t>
      </w:r>
      <w:r w:rsidR="00014C1D" w:rsidRPr="00973E05">
        <w:t xml:space="preserve"> and outline of key components of the programme of work for 202</w:t>
      </w:r>
      <w:r w:rsidR="00236EC1">
        <w:t>5</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2438"/>
        <w:gridCol w:w="1984"/>
      </w:tblGrid>
      <w:tr w:rsidR="00422345" w:rsidRPr="00973E05" w14:paraId="49B90D61" w14:textId="77777777" w:rsidTr="005E6CC7">
        <w:tc>
          <w:tcPr>
            <w:tcW w:w="2948" w:type="dxa"/>
            <w:tcBorders>
              <w:top w:val="single" w:sz="4" w:space="0" w:color="auto"/>
              <w:bottom w:val="single" w:sz="12" w:space="0" w:color="auto"/>
            </w:tcBorders>
            <w:shd w:val="clear" w:color="auto" w:fill="auto"/>
            <w:vAlign w:val="bottom"/>
          </w:tcPr>
          <w:p w14:paraId="75607A8D" w14:textId="77777777" w:rsidR="00422345" w:rsidRPr="00973E05" w:rsidRDefault="00422345" w:rsidP="005E6CC7">
            <w:pPr>
              <w:spacing w:before="80" w:after="80" w:line="200" w:lineRule="exact"/>
              <w:ind w:right="113"/>
              <w:rPr>
                <w:i/>
                <w:sz w:val="16"/>
              </w:rPr>
            </w:pPr>
            <w:r w:rsidRPr="00973E05">
              <w:rPr>
                <w:i/>
                <w:sz w:val="16"/>
              </w:rPr>
              <w:t>Title of document</w:t>
            </w:r>
          </w:p>
        </w:tc>
        <w:tc>
          <w:tcPr>
            <w:tcW w:w="2438" w:type="dxa"/>
            <w:tcBorders>
              <w:top w:val="single" w:sz="4" w:space="0" w:color="auto"/>
              <w:bottom w:val="single" w:sz="12" w:space="0" w:color="auto"/>
            </w:tcBorders>
            <w:shd w:val="clear" w:color="auto" w:fill="auto"/>
            <w:vAlign w:val="bottom"/>
          </w:tcPr>
          <w:p w14:paraId="114A5E26" w14:textId="77777777" w:rsidR="00422345" w:rsidRPr="00973E05" w:rsidRDefault="00422345" w:rsidP="005E6CC7">
            <w:pPr>
              <w:spacing w:before="80" w:after="80" w:line="200" w:lineRule="exact"/>
              <w:ind w:right="113"/>
              <w:rPr>
                <w:i/>
                <w:sz w:val="16"/>
              </w:rPr>
            </w:pPr>
            <w:r w:rsidRPr="00973E05">
              <w:rPr>
                <w:i/>
                <w:sz w:val="16"/>
              </w:rPr>
              <w:t>Document symbol</w:t>
            </w:r>
          </w:p>
        </w:tc>
        <w:tc>
          <w:tcPr>
            <w:tcW w:w="1984" w:type="dxa"/>
            <w:tcBorders>
              <w:top w:val="single" w:sz="4" w:space="0" w:color="auto"/>
              <w:bottom w:val="single" w:sz="12" w:space="0" w:color="auto"/>
            </w:tcBorders>
            <w:shd w:val="clear" w:color="auto" w:fill="auto"/>
            <w:vAlign w:val="bottom"/>
          </w:tcPr>
          <w:p w14:paraId="6D0A9312" w14:textId="77777777" w:rsidR="00422345" w:rsidRPr="00973E05" w:rsidRDefault="00422345" w:rsidP="005E6CC7">
            <w:pPr>
              <w:spacing w:before="80" w:after="80" w:line="200" w:lineRule="exact"/>
              <w:ind w:right="113"/>
              <w:rPr>
                <w:i/>
                <w:sz w:val="16"/>
              </w:rPr>
            </w:pPr>
            <w:r w:rsidRPr="00973E05">
              <w:rPr>
                <w:i/>
                <w:sz w:val="16"/>
              </w:rPr>
              <w:t>For information/decision</w:t>
            </w:r>
          </w:p>
        </w:tc>
      </w:tr>
      <w:tr w:rsidR="00422345" w:rsidRPr="00973E05" w14:paraId="717B9555" w14:textId="77777777" w:rsidTr="005E6CC7">
        <w:trPr>
          <w:trHeight w:hRule="exact" w:val="113"/>
        </w:trPr>
        <w:tc>
          <w:tcPr>
            <w:tcW w:w="2948" w:type="dxa"/>
            <w:tcBorders>
              <w:top w:val="single" w:sz="12" w:space="0" w:color="auto"/>
            </w:tcBorders>
            <w:shd w:val="clear" w:color="auto" w:fill="auto"/>
            <w:vAlign w:val="bottom"/>
          </w:tcPr>
          <w:p w14:paraId="5B43152F" w14:textId="77777777" w:rsidR="00422345" w:rsidRPr="00973E05" w:rsidRDefault="00422345" w:rsidP="005E6CC7">
            <w:pPr>
              <w:spacing w:before="80" w:after="80" w:line="200" w:lineRule="exact"/>
              <w:ind w:right="113"/>
              <w:rPr>
                <w:i/>
                <w:sz w:val="16"/>
              </w:rPr>
            </w:pPr>
          </w:p>
        </w:tc>
        <w:tc>
          <w:tcPr>
            <w:tcW w:w="2438" w:type="dxa"/>
            <w:tcBorders>
              <w:top w:val="single" w:sz="12" w:space="0" w:color="auto"/>
            </w:tcBorders>
            <w:shd w:val="clear" w:color="auto" w:fill="auto"/>
            <w:vAlign w:val="bottom"/>
          </w:tcPr>
          <w:p w14:paraId="379088D6" w14:textId="77777777" w:rsidR="00422345" w:rsidRPr="00973E05" w:rsidRDefault="00422345" w:rsidP="005E6CC7">
            <w:pPr>
              <w:spacing w:before="80" w:after="80" w:line="200" w:lineRule="exact"/>
              <w:ind w:right="113"/>
              <w:rPr>
                <w:i/>
                <w:sz w:val="16"/>
              </w:rPr>
            </w:pPr>
          </w:p>
        </w:tc>
        <w:tc>
          <w:tcPr>
            <w:tcW w:w="1984" w:type="dxa"/>
            <w:tcBorders>
              <w:top w:val="single" w:sz="12" w:space="0" w:color="auto"/>
            </w:tcBorders>
            <w:shd w:val="clear" w:color="auto" w:fill="auto"/>
            <w:vAlign w:val="bottom"/>
          </w:tcPr>
          <w:p w14:paraId="3EDE4EA3" w14:textId="77777777" w:rsidR="00422345" w:rsidRPr="00973E05" w:rsidRDefault="00422345" w:rsidP="005E6CC7">
            <w:pPr>
              <w:spacing w:before="80" w:after="80" w:line="200" w:lineRule="exact"/>
              <w:ind w:right="113"/>
              <w:rPr>
                <w:i/>
                <w:sz w:val="16"/>
              </w:rPr>
            </w:pPr>
          </w:p>
        </w:tc>
      </w:tr>
      <w:tr w:rsidR="00422345" w:rsidRPr="00973E05" w14:paraId="3EBFEC03" w14:textId="77777777" w:rsidTr="00422345">
        <w:tc>
          <w:tcPr>
            <w:tcW w:w="2948" w:type="dxa"/>
            <w:shd w:val="clear" w:color="auto" w:fill="auto"/>
          </w:tcPr>
          <w:p w14:paraId="2D1CE114" w14:textId="5DE015C0" w:rsidR="00422345" w:rsidRPr="00973E05" w:rsidRDefault="007E691C" w:rsidP="005E6CC7">
            <w:pPr>
              <w:spacing w:before="40" w:after="120"/>
              <w:ind w:right="113"/>
            </w:pPr>
            <w:r w:rsidRPr="00973E05">
              <w:t>Trade subprogramme’s draft programme of work for 202</w:t>
            </w:r>
            <w:r w:rsidR="00FD023D">
              <w:t>4</w:t>
            </w:r>
          </w:p>
        </w:tc>
        <w:tc>
          <w:tcPr>
            <w:tcW w:w="2438" w:type="dxa"/>
            <w:shd w:val="clear" w:color="auto" w:fill="auto"/>
          </w:tcPr>
          <w:p w14:paraId="47F39834" w14:textId="2B967419" w:rsidR="00422345" w:rsidRPr="00973E05" w:rsidRDefault="00422345" w:rsidP="005E6CC7">
            <w:pPr>
              <w:spacing w:before="40" w:after="120"/>
              <w:ind w:right="113"/>
            </w:pPr>
            <w:r w:rsidRPr="00973E05">
              <w:t>ECE/CTCS/202</w:t>
            </w:r>
            <w:r w:rsidR="009E7DFD">
              <w:t>3</w:t>
            </w:r>
            <w:r w:rsidRPr="00973E05">
              <w:t>/</w:t>
            </w:r>
            <w:r w:rsidR="009E7DFD">
              <w:t>10</w:t>
            </w:r>
          </w:p>
        </w:tc>
        <w:tc>
          <w:tcPr>
            <w:tcW w:w="1984" w:type="dxa"/>
            <w:shd w:val="clear" w:color="auto" w:fill="auto"/>
          </w:tcPr>
          <w:p w14:paraId="6722D7DB" w14:textId="77777777" w:rsidR="00422345" w:rsidRPr="00973E05" w:rsidRDefault="00422345" w:rsidP="005E6CC7">
            <w:pPr>
              <w:spacing w:before="40" w:after="120"/>
              <w:ind w:right="113"/>
            </w:pPr>
            <w:r w:rsidRPr="00973E05">
              <w:t>Decision</w:t>
            </w:r>
          </w:p>
        </w:tc>
      </w:tr>
      <w:tr w:rsidR="00422345" w:rsidRPr="00973E05" w14:paraId="6E3AA594" w14:textId="77777777" w:rsidTr="005E6CC7">
        <w:tc>
          <w:tcPr>
            <w:tcW w:w="2948" w:type="dxa"/>
            <w:tcBorders>
              <w:bottom w:val="single" w:sz="12" w:space="0" w:color="auto"/>
            </w:tcBorders>
            <w:shd w:val="clear" w:color="auto" w:fill="auto"/>
          </w:tcPr>
          <w:p w14:paraId="12DEA55C" w14:textId="771CA936" w:rsidR="00422345" w:rsidRPr="00973E05" w:rsidRDefault="006B6533" w:rsidP="005E6CC7">
            <w:pPr>
              <w:spacing w:before="40" w:after="120"/>
              <w:ind w:right="113"/>
            </w:pPr>
            <w:r w:rsidRPr="00973E05">
              <w:t>Outline of key components of the Trade subprogramme’s programme of work for 202</w:t>
            </w:r>
            <w:r w:rsidR="00FD023D">
              <w:t>5</w:t>
            </w:r>
          </w:p>
        </w:tc>
        <w:tc>
          <w:tcPr>
            <w:tcW w:w="2438" w:type="dxa"/>
            <w:tcBorders>
              <w:bottom w:val="single" w:sz="12" w:space="0" w:color="auto"/>
            </w:tcBorders>
            <w:shd w:val="clear" w:color="auto" w:fill="auto"/>
          </w:tcPr>
          <w:p w14:paraId="027A7C37" w14:textId="3FF40DC1" w:rsidR="00422345" w:rsidRPr="00973E05" w:rsidRDefault="0009479C" w:rsidP="005E6CC7">
            <w:pPr>
              <w:spacing w:before="40" w:after="120"/>
              <w:ind w:right="113"/>
            </w:pPr>
            <w:r w:rsidRPr="00973E05">
              <w:t>ECE/CTCS/202</w:t>
            </w:r>
            <w:r w:rsidR="009E7DFD">
              <w:t>3</w:t>
            </w:r>
            <w:r w:rsidRPr="00973E05">
              <w:t>/INF.1</w:t>
            </w:r>
          </w:p>
        </w:tc>
        <w:tc>
          <w:tcPr>
            <w:tcW w:w="1984" w:type="dxa"/>
            <w:tcBorders>
              <w:bottom w:val="single" w:sz="12" w:space="0" w:color="auto"/>
            </w:tcBorders>
            <w:shd w:val="clear" w:color="auto" w:fill="auto"/>
          </w:tcPr>
          <w:p w14:paraId="2FFBE987" w14:textId="5163FC92" w:rsidR="00422345" w:rsidRPr="00973E05" w:rsidRDefault="005673CA" w:rsidP="005E6CC7">
            <w:pPr>
              <w:spacing w:before="40" w:after="120"/>
              <w:ind w:right="113"/>
            </w:pPr>
            <w:r>
              <w:t>Decision</w:t>
            </w:r>
          </w:p>
        </w:tc>
      </w:tr>
    </w:tbl>
    <w:p w14:paraId="303EEE07" w14:textId="7AB679B2" w:rsidR="004D3400" w:rsidRPr="00BE1C2F" w:rsidRDefault="000B00F0" w:rsidP="006A5420">
      <w:pPr>
        <w:pStyle w:val="SingleTxtG"/>
        <w:spacing w:before="120"/>
      </w:pPr>
      <w:r>
        <w:t>2</w:t>
      </w:r>
      <w:r w:rsidR="0073066C">
        <w:t>9</w:t>
      </w:r>
      <w:r w:rsidR="004C3931">
        <w:t>.</w:t>
      </w:r>
      <w:r w:rsidR="004C3931">
        <w:tab/>
      </w:r>
      <w:r w:rsidR="007406E1" w:rsidRPr="00BE1C2F">
        <w:rPr>
          <w:color w:val="000000" w:themeColor="text1"/>
        </w:rPr>
        <w:t>The secretariat will present the Trade subprogramme’s draft programme of work for 202</w:t>
      </w:r>
      <w:r w:rsidR="00BE1C2F" w:rsidRPr="00BE1C2F">
        <w:rPr>
          <w:color w:val="000000" w:themeColor="text1"/>
        </w:rPr>
        <w:t>4</w:t>
      </w:r>
      <w:r w:rsidR="007406E1" w:rsidRPr="00BE1C2F">
        <w:rPr>
          <w:color w:val="000000" w:themeColor="text1"/>
        </w:rPr>
        <w:t>. This document is based on the Trade subprogramme’s proposed programme plan for 202</w:t>
      </w:r>
      <w:r w:rsidR="00F3368B">
        <w:rPr>
          <w:color w:val="000000" w:themeColor="text1"/>
        </w:rPr>
        <w:t>4</w:t>
      </w:r>
      <w:r w:rsidR="007406E1" w:rsidRPr="00BE1C2F">
        <w:rPr>
          <w:color w:val="000000" w:themeColor="text1"/>
        </w:rPr>
        <w:t xml:space="preserve">, reviewed by the ECE Executive Committee in </w:t>
      </w:r>
      <w:r w:rsidR="008146BD">
        <w:rPr>
          <w:color w:val="000000" w:themeColor="text1"/>
        </w:rPr>
        <w:t>January</w:t>
      </w:r>
      <w:r w:rsidR="008146BD" w:rsidRPr="00BE1C2F">
        <w:rPr>
          <w:color w:val="000000" w:themeColor="text1"/>
        </w:rPr>
        <w:t xml:space="preserve"> </w:t>
      </w:r>
      <w:r w:rsidR="007406E1" w:rsidRPr="00BE1C2F">
        <w:rPr>
          <w:color w:val="000000" w:themeColor="text1"/>
        </w:rPr>
        <w:t>202</w:t>
      </w:r>
      <w:r w:rsidR="008146BD">
        <w:rPr>
          <w:color w:val="000000" w:themeColor="text1"/>
        </w:rPr>
        <w:t>3</w:t>
      </w:r>
      <w:r w:rsidR="007406E1" w:rsidRPr="00BE1C2F">
        <w:rPr>
          <w:color w:val="000000" w:themeColor="text1"/>
        </w:rPr>
        <w:t xml:space="preserve"> as part of the ECE proposed programme budget for 202</w:t>
      </w:r>
      <w:r w:rsidR="009863F8">
        <w:rPr>
          <w:color w:val="000000" w:themeColor="text1"/>
        </w:rPr>
        <w:t>4</w:t>
      </w:r>
      <w:r w:rsidR="007406E1" w:rsidRPr="00BE1C2F">
        <w:rPr>
          <w:color w:val="000000" w:themeColor="text1"/>
        </w:rPr>
        <w:t xml:space="preserve">, and submitted for consideration by the </w:t>
      </w:r>
      <w:r w:rsidR="00561F3F">
        <w:rPr>
          <w:color w:val="000000" w:themeColor="text1"/>
        </w:rPr>
        <w:t>seventy-eighth</w:t>
      </w:r>
      <w:r w:rsidR="005C2F15" w:rsidRPr="00BE1C2F">
        <w:rPr>
          <w:color w:val="000000" w:themeColor="text1"/>
        </w:rPr>
        <w:t xml:space="preserve"> </w:t>
      </w:r>
      <w:r w:rsidR="007406E1" w:rsidRPr="00BE1C2F">
        <w:rPr>
          <w:color w:val="000000" w:themeColor="text1"/>
        </w:rPr>
        <w:t>session of the U</w:t>
      </w:r>
      <w:r w:rsidR="00674C46" w:rsidRPr="00BE1C2F">
        <w:rPr>
          <w:color w:val="000000" w:themeColor="text1"/>
        </w:rPr>
        <w:t xml:space="preserve">nited </w:t>
      </w:r>
      <w:r w:rsidR="007406E1" w:rsidRPr="00BE1C2F">
        <w:rPr>
          <w:color w:val="000000" w:themeColor="text1"/>
        </w:rPr>
        <w:t>N</w:t>
      </w:r>
      <w:r w:rsidR="00674C46" w:rsidRPr="00BE1C2F">
        <w:rPr>
          <w:color w:val="000000" w:themeColor="text1"/>
        </w:rPr>
        <w:t>ations</w:t>
      </w:r>
      <w:r w:rsidR="007406E1" w:rsidRPr="00BE1C2F">
        <w:rPr>
          <w:color w:val="000000" w:themeColor="text1"/>
        </w:rPr>
        <w:t xml:space="preserve"> General Assembly. The draft programme of work document reflects the annual budget format </w:t>
      </w:r>
      <w:r w:rsidR="00B01517">
        <w:rPr>
          <w:color w:val="000000" w:themeColor="text1"/>
        </w:rPr>
        <w:t>approved by</w:t>
      </w:r>
      <w:r w:rsidR="00F15F74">
        <w:rPr>
          <w:color w:val="000000" w:themeColor="text1"/>
        </w:rPr>
        <w:t xml:space="preserve"> the</w:t>
      </w:r>
      <w:r w:rsidR="007406E1" w:rsidRPr="00BE1C2F">
        <w:rPr>
          <w:color w:val="000000" w:themeColor="text1"/>
        </w:rPr>
        <w:t xml:space="preserve"> General Assembly</w:t>
      </w:r>
      <w:r w:rsidR="00F15F74">
        <w:rPr>
          <w:color w:val="000000" w:themeColor="text1"/>
        </w:rPr>
        <w:t xml:space="preserve"> in</w:t>
      </w:r>
      <w:r w:rsidR="007406E1" w:rsidRPr="00BE1C2F">
        <w:rPr>
          <w:color w:val="000000" w:themeColor="text1"/>
        </w:rPr>
        <w:t xml:space="preserve"> resolution </w:t>
      </w:r>
      <w:r w:rsidR="00F15F74" w:rsidRPr="00BE1C2F">
        <w:rPr>
          <w:color w:val="000000" w:themeColor="text1"/>
        </w:rPr>
        <w:t>7</w:t>
      </w:r>
      <w:r w:rsidR="00F15F74">
        <w:rPr>
          <w:color w:val="000000" w:themeColor="text1"/>
        </w:rPr>
        <w:t>7</w:t>
      </w:r>
      <w:r w:rsidR="007406E1" w:rsidRPr="00BE1C2F">
        <w:rPr>
          <w:color w:val="000000" w:themeColor="text1"/>
        </w:rPr>
        <w:t>/</w:t>
      </w:r>
      <w:r w:rsidR="00F15F74" w:rsidRPr="00BE1C2F">
        <w:rPr>
          <w:color w:val="000000" w:themeColor="text1"/>
        </w:rPr>
        <w:t>26</w:t>
      </w:r>
      <w:r w:rsidR="00F15F74">
        <w:rPr>
          <w:color w:val="000000" w:themeColor="text1"/>
        </w:rPr>
        <w:t xml:space="preserve">7 </w:t>
      </w:r>
      <w:r w:rsidR="00F15F74">
        <w:rPr>
          <w:color w:val="000000" w:themeColor="text1"/>
        </w:rPr>
        <w:lastRenderedPageBreak/>
        <w:t>adopted on 30 December 2022</w:t>
      </w:r>
      <w:r w:rsidR="007406E1" w:rsidRPr="00BE1C2F">
        <w:rPr>
          <w:color w:val="000000" w:themeColor="text1"/>
        </w:rPr>
        <w:t xml:space="preserve">. Delegates will be invited to adopt the programme of work and recommend it to the </w:t>
      </w:r>
      <w:r w:rsidR="00B03933">
        <w:rPr>
          <w:color w:val="000000" w:themeColor="text1"/>
        </w:rPr>
        <w:t>EXCOM</w:t>
      </w:r>
      <w:r w:rsidR="007406E1" w:rsidRPr="00BE1C2F">
        <w:rPr>
          <w:color w:val="000000" w:themeColor="text1"/>
        </w:rPr>
        <w:t xml:space="preserve"> for approval. Sections on UN/CEFACT are for information only.</w:t>
      </w:r>
    </w:p>
    <w:p w14:paraId="3E1D17EE" w14:textId="412037DA" w:rsidR="0099547C" w:rsidRPr="00973E05" w:rsidRDefault="0073066C" w:rsidP="00E54AFA">
      <w:pPr>
        <w:pStyle w:val="SingleTxtG"/>
      </w:pPr>
      <w:r>
        <w:t>30</w:t>
      </w:r>
      <w:r w:rsidR="007406E1" w:rsidRPr="00BE1C2F">
        <w:t>.</w:t>
      </w:r>
      <w:r w:rsidR="007406E1" w:rsidRPr="00BE1C2F">
        <w:tab/>
      </w:r>
      <w:r w:rsidR="002C6631" w:rsidRPr="00BE1C2F">
        <w:t xml:space="preserve">At its meeting on 5 March 2021, the </w:t>
      </w:r>
      <w:r w:rsidR="00A1593A">
        <w:t>EXCOM</w:t>
      </w:r>
      <w:r w:rsidR="002C6631" w:rsidRPr="00BE1C2F">
        <w:t xml:space="preserve"> adopted a document entitled “Sequential review of the proposed programmes of work of </w:t>
      </w:r>
      <w:r w:rsidR="002C6631" w:rsidRPr="008D02CE">
        <w:t>ECE subprogrammes” (</w:t>
      </w:r>
      <w:r w:rsidR="0015633B">
        <w:t>I</w:t>
      </w:r>
      <w:r w:rsidR="00CF6927">
        <w:t>NF</w:t>
      </w:r>
      <w:r w:rsidR="008D02CE" w:rsidRPr="008D02CE">
        <w:t xml:space="preserve">. </w:t>
      </w:r>
      <w:r w:rsidR="002C6631" w:rsidRPr="008D02CE">
        <w:t>doc. 2021/8). In</w:t>
      </w:r>
      <w:r w:rsidR="002C6631" w:rsidRPr="00BE1C2F">
        <w:t xml:space="preserve"> line with the sequential review procedure, the Committee will be invited to also consider the “Outline of key components of the programme of work of the Trade subprogramme for 202</w:t>
      </w:r>
      <w:r w:rsidR="00C52E73">
        <w:t>5</w:t>
      </w:r>
      <w:r w:rsidR="002C6631" w:rsidRPr="00BE1C2F">
        <w:t>” (ECE/CTCS/202</w:t>
      </w:r>
      <w:r w:rsidR="00C52E73">
        <w:t>3</w:t>
      </w:r>
      <w:r w:rsidR="002C6631" w:rsidRPr="00BE1C2F">
        <w:t>/INF.1) and provide recommendations on these components, as necessary. Recommendations agreed by the Committee and included in its decisions will be reflected in the proposed programme plan of the Trade subprogramme for 202</w:t>
      </w:r>
      <w:r w:rsidR="00701FCA">
        <w:t>5</w:t>
      </w:r>
      <w:r w:rsidR="002C6631" w:rsidRPr="00BE1C2F">
        <w:t>.</w:t>
      </w:r>
    </w:p>
    <w:p w14:paraId="228078EB" w14:textId="14EC85D1" w:rsidR="00FF2419" w:rsidRDefault="0099547C" w:rsidP="009E3DB7">
      <w:pPr>
        <w:pStyle w:val="H1G"/>
      </w:pPr>
      <w:r w:rsidRPr="00973E05">
        <w:tab/>
      </w:r>
      <w:r w:rsidR="00FF2419">
        <w:tab/>
      </w:r>
      <w:r w:rsidRPr="00973E05">
        <w:t xml:space="preserve">Item </w:t>
      </w:r>
      <w:r w:rsidR="000B00F0" w:rsidRPr="00973E05">
        <w:t>1</w:t>
      </w:r>
      <w:r w:rsidR="0047556A">
        <w:t>4</w:t>
      </w:r>
      <w:r w:rsidRPr="00973E05">
        <w:t xml:space="preserve">. </w:t>
      </w:r>
      <w:r w:rsidR="000E4F3E" w:rsidRPr="00973E05">
        <w:t>Other business</w:t>
      </w:r>
    </w:p>
    <w:p w14:paraId="45BBE20F" w14:textId="30CE4459" w:rsidR="0099547C" w:rsidRPr="00973E05" w:rsidRDefault="000B00F0" w:rsidP="0099547C">
      <w:pPr>
        <w:pStyle w:val="SingleTxtG"/>
      </w:pPr>
      <w:r>
        <w:t>3</w:t>
      </w:r>
      <w:r w:rsidR="0073066C">
        <w:t>1</w:t>
      </w:r>
      <w:r w:rsidR="00CE63FE" w:rsidRPr="00973E05">
        <w:t>.</w:t>
      </w:r>
      <w:r w:rsidR="00CE63FE" w:rsidRPr="00973E05">
        <w:tab/>
      </w:r>
      <w:r w:rsidR="00361D30" w:rsidRPr="00973E05">
        <w:t xml:space="preserve">The Steering Committee will approve the </w:t>
      </w:r>
      <w:r w:rsidR="002A3477">
        <w:t xml:space="preserve">preliminary </w:t>
      </w:r>
      <w:r w:rsidR="00361D30" w:rsidRPr="00973E05">
        <w:t>dates for its next session.</w:t>
      </w:r>
    </w:p>
    <w:p w14:paraId="401041EB" w14:textId="4DC85088" w:rsidR="0099547C" w:rsidRPr="00973E05" w:rsidRDefault="0099547C" w:rsidP="0099547C">
      <w:pPr>
        <w:pStyle w:val="H1G"/>
      </w:pPr>
      <w:r w:rsidRPr="00973E05">
        <w:tab/>
      </w:r>
      <w:r w:rsidRPr="00973E05">
        <w:tab/>
        <w:t xml:space="preserve">Item </w:t>
      </w:r>
      <w:r w:rsidR="000B00F0" w:rsidRPr="00973E05">
        <w:t>1</w:t>
      </w:r>
      <w:r w:rsidR="0047556A">
        <w:t>5</w:t>
      </w:r>
      <w:r w:rsidRPr="00973E05">
        <w:t xml:space="preserve">. </w:t>
      </w:r>
      <w:r w:rsidR="00CB626B" w:rsidRPr="00973E05">
        <w:t>Adoption of the report</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2438"/>
        <w:gridCol w:w="1984"/>
      </w:tblGrid>
      <w:tr w:rsidR="007E132F" w:rsidRPr="00973E05" w14:paraId="415A6F1A" w14:textId="77777777" w:rsidTr="005E6CC7">
        <w:tc>
          <w:tcPr>
            <w:tcW w:w="2948" w:type="dxa"/>
            <w:tcBorders>
              <w:top w:val="single" w:sz="4" w:space="0" w:color="auto"/>
              <w:bottom w:val="single" w:sz="12" w:space="0" w:color="auto"/>
            </w:tcBorders>
            <w:shd w:val="clear" w:color="auto" w:fill="auto"/>
            <w:vAlign w:val="bottom"/>
          </w:tcPr>
          <w:p w14:paraId="1D089201" w14:textId="77777777" w:rsidR="007E132F" w:rsidRPr="00973E05" w:rsidRDefault="007E132F" w:rsidP="009103EE">
            <w:pPr>
              <w:keepNext/>
              <w:spacing w:before="80" w:after="80" w:line="200" w:lineRule="exact"/>
              <w:ind w:right="113"/>
              <w:rPr>
                <w:i/>
                <w:sz w:val="16"/>
              </w:rPr>
            </w:pPr>
            <w:r w:rsidRPr="00973E05">
              <w:rPr>
                <w:i/>
                <w:sz w:val="16"/>
              </w:rPr>
              <w:t>Title of document</w:t>
            </w:r>
          </w:p>
        </w:tc>
        <w:tc>
          <w:tcPr>
            <w:tcW w:w="2438" w:type="dxa"/>
            <w:tcBorders>
              <w:top w:val="single" w:sz="4" w:space="0" w:color="auto"/>
              <w:bottom w:val="single" w:sz="12" w:space="0" w:color="auto"/>
            </w:tcBorders>
            <w:shd w:val="clear" w:color="auto" w:fill="auto"/>
            <w:vAlign w:val="bottom"/>
          </w:tcPr>
          <w:p w14:paraId="6CD5FA2A" w14:textId="77777777" w:rsidR="007E132F" w:rsidRPr="00973E05" w:rsidRDefault="007E132F" w:rsidP="009103EE">
            <w:pPr>
              <w:keepNext/>
              <w:spacing w:before="80" w:after="80" w:line="200" w:lineRule="exact"/>
              <w:ind w:right="113"/>
              <w:rPr>
                <w:i/>
                <w:sz w:val="16"/>
              </w:rPr>
            </w:pPr>
            <w:r w:rsidRPr="00973E05">
              <w:rPr>
                <w:i/>
                <w:sz w:val="16"/>
              </w:rPr>
              <w:t>Document symbol</w:t>
            </w:r>
          </w:p>
        </w:tc>
        <w:tc>
          <w:tcPr>
            <w:tcW w:w="1984" w:type="dxa"/>
            <w:tcBorders>
              <w:top w:val="single" w:sz="4" w:space="0" w:color="auto"/>
              <w:bottom w:val="single" w:sz="12" w:space="0" w:color="auto"/>
            </w:tcBorders>
            <w:shd w:val="clear" w:color="auto" w:fill="auto"/>
            <w:vAlign w:val="bottom"/>
          </w:tcPr>
          <w:p w14:paraId="67EB1A3C" w14:textId="77777777" w:rsidR="007E132F" w:rsidRPr="00973E05" w:rsidRDefault="007E132F" w:rsidP="009103EE">
            <w:pPr>
              <w:keepNext/>
              <w:spacing w:before="80" w:after="80" w:line="200" w:lineRule="exact"/>
              <w:ind w:right="113"/>
              <w:rPr>
                <w:i/>
                <w:sz w:val="16"/>
              </w:rPr>
            </w:pPr>
            <w:r w:rsidRPr="00973E05">
              <w:rPr>
                <w:i/>
                <w:sz w:val="16"/>
              </w:rPr>
              <w:t>For information/decision</w:t>
            </w:r>
          </w:p>
        </w:tc>
      </w:tr>
      <w:tr w:rsidR="009103EE" w:rsidRPr="00973E05" w14:paraId="0EAFA646" w14:textId="77777777" w:rsidTr="005E6CC7">
        <w:trPr>
          <w:trHeight w:hRule="exact" w:val="113"/>
        </w:trPr>
        <w:tc>
          <w:tcPr>
            <w:tcW w:w="2948" w:type="dxa"/>
            <w:tcBorders>
              <w:top w:val="single" w:sz="12" w:space="0" w:color="auto"/>
            </w:tcBorders>
            <w:shd w:val="clear" w:color="auto" w:fill="auto"/>
            <w:vAlign w:val="bottom"/>
          </w:tcPr>
          <w:p w14:paraId="45650339" w14:textId="77777777" w:rsidR="007E132F" w:rsidRPr="00973E05" w:rsidRDefault="007E132F" w:rsidP="009103EE">
            <w:pPr>
              <w:keepNext/>
              <w:spacing w:before="80" w:after="80" w:line="200" w:lineRule="exact"/>
              <w:ind w:right="113"/>
              <w:rPr>
                <w:i/>
                <w:sz w:val="16"/>
              </w:rPr>
            </w:pPr>
          </w:p>
        </w:tc>
        <w:tc>
          <w:tcPr>
            <w:tcW w:w="2438" w:type="dxa"/>
            <w:tcBorders>
              <w:top w:val="single" w:sz="12" w:space="0" w:color="auto"/>
            </w:tcBorders>
            <w:shd w:val="clear" w:color="auto" w:fill="auto"/>
            <w:vAlign w:val="bottom"/>
          </w:tcPr>
          <w:p w14:paraId="4F39862F" w14:textId="77777777" w:rsidR="007E132F" w:rsidRPr="00973E05" w:rsidRDefault="007E132F" w:rsidP="009103EE">
            <w:pPr>
              <w:keepNext/>
              <w:spacing w:before="80" w:after="80" w:line="200" w:lineRule="exact"/>
              <w:ind w:right="113"/>
              <w:rPr>
                <w:i/>
                <w:sz w:val="16"/>
              </w:rPr>
            </w:pPr>
          </w:p>
        </w:tc>
        <w:tc>
          <w:tcPr>
            <w:tcW w:w="1984" w:type="dxa"/>
            <w:tcBorders>
              <w:top w:val="single" w:sz="12" w:space="0" w:color="auto"/>
            </w:tcBorders>
            <w:shd w:val="clear" w:color="auto" w:fill="auto"/>
            <w:vAlign w:val="bottom"/>
          </w:tcPr>
          <w:p w14:paraId="6CDDA92A" w14:textId="77777777" w:rsidR="007E132F" w:rsidRPr="00973E05" w:rsidRDefault="007E132F" w:rsidP="009103EE">
            <w:pPr>
              <w:keepNext/>
              <w:spacing w:before="80" w:after="80" w:line="200" w:lineRule="exact"/>
              <w:ind w:right="113"/>
              <w:rPr>
                <w:i/>
                <w:sz w:val="16"/>
              </w:rPr>
            </w:pPr>
          </w:p>
        </w:tc>
      </w:tr>
      <w:tr w:rsidR="00482519" w:rsidRPr="00973E05" w14:paraId="255CBF21" w14:textId="77777777" w:rsidTr="005E6CC7">
        <w:tc>
          <w:tcPr>
            <w:tcW w:w="2948" w:type="dxa"/>
            <w:tcBorders>
              <w:bottom w:val="single" w:sz="12" w:space="0" w:color="auto"/>
            </w:tcBorders>
            <w:shd w:val="clear" w:color="auto" w:fill="auto"/>
          </w:tcPr>
          <w:p w14:paraId="038A8235" w14:textId="7316D77D" w:rsidR="00482519" w:rsidRPr="00973E05" w:rsidRDefault="00482519" w:rsidP="00482519">
            <w:pPr>
              <w:spacing w:before="40" w:after="120"/>
              <w:ind w:right="113"/>
            </w:pPr>
            <w:r w:rsidRPr="00973E05">
              <w:t>Report of the session</w:t>
            </w:r>
          </w:p>
        </w:tc>
        <w:tc>
          <w:tcPr>
            <w:tcW w:w="2438" w:type="dxa"/>
            <w:tcBorders>
              <w:bottom w:val="single" w:sz="12" w:space="0" w:color="auto"/>
            </w:tcBorders>
            <w:shd w:val="clear" w:color="auto" w:fill="auto"/>
          </w:tcPr>
          <w:p w14:paraId="73B1D643" w14:textId="749AB96B" w:rsidR="00482519" w:rsidRPr="00973E05" w:rsidRDefault="00482519" w:rsidP="00482519">
            <w:pPr>
              <w:spacing w:before="40" w:after="120"/>
              <w:ind w:right="113"/>
            </w:pPr>
            <w:r w:rsidRPr="00973E05">
              <w:rPr>
                <w:color w:val="000000" w:themeColor="text1"/>
              </w:rPr>
              <w:t>ECE/CTCS/202</w:t>
            </w:r>
            <w:r w:rsidR="00442BC9">
              <w:rPr>
                <w:color w:val="000000" w:themeColor="text1"/>
              </w:rPr>
              <w:t>3</w:t>
            </w:r>
            <w:r w:rsidRPr="00973E05">
              <w:rPr>
                <w:color w:val="000000" w:themeColor="text1"/>
              </w:rPr>
              <w:t>/2</w:t>
            </w:r>
          </w:p>
        </w:tc>
        <w:tc>
          <w:tcPr>
            <w:tcW w:w="1984" w:type="dxa"/>
            <w:tcBorders>
              <w:bottom w:val="single" w:sz="12" w:space="0" w:color="auto"/>
            </w:tcBorders>
            <w:shd w:val="clear" w:color="auto" w:fill="auto"/>
          </w:tcPr>
          <w:p w14:paraId="0875AC39" w14:textId="77777777" w:rsidR="00482519" w:rsidRPr="00973E05" w:rsidRDefault="00482519" w:rsidP="00482519">
            <w:pPr>
              <w:spacing w:before="40" w:after="120"/>
              <w:ind w:right="113"/>
            </w:pPr>
            <w:r w:rsidRPr="00973E05">
              <w:t>Decision</w:t>
            </w:r>
          </w:p>
        </w:tc>
      </w:tr>
    </w:tbl>
    <w:p w14:paraId="3D30D111" w14:textId="6F1F94AE" w:rsidR="00FA3EAE" w:rsidRPr="00973E05" w:rsidRDefault="000B00F0" w:rsidP="002C06FC">
      <w:pPr>
        <w:pStyle w:val="SingleTxtG"/>
        <w:spacing w:before="120"/>
      </w:pPr>
      <w:r>
        <w:t>3</w:t>
      </w:r>
      <w:r w:rsidR="0073066C">
        <w:t>2</w:t>
      </w:r>
      <w:r w:rsidR="00484220" w:rsidRPr="00973E05">
        <w:t>.</w:t>
      </w:r>
      <w:r w:rsidR="00484220" w:rsidRPr="00973E05">
        <w:tab/>
        <w:t>Delegates will adopt</w:t>
      </w:r>
      <w:r w:rsidR="002A4E54" w:rsidRPr="00973E05">
        <w:t xml:space="preserve"> </w:t>
      </w:r>
      <w:r w:rsidR="00484220" w:rsidRPr="00973E05">
        <w:t xml:space="preserve">the report of the </w:t>
      </w:r>
      <w:r w:rsidR="00F47EFC">
        <w:t>eight</w:t>
      </w:r>
      <w:r w:rsidR="00F47EFC" w:rsidRPr="00973E05">
        <w:t>h</w:t>
      </w:r>
      <w:r w:rsidR="00484220" w:rsidRPr="00973E05">
        <w:t xml:space="preserve"> session of the Steering Committee on Trade Capacity and Standards, containing the deliberated decisions.</w:t>
      </w:r>
    </w:p>
    <w:p w14:paraId="00C57DB8" w14:textId="4BB03A71" w:rsidR="0099547C" w:rsidRPr="00973E05" w:rsidRDefault="0099547C" w:rsidP="00806605">
      <w:pPr>
        <w:pStyle w:val="HChG"/>
      </w:pPr>
      <w:r w:rsidRPr="00973E05">
        <w:tab/>
      </w:r>
      <w:r w:rsidR="00B26981" w:rsidRPr="00973E05">
        <w:t>III.</w:t>
      </w:r>
      <w:r w:rsidR="00B26981" w:rsidRPr="00973E05">
        <w:tab/>
      </w:r>
      <w:r w:rsidR="00806605" w:rsidRPr="00973E05">
        <w:t>Tentative timetable</w:t>
      </w:r>
    </w:p>
    <w:tbl>
      <w:tblPr>
        <w:tblStyle w:val="TableGrid"/>
        <w:tblW w:w="808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042"/>
        <w:gridCol w:w="5058"/>
      </w:tblGrid>
      <w:tr w:rsidR="00F20A3A" w:rsidRPr="00973E05" w14:paraId="4E7095C8" w14:textId="77777777" w:rsidTr="004A5691">
        <w:tc>
          <w:tcPr>
            <w:tcW w:w="1980" w:type="dxa"/>
            <w:tcBorders>
              <w:top w:val="single" w:sz="4" w:space="0" w:color="auto"/>
              <w:bottom w:val="single" w:sz="12" w:space="0" w:color="auto"/>
            </w:tcBorders>
            <w:shd w:val="clear" w:color="auto" w:fill="auto"/>
            <w:vAlign w:val="bottom"/>
          </w:tcPr>
          <w:p w14:paraId="35A97780" w14:textId="06702796" w:rsidR="00555A87" w:rsidRPr="00973E05" w:rsidRDefault="5BDE9A47" w:rsidP="013A46C7">
            <w:pPr>
              <w:spacing w:before="80" w:after="80" w:line="200" w:lineRule="exact"/>
              <w:ind w:right="113"/>
              <w:rPr>
                <w:i/>
                <w:iCs/>
                <w:sz w:val="16"/>
                <w:szCs w:val="16"/>
              </w:rPr>
            </w:pPr>
            <w:r w:rsidRPr="00973E05">
              <w:rPr>
                <w:i/>
                <w:iCs/>
                <w:sz w:val="16"/>
                <w:szCs w:val="16"/>
              </w:rPr>
              <w:t>Time</w:t>
            </w:r>
          </w:p>
        </w:tc>
        <w:tc>
          <w:tcPr>
            <w:tcW w:w="1042" w:type="dxa"/>
            <w:tcBorders>
              <w:top w:val="single" w:sz="4" w:space="0" w:color="auto"/>
              <w:bottom w:val="single" w:sz="12" w:space="0" w:color="auto"/>
            </w:tcBorders>
            <w:shd w:val="clear" w:color="auto" w:fill="auto"/>
            <w:vAlign w:val="bottom"/>
          </w:tcPr>
          <w:p w14:paraId="415A327B" w14:textId="6C7F8423" w:rsidR="00555A87" w:rsidRPr="00973E05" w:rsidRDefault="00D8172D" w:rsidP="00555A87">
            <w:pPr>
              <w:spacing w:before="80" w:after="80" w:line="200" w:lineRule="exact"/>
              <w:ind w:right="113"/>
              <w:rPr>
                <w:i/>
                <w:sz w:val="16"/>
              </w:rPr>
            </w:pPr>
            <w:r w:rsidRPr="00973E05">
              <w:rPr>
                <w:i/>
                <w:sz w:val="16"/>
              </w:rPr>
              <w:t>Agenda item</w:t>
            </w:r>
          </w:p>
        </w:tc>
        <w:tc>
          <w:tcPr>
            <w:tcW w:w="5058" w:type="dxa"/>
            <w:tcBorders>
              <w:top w:val="single" w:sz="4" w:space="0" w:color="auto"/>
              <w:bottom w:val="single" w:sz="12" w:space="0" w:color="auto"/>
            </w:tcBorders>
            <w:shd w:val="clear" w:color="auto" w:fill="auto"/>
            <w:vAlign w:val="bottom"/>
          </w:tcPr>
          <w:p w14:paraId="3C4F6F60" w14:textId="0CC6CC73" w:rsidR="00555A87" w:rsidRPr="00973E05" w:rsidRDefault="00251735" w:rsidP="00555A87">
            <w:pPr>
              <w:spacing w:before="80" w:after="80" w:line="200" w:lineRule="exact"/>
              <w:ind w:right="113"/>
              <w:rPr>
                <w:i/>
                <w:sz w:val="16"/>
              </w:rPr>
            </w:pPr>
            <w:r w:rsidRPr="00973E05">
              <w:rPr>
                <w:i/>
                <w:sz w:val="16"/>
              </w:rPr>
              <w:t>Description</w:t>
            </w:r>
          </w:p>
        </w:tc>
      </w:tr>
      <w:tr w:rsidR="00555A87" w:rsidRPr="00973E05" w14:paraId="208DE315" w14:textId="77777777" w:rsidTr="004A5691">
        <w:trPr>
          <w:trHeight w:hRule="exact" w:val="113"/>
        </w:trPr>
        <w:tc>
          <w:tcPr>
            <w:tcW w:w="1980" w:type="dxa"/>
            <w:tcBorders>
              <w:top w:val="single" w:sz="12" w:space="0" w:color="auto"/>
            </w:tcBorders>
            <w:shd w:val="clear" w:color="auto" w:fill="auto"/>
            <w:vAlign w:val="bottom"/>
          </w:tcPr>
          <w:p w14:paraId="4193CD08" w14:textId="77777777" w:rsidR="00555A87" w:rsidRPr="00973E05" w:rsidRDefault="00555A87" w:rsidP="00555A87">
            <w:pPr>
              <w:spacing w:before="80" w:after="80" w:line="200" w:lineRule="exact"/>
              <w:ind w:right="113"/>
              <w:rPr>
                <w:i/>
                <w:sz w:val="16"/>
              </w:rPr>
            </w:pPr>
          </w:p>
        </w:tc>
        <w:tc>
          <w:tcPr>
            <w:tcW w:w="1042" w:type="dxa"/>
            <w:tcBorders>
              <w:top w:val="single" w:sz="12" w:space="0" w:color="auto"/>
            </w:tcBorders>
            <w:shd w:val="clear" w:color="auto" w:fill="auto"/>
            <w:vAlign w:val="bottom"/>
          </w:tcPr>
          <w:p w14:paraId="5E2D94A8" w14:textId="77777777" w:rsidR="00555A87" w:rsidRPr="00973E05" w:rsidRDefault="00555A87" w:rsidP="00555A87">
            <w:pPr>
              <w:spacing w:before="80" w:after="80" w:line="200" w:lineRule="exact"/>
              <w:ind w:right="113"/>
              <w:rPr>
                <w:i/>
                <w:sz w:val="16"/>
              </w:rPr>
            </w:pPr>
          </w:p>
        </w:tc>
        <w:tc>
          <w:tcPr>
            <w:tcW w:w="5058" w:type="dxa"/>
            <w:tcBorders>
              <w:top w:val="single" w:sz="12" w:space="0" w:color="auto"/>
            </w:tcBorders>
            <w:shd w:val="clear" w:color="auto" w:fill="auto"/>
            <w:vAlign w:val="bottom"/>
          </w:tcPr>
          <w:p w14:paraId="15ACC853" w14:textId="77777777" w:rsidR="00555A87" w:rsidRPr="00973E05" w:rsidRDefault="00555A87" w:rsidP="00555A87">
            <w:pPr>
              <w:spacing w:before="80" w:after="80" w:line="200" w:lineRule="exact"/>
              <w:ind w:right="113"/>
              <w:rPr>
                <w:i/>
                <w:sz w:val="16"/>
              </w:rPr>
            </w:pPr>
          </w:p>
        </w:tc>
      </w:tr>
      <w:tr w:rsidR="00F20A3A" w:rsidRPr="00973E05" w14:paraId="075068FE" w14:textId="77777777" w:rsidTr="00417FE1">
        <w:tc>
          <w:tcPr>
            <w:tcW w:w="1980" w:type="dxa"/>
            <w:shd w:val="clear" w:color="auto" w:fill="auto"/>
          </w:tcPr>
          <w:p w14:paraId="502F06AD" w14:textId="60E7058D" w:rsidR="00555A87" w:rsidRPr="00973E05" w:rsidRDefault="00361113" w:rsidP="00555A87">
            <w:pPr>
              <w:spacing w:before="40" w:after="120"/>
              <w:ind w:right="113"/>
              <w:rPr>
                <w:b/>
                <w:bCs/>
              </w:rPr>
            </w:pPr>
            <w:r w:rsidRPr="00973E05">
              <w:rPr>
                <w:b/>
                <w:bCs/>
              </w:rPr>
              <w:t>2</w:t>
            </w:r>
            <w:r w:rsidR="002A7DBE">
              <w:rPr>
                <w:b/>
                <w:bCs/>
              </w:rPr>
              <w:t>6</w:t>
            </w:r>
            <w:r w:rsidRPr="00973E05">
              <w:rPr>
                <w:b/>
                <w:bCs/>
              </w:rPr>
              <w:t xml:space="preserve"> June </w:t>
            </w:r>
            <w:r w:rsidR="00815B23" w:rsidRPr="00973E05">
              <w:rPr>
                <w:b/>
                <w:bCs/>
              </w:rPr>
              <w:t>202</w:t>
            </w:r>
            <w:r w:rsidR="002A7DBE">
              <w:rPr>
                <w:b/>
                <w:bCs/>
              </w:rPr>
              <w:t>3</w:t>
            </w:r>
          </w:p>
        </w:tc>
        <w:tc>
          <w:tcPr>
            <w:tcW w:w="1042" w:type="dxa"/>
            <w:shd w:val="clear" w:color="auto" w:fill="auto"/>
          </w:tcPr>
          <w:p w14:paraId="371FFFB4" w14:textId="77777777" w:rsidR="00555A87" w:rsidRPr="00973E05" w:rsidRDefault="00555A87" w:rsidP="00555A87">
            <w:pPr>
              <w:spacing w:before="40" w:after="120"/>
              <w:ind w:right="113"/>
              <w:rPr>
                <w:b/>
                <w:bCs/>
              </w:rPr>
            </w:pPr>
          </w:p>
        </w:tc>
        <w:tc>
          <w:tcPr>
            <w:tcW w:w="5058" w:type="dxa"/>
            <w:shd w:val="clear" w:color="auto" w:fill="auto"/>
          </w:tcPr>
          <w:p w14:paraId="61A16299" w14:textId="77777777" w:rsidR="00555A87" w:rsidRPr="00973E05" w:rsidRDefault="00555A87" w:rsidP="00555A87">
            <w:pPr>
              <w:spacing w:before="40" w:after="120"/>
              <w:ind w:right="113"/>
              <w:rPr>
                <w:b/>
                <w:bCs/>
              </w:rPr>
            </w:pPr>
          </w:p>
        </w:tc>
      </w:tr>
      <w:tr w:rsidR="00F20A3A" w:rsidRPr="00973E05" w14:paraId="111B4424" w14:textId="77777777" w:rsidTr="00417FE1">
        <w:tc>
          <w:tcPr>
            <w:tcW w:w="1980" w:type="dxa"/>
            <w:shd w:val="clear" w:color="auto" w:fill="auto"/>
          </w:tcPr>
          <w:p w14:paraId="32D890D8" w14:textId="1835110B" w:rsidR="002A4E54" w:rsidRPr="00973E05" w:rsidRDefault="002A4E54" w:rsidP="00F20A3A">
            <w:pPr>
              <w:spacing w:before="40" w:after="120"/>
              <w:ind w:right="113"/>
            </w:pPr>
            <w:r w:rsidRPr="00973E05">
              <w:t>10</w:t>
            </w:r>
            <w:r w:rsidR="001E2E28">
              <w:t xml:space="preserve"> </w:t>
            </w:r>
            <w:r w:rsidR="00832CBA">
              <w:t>a</w:t>
            </w:r>
            <w:r w:rsidR="001E2E28">
              <w:t>.</w:t>
            </w:r>
            <w:r w:rsidR="00832CBA">
              <w:t>m</w:t>
            </w:r>
            <w:r w:rsidR="001E2E28">
              <w:t>.</w:t>
            </w:r>
            <w:r w:rsidRPr="00973E05">
              <w:t>–10</w:t>
            </w:r>
            <w:r w:rsidR="007C5670">
              <w:t>.</w:t>
            </w:r>
            <w:r w:rsidR="00A50D88">
              <w:t>05</w:t>
            </w:r>
            <w:r w:rsidR="001E2E28">
              <w:t xml:space="preserve"> a.m.</w:t>
            </w:r>
          </w:p>
        </w:tc>
        <w:tc>
          <w:tcPr>
            <w:tcW w:w="1042" w:type="dxa"/>
            <w:shd w:val="clear" w:color="auto" w:fill="auto"/>
          </w:tcPr>
          <w:p w14:paraId="39398DA1" w14:textId="20E09FCC" w:rsidR="002A4E54" w:rsidRPr="00973E05" w:rsidRDefault="001D7141" w:rsidP="00CA32D8">
            <w:pPr>
              <w:spacing w:before="40" w:after="120"/>
              <w:ind w:left="140" w:right="113"/>
            </w:pPr>
            <w:r w:rsidRPr="00973E05">
              <w:t>1</w:t>
            </w:r>
          </w:p>
        </w:tc>
        <w:tc>
          <w:tcPr>
            <w:tcW w:w="5058" w:type="dxa"/>
            <w:shd w:val="clear" w:color="auto" w:fill="auto"/>
          </w:tcPr>
          <w:p w14:paraId="6FFB2730" w14:textId="7D66BA9A" w:rsidR="002A4E54" w:rsidRPr="00973E05" w:rsidRDefault="0017646B" w:rsidP="002A4E54">
            <w:pPr>
              <w:spacing w:before="40" w:after="120"/>
              <w:ind w:right="113"/>
            </w:pPr>
            <w:r w:rsidRPr="00973E05">
              <w:t>Adoption of the agenda</w:t>
            </w:r>
          </w:p>
        </w:tc>
      </w:tr>
      <w:tr w:rsidR="004E53F0" w:rsidRPr="00973E05" w14:paraId="3F6896EA" w14:textId="77777777" w:rsidTr="00417FE1">
        <w:trPr>
          <w:trHeight w:val="440"/>
        </w:trPr>
        <w:tc>
          <w:tcPr>
            <w:tcW w:w="1980" w:type="dxa"/>
            <w:shd w:val="clear" w:color="auto" w:fill="auto"/>
          </w:tcPr>
          <w:p w14:paraId="6C94924B" w14:textId="40141913" w:rsidR="004E53F0" w:rsidRPr="00973E05" w:rsidRDefault="004E53F0" w:rsidP="00CA32D8">
            <w:pPr>
              <w:spacing w:before="40" w:after="120"/>
              <w:ind w:right="-424"/>
            </w:pPr>
            <w:r w:rsidRPr="00973E05">
              <w:t>10</w:t>
            </w:r>
            <w:r w:rsidR="00CA32D8">
              <w:t>.</w:t>
            </w:r>
            <w:r w:rsidR="00A50D88">
              <w:t>05</w:t>
            </w:r>
            <w:r w:rsidR="00CA32D8">
              <w:t xml:space="preserve"> a.m.</w:t>
            </w:r>
            <w:r w:rsidRPr="00973E05">
              <w:t>–</w:t>
            </w:r>
            <w:r w:rsidR="003639CD">
              <w:t>1</w:t>
            </w:r>
            <w:r w:rsidR="00E41EE6" w:rsidRPr="00973E05">
              <w:t>0</w:t>
            </w:r>
            <w:r w:rsidR="00CA32D8">
              <w:t>.</w:t>
            </w:r>
            <w:r w:rsidR="00A50D88">
              <w:t>15</w:t>
            </w:r>
            <w:r w:rsidR="00CA32D8">
              <w:t xml:space="preserve"> a.m.</w:t>
            </w:r>
          </w:p>
        </w:tc>
        <w:tc>
          <w:tcPr>
            <w:tcW w:w="1042" w:type="dxa"/>
            <w:shd w:val="clear" w:color="auto" w:fill="auto"/>
          </w:tcPr>
          <w:p w14:paraId="1ABD4BA6" w14:textId="314BB1B8" w:rsidR="004E53F0" w:rsidRPr="00973E05" w:rsidRDefault="00E41EE6" w:rsidP="00CA32D8">
            <w:pPr>
              <w:spacing w:before="40" w:after="120"/>
              <w:ind w:left="140" w:right="113"/>
            </w:pPr>
            <w:r w:rsidRPr="00973E05">
              <w:t>2</w:t>
            </w:r>
          </w:p>
        </w:tc>
        <w:tc>
          <w:tcPr>
            <w:tcW w:w="5058" w:type="dxa"/>
            <w:shd w:val="clear" w:color="auto" w:fill="auto"/>
          </w:tcPr>
          <w:p w14:paraId="6B0BD148" w14:textId="068E8706" w:rsidR="004E53F0" w:rsidRPr="00973E05" w:rsidRDefault="00B45008" w:rsidP="00DF332A">
            <w:pPr>
              <w:spacing w:before="40" w:after="120"/>
              <w:ind w:right="113"/>
            </w:pPr>
            <w:r>
              <w:t>Election of officers</w:t>
            </w:r>
          </w:p>
        </w:tc>
      </w:tr>
      <w:tr w:rsidR="00DF332A" w:rsidRPr="00973E05" w14:paraId="472FB892" w14:textId="77777777" w:rsidTr="00417FE1">
        <w:trPr>
          <w:trHeight w:val="312"/>
        </w:trPr>
        <w:tc>
          <w:tcPr>
            <w:tcW w:w="1980" w:type="dxa"/>
            <w:shd w:val="clear" w:color="auto" w:fill="auto"/>
          </w:tcPr>
          <w:p w14:paraId="720C78C1" w14:textId="77777777" w:rsidR="00DF332A" w:rsidRPr="00DF332A" w:rsidRDefault="00DF332A" w:rsidP="004E53F0">
            <w:pPr>
              <w:spacing w:before="40" w:after="120"/>
              <w:ind w:right="113"/>
              <w:rPr>
                <w:b/>
                <w:bCs/>
              </w:rPr>
            </w:pPr>
          </w:p>
        </w:tc>
        <w:tc>
          <w:tcPr>
            <w:tcW w:w="1042" w:type="dxa"/>
            <w:shd w:val="clear" w:color="auto" w:fill="auto"/>
          </w:tcPr>
          <w:p w14:paraId="638180A4" w14:textId="0CC8932E" w:rsidR="00DF332A" w:rsidRPr="00DF332A" w:rsidRDefault="00DF332A" w:rsidP="00CA32D8">
            <w:pPr>
              <w:spacing w:before="40" w:after="120"/>
              <w:ind w:left="140" w:right="113"/>
              <w:rPr>
                <w:b/>
                <w:bCs/>
              </w:rPr>
            </w:pPr>
            <w:r w:rsidRPr="00DF332A">
              <w:rPr>
                <w:b/>
                <w:bCs/>
              </w:rPr>
              <w:t>A</w:t>
            </w:r>
          </w:p>
        </w:tc>
        <w:tc>
          <w:tcPr>
            <w:tcW w:w="5058" w:type="dxa"/>
            <w:shd w:val="clear" w:color="auto" w:fill="auto"/>
          </w:tcPr>
          <w:p w14:paraId="7A310F95" w14:textId="6FC469B6" w:rsidR="00DF332A" w:rsidRPr="00DF332A" w:rsidRDefault="00DF332A" w:rsidP="004E53F0">
            <w:pPr>
              <w:spacing w:before="40" w:after="120"/>
              <w:ind w:right="113"/>
              <w:rPr>
                <w:b/>
                <w:bCs/>
              </w:rPr>
            </w:pPr>
            <w:r w:rsidRPr="00DF332A">
              <w:rPr>
                <w:b/>
                <w:bCs/>
              </w:rPr>
              <w:t>General segment</w:t>
            </w:r>
          </w:p>
        </w:tc>
      </w:tr>
      <w:tr w:rsidR="00DF332A" w:rsidRPr="00973E05" w14:paraId="551FF5E8" w14:textId="77777777" w:rsidTr="00417FE1">
        <w:trPr>
          <w:trHeight w:val="417"/>
        </w:trPr>
        <w:tc>
          <w:tcPr>
            <w:tcW w:w="1980" w:type="dxa"/>
            <w:shd w:val="clear" w:color="auto" w:fill="auto"/>
          </w:tcPr>
          <w:p w14:paraId="787A2AC2" w14:textId="12E97381" w:rsidR="00DF332A" w:rsidRPr="00973E05" w:rsidRDefault="003639CD" w:rsidP="004E53F0">
            <w:pPr>
              <w:spacing w:before="40" w:after="120"/>
              <w:ind w:right="113"/>
            </w:pPr>
            <w:r w:rsidRPr="00973E05">
              <w:t>10</w:t>
            </w:r>
            <w:r w:rsidR="00EC42D6">
              <w:t>.</w:t>
            </w:r>
            <w:r w:rsidR="00A50D88">
              <w:t>15</w:t>
            </w:r>
            <w:r w:rsidR="00EC42D6">
              <w:t xml:space="preserve"> a.m.</w:t>
            </w:r>
            <w:r w:rsidRPr="00973E05">
              <w:t>–10</w:t>
            </w:r>
            <w:r w:rsidR="00EC42D6">
              <w:t>.</w:t>
            </w:r>
            <w:r w:rsidR="00A50D88">
              <w:t>30</w:t>
            </w:r>
            <w:r w:rsidR="00493F1F">
              <w:t xml:space="preserve"> </w:t>
            </w:r>
            <w:r w:rsidR="00EC42D6">
              <w:t>a.m.</w:t>
            </w:r>
          </w:p>
        </w:tc>
        <w:tc>
          <w:tcPr>
            <w:tcW w:w="1042" w:type="dxa"/>
            <w:shd w:val="clear" w:color="auto" w:fill="auto"/>
          </w:tcPr>
          <w:p w14:paraId="01C759B4" w14:textId="4ABF58D8" w:rsidR="00DF332A" w:rsidRPr="00973E05" w:rsidRDefault="00F92522" w:rsidP="00CA32D8">
            <w:pPr>
              <w:spacing w:before="40" w:after="120"/>
              <w:ind w:left="140" w:right="113"/>
            </w:pPr>
            <w:r>
              <w:t>3</w:t>
            </w:r>
          </w:p>
        </w:tc>
        <w:tc>
          <w:tcPr>
            <w:tcW w:w="5058" w:type="dxa"/>
            <w:shd w:val="clear" w:color="auto" w:fill="auto"/>
          </w:tcPr>
          <w:p w14:paraId="57C9005E" w14:textId="77777777" w:rsidR="00DF332A" w:rsidRDefault="00DF332A" w:rsidP="004E53F0">
            <w:pPr>
              <w:spacing w:before="40" w:after="120"/>
              <w:ind w:right="113"/>
            </w:pPr>
            <w:r w:rsidRPr="00973E05">
              <w:t>Matters arising</w:t>
            </w:r>
          </w:p>
        </w:tc>
      </w:tr>
      <w:tr w:rsidR="004E53F0" w:rsidRPr="00973E05" w14:paraId="10A45E71" w14:textId="77777777" w:rsidTr="00417FE1">
        <w:trPr>
          <w:trHeight w:val="670"/>
        </w:trPr>
        <w:tc>
          <w:tcPr>
            <w:tcW w:w="1980" w:type="dxa"/>
            <w:shd w:val="clear" w:color="auto" w:fill="auto"/>
          </w:tcPr>
          <w:p w14:paraId="35CCE35C" w14:textId="5F900236" w:rsidR="004E53F0" w:rsidRDefault="00B47EEB" w:rsidP="004E53F0">
            <w:pPr>
              <w:spacing w:before="40" w:after="120"/>
              <w:ind w:right="113"/>
            </w:pPr>
            <w:r w:rsidRPr="00973E05">
              <w:t>10</w:t>
            </w:r>
            <w:r w:rsidR="00EC42D6">
              <w:t>.</w:t>
            </w:r>
            <w:r w:rsidR="00A50D88">
              <w:t>30</w:t>
            </w:r>
            <w:r w:rsidR="00EC42D6">
              <w:t xml:space="preserve"> a.m.</w:t>
            </w:r>
            <w:r w:rsidRPr="00973E05">
              <w:t>–1</w:t>
            </w:r>
            <w:r w:rsidR="00484B42">
              <w:t xml:space="preserve">1 </w:t>
            </w:r>
            <w:r w:rsidR="00EC42D6">
              <w:t>a.m.</w:t>
            </w:r>
          </w:p>
          <w:p w14:paraId="2A726E3E" w14:textId="04152CD9" w:rsidR="003B42E5" w:rsidRPr="00973E05" w:rsidRDefault="003B42E5" w:rsidP="004E53F0">
            <w:pPr>
              <w:spacing w:before="40" w:after="120"/>
              <w:ind w:right="113"/>
            </w:pPr>
          </w:p>
        </w:tc>
        <w:tc>
          <w:tcPr>
            <w:tcW w:w="1042" w:type="dxa"/>
            <w:shd w:val="clear" w:color="auto" w:fill="auto"/>
          </w:tcPr>
          <w:p w14:paraId="0144A6EF" w14:textId="3CEC00A8" w:rsidR="00E55E4F" w:rsidRDefault="00F92522" w:rsidP="00CA32D8">
            <w:pPr>
              <w:spacing w:before="40" w:after="120"/>
              <w:ind w:left="140" w:right="113"/>
            </w:pPr>
            <w:r>
              <w:t>4</w:t>
            </w:r>
          </w:p>
          <w:p w14:paraId="02FC1532" w14:textId="14A6B705" w:rsidR="00E55E4F" w:rsidRPr="00973E05" w:rsidRDefault="00E55E4F" w:rsidP="004E53F0">
            <w:pPr>
              <w:spacing w:before="40" w:after="120"/>
              <w:ind w:right="113"/>
            </w:pPr>
          </w:p>
        </w:tc>
        <w:tc>
          <w:tcPr>
            <w:tcW w:w="5058" w:type="dxa"/>
            <w:shd w:val="clear" w:color="auto" w:fill="auto"/>
          </w:tcPr>
          <w:p w14:paraId="1BC5DC62" w14:textId="73DF7B2D" w:rsidR="004E53F0" w:rsidRPr="00973E05" w:rsidRDefault="004E53F0" w:rsidP="004E53F0">
            <w:pPr>
              <w:spacing w:before="40" w:after="120"/>
              <w:ind w:right="113"/>
            </w:pPr>
            <w:r w:rsidRPr="00973E05">
              <w:t>Updates from the Working Party on Regulatory Cooperation and Standardization Policies (WP.6)</w:t>
            </w:r>
          </w:p>
        </w:tc>
      </w:tr>
      <w:tr w:rsidR="004E53F0" w:rsidRPr="00973E05" w14:paraId="621A8EEB" w14:textId="77777777" w:rsidTr="00417FE1">
        <w:tc>
          <w:tcPr>
            <w:tcW w:w="1980" w:type="dxa"/>
            <w:shd w:val="clear" w:color="auto" w:fill="auto"/>
          </w:tcPr>
          <w:p w14:paraId="0CC7E06F" w14:textId="7CF2DA4A" w:rsidR="004E53F0" w:rsidRPr="00973E05" w:rsidRDefault="00B47EEB" w:rsidP="004E53F0">
            <w:pPr>
              <w:spacing w:before="40" w:after="120"/>
              <w:ind w:right="113"/>
            </w:pPr>
            <w:r>
              <w:t>11</w:t>
            </w:r>
            <w:r w:rsidR="008E76F9">
              <w:t xml:space="preserve"> </w:t>
            </w:r>
            <w:r w:rsidR="0037561E">
              <w:t>a.m.</w:t>
            </w:r>
            <w:r w:rsidR="00CF1612" w:rsidRPr="00973E05">
              <w:t>–</w:t>
            </w:r>
            <w:r>
              <w:t>11</w:t>
            </w:r>
            <w:r w:rsidR="0037561E">
              <w:t>.</w:t>
            </w:r>
            <w:r w:rsidR="00A50D88">
              <w:t>30</w:t>
            </w:r>
            <w:r w:rsidR="0037561E">
              <w:t xml:space="preserve"> a.m.</w:t>
            </w:r>
          </w:p>
        </w:tc>
        <w:tc>
          <w:tcPr>
            <w:tcW w:w="1042" w:type="dxa"/>
            <w:shd w:val="clear" w:color="auto" w:fill="auto"/>
          </w:tcPr>
          <w:p w14:paraId="6AF9AB75" w14:textId="592CF61E" w:rsidR="004E53F0" w:rsidRPr="00973E05" w:rsidRDefault="00F92522" w:rsidP="00CA32D8">
            <w:pPr>
              <w:spacing w:before="40" w:after="120"/>
              <w:ind w:left="140" w:right="113"/>
            </w:pPr>
            <w:r>
              <w:t>5</w:t>
            </w:r>
          </w:p>
        </w:tc>
        <w:tc>
          <w:tcPr>
            <w:tcW w:w="5058" w:type="dxa"/>
            <w:shd w:val="clear" w:color="auto" w:fill="auto"/>
          </w:tcPr>
          <w:p w14:paraId="07339CFF" w14:textId="2101123D" w:rsidR="004E53F0" w:rsidRPr="00973E05" w:rsidRDefault="004E53F0" w:rsidP="004E53F0">
            <w:pPr>
              <w:spacing w:before="40" w:after="120"/>
              <w:ind w:right="113"/>
            </w:pPr>
            <w:r w:rsidRPr="00973E05">
              <w:t>Updates f</w:t>
            </w:r>
            <w:r w:rsidR="006D72AF">
              <w:t>rom</w:t>
            </w:r>
            <w:r w:rsidRPr="00973E05">
              <w:t xml:space="preserve"> the Working Party on Agricultural Quality Standards (WP.7)</w:t>
            </w:r>
          </w:p>
        </w:tc>
      </w:tr>
      <w:tr w:rsidR="00F92522" w:rsidRPr="00973E05" w14:paraId="2489E64D" w14:textId="77777777" w:rsidTr="00417FE1">
        <w:tc>
          <w:tcPr>
            <w:tcW w:w="1980" w:type="dxa"/>
            <w:shd w:val="clear" w:color="auto" w:fill="auto"/>
          </w:tcPr>
          <w:p w14:paraId="07BE2BA8" w14:textId="77777777" w:rsidR="00F92522" w:rsidRPr="00973E05" w:rsidRDefault="00F92522" w:rsidP="004E53F0">
            <w:pPr>
              <w:spacing w:before="40" w:after="120"/>
              <w:ind w:right="113"/>
            </w:pPr>
          </w:p>
        </w:tc>
        <w:tc>
          <w:tcPr>
            <w:tcW w:w="1042" w:type="dxa"/>
            <w:shd w:val="clear" w:color="auto" w:fill="auto"/>
          </w:tcPr>
          <w:p w14:paraId="259D770B" w14:textId="2877A523" w:rsidR="00F92522" w:rsidRPr="00F92522" w:rsidRDefault="00F92522" w:rsidP="00CA32D8">
            <w:pPr>
              <w:spacing w:before="40" w:after="120"/>
              <w:ind w:left="140" w:right="113"/>
              <w:rPr>
                <w:b/>
                <w:bCs/>
              </w:rPr>
            </w:pPr>
            <w:r w:rsidRPr="00F92522">
              <w:rPr>
                <w:b/>
                <w:bCs/>
              </w:rPr>
              <w:t>B</w:t>
            </w:r>
          </w:p>
        </w:tc>
        <w:tc>
          <w:tcPr>
            <w:tcW w:w="5058" w:type="dxa"/>
            <w:shd w:val="clear" w:color="auto" w:fill="auto"/>
          </w:tcPr>
          <w:p w14:paraId="24EC9E84" w14:textId="1106EFEE" w:rsidR="00F92522" w:rsidRPr="00F92522" w:rsidRDefault="00F92522" w:rsidP="004E53F0">
            <w:pPr>
              <w:spacing w:before="40" w:after="120"/>
              <w:ind w:right="113"/>
              <w:rPr>
                <w:b/>
                <w:bCs/>
              </w:rPr>
            </w:pPr>
            <w:r w:rsidRPr="00F92522">
              <w:rPr>
                <w:b/>
                <w:bCs/>
              </w:rPr>
              <w:t>High-level segment: Removing regulatory and procedural barriers to trade in the Economic Commission for Europe region</w:t>
            </w:r>
          </w:p>
        </w:tc>
      </w:tr>
      <w:tr w:rsidR="004E53F0" w:rsidRPr="00973E05" w14:paraId="783DC3F2" w14:textId="77777777" w:rsidTr="00417FE1">
        <w:tc>
          <w:tcPr>
            <w:tcW w:w="1980" w:type="dxa"/>
            <w:shd w:val="clear" w:color="auto" w:fill="auto"/>
          </w:tcPr>
          <w:p w14:paraId="2FE9B4A0" w14:textId="5465CA34" w:rsidR="004E53F0" w:rsidRPr="00973E05" w:rsidRDefault="004E53F0" w:rsidP="004E53F0">
            <w:pPr>
              <w:spacing w:before="40" w:after="120"/>
              <w:ind w:right="113"/>
            </w:pPr>
            <w:r w:rsidRPr="00973E05">
              <w:t>11</w:t>
            </w:r>
            <w:r w:rsidR="0037561E">
              <w:t>.</w:t>
            </w:r>
            <w:r w:rsidR="00A50D88">
              <w:t>30</w:t>
            </w:r>
            <w:r w:rsidR="0037561E">
              <w:t xml:space="preserve"> a.m.</w:t>
            </w:r>
            <w:r w:rsidRPr="00973E05">
              <w:t>–</w:t>
            </w:r>
            <w:r w:rsidR="00F1170B">
              <w:t>1</w:t>
            </w:r>
            <w:r w:rsidR="0037561E">
              <w:t xml:space="preserve"> p.m</w:t>
            </w:r>
            <w:r w:rsidR="00F1170B">
              <w:t>.</w:t>
            </w:r>
          </w:p>
        </w:tc>
        <w:tc>
          <w:tcPr>
            <w:tcW w:w="1042" w:type="dxa"/>
            <w:shd w:val="clear" w:color="auto" w:fill="auto"/>
          </w:tcPr>
          <w:p w14:paraId="33C31D24" w14:textId="4553017A" w:rsidR="004E53F0" w:rsidRPr="00973E05" w:rsidRDefault="00FD2A88" w:rsidP="00CA32D8">
            <w:pPr>
              <w:spacing w:before="40" w:after="120"/>
              <w:ind w:left="140" w:right="113"/>
            </w:pPr>
            <w:r>
              <w:t>6</w:t>
            </w:r>
          </w:p>
        </w:tc>
        <w:tc>
          <w:tcPr>
            <w:tcW w:w="5058" w:type="dxa"/>
            <w:shd w:val="clear" w:color="auto" w:fill="auto"/>
          </w:tcPr>
          <w:p w14:paraId="5F41BEB3" w14:textId="570D7DD7" w:rsidR="004E53F0" w:rsidRPr="00973E05" w:rsidRDefault="001E77F1" w:rsidP="004E53F0">
            <w:pPr>
              <w:spacing w:before="40" w:after="120"/>
              <w:ind w:right="113"/>
            </w:pPr>
            <w:r>
              <w:t>Country</w:t>
            </w:r>
            <w:r w:rsidR="00461D15">
              <w:t xml:space="preserve"> studies</w:t>
            </w:r>
            <w:r w:rsidR="00FD2A88" w:rsidRPr="00FD2A88">
              <w:t>: Kyrgyzstan</w:t>
            </w:r>
            <w:r w:rsidR="00D60DB9">
              <w:t xml:space="preserve"> and the Republic of Moldova</w:t>
            </w:r>
          </w:p>
        </w:tc>
      </w:tr>
      <w:tr w:rsidR="004E53F0" w:rsidRPr="00973E05" w14:paraId="2B67CF02" w14:textId="77777777" w:rsidTr="00417FE1">
        <w:tc>
          <w:tcPr>
            <w:tcW w:w="1980" w:type="dxa"/>
            <w:shd w:val="clear" w:color="auto" w:fill="auto"/>
          </w:tcPr>
          <w:p w14:paraId="4EBF01AC" w14:textId="00D1B316" w:rsidR="004E53F0" w:rsidRPr="003F7E5C" w:rsidRDefault="004E53F0" w:rsidP="004E53F0">
            <w:pPr>
              <w:spacing w:before="40" w:after="120"/>
              <w:ind w:right="113"/>
              <w:rPr>
                <w:b/>
                <w:bCs/>
              </w:rPr>
            </w:pPr>
          </w:p>
        </w:tc>
        <w:tc>
          <w:tcPr>
            <w:tcW w:w="1042" w:type="dxa"/>
            <w:shd w:val="clear" w:color="auto" w:fill="auto"/>
          </w:tcPr>
          <w:p w14:paraId="10AFF72F" w14:textId="7EE6C81F" w:rsidR="004E53F0" w:rsidRPr="003F7E5C" w:rsidRDefault="00FD2A88" w:rsidP="00CA32D8">
            <w:pPr>
              <w:spacing w:before="40" w:after="120"/>
              <w:ind w:left="140" w:right="113"/>
              <w:rPr>
                <w:b/>
                <w:bCs/>
              </w:rPr>
            </w:pPr>
            <w:r w:rsidRPr="003F7E5C">
              <w:rPr>
                <w:b/>
                <w:bCs/>
              </w:rPr>
              <w:t>C</w:t>
            </w:r>
          </w:p>
        </w:tc>
        <w:tc>
          <w:tcPr>
            <w:tcW w:w="5058" w:type="dxa"/>
            <w:shd w:val="clear" w:color="auto" w:fill="auto"/>
          </w:tcPr>
          <w:p w14:paraId="49AA756E" w14:textId="7551938A" w:rsidR="004E53F0" w:rsidRPr="003F7E5C" w:rsidRDefault="003F7E5C" w:rsidP="004E53F0">
            <w:pPr>
              <w:spacing w:before="40" w:after="120"/>
              <w:ind w:right="113"/>
              <w:rPr>
                <w:b/>
                <w:bCs/>
              </w:rPr>
            </w:pPr>
            <w:r w:rsidRPr="003F7E5C">
              <w:rPr>
                <w:b/>
                <w:bCs/>
              </w:rPr>
              <w:t xml:space="preserve">High-level segment: </w:t>
            </w:r>
            <w:r w:rsidR="002D05D4" w:rsidRPr="002D05D4">
              <w:rPr>
                <w:b/>
                <w:bCs/>
              </w:rPr>
              <w:t>Lessons learned from</w:t>
            </w:r>
            <w:r w:rsidRPr="003F7E5C">
              <w:rPr>
                <w:b/>
                <w:bCs/>
              </w:rPr>
              <w:t xml:space="preserve"> the Studies on Regulatory Barriers to Trade </w:t>
            </w:r>
            <w:r w:rsidR="002D05D4" w:rsidRPr="002D05D4">
              <w:rPr>
                <w:b/>
                <w:bCs/>
              </w:rPr>
              <w:t>and emerging areas for consideration</w:t>
            </w:r>
          </w:p>
        </w:tc>
      </w:tr>
      <w:tr w:rsidR="00FD2A88" w:rsidRPr="00973E05" w14:paraId="6058C391" w14:textId="77777777" w:rsidTr="00417FE1">
        <w:tc>
          <w:tcPr>
            <w:tcW w:w="1980" w:type="dxa"/>
            <w:shd w:val="clear" w:color="auto" w:fill="auto"/>
          </w:tcPr>
          <w:p w14:paraId="006308AF" w14:textId="6C7421EA" w:rsidR="00FD2A88" w:rsidRPr="00973E05" w:rsidRDefault="006A4F4C" w:rsidP="004E53F0">
            <w:pPr>
              <w:spacing w:before="40" w:after="120"/>
              <w:ind w:right="113"/>
            </w:pPr>
            <w:r>
              <w:t>3 p.m.</w:t>
            </w:r>
            <w:r w:rsidR="0093517B" w:rsidRPr="00973E05">
              <w:t>–</w:t>
            </w:r>
            <w:r>
              <w:t xml:space="preserve"> 4 p.m.</w:t>
            </w:r>
          </w:p>
        </w:tc>
        <w:tc>
          <w:tcPr>
            <w:tcW w:w="1042" w:type="dxa"/>
            <w:shd w:val="clear" w:color="auto" w:fill="auto"/>
          </w:tcPr>
          <w:p w14:paraId="7250E2AF" w14:textId="3BA196D2" w:rsidR="00FD2A88" w:rsidRPr="00973E05" w:rsidRDefault="005075CA" w:rsidP="00CA32D8">
            <w:pPr>
              <w:spacing w:before="40" w:after="120"/>
              <w:ind w:left="140" w:right="113"/>
            </w:pPr>
            <w:r>
              <w:t>7</w:t>
            </w:r>
          </w:p>
        </w:tc>
        <w:tc>
          <w:tcPr>
            <w:tcW w:w="5058" w:type="dxa"/>
            <w:shd w:val="clear" w:color="auto" w:fill="auto"/>
          </w:tcPr>
          <w:p w14:paraId="24154DDC" w14:textId="7166DB73" w:rsidR="00FD2A88" w:rsidRPr="000769EF" w:rsidRDefault="000769EF" w:rsidP="00E36A99">
            <w:pPr>
              <w:pStyle w:val="SingleTxtG"/>
              <w:ind w:left="0" w:right="221"/>
              <w:rPr>
                <w:bCs/>
              </w:rPr>
            </w:pPr>
            <w:r w:rsidRPr="000769EF">
              <w:rPr>
                <w:bCs/>
              </w:rPr>
              <w:t>Lessons</w:t>
            </w:r>
            <w:r w:rsidR="003F7E5C" w:rsidRPr="000769EF">
              <w:rPr>
                <w:bCs/>
              </w:rPr>
              <w:t xml:space="preserve"> learned from the Studies on Regulatory Barriers to Trade and </w:t>
            </w:r>
            <w:r w:rsidRPr="000769EF">
              <w:rPr>
                <w:bCs/>
              </w:rPr>
              <w:t>country follow-ups</w:t>
            </w:r>
          </w:p>
        </w:tc>
      </w:tr>
      <w:tr w:rsidR="003F7E5C" w:rsidRPr="00973E05" w14:paraId="5E4E428B" w14:textId="77777777" w:rsidTr="00417FE1">
        <w:tc>
          <w:tcPr>
            <w:tcW w:w="1980" w:type="dxa"/>
            <w:shd w:val="clear" w:color="auto" w:fill="auto"/>
          </w:tcPr>
          <w:p w14:paraId="603651C2" w14:textId="0BAD3C33" w:rsidR="003F7E5C" w:rsidRPr="00973E05" w:rsidRDefault="006A4F4C" w:rsidP="004E53F0">
            <w:pPr>
              <w:spacing w:before="40" w:after="120"/>
              <w:ind w:right="113"/>
            </w:pPr>
            <w:r>
              <w:t>4 p.m.</w:t>
            </w:r>
            <w:r w:rsidR="00CF1612" w:rsidRPr="00973E05">
              <w:t>–</w:t>
            </w:r>
            <w:r w:rsidR="00B07C72">
              <w:t xml:space="preserve"> 5</w:t>
            </w:r>
            <w:r w:rsidR="008E76F9">
              <w:t xml:space="preserve"> </w:t>
            </w:r>
            <w:r w:rsidR="00B07C72">
              <w:t>p.m.</w:t>
            </w:r>
          </w:p>
        </w:tc>
        <w:tc>
          <w:tcPr>
            <w:tcW w:w="1042" w:type="dxa"/>
            <w:shd w:val="clear" w:color="auto" w:fill="auto"/>
          </w:tcPr>
          <w:p w14:paraId="1EEB6F32" w14:textId="4123B77A" w:rsidR="003F7E5C" w:rsidRDefault="005075CA" w:rsidP="00CA32D8">
            <w:pPr>
              <w:spacing w:before="40" w:after="120"/>
              <w:ind w:left="140" w:right="113"/>
            </w:pPr>
            <w:r>
              <w:t>8</w:t>
            </w:r>
          </w:p>
        </w:tc>
        <w:tc>
          <w:tcPr>
            <w:tcW w:w="5058" w:type="dxa"/>
            <w:shd w:val="clear" w:color="auto" w:fill="auto"/>
          </w:tcPr>
          <w:p w14:paraId="4915A456" w14:textId="709A0188" w:rsidR="003F7E5C" w:rsidRPr="00973E05" w:rsidRDefault="001B6DE8" w:rsidP="00E36A99">
            <w:pPr>
              <w:pStyle w:val="SingleTxtG"/>
              <w:ind w:left="0" w:right="221"/>
            </w:pPr>
            <w:r>
              <w:t xml:space="preserve">Integrating circular economy </w:t>
            </w:r>
            <w:r w:rsidR="005075CA">
              <w:t>consideration</w:t>
            </w:r>
            <w:r w:rsidR="00203A16">
              <w:t>s</w:t>
            </w:r>
            <w:r w:rsidR="005075CA">
              <w:t xml:space="preserve"> </w:t>
            </w:r>
            <w:r>
              <w:t>into S</w:t>
            </w:r>
            <w:r w:rsidRPr="00E249E3">
              <w:t xml:space="preserve">tudies on </w:t>
            </w:r>
            <w:r>
              <w:t>R</w:t>
            </w:r>
            <w:r w:rsidRPr="00E249E3">
              <w:t xml:space="preserve">egulatory and </w:t>
            </w:r>
            <w:r>
              <w:t>P</w:t>
            </w:r>
            <w:r w:rsidRPr="00E249E3">
              <w:t xml:space="preserve">rocedural </w:t>
            </w:r>
            <w:r>
              <w:t>B</w:t>
            </w:r>
            <w:r w:rsidRPr="00E249E3">
              <w:t xml:space="preserve">arriers to </w:t>
            </w:r>
            <w:r>
              <w:t>T</w:t>
            </w:r>
            <w:r w:rsidRPr="00E249E3">
              <w:t>rade</w:t>
            </w:r>
          </w:p>
        </w:tc>
      </w:tr>
      <w:tr w:rsidR="003F7E5C" w:rsidRPr="00973E05" w14:paraId="4DA21B6A" w14:textId="77777777" w:rsidTr="00F45EDF">
        <w:trPr>
          <w:trHeight w:val="517"/>
        </w:trPr>
        <w:tc>
          <w:tcPr>
            <w:tcW w:w="1980" w:type="dxa"/>
            <w:shd w:val="clear" w:color="auto" w:fill="auto"/>
          </w:tcPr>
          <w:p w14:paraId="40239E21" w14:textId="7DDEC664" w:rsidR="003F7E5C" w:rsidRPr="00973E05" w:rsidRDefault="00B07C72" w:rsidP="004E53F0">
            <w:pPr>
              <w:spacing w:before="40" w:after="120"/>
              <w:ind w:right="113"/>
            </w:pPr>
            <w:r>
              <w:lastRenderedPageBreak/>
              <w:t>5 p.m.</w:t>
            </w:r>
            <w:r w:rsidR="00CF1612" w:rsidRPr="00973E05">
              <w:t>–</w:t>
            </w:r>
            <w:r>
              <w:t xml:space="preserve"> 6 p.m.</w:t>
            </w:r>
          </w:p>
        </w:tc>
        <w:tc>
          <w:tcPr>
            <w:tcW w:w="1042" w:type="dxa"/>
            <w:shd w:val="clear" w:color="auto" w:fill="auto"/>
          </w:tcPr>
          <w:p w14:paraId="3176277D" w14:textId="445DE37D" w:rsidR="003F7E5C" w:rsidRDefault="005075CA" w:rsidP="00CA32D8">
            <w:pPr>
              <w:spacing w:before="40" w:after="120"/>
              <w:ind w:left="140" w:right="113"/>
            </w:pPr>
            <w:r>
              <w:t>9</w:t>
            </w:r>
          </w:p>
        </w:tc>
        <w:tc>
          <w:tcPr>
            <w:tcW w:w="5058" w:type="dxa"/>
            <w:shd w:val="clear" w:color="auto" w:fill="auto"/>
          </w:tcPr>
          <w:p w14:paraId="1CD5B589" w14:textId="64B9E7E1" w:rsidR="003F7E5C" w:rsidRPr="00973E05" w:rsidRDefault="0090281B" w:rsidP="00E36A99">
            <w:pPr>
              <w:pStyle w:val="SingleTxtG"/>
              <w:ind w:left="0" w:right="221"/>
            </w:pPr>
            <w:r>
              <w:t xml:space="preserve">Integrating digital </w:t>
            </w:r>
            <w:r w:rsidRPr="005075CA">
              <w:t xml:space="preserve">economy </w:t>
            </w:r>
            <w:r w:rsidRPr="00CE3DA2">
              <w:t>considerations</w:t>
            </w:r>
            <w:r w:rsidRPr="005075CA">
              <w:t xml:space="preserve"> into</w:t>
            </w:r>
            <w:r>
              <w:t xml:space="preserve"> S</w:t>
            </w:r>
            <w:r w:rsidRPr="00E249E3">
              <w:t xml:space="preserve">tudies on </w:t>
            </w:r>
            <w:r>
              <w:t>R</w:t>
            </w:r>
            <w:r w:rsidRPr="00E249E3">
              <w:t xml:space="preserve">egulatory and </w:t>
            </w:r>
            <w:r>
              <w:t>P</w:t>
            </w:r>
            <w:r w:rsidRPr="00E249E3">
              <w:t xml:space="preserve">rocedural </w:t>
            </w:r>
            <w:r>
              <w:t>B</w:t>
            </w:r>
            <w:r w:rsidRPr="00E249E3">
              <w:t xml:space="preserve">arriers to </w:t>
            </w:r>
            <w:r>
              <w:t>T</w:t>
            </w:r>
            <w:r w:rsidRPr="00E249E3">
              <w:t>rade</w:t>
            </w:r>
          </w:p>
        </w:tc>
      </w:tr>
      <w:tr w:rsidR="004E53F0" w:rsidRPr="00973E05" w14:paraId="1E4FA8B0" w14:textId="77777777" w:rsidTr="00F45EDF">
        <w:trPr>
          <w:trHeight w:val="355"/>
        </w:trPr>
        <w:tc>
          <w:tcPr>
            <w:tcW w:w="1980" w:type="dxa"/>
            <w:shd w:val="clear" w:color="auto" w:fill="auto"/>
          </w:tcPr>
          <w:p w14:paraId="487D5598" w14:textId="3919D9A8" w:rsidR="004E53F0" w:rsidRPr="00973E05" w:rsidRDefault="004E53F0" w:rsidP="004E53F0">
            <w:pPr>
              <w:spacing w:before="40" w:after="120"/>
              <w:ind w:right="113"/>
              <w:rPr>
                <w:b/>
                <w:bCs/>
              </w:rPr>
            </w:pPr>
            <w:r w:rsidRPr="00973E05">
              <w:rPr>
                <w:b/>
                <w:bCs/>
              </w:rPr>
              <w:t>2</w:t>
            </w:r>
            <w:r w:rsidR="000601BC">
              <w:rPr>
                <w:b/>
                <w:bCs/>
              </w:rPr>
              <w:t>7</w:t>
            </w:r>
            <w:r w:rsidRPr="00973E05">
              <w:rPr>
                <w:b/>
                <w:bCs/>
              </w:rPr>
              <w:t xml:space="preserve"> June 202</w:t>
            </w:r>
            <w:r w:rsidR="000601BC">
              <w:rPr>
                <w:b/>
                <w:bCs/>
              </w:rPr>
              <w:t>3</w:t>
            </w:r>
          </w:p>
        </w:tc>
        <w:tc>
          <w:tcPr>
            <w:tcW w:w="1042" w:type="dxa"/>
            <w:shd w:val="clear" w:color="auto" w:fill="auto"/>
          </w:tcPr>
          <w:p w14:paraId="0B498835" w14:textId="2DB00A10" w:rsidR="004E53F0" w:rsidRPr="00973E05" w:rsidRDefault="004E53F0" w:rsidP="004E53F0">
            <w:pPr>
              <w:spacing w:before="40" w:after="120"/>
              <w:ind w:right="113"/>
            </w:pPr>
          </w:p>
        </w:tc>
        <w:tc>
          <w:tcPr>
            <w:tcW w:w="5058" w:type="dxa"/>
            <w:shd w:val="clear" w:color="auto" w:fill="auto"/>
          </w:tcPr>
          <w:p w14:paraId="1EFB0085" w14:textId="77777777" w:rsidR="004E53F0" w:rsidRPr="00973E05" w:rsidRDefault="004E53F0" w:rsidP="004E53F0">
            <w:pPr>
              <w:spacing w:before="40" w:after="120"/>
              <w:ind w:right="113"/>
            </w:pPr>
          </w:p>
        </w:tc>
      </w:tr>
      <w:tr w:rsidR="00CF7E98" w:rsidRPr="00973E05" w14:paraId="61AEA893" w14:textId="77777777" w:rsidTr="00417FE1">
        <w:tc>
          <w:tcPr>
            <w:tcW w:w="1980" w:type="dxa"/>
            <w:shd w:val="clear" w:color="auto" w:fill="auto"/>
          </w:tcPr>
          <w:p w14:paraId="3020E7D5" w14:textId="77777777" w:rsidR="00CF7E98" w:rsidRPr="006C2F58" w:rsidRDefault="00CF7E98" w:rsidP="004E53F0">
            <w:pPr>
              <w:spacing w:before="40" w:after="120"/>
              <w:ind w:right="113"/>
              <w:rPr>
                <w:b/>
                <w:bCs/>
              </w:rPr>
            </w:pPr>
          </w:p>
        </w:tc>
        <w:tc>
          <w:tcPr>
            <w:tcW w:w="1042" w:type="dxa"/>
            <w:shd w:val="clear" w:color="auto" w:fill="auto"/>
          </w:tcPr>
          <w:p w14:paraId="796A93AB" w14:textId="557ED6C9" w:rsidR="00CF7E98" w:rsidRPr="006C2F58" w:rsidRDefault="00CF7E98" w:rsidP="00CA32D8">
            <w:pPr>
              <w:spacing w:before="40" w:after="120"/>
              <w:ind w:left="140" w:right="113"/>
              <w:rPr>
                <w:b/>
                <w:bCs/>
              </w:rPr>
            </w:pPr>
            <w:r w:rsidRPr="006C2F58">
              <w:rPr>
                <w:b/>
                <w:bCs/>
              </w:rPr>
              <w:t>D</w:t>
            </w:r>
          </w:p>
        </w:tc>
        <w:tc>
          <w:tcPr>
            <w:tcW w:w="5058" w:type="dxa"/>
            <w:shd w:val="clear" w:color="auto" w:fill="auto"/>
          </w:tcPr>
          <w:p w14:paraId="08AFF74B" w14:textId="11017A1E" w:rsidR="00CF7E98" w:rsidRPr="006C2F58" w:rsidRDefault="00CF7E98" w:rsidP="004E53F0">
            <w:pPr>
              <w:spacing w:before="40" w:after="120"/>
              <w:ind w:right="113"/>
              <w:rPr>
                <w:b/>
                <w:bCs/>
              </w:rPr>
            </w:pPr>
            <w:r w:rsidRPr="006C2F58">
              <w:rPr>
                <w:b/>
                <w:bCs/>
              </w:rPr>
              <w:t>Continuation of the general segment</w:t>
            </w:r>
          </w:p>
        </w:tc>
      </w:tr>
      <w:tr w:rsidR="006C6155" w:rsidRPr="00973E05" w14:paraId="7220583E" w14:textId="77777777" w:rsidTr="00417FE1">
        <w:tc>
          <w:tcPr>
            <w:tcW w:w="1980" w:type="dxa"/>
            <w:shd w:val="clear" w:color="auto" w:fill="auto"/>
          </w:tcPr>
          <w:p w14:paraId="71072E84" w14:textId="5322D0F4" w:rsidR="006C6155" w:rsidRPr="00973E05" w:rsidRDefault="006C6155" w:rsidP="006C6155">
            <w:pPr>
              <w:spacing w:before="40" w:after="120"/>
              <w:ind w:right="113"/>
            </w:pPr>
            <w:r>
              <w:t>10</w:t>
            </w:r>
            <w:r w:rsidR="00B07C72">
              <w:t xml:space="preserve"> a.m.</w:t>
            </w:r>
            <w:r w:rsidRPr="008F0FEB">
              <w:t>–</w:t>
            </w:r>
            <w:r>
              <w:t>1</w:t>
            </w:r>
            <w:r w:rsidR="00F951E7">
              <w:t>0</w:t>
            </w:r>
            <w:r w:rsidR="00B07C72">
              <w:t>.</w:t>
            </w:r>
            <w:r w:rsidR="00F951E7">
              <w:t>45</w:t>
            </w:r>
            <w:r w:rsidR="00B07C72">
              <w:t xml:space="preserve"> a.m.</w:t>
            </w:r>
          </w:p>
        </w:tc>
        <w:tc>
          <w:tcPr>
            <w:tcW w:w="1042" w:type="dxa"/>
            <w:shd w:val="clear" w:color="auto" w:fill="auto"/>
          </w:tcPr>
          <w:p w14:paraId="3B908234" w14:textId="7E020731" w:rsidR="006C6155" w:rsidRPr="00973E05" w:rsidRDefault="005075CA" w:rsidP="00CA32D8">
            <w:pPr>
              <w:spacing w:before="40" w:after="120"/>
              <w:ind w:left="140" w:right="113"/>
            </w:pPr>
            <w:r>
              <w:t>10</w:t>
            </w:r>
          </w:p>
        </w:tc>
        <w:tc>
          <w:tcPr>
            <w:tcW w:w="5058" w:type="dxa"/>
            <w:shd w:val="clear" w:color="auto" w:fill="auto"/>
          </w:tcPr>
          <w:p w14:paraId="31DFCF4C" w14:textId="6F5EBDA6" w:rsidR="006C6155" w:rsidRPr="00973E05" w:rsidRDefault="006C6155" w:rsidP="006C6155">
            <w:pPr>
              <w:spacing w:before="40" w:after="120"/>
              <w:ind w:right="113"/>
            </w:pPr>
            <w:r w:rsidRPr="00973E05">
              <w:t>Capacity-building and technical assistance activities</w:t>
            </w:r>
          </w:p>
        </w:tc>
      </w:tr>
      <w:tr w:rsidR="006C6155" w:rsidRPr="00973E05" w14:paraId="67F6B522" w14:textId="77777777" w:rsidTr="00417FE1">
        <w:tc>
          <w:tcPr>
            <w:tcW w:w="1980" w:type="dxa"/>
            <w:shd w:val="clear" w:color="auto" w:fill="auto"/>
          </w:tcPr>
          <w:p w14:paraId="439F9FA4" w14:textId="2E921673" w:rsidR="006C6155" w:rsidRPr="00973E05" w:rsidRDefault="006C6155" w:rsidP="006C6155">
            <w:pPr>
              <w:spacing w:before="40" w:after="120"/>
              <w:ind w:right="113"/>
            </w:pPr>
            <w:r>
              <w:t>1</w:t>
            </w:r>
            <w:r w:rsidR="00F951E7">
              <w:t>0</w:t>
            </w:r>
            <w:r w:rsidR="00B07C72">
              <w:t>.</w:t>
            </w:r>
            <w:r w:rsidR="00F951E7">
              <w:t>45</w:t>
            </w:r>
            <w:r w:rsidR="00B07C72">
              <w:t xml:space="preserve"> a.m.</w:t>
            </w:r>
            <w:r w:rsidRPr="002A4E54">
              <w:t>–</w:t>
            </w:r>
            <w:r>
              <w:t>1</w:t>
            </w:r>
            <w:r w:rsidR="00C94F0F">
              <w:t>1</w:t>
            </w:r>
            <w:r w:rsidR="005902D8">
              <w:t>.</w:t>
            </w:r>
            <w:r w:rsidR="00F951E7">
              <w:t>15</w:t>
            </w:r>
            <w:r w:rsidR="005902D8">
              <w:t xml:space="preserve"> a.m.</w:t>
            </w:r>
          </w:p>
        </w:tc>
        <w:tc>
          <w:tcPr>
            <w:tcW w:w="1042" w:type="dxa"/>
            <w:shd w:val="clear" w:color="auto" w:fill="auto"/>
          </w:tcPr>
          <w:p w14:paraId="5DBC2CD2" w14:textId="1B21731F" w:rsidR="006C6155" w:rsidRPr="00973E05" w:rsidRDefault="005075CA" w:rsidP="00CA32D8">
            <w:pPr>
              <w:spacing w:before="40" w:after="120"/>
              <w:ind w:left="140" w:right="113"/>
            </w:pPr>
            <w:r w:rsidRPr="00973E05">
              <w:t>1</w:t>
            </w:r>
            <w:r>
              <w:t>1</w:t>
            </w:r>
          </w:p>
        </w:tc>
        <w:tc>
          <w:tcPr>
            <w:tcW w:w="5058" w:type="dxa"/>
            <w:shd w:val="clear" w:color="auto" w:fill="auto"/>
          </w:tcPr>
          <w:p w14:paraId="171050C1" w14:textId="209E7CB2" w:rsidR="006C6155" w:rsidRPr="00973E05" w:rsidRDefault="006C6155" w:rsidP="006C6155">
            <w:pPr>
              <w:spacing w:before="40" w:after="120"/>
              <w:ind w:right="113"/>
            </w:pPr>
            <w:r w:rsidRPr="00973E05">
              <w:t>Cooperation with other organizations and Economic Commission for Europe bodies</w:t>
            </w:r>
          </w:p>
        </w:tc>
      </w:tr>
      <w:tr w:rsidR="006C6155" w:rsidRPr="00973E05" w14:paraId="0A9F225B" w14:textId="77777777" w:rsidTr="00417FE1">
        <w:tc>
          <w:tcPr>
            <w:tcW w:w="1980" w:type="dxa"/>
            <w:shd w:val="clear" w:color="auto" w:fill="auto"/>
          </w:tcPr>
          <w:p w14:paraId="6E6406E6" w14:textId="1810DFA9" w:rsidR="006C6155" w:rsidRDefault="006C6155" w:rsidP="006C6155">
            <w:pPr>
              <w:spacing w:before="40" w:after="120"/>
              <w:ind w:right="113"/>
            </w:pPr>
            <w:r>
              <w:t>1</w:t>
            </w:r>
            <w:r w:rsidR="006A3594">
              <w:t>1</w:t>
            </w:r>
            <w:r w:rsidR="005902D8">
              <w:t>.</w:t>
            </w:r>
            <w:r w:rsidR="00F951E7">
              <w:t>15</w:t>
            </w:r>
            <w:r w:rsidR="005902D8">
              <w:t xml:space="preserve"> a.m.</w:t>
            </w:r>
            <w:r w:rsidRPr="002A4E54">
              <w:t>–</w:t>
            </w:r>
            <w:r>
              <w:t>1</w:t>
            </w:r>
            <w:r w:rsidR="00F951E7">
              <w:t>1</w:t>
            </w:r>
            <w:r w:rsidR="005902D8">
              <w:t>.</w:t>
            </w:r>
            <w:r w:rsidR="00F951E7">
              <w:t>45</w:t>
            </w:r>
            <w:r w:rsidR="005902D8">
              <w:t xml:space="preserve"> a.m.</w:t>
            </w:r>
          </w:p>
          <w:p w14:paraId="31B46DDB" w14:textId="77777777" w:rsidR="00E14FD6" w:rsidRDefault="00E14FD6" w:rsidP="006C6155">
            <w:pPr>
              <w:spacing w:before="40" w:after="120"/>
              <w:ind w:right="113"/>
            </w:pPr>
          </w:p>
          <w:p w14:paraId="0E6FD125" w14:textId="77777777" w:rsidR="00E14FD6" w:rsidRDefault="00E14FD6" w:rsidP="006C6155">
            <w:pPr>
              <w:spacing w:before="40" w:after="120"/>
              <w:ind w:right="113"/>
            </w:pPr>
          </w:p>
          <w:p w14:paraId="7C2BF0E4" w14:textId="162F7FA1" w:rsidR="00E14FD6" w:rsidRPr="00973E05" w:rsidRDefault="00E14FD6" w:rsidP="006C6155">
            <w:pPr>
              <w:spacing w:before="40" w:after="120"/>
              <w:ind w:right="113"/>
            </w:pPr>
            <w:r>
              <w:t>11</w:t>
            </w:r>
            <w:r w:rsidR="005902D8">
              <w:t>.</w:t>
            </w:r>
            <w:r>
              <w:t>45</w:t>
            </w:r>
            <w:r w:rsidR="005902D8">
              <w:t xml:space="preserve"> a.m.</w:t>
            </w:r>
            <w:r w:rsidR="00920B4D" w:rsidRPr="002A4E54">
              <w:t xml:space="preserve"> –</w:t>
            </w:r>
            <w:r w:rsidR="00C4660D">
              <w:t>12</w:t>
            </w:r>
            <w:r w:rsidR="00920B4D">
              <w:t>.</w:t>
            </w:r>
            <w:r w:rsidR="00C4660D">
              <w:t>15</w:t>
            </w:r>
            <w:r w:rsidR="00920B4D">
              <w:t xml:space="preserve"> p.m.</w:t>
            </w:r>
          </w:p>
        </w:tc>
        <w:tc>
          <w:tcPr>
            <w:tcW w:w="1042" w:type="dxa"/>
            <w:shd w:val="clear" w:color="auto" w:fill="auto"/>
          </w:tcPr>
          <w:p w14:paraId="5F19F0F8" w14:textId="178F25B9" w:rsidR="006C6155" w:rsidRDefault="005075CA" w:rsidP="00CA32D8">
            <w:pPr>
              <w:spacing w:before="40" w:after="120"/>
              <w:ind w:left="140" w:right="113"/>
            </w:pPr>
            <w:r w:rsidRPr="00973E05">
              <w:t>1</w:t>
            </w:r>
            <w:r>
              <w:t>2</w:t>
            </w:r>
          </w:p>
          <w:p w14:paraId="482AE99D" w14:textId="178F25B9" w:rsidR="00062140" w:rsidRDefault="00062140" w:rsidP="006C6155">
            <w:pPr>
              <w:spacing w:before="40" w:after="120"/>
              <w:ind w:right="113"/>
            </w:pPr>
          </w:p>
          <w:p w14:paraId="005185DD" w14:textId="178F25B9" w:rsidR="00062140" w:rsidRDefault="00062140" w:rsidP="006C6155">
            <w:pPr>
              <w:spacing w:before="40" w:after="120"/>
              <w:ind w:right="113"/>
            </w:pPr>
          </w:p>
          <w:p w14:paraId="3CC5648C" w14:textId="178F25B9" w:rsidR="00062140" w:rsidRPr="00973E05" w:rsidRDefault="00062140" w:rsidP="00CA32D8">
            <w:pPr>
              <w:spacing w:before="40" w:after="120"/>
              <w:ind w:left="140" w:right="113"/>
            </w:pPr>
            <w:r>
              <w:t>13</w:t>
            </w:r>
          </w:p>
        </w:tc>
        <w:tc>
          <w:tcPr>
            <w:tcW w:w="5058" w:type="dxa"/>
            <w:shd w:val="clear" w:color="auto" w:fill="auto"/>
          </w:tcPr>
          <w:p w14:paraId="40D3EC96" w14:textId="178F25B9" w:rsidR="00062140" w:rsidRDefault="00062140" w:rsidP="006C6155">
            <w:pPr>
              <w:spacing w:before="40" w:after="120"/>
              <w:ind w:right="113"/>
            </w:pPr>
            <w:r w:rsidRPr="00C906F2">
              <w:t>Recommendations from the evaluation of the Economic Commission for Europe: Subprogramme 4 and Subprogramme 6 by the United Nations Office of Internal Oversight</w:t>
            </w:r>
          </w:p>
          <w:p w14:paraId="7BAF2EB0" w14:textId="178F25B9" w:rsidR="006C6155" w:rsidRPr="00973E05" w:rsidRDefault="006C6155" w:rsidP="006C6155">
            <w:pPr>
              <w:spacing w:before="40" w:after="120"/>
              <w:ind w:right="113"/>
            </w:pPr>
            <w:r w:rsidRPr="00973E05">
              <w:t>Programme of work</w:t>
            </w:r>
          </w:p>
        </w:tc>
      </w:tr>
      <w:tr w:rsidR="006C6155" w:rsidRPr="00973E05" w14:paraId="7C90F348" w14:textId="77777777" w:rsidTr="00417FE1">
        <w:tc>
          <w:tcPr>
            <w:tcW w:w="1980" w:type="dxa"/>
            <w:shd w:val="clear" w:color="auto" w:fill="auto"/>
          </w:tcPr>
          <w:p w14:paraId="4866450F" w14:textId="77777777" w:rsidR="006C6155" w:rsidRPr="00973E05" w:rsidRDefault="006C6155" w:rsidP="006C6155">
            <w:pPr>
              <w:spacing w:before="40" w:after="120"/>
              <w:ind w:right="113"/>
            </w:pPr>
          </w:p>
        </w:tc>
        <w:tc>
          <w:tcPr>
            <w:tcW w:w="1042" w:type="dxa"/>
            <w:shd w:val="clear" w:color="auto" w:fill="auto"/>
          </w:tcPr>
          <w:p w14:paraId="16742499" w14:textId="30AD010F" w:rsidR="00D9319A" w:rsidRPr="00973E05" w:rsidRDefault="006C6155" w:rsidP="00CA32D8">
            <w:pPr>
              <w:spacing w:before="40" w:after="120"/>
              <w:ind w:left="140" w:right="113"/>
            </w:pPr>
            <w:r w:rsidRPr="00973E05">
              <w:t>(a)</w:t>
            </w:r>
          </w:p>
        </w:tc>
        <w:tc>
          <w:tcPr>
            <w:tcW w:w="5058" w:type="dxa"/>
            <w:shd w:val="clear" w:color="auto" w:fill="auto"/>
          </w:tcPr>
          <w:p w14:paraId="00ACB463" w14:textId="6946E906" w:rsidR="006C6155" w:rsidRPr="00973E05" w:rsidRDefault="006C6155" w:rsidP="006C6155">
            <w:pPr>
              <w:spacing w:before="40" w:after="120"/>
              <w:ind w:right="113"/>
            </w:pPr>
            <w:r w:rsidRPr="00973E05">
              <w:t>Status of implementation of the Trade subprogramme’s programme of work for 202</w:t>
            </w:r>
            <w:r w:rsidR="00A87924">
              <w:t>3</w:t>
            </w:r>
          </w:p>
        </w:tc>
      </w:tr>
      <w:tr w:rsidR="006C6155" w:rsidRPr="00973E05" w14:paraId="2E12FB36" w14:textId="77777777" w:rsidTr="00417FE1">
        <w:tc>
          <w:tcPr>
            <w:tcW w:w="1980" w:type="dxa"/>
            <w:shd w:val="clear" w:color="auto" w:fill="auto"/>
          </w:tcPr>
          <w:p w14:paraId="26F55CC8" w14:textId="77777777" w:rsidR="006C6155" w:rsidRPr="00973E05" w:rsidRDefault="006C6155" w:rsidP="006C6155">
            <w:pPr>
              <w:spacing w:before="40" w:after="120"/>
              <w:ind w:right="113"/>
            </w:pPr>
          </w:p>
        </w:tc>
        <w:tc>
          <w:tcPr>
            <w:tcW w:w="1042" w:type="dxa"/>
            <w:shd w:val="clear" w:color="auto" w:fill="auto"/>
          </w:tcPr>
          <w:p w14:paraId="2DF537E7" w14:textId="41CEDA80" w:rsidR="006C6155" w:rsidRPr="00973E05" w:rsidRDefault="006C6155" w:rsidP="00CA32D8">
            <w:pPr>
              <w:spacing w:before="40" w:after="120"/>
              <w:ind w:left="140" w:right="113"/>
            </w:pPr>
            <w:r w:rsidRPr="00973E05">
              <w:t>(b)</w:t>
            </w:r>
          </w:p>
        </w:tc>
        <w:tc>
          <w:tcPr>
            <w:tcW w:w="5058" w:type="dxa"/>
            <w:shd w:val="clear" w:color="auto" w:fill="auto"/>
          </w:tcPr>
          <w:p w14:paraId="336E6B31" w14:textId="3032D2F1" w:rsidR="006C6155" w:rsidRPr="00973E05" w:rsidRDefault="006C6155" w:rsidP="006C6155">
            <w:pPr>
              <w:spacing w:before="40" w:after="120"/>
              <w:ind w:right="113"/>
            </w:pPr>
            <w:r w:rsidRPr="00973E05">
              <w:t>Trade subprogramme’s programme of work for 202</w:t>
            </w:r>
            <w:r w:rsidR="00A87924">
              <w:t>4</w:t>
            </w:r>
            <w:r w:rsidRPr="00973E05">
              <w:t xml:space="preserve"> and outline of key components of the programme of work for 202</w:t>
            </w:r>
            <w:r w:rsidR="00A87924">
              <w:t>5</w:t>
            </w:r>
          </w:p>
        </w:tc>
      </w:tr>
      <w:tr w:rsidR="006C6155" w:rsidRPr="00973E05" w14:paraId="168509A9" w14:textId="77777777" w:rsidTr="00417FE1">
        <w:tc>
          <w:tcPr>
            <w:tcW w:w="1980" w:type="dxa"/>
            <w:shd w:val="clear" w:color="auto" w:fill="auto"/>
          </w:tcPr>
          <w:p w14:paraId="4494197F" w14:textId="40C0D6D0" w:rsidR="004907F2" w:rsidRDefault="000F20B3" w:rsidP="00C4660D">
            <w:pPr>
              <w:spacing w:before="40" w:after="120"/>
              <w:ind w:right="113"/>
            </w:pPr>
            <w:r>
              <w:t>12</w:t>
            </w:r>
            <w:r w:rsidR="00920B4D">
              <w:t>.</w:t>
            </w:r>
            <w:r>
              <w:t>15</w:t>
            </w:r>
            <w:r w:rsidR="00920B4D">
              <w:t xml:space="preserve"> p.m.</w:t>
            </w:r>
            <w:r w:rsidR="006C6155" w:rsidRPr="002A4E54">
              <w:t>–</w:t>
            </w:r>
            <w:r w:rsidR="006C6155">
              <w:t>1</w:t>
            </w:r>
            <w:r w:rsidR="006A69A4">
              <w:t>2</w:t>
            </w:r>
            <w:r w:rsidR="00920B4D">
              <w:t>.</w:t>
            </w:r>
            <w:r>
              <w:t>30</w:t>
            </w:r>
            <w:r w:rsidR="00920B4D">
              <w:t xml:space="preserve"> p.m.</w:t>
            </w:r>
          </w:p>
          <w:p w14:paraId="43C7E1F7" w14:textId="67AAFBC6" w:rsidR="004907F2" w:rsidRPr="00973E05" w:rsidRDefault="004907F2" w:rsidP="006C6155">
            <w:pPr>
              <w:spacing w:before="40" w:after="120"/>
              <w:ind w:right="113"/>
            </w:pPr>
          </w:p>
        </w:tc>
        <w:tc>
          <w:tcPr>
            <w:tcW w:w="1042" w:type="dxa"/>
            <w:shd w:val="clear" w:color="auto" w:fill="auto"/>
          </w:tcPr>
          <w:p w14:paraId="7DA39B58" w14:textId="3A709740" w:rsidR="006C6155" w:rsidRDefault="00C4660D" w:rsidP="00CA32D8">
            <w:pPr>
              <w:spacing w:before="40" w:after="120"/>
              <w:ind w:left="140" w:right="113"/>
            </w:pPr>
            <w:r w:rsidRPr="00973E05">
              <w:t>1</w:t>
            </w:r>
            <w:r>
              <w:t>4</w:t>
            </w:r>
          </w:p>
          <w:p w14:paraId="66348E21" w14:textId="0739E89B" w:rsidR="004907F2" w:rsidRPr="00973E05" w:rsidRDefault="004907F2" w:rsidP="006C6155">
            <w:pPr>
              <w:spacing w:before="40" w:after="120"/>
              <w:ind w:right="113"/>
            </w:pPr>
          </w:p>
        </w:tc>
        <w:tc>
          <w:tcPr>
            <w:tcW w:w="5058" w:type="dxa"/>
            <w:shd w:val="clear" w:color="auto" w:fill="auto"/>
          </w:tcPr>
          <w:p w14:paraId="093D7A2F" w14:textId="2EC4C928" w:rsidR="006C6155" w:rsidRPr="00973E05" w:rsidRDefault="006C6155" w:rsidP="006C6155">
            <w:pPr>
              <w:spacing w:before="40" w:after="120"/>
              <w:ind w:right="113"/>
            </w:pPr>
            <w:r w:rsidRPr="00973E05">
              <w:t>Other business</w:t>
            </w:r>
          </w:p>
        </w:tc>
      </w:tr>
      <w:tr w:rsidR="006C6155" w:rsidRPr="00555A87" w14:paraId="660D5387" w14:textId="77777777" w:rsidTr="001C5AD8">
        <w:tc>
          <w:tcPr>
            <w:tcW w:w="1980" w:type="dxa"/>
            <w:tcBorders>
              <w:bottom w:val="single" w:sz="12" w:space="0" w:color="auto"/>
            </w:tcBorders>
            <w:shd w:val="clear" w:color="auto" w:fill="auto"/>
          </w:tcPr>
          <w:p w14:paraId="019F0642" w14:textId="208C8D0E" w:rsidR="006C6155" w:rsidRPr="00973E05" w:rsidRDefault="006C6155" w:rsidP="006C6155">
            <w:pPr>
              <w:spacing w:before="40" w:after="120"/>
              <w:ind w:right="113"/>
            </w:pPr>
            <w:r>
              <w:t>1</w:t>
            </w:r>
            <w:r w:rsidR="006A69A4">
              <w:t>2</w:t>
            </w:r>
            <w:r w:rsidR="00920B4D">
              <w:t>.</w:t>
            </w:r>
            <w:r w:rsidR="004907F2">
              <w:t>30</w:t>
            </w:r>
            <w:r w:rsidR="00F53C90">
              <w:t xml:space="preserve"> p.m.</w:t>
            </w:r>
            <w:r w:rsidRPr="002A4E54">
              <w:t>–</w:t>
            </w:r>
            <w:r w:rsidR="00993789">
              <w:t xml:space="preserve">1 </w:t>
            </w:r>
            <w:r w:rsidR="00F53C90">
              <w:t>p.m.</w:t>
            </w:r>
          </w:p>
        </w:tc>
        <w:tc>
          <w:tcPr>
            <w:tcW w:w="1042" w:type="dxa"/>
            <w:tcBorders>
              <w:bottom w:val="single" w:sz="12" w:space="0" w:color="auto"/>
            </w:tcBorders>
            <w:shd w:val="clear" w:color="auto" w:fill="auto"/>
          </w:tcPr>
          <w:p w14:paraId="4CBFCA2C" w14:textId="67439E3E" w:rsidR="006C6155" w:rsidRPr="00973E05" w:rsidRDefault="004907F2" w:rsidP="00CA32D8">
            <w:pPr>
              <w:spacing w:before="40" w:after="120"/>
              <w:ind w:left="140" w:right="113"/>
            </w:pPr>
            <w:r w:rsidRPr="00973E05">
              <w:t>1</w:t>
            </w:r>
            <w:r>
              <w:t>5</w:t>
            </w:r>
          </w:p>
        </w:tc>
        <w:tc>
          <w:tcPr>
            <w:tcW w:w="5058" w:type="dxa"/>
            <w:tcBorders>
              <w:bottom w:val="single" w:sz="12" w:space="0" w:color="auto"/>
            </w:tcBorders>
            <w:shd w:val="clear" w:color="auto" w:fill="auto"/>
          </w:tcPr>
          <w:p w14:paraId="74BBDCAA" w14:textId="7194C5D2" w:rsidR="006C6155" w:rsidRPr="00555A87" w:rsidRDefault="006C6155" w:rsidP="006C6155">
            <w:pPr>
              <w:spacing w:before="40" w:after="120"/>
              <w:ind w:right="113"/>
            </w:pPr>
            <w:r w:rsidRPr="00973E05">
              <w:t>Adoption of the report</w:t>
            </w:r>
          </w:p>
        </w:tc>
      </w:tr>
    </w:tbl>
    <w:p w14:paraId="2E9B5C56" w14:textId="3B0B141F" w:rsidR="0099547C" w:rsidRPr="00846E8A" w:rsidRDefault="00846E8A" w:rsidP="00846E8A">
      <w:pPr>
        <w:spacing w:before="240"/>
        <w:jc w:val="center"/>
        <w:rPr>
          <w:u w:val="single"/>
        </w:rPr>
      </w:pPr>
      <w:r>
        <w:rPr>
          <w:u w:val="single"/>
        </w:rPr>
        <w:tab/>
      </w:r>
      <w:r>
        <w:rPr>
          <w:u w:val="single"/>
        </w:rPr>
        <w:tab/>
      </w:r>
      <w:r>
        <w:rPr>
          <w:u w:val="single"/>
        </w:rPr>
        <w:tab/>
      </w:r>
    </w:p>
    <w:sectPr w:rsidR="0099547C" w:rsidRPr="00846E8A" w:rsidSect="00EB1AAA">
      <w:headerReference w:type="even" r:id="rId12"/>
      <w:headerReference w:type="default" r:id="rId13"/>
      <w:footerReference w:type="even" r:id="rId14"/>
      <w:footerReference w:type="default" r:id="rId15"/>
      <w:footerReference w:type="first" r:id="rId16"/>
      <w:endnotePr>
        <w:numFmt w:val="decimal"/>
      </w:endnotePr>
      <w:pgSz w:w="11907" w:h="16840" w:code="9"/>
      <w:pgMar w:top="1334"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D2CC" w14:textId="77777777" w:rsidR="00C139B7" w:rsidRDefault="00C139B7"/>
  </w:endnote>
  <w:endnote w:type="continuationSeparator" w:id="0">
    <w:p w14:paraId="224CD4AC" w14:textId="77777777" w:rsidR="00C139B7" w:rsidRDefault="00C139B7"/>
  </w:endnote>
  <w:endnote w:type="continuationNotice" w:id="1">
    <w:p w14:paraId="06505A7C" w14:textId="77777777" w:rsidR="00C139B7" w:rsidRDefault="00C13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0A67" w14:textId="6D5BBAF5" w:rsidR="00422B71" w:rsidRPr="00422B71" w:rsidRDefault="00422B71" w:rsidP="00422B71">
    <w:pPr>
      <w:pStyle w:val="Footer"/>
      <w:tabs>
        <w:tab w:val="right" w:pos="9638"/>
      </w:tabs>
      <w:rPr>
        <w:sz w:val="18"/>
      </w:rPr>
    </w:pPr>
    <w:r w:rsidRPr="00422B71">
      <w:rPr>
        <w:b/>
        <w:sz w:val="18"/>
      </w:rPr>
      <w:fldChar w:fldCharType="begin"/>
    </w:r>
    <w:r w:rsidRPr="00422B71">
      <w:rPr>
        <w:b/>
        <w:sz w:val="18"/>
      </w:rPr>
      <w:instrText xml:space="preserve"> PAGE  \* MERGEFORMAT </w:instrText>
    </w:r>
    <w:r w:rsidRPr="00422B71">
      <w:rPr>
        <w:b/>
        <w:sz w:val="18"/>
      </w:rPr>
      <w:fldChar w:fldCharType="separate"/>
    </w:r>
    <w:r w:rsidRPr="00422B71">
      <w:rPr>
        <w:b/>
        <w:noProof/>
        <w:sz w:val="18"/>
      </w:rPr>
      <w:t>2</w:t>
    </w:r>
    <w:r w:rsidRPr="00422B7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54A7" w14:textId="5B6ED63C" w:rsidR="00422B71" w:rsidRPr="00422B71" w:rsidRDefault="00422B71" w:rsidP="00422B71">
    <w:pPr>
      <w:pStyle w:val="Footer"/>
      <w:tabs>
        <w:tab w:val="right" w:pos="9638"/>
      </w:tabs>
      <w:rPr>
        <w:b/>
        <w:sz w:val="18"/>
      </w:rPr>
    </w:pPr>
    <w:r>
      <w:tab/>
    </w:r>
    <w:r w:rsidRPr="00422B71">
      <w:rPr>
        <w:b/>
        <w:sz w:val="18"/>
      </w:rPr>
      <w:fldChar w:fldCharType="begin"/>
    </w:r>
    <w:r w:rsidRPr="00422B71">
      <w:rPr>
        <w:b/>
        <w:sz w:val="18"/>
      </w:rPr>
      <w:instrText xml:space="preserve"> PAGE  \* MERGEFORMAT </w:instrText>
    </w:r>
    <w:r w:rsidRPr="00422B71">
      <w:rPr>
        <w:b/>
        <w:sz w:val="18"/>
      </w:rPr>
      <w:fldChar w:fldCharType="separate"/>
    </w:r>
    <w:r w:rsidRPr="00422B71">
      <w:rPr>
        <w:b/>
        <w:noProof/>
        <w:sz w:val="18"/>
      </w:rPr>
      <w:t>3</w:t>
    </w:r>
    <w:r w:rsidRPr="00422B7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AC5F" w14:textId="240BD8C8" w:rsidR="00EA7A04" w:rsidRDefault="00EA7A04" w:rsidP="00EA7A04">
    <w:pPr>
      <w:pStyle w:val="Footer"/>
    </w:pPr>
    <w:r w:rsidRPr="0027112F">
      <w:rPr>
        <w:noProof/>
        <w:lang w:val="en-US"/>
      </w:rPr>
      <w:drawing>
        <wp:anchor distT="0" distB="0" distL="114300" distR="114300" simplePos="0" relativeHeight="251658240" behindDoc="0" locked="1" layoutInCell="1" allowOverlap="1" wp14:anchorId="061032C0" wp14:editId="3677913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ECE4" w14:textId="77777777" w:rsidR="00C139B7" w:rsidRPr="000B175B" w:rsidRDefault="00C139B7" w:rsidP="000B175B">
      <w:pPr>
        <w:tabs>
          <w:tab w:val="right" w:pos="2155"/>
        </w:tabs>
        <w:spacing w:after="80"/>
        <w:ind w:left="680"/>
        <w:rPr>
          <w:u w:val="single"/>
        </w:rPr>
      </w:pPr>
      <w:r>
        <w:rPr>
          <w:u w:val="single"/>
        </w:rPr>
        <w:tab/>
      </w:r>
    </w:p>
  </w:footnote>
  <w:footnote w:type="continuationSeparator" w:id="0">
    <w:p w14:paraId="68F5C100" w14:textId="77777777" w:rsidR="00C139B7" w:rsidRPr="00FC68B7" w:rsidRDefault="00C139B7" w:rsidP="00FC68B7">
      <w:pPr>
        <w:tabs>
          <w:tab w:val="left" w:pos="2155"/>
        </w:tabs>
        <w:spacing w:after="80"/>
        <w:ind w:left="680"/>
        <w:rPr>
          <w:u w:val="single"/>
        </w:rPr>
      </w:pPr>
      <w:r>
        <w:rPr>
          <w:u w:val="single"/>
        </w:rPr>
        <w:tab/>
      </w:r>
    </w:p>
  </w:footnote>
  <w:footnote w:type="continuationNotice" w:id="1">
    <w:p w14:paraId="301A7549" w14:textId="77777777" w:rsidR="00C139B7" w:rsidRDefault="00C139B7"/>
  </w:footnote>
  <w:footnote w:id="2">
    <w:p w14:paraId="26EEED50" w14:textId="3062452C" w:rsidR="00D807E4" w:rsidRPr="00973E05" w:rsidRDefault="00D807E4" w:rsidP="00D807E4">
      <w:pPr>
        <w:pStyle w:val="FootnoteText"/>
        <w:spacing w:after="60"/>
      </w:pPr>
      <w:r>
        <w:rPr>
          <w:rStyle w:val="FootnoteReference"/>
        </w:rPr>
        <w:tab/>
      </w:r>
      <w:r w:rsidRPr="00973E05">
        <w:rPr>
          <w:rStyle w:val="FootnoteReference"/>
          <w:sz w:val="20"/>
          <w:vertAlign w:val="baseline"/>
        </w:rPr>
        <w:t>*</w:t>
      </w:r>
      <w:r w:rsidRPr="00973E05">
        <w:rPr>
          <w:rStyle w:val="FootnoteReference"/>
          <w:sz w:val="20"/>
          <w:vertAlign w:val="baseline"/>
        </w:rPr>
        <w:tab/>
      </w:r>
      <w:r w:rsidR="00CB3F36">
        <w:t>Delegates are invited to register online at</w:t>
      </w:r>
      <w:r w:rsidR="00C86A48" w:rsidRPr="00C86A48">
        <w:t xml:space="preserve"> </w:t>
      </w:r>
      <w:r w:rsidR="004C65F0" w:rsidRPr="00E30825">
        <w:t>https://indico.un.org/e/trade/sctcs-2023</w:t>
      </w:r>
      <w:r w:rsidR="00C86A48">
        <w:t xml:space="preserve">. </w:t>
      </w:r>
      <w:r w:rsidRPr="00973E05">
        <w:t xml:space="preserve">The session documents will be made available progressively at </w:t>
      </w:r>
      <w:r w:rsidR="00E0190C" w:rsidRPr="00E0190C">
        <w:t>https://unece.org/info/Trade/events/sctcs-2023</w:t>
      </w:r>
      <w:r w:rsidRPr="00973E05">
        <w:t>. Please note that as part of its move to paperless meetings, the secretariat does not distribute paper copies of meeting documents.</w:t>
      </w:r>
    </w:p>
    <w:p w14:paraId="67F1A970" w14:textId="2EB530A0" w:rsidR="00D807E4" w:rsidRPr="00D807E4" w:rsidRDefault="00D807E4" w:rsidP="00D807E4">
      <w:pPr>
        <w:pStyle w:val="FootnoteText"/>
      </w:pPr>
      <w:r w:rsidRPr="00973E05">
        <w:tab/>
      </w:r>
      <w:r w:rsidRPr="00973E05">
        <w:tab/>
        <w:t>Additional information for delegates, including a map of the Palais des Nations meeting rooms, is available at http://www.unece.org/meetings/practical.html.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51FC" w14:textId="3C72866E" w:rsidR="00422B71" w:rsidRPr="00422B71" w:rsidRDefault="00422B71">
    <w:pPr>
      <w:pStyle w:val="Header"/>
    </w:pPr>
    <w:r>
      <w:t>ECE/CTCS/202</w:t>
    </w:r>
    <w:r w:rsidR="00A10949">
      <w:t>3</w:t>
    </w: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4140" w14:textId="3DD58577" w:rsidR="00422B71" w:rsidRPr="00422B71" w:rsidRDefault="00422B71" w:rsidP="00422B71">
    <w:pPr>
      <w:pStyle w:val="Header"/>
      <w:jc w:val="right"/>
    </w:pPr>
    <w:r>
      <w:t>ECE/CTCS/202</w:t>
    </w:r>
    <w:r w:rsidR="007B7788">
      <w:t>3</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922C6"/>
    <w:multiLevelType w:val="hybridMultilevel"/>
    <w:tmpl w:val="9E384042"/>
    <w:lvl w:ilvl="0" w:tplc="8B52380C">
      <w:start w:val="17"/>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6F463F"/>
    <w:multiLevelType w:val="hybridMultilevel"/>
    <w:tmpl w:val="9E384042"/>
    <w:lvl w:ilvl="0" w:tplc="FFFFFFFF">
      <w:start w:val="17"/>
      <w:numFmt w:val="decimal"/>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4F733CC9"/>
    <w:multiLevelType w:val="hybridMultilevel"/>
    <w:tmpl w:val="52DC35D8"/>
    <w:lvl w:ilvl="0" w:tplc="20DE36EC">
      <w:start w:val="1"/>
      <w:numFmt w:val="lowerLetter"/>
      <w:lvlText w:val="(%1)"/>
      <w:lvlJc w:val="left"/>
      <w:pPr>
        <w:ind w:left="1140" w:hanging="570"/>
      </w:pPr>
      <w:rPr>
        <w:rFonts w:hint="default"/>
        <w:b w:val="0"/>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0" w15:restartNumberingAfterBreak="0">
    <w:nsid w:val="57971110"/>
    <w:multiLevelType w:val="hybridMultilevel"/>
    <w:tmpl w:val="9E384042"/>
    <w:lvl w:ilvl="0" w:tplc="FFFFFFFF">
      <w:start w:val="17"/>
      <w:numFmt w:val="decimal"/>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F6276E"/>
    <w:multiLevelType w:val="hybridMultilevel"/>
    <w:tmpl w:val="52DC35D8"/>
    <w:lvl w:ilvl="0" w:tplc="FFFFFFFF">
      <w:start w:val="1"/>
      <w:numFmt w:val="lowerLetter"/>
      <w:lvlText w:val="(%1)"/>
      <w:lvlJc w:val="left"/>
      <w:pPr>
        <w:ind w:left="1140" w:hanging="570"/>
      </w:pPr>
      <w:rPr>
        <w:rFonts w:hint="default"/>
        <w:b w:val="0"/>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num w:numId="1" w16cid:durableId="1860654985">
    <w:abstractNumId w:val="1"/>
  </w:num>
  <w:num w:numId="2" w16cid:durableId="1536042728">
    <w:abstractNumId w:val="0"/>
  </w:num>
  <w:num w:numId="3" w16cid:durableId="2096365721">
    <w:abstractNumId w:val="2"/>
  </w:num>
  <w:num w:numId="4" w16cid:durableId="1483814185">
    <w:abstractNumId w:val="3"/>
  </w:num>
  <w:num w:numId="5" w16cid:durableId="1564019747">
    <w:abstractNumId w:val="8"/>
  </w:num>
  <w:num w:numId="6" w16cid:durableId="2079472607">
    <w:abstractNumId w:val="9"/>
  </w:num>
  <w:num w:numId="7" w16cid:durableId="187377021">
    <w:abstractNumId w:val="7"/>
  </w:num>
  <w:num w:numId="8" w16cid:durableId="1146825091">
    <w:abstractNumId w:val="6"/>
  </w:num>
  <w:num w:numId="9" w16cid:durableId="765928228">
    <w:abstractNumId w:val="5"/>
  </w:num>
  <w:num w:numId="10" w16cid:durableId="1890723917">
    <w:abstractNumId w:val="4"/>
  </w:num>
  <w:num w:numId="11" w16cid:durableId="760106626">
    <w:abstractNumId w:val="16"/>
  </w:num>
  <w:num w:numId="12" w16cid:durableId="675960868">
    <w:abstractNumId w:val="14"/>
  </w:num>
  <w:num w:numId="13" w16cid:durableId="1288119568">
    <w:abstractNumId w:val="10"/>
  </w:num>
  <w:num w:numId="14" w16cid:durableId="1352494273">
    <w:abstractNumId w:val="12"/>
  </w:num>
  <w:num w:numId="15" w16cid:durableId="358629891">
    <w:abstractNumId w:val="17"/>
  </w:num>
  <w:num w:numId="16" w16cid:durableId="177542412">
    <w:abstractNumId w:val="13"/>
  </w:num>
  <w:num w:numId="17" w16cid:durableId="1688824589">
    <w:abstractNumId w:val="21"/>
  </w:num>
  <w:num w:numId="18" w16cid:durableId="1701661531">
    <w:abstractNumId w:val="22"/>
  </w:num>
  <w:num w:numId="19" w16cid:durableId="1398238906">
    <w:abstractNumId w:val="11"/>
  </w:num>
  <w:num w:numId="20" w16cid:durableId="1175607705">
    <w:abstractNumId w:val="11"/>
  </w:num>
  <w:num w:numId="21" w16cid:durableId="1793092509">
    <w:abstractNumId w:val="15"/>
  </w:num>
  <w:num w:numId="22" w16cid:durableId="1145781055">
    <w:abstractNumId w:val="18"/>
  </w:num>
  <w:num w:numId="23" w16cid:durableId="720400303">
    <w:abstractNumId w:val="20"/>
  </w:num>
  <w:num w:numId="24" w16cid:durableId="2133009303">
    <w:abstractNumId w:val="19"/>
  </w:num>
  <w:num w:numId="25" w16cid:durableId="184327610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en-GB"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71"/>
    <w:rsid w:val="000004D3"/>
    <w:rsid w:val="00002A7D"/>
    <w:rsid w:val="000038A8"/>
    <w:rsid w:val="000048FD"/>
    <w:rsid w:val="00005513"/>
    <w:rsid w:val="00006790"/>
    <w:rsid w:val="00007525"/>
    <w:rsid w:val="00010F27"/>
    <w:rsid w:val="00011850"/>
    <w:rsid w:val="00012A63"/>
    <w:rsid w:val="000130EC"/>
    <w:rsid w:val="000135E0"/>
    <w:rsid w:val="00014C1D"/>
    <w:rsid w:val="0002024D"/>
    <w:rsid w:val="000205C8"/>
    <w:rsid w:val="000207B2"/>
    <w:rsid w:val="0002167E"/>
    <w:rsid w:val="00022733"/>
    <w:rsid w:val="00023162"/>
    <w:rsid w:val="000232BF"/>
    <w:rsid w:val="00025004"/>
    <w:rsid w:val="000257DB"/>
    <w:rsid w:val="00026412"/>
    <w:rsid w:val="000266AE"/>
    <w:rsid w:val="00027624"/>
    <w:rsid w:val="000317C0"/>
    <w:rsid w:val="00032325"/>
    <w:rsid w:val="000355AD"/>
    <w:rsid w:val="000357AD"/>
    <w:rsid w:val="00035F31"/>
    <w:rsid w:val="00040545"/>
    <w:rsid w:val="000415C4"/>
    <w:rsid w:val="00041EFA"/>
    <w:rsid w:val="00045A33"/>
    <w:rsid w:val="00050DB3"/>
    <w:rsid w:val="00050F6B"/>
    <w:rsid w:val="00051755"/>
    <w:rsid w:val="00053780"/>
    <w:rsid w:val="000554AA"/>
    <w:rsid w:val="000558C5"/>
    <w:rsid w:val="00055FA1"/>
    <w:rsid w:val="00056BA2"/>
    <w:rsid w:val="000601BC"/>
    <w:rsid w:val="00061308"/>
    <w:rsid w:val="00062140"/>
    <w:rsid w:val="000638A6"/>
    <w:rsid w:val="00063C49"/>
    <w:rsid w:val="000643CF"/>
    <w:rsid w:val="00066182"/>
    <w:rsid w:val="00066399"/>
    <w:rsid w:val="000676E2"/>
    <w:rsid w:val="000678CD"/>
    <w:rsid w:val="00067A82"/>
    <w:rsid w:val="000714B6"/>
    <w:rsid w:val="0007222C"/>
    <w:rsid w:val="00072822"/>
    <w:rsid w:val="00072C8C"/>
    <w:rsid w:val="00075979"/>
    <w:rsid w:val="000769EF"/>
    <w:rsid w:val="00076FE6"/>
    <w:rsid w:val="00077550"/>
    <w:rsid w:val="0007769E"/>
    <w:rsid w:val="0007780B"/>
    <w:rsid w:val="000800EF"/>
    <w:rsid w:val="000804F3"/>
    <w:rsid w:val="00080AD9"/>
    <w:rsid w:val="00081CB1"/>
    <w:rsid w:val="00081CE0"/>
    <w:rsid w:val="0008204C"/>
    <w:rsid w:val="00083CD5"/>
    <w:rsid w:val="00084D30"/>
    <w:rsid w:val="00085513"/>
    <w:rsid w:val="00086187"/>
    <w:rsid w:val="000874A3"/>
    <w:rsid w:val="00090320"/>
    <w:rsid w:val="00090786"/>
    <w:rsid w:val="00090AE4"/>
    <w:rsid w:val="00090F47"/>
    <w:rsid w:val="000931C0"/>
    <w:rsid w:val="0009479C"/>
    <w:rsid w:val="00095E5C"/>
    <w:rsid w:val="00096E6E"/>
    <w:rsid w:val="00097426"/>
    <w:rsid w:val="000A1875"/>
    <w:rsid w:val="000A2B0F"/>
    <w:rsid w:val="000A2E09"/>
    <w:rsid w:val="000A63A0"/>
    <w:rsid w:val="000A6472"/>
    <w:rsid w:val="000A773F"/>
    <w:rsid w:val="000B00F0"/>
    <w:rsid w:val="000B1158"/>
    <w:rsid w:val="000B175B"/>
    <w:rsid w:val="000B3A0F"/>
    <w:rsid w:val="000B4D57"/>
    <w:rsid w:val="000B4D66"/>
    <w:rsid w:val="000B5309"/>
    <w:rsid w:val="000B554E"/>
    <w:rsid w:val="000C05FD"/>
    <w:rsid w:val="000D2236"/>
    <w:rsid w:val="000D406D"/>
    <w:rsid w:val="000D6A7B"/>
    <w:rsid w:val="000D6CD5"/>
    <w:rsid w:val="000D7688"/>
    <w:rsid w:val="000E0415"/>
    <w:rsid w:val="000E086C"/>
    <w:rsid w:val="000E1F29"/>
    <w:rsid w:val="000E208B"/>
    <w:rsid w:val="000E27EA"/>
    <w:rsid w:val="000E410B"/>
    <w:rsid w:val="000E4259"/>
    <w:rsid w:val="000E4DE9"/>
    <w:rsid w:val="000E4F3E"/>
    <w:rsid w:val="000E66F4"/>
    <w:rsid w:val="000E769D"/>
    <w:rsid w:val="000E7EE7"/>
    <w:rsid w:val="000F1746"/>
    <w:rsid w:val="000F20B3"/>
    <w:rsid w:val="000F2B1E"/>
    <w:rsid w:val="000F667F"/>
    <w:rsid w:val="000F6BA7"/>
    <w:rsid w:val="000F7715"/>
    <w:rsid w:val="0010057A"/>
    <w:rsid w:val="00100E27"/>
    <w:rsid w:val="00102430"/>
    <w:rsid w:val="0010338C"/>
    <w:rsid w:val="00107E15"/>
    <w:rsid w:val="0011062E"/>
    <w:rsid w:val="00113EA4"/>
    <w:rsid w:val="00114421"/>
    <w:rsid w:val="00116B87"/>
    <w:rsid w:val="00116C32"/>
    <w:rsid w:val="00117048"/>
    <w:rsid w:val="0012141C"/>
    <w:rsid w:val="00122D2B"/>
    <w:rsid w:val="001264B4"/>
    <w:rsid w:val="00130939"/>
    <w:rsid w:val="00134254"/>
    <w:rsid w:val="00134989"/>
    <w:rsid w:val="00134DB1"/>
    <w:rsid w:val="00134DD2"/>
    <w:rsid w:val="001358EC"/>
    <w:rsid w:val="00137747"/>
    <w:rsid w:val="00140CAC"/>
    <w:rsid w:val="001412B1"/>
    <w:rsid w:val="001413DF"/>
    <w:rsid w:val="00141AB1"/>
    <w:rsid w:val="00141CD0"/>
    <w:rsid w:val="001421CE"/>
    <w:rsid w:val="00146101"/>
    <w:rsid w:val="001471DB"/>
    <w:rsid w:val="00153509"/>
    <w:rsid w:val="00153D01"/>
    <w:rsid w:val="00154754"/>
    <w:rsid w:val="0015633B"/>
    <w:rsid w:val="00156B99"/>
    <w:rsid w:val="0015745A"/>
    <w:rsid w:val="00160444"/>
    <w:rsid w:val="001606EC"/>
    <w:rsid w:val="001630F6"/>
    <w:rsid w:val="001631AF"/>
    <w:rsid w:val="00163620"/>
    <w:rsid w:val="00164027"/>
    <w:rsid w:val="0016441F"/>
    <w:rsid w:val="001645CC"/>
    <w:rsid w:val="001654B4"/>
    <w:rsid w:val="00165EF1"/>
    <w:rsid w:val="00166124"/>
    <w:rsid w:val="001663A5"/>
    <w:rsid w:val="00167331"/>
    <w:rsid w:val="00167E8C"/>
    <w:rsid w:val="00171832"/>
    <w:rsid w:val="0017398A"/>
    <w:rsid w:val="0017586D"/>
    <w:rsid w:val="00176238"/>
    <w:rsid w:val="0017646B"/>
    <w:rsid w:val="00182047"/>
    <w:rsid w:val="0018385F"/>
    <w:rsid w:val="00183D93"/>
    <w:rsid w:val="00184DDA"/>
    <w:rsid w:val="00185CD6"/>
    <w:rsid w:val="001900CD"/>
    <w:rsid w:val="00191342"/>
    <w:rsid w:val="001914F4"/>
    <w:rsid w:val="00193623"/>
    <w:rsid w:val="00194601"/>
    <w:rsid w:val="001948F4"/>
    <w:rsid w:val="00194C09"/>
    <w:rsid w:val="001959DA"/>
    <w:rsid w:val="001A0452"/>
    <w:rsid w:val="001A11B2"/>
    <w:rsid w:val="001A15CC"/>
    <w:rsid w:val="001A1ACA"/>
    <w:rsid w:val="001A4788"/>
    <w:rsid w:val="001A7189"/>
    <w:rsid w:val="001B10F1"/>
    <w:rsid w:val="001B18FE"/>
    <w:rsid w:val="001B4B04"/>
    <w:rsid w:val="001B5875"/>
    <w:rsid w:val="001B6DE8"/>
    <w:rsid w:val="001C19EA"/>
    <w:rsid w:val="001C24E5"/>
    <w:rsid w:val="001C39AF"/>
    <w:rsid w:val="001C4B9C"/>
    <w:rsid w:val="001C5AD8"/>
    <w:rsid w:val="001C5CA2"/>
    <w:rsid w:val="001C6663"/>
    <w:rsid w:val="001C746B"/>
    <w:rsid w:val="001C7895"/>
    <w:rsid w:val="001C7F7B"/>
    <w:rsid w:val="001D26DF"/>
    <w:rsid w:val="001D49CE"/>
    <w:rsid w:val="001D4DD0"/>
    <w:rsid w:val="001D6348"/>
    <w:rsid w:val="001D7141"/>
    <w:rsid w:val="001E1109"/>
    <w:rsid w:val="001E2E28"/>
    <w:rsid w:val="001E3CD7"/>
    <w:rsid w:val="001E51C3"/>
    <w:rsid w:val="001E57B5"/>
    <w:rsid w:val="001E6BA9"/>
    <w:rsid w:val="001E745C"/>
    <w:rsid w:val="001E77F1"/>
    <w:rsid w:val="001F1599"/>
    <w:rsid w:val="001F19C4"/>
    <w:rsid w:val="001F248D"/>
    <w:rsid w:val="001F3A73"/>
    <w:rsid w:val="00202296"/>
    <w:rsid w:val="00203A16"/>
    <w:rsid w:val="00203E31"/>
    <w:rsid w:val="002043F0"/>
    <w:rsid w:val="00205761"/>
    <w:rsid w:val="00205909"/>
    <w:rsid w:val="002060EA"/>
    <w:rsid w:val="002076FC"/>
    <w:rsid w:val="00211E0B"/>
    <w:rsid w:val="00212558"/>
    <w:rsid w:val="0021398D"/>
    <w:rsid w:val="00215B3A"/>
    <w:rsid w:val="00216B27"/>
    <w:rsid w:val="00223350"/>
    <w:rsid w:val="00225896"/>
    <w:rsid w:val="00230199"/>
    <w:rsid w:val="00230F75"/>
    <w:rsid w:val="00232575"/>
    <w:rsid w:val="002330DB"/>
    <w:rsid w:val="00236EC1"/>
    <w:rsid w:val="00237DF5"/>
    <w:rsid w:val="0024154D"/>
    <w:rsid w:val="00242314"/>
    <w:rsid w:val="0024477B"/>
    <w:rsid w:val="00246C6B"/>
    <w:rsid w:val="00247258"/>
    <w:rsid w:val="00247803"/>
    <w:rsid w:val="002478A9"/>
    <w:rsid w:val="00250C63"/>
    <w:rsid w:val="00250FCD"/>
    <w:rsid w:val="00251735"/>
    <w:rsid w:val="002521EC"/>
    <w:rsid w:val="002521EE"/>
    <w:rsid w:val="0025264D"/>
    <w:rsid w:val="00254E64"/>
    <w:rsid w:val="0025532F"/>
    <w:rsid w:val="00257CAC"/>
    <w:rsid w:val="00263999"/>
    <w:rsid w:val="002646C5"/>
    <w:rsid w:val="002656B6"/>
    <w:rsid w:val="0026623A"/>
    <w:rsid w:val="00266737"/>
    <w:rsid w:val="00267B76"/>
    <w:rsid w:val="0027074B"/>
    <w:rsid w:val="00270CC6"/>
    <w:rsid w:val="0027237A"/>
    <w:rsid w:val="002733CA"/>
    <w:rsid w:val="002766EB"/>
    <w:rsid w:val="00277A83"/>
    <w:rsid w:val="00280BF1"/>
    <w:rsid w:val="00281B39"/>
    <w:rsid w:val="0028236E"/>
    <w:rsid w:val="00286659"/>
    <w:rsid w:val="00286CE9"/>
    <w:rsid w:val="002900F2"/>
    <w:rsid w:val="00292BB0"/>
    <w:rsid w:val="0029343A"/>
    <w:rsid w:val="002943AD"/>
    <w:rsid w:val="002943E5"/>
    <w:rsid w:val="00295607"/>
    <w:rsid w:val="00295CFB"/>
    <w:rsid w:val="002966D1"/>
    <w:rsid w:val="0029670F"/>
    <w:rsid w:val="002974E9"/>
    <w:rsid w:val="002A1050"/>
    <w:rsid w:val="002A3477"/>
    <w:rsid w:val="002A42E5"/>
    <w:rsid w:val="002A4E54"/>
    <w:rsid w:val="002A7DBE"/>
    <w:rsid w:val="002A7F94"/>
    <w:rsid w:val="002B003C"/>
    <w:rsid w:val="002B109A"/>
    <w:rsid w:val="002B2816"/>
    <w:rsid w:val="002B4F58"/>
    <w:rsid w:val="002C04F5"/>
    <w:rsid w:val="002C06FC"/>
    <w:rsid w:val="002C08BE"/>
    <w:rsid w:val="002C08DC"/>
    <w:rsid w:val="002C2089"/>
    <w:rsid w:val="002C6631"/>
    <w:rsid w:val="002C6D45"/>
    <w:rsid w:val="002D0343"/>
    <w:rsid w:val="002D05D4"/>
    <w:rsid w:val="002D68DB"/>
    <w:rsid w:val="002D6E53"/>
    <w:rsid w:val="002D7223"/>
    <w:rsid w:val="002E01CB"/>
    <w:rsid w:val="002E18E8"/>
    <w:rsid w:val="002F046D"/>
    <w:rsid w:val="002F0AB7"/>
    <w:rsid w:val="002F250C"/>
    <w:rsid w:val="002F3023"/>
    <w:rsid w:val="002F337E"/>
    <w:rsid w:val="002F33FA"/>
    <w:rsid w:val="002F33FE"/>
    <w:rsid w:val="002F5367"/>
    <w:rsid w:val="00301764"/>
    <w:rsid w:val="003020B8"/>
    <w:rsid w:val="00303DCA"/>
    <w:rsid w:val="00313B4A"/>
    <w:rsid w:val="00315532"/>
    <w:rsid w:val="00320B60"/>
    <w:rsid w:val="003212EA"/>
    <w:rsid w:val="00321B48"/>
    <w:rsid w:val="00321BA5"/>
    <w:rsid w:val="003229D8"/>
    <w:rsid w:val="0032351C"/>
    <w:rsid w:val="003238B1"/>
    <w:rsid w:val="00325D67"/>
    <w:rsid w:val="00325DE1"/>
    <w:rsid w:val="003262FC"/>
    <w:rsid w:val="003301A5"/>
    <w:rsid w:val="00331218"/>
    <w:rsid w:val="00331ED1"/>
    <w:rsid w:val="003325E1"/>
    <w:rsid w:val="003340AB"/>
    <w:rsid w:val="00335FF1"/>
    <w:rsid w:val="00336C47"/>
    <w:rsid w:val="00336C97"/>
    <w:rsid w:val="00337F88"/>
    <w:rsid w:val="0034064F"/>
    <w:rsid w:val="00342432"/>
    <w:rsid w:val="00343B7B"/>
    <w:rsid w:val="00346499"/>
    <w:rsid w:val="0035223F"/>
    <w:rsid w:val="00352D4B"/>
    <w:rsid w:val="00355447"/>
    <w:rsid w:val="0035638C"/>
    <w:rsid w:val="00357D88"/>
    <w:rsid w:val="00361113"/>
    <w:rsid w:val="003613DD"/>
    <w:rsid w:val="00361D30"/>
    <w:rsid w:val="003639CD"/>
    <w:rsid w:val="003654D9"/>
    <w:rsid w:val="003660B9"/>
    <w:rsid w:val="003663AE"/>
    <w:rsid w:val="00366569"/>
    <w:rsid w:val="00370416"/>
    <w:rsid w:val="0037561E"/>
    <w:rsid w:val="00376475"/>
    <w:rsid w:val="003776DC"/>
    <w:rsid w:val="0038069C"/>
    <w:rsid w:val="00383B8B"/>
    <w:rsid w:val="00387221"/>
    <w:rsid w:val="00390CFB"/>
    <w:rsid w:val="003929F6"/>
    <w:rsid w:val="00393058"/>
    <w:rsid w:val="00394970"/>
    <w:rsid w:val="00394ABC"/>
    <w:rsid w:val="00395BC1"/>
    <w:rsid w:val="00396073"/>
    <w:rsid w:val="00396170"/>
    <w:rsid w:val="00397603"/>
    <w:rsid w:val="003A0F1B"/>
    <w:rsid w:val="003A0F80"/>
    <w:rsid w:val="003A428D"/>
    <w:rsid w:val="003A46BB"/>
    <w:rsid w:val="003A4EC7"/>
    <w:rsid w:val="003A535D"/>
    <w:rsid w:val="003A7295"/>
    <w:rsid w:val="003B1F60"/>
    <w:rsid w:val="003B200E"/>
    <w:rsid w:val="003B35AF"/>
    <w:rsid w:val="003B42E5"/>
    <w:rsid w:val="003B4BD8"/>
    <w:rsid w:val="003B51E8"/>
    <w:rsid w:val="003B7860"/>
    <w:rsid w:val="003C2AAA"/>
    <w:rsid w:val="003C2CC4"/>
    <w:rsid w:val="003C2F70"/>
    <w:rsid w:val="003C5247"/>
    <w:rsid w:val="003D04B2"/>
    <w:rsid w:val="003D0BB9"/>
    <w:rsid w:val="003D1F65"/>
    <w:rsid w:val="003D34FF"/>
    <w:rsid w:val="003D3CAC"/>
    <w:rsid w:val="003D40B5"/>
    <w:rsid w:val="003D4B23"/>
    <w:rsid w:val="003D4F70"/>
    <w:rsid w:val="003D556E"/>
    <w:rsid w:val="003E05FF"/>
    <w:rsid w:val="003E1A15"/>
    <w:rsid w:val="003E278A"/>
    <w:rsid w:val="003E499E"/>
    <w:rsid w:val="003E4C90"/>
    <w:rsid w:val="003E4E4E"/>
    <w:rsid w:val="003E531E"/>
    <w:rsid w:val="003E60B5"/>
    <w:rsid w:val="003E7F1E"/>
    <w:rsid w:val="003F1437"/>
    <w:rsid w:val="003F37AC"/>
    <w:rsid w:val="003F4947"/>
    <w:rsid w:val="003F4A55"/>
    <w:rsid w:val="003F58C3"/>
    <w:rsid w:val="003F755D"/>
    <w:rsid w:val="003F77F0"/>
    <w:rsid w:val="003F7E5C"/>
    <w:rsid w:val="00401604"/>
    <w:rsid w:val="00404BAA"/>
    <w:rsid w:val="0041015B"/>
    <w:rsid w:val="00413520"/>
    <w:rsid w:val="0041415F"/>
    <w:rsid w:val="00416A1E"/>
    <w:rsid w:val="0041738D"/>
    <w:rsid w:val="00417FE1"/>
    <w:rsid w:val="004206C2"/>
    <w:rsid w:val="0042101E"/>
    <w:rsid w:val="00421BA9"/>
    <w:rsid w:val="00422345"/>
    <w:rsid w:val="00422B71"/>
    <w:rsid w:val="0042311D"/>
    <w:rsid w:val="00423BC2"/>
    <w:rsid w:val="004270F4"/>
    <w:rsid w:val="004274F8"/>
    <w:rsid w:val="00430109"/>
    <w:rsid w:val="00431A1B"/>
    <w:rsid w:val="00432543"/>
    <w:rsid w:val="004325CB"/>
    <w:rsid w:val="0043398E"/>
    <w:rsid w:val="00437F25"/>
    <w:rsid w:val="00440303"/>
    <w:rsid w:val="00440A07"/>
    <w:rsid w:val="00440AED"/>
    <w:rsid w:val="0044219B"/>
    <w:rsid w:val="00442BC9"/>
    <w:rsid w:val="00442F51"/>
    <w:rsid w:val="004501D9"/>
    <w:rsid w:val="0045464C"/>
    <w:rsid w:val="00455563"/>
    <w:rsid w:val="00457D7F"/>
    <w:rsid w:val="00460FE2"/>
    <w:rsid w:val="00461D15"/>
    <w:rsid w:val="00461F75"/>
    <w:rsid w:val="00462880"/>
    <w:rsid w:val="0046400F"/>
    <w:rsid w:val="004649E5"/>
    <w:rsid w:val="00465C0B"/>
    <w:rsid w:val="0047041C"/>
    <w:rsid w:val="004704EB"/>
    <w:rsid w:val="00470B9C"/>
    <w:rsid w:val="00471286"/>
    <w:rsid w:val="00471767"/>
    <w:rsid w:val="00471961"/>
    <w:rsid w:val="004735E5"/>
    <w:rsid w:val="00474E09"/>
    <w:rsid w:val="0047556A"/>
    <w:rsid w:val="0047595E"/>
    <w:rsid w:val="004761B0"/>
    <w:rsid w:val="00476F24"/>
    <w:rsid w:val="00480CB5"/>
    <w:rsid w:val="00480D73"/>
    <w:rsid w:val="00482519"/>
    <w:rsid w:val="00483710"/>
    <w:rsid w:val="00484220"/>
    <w:rsid w:val="00484B42"/>
    <w:rsid w:val="00485191"/>
    <w:rsid w:val="004907F2"/>
    <w:rsid w:val="00491232"/>
    <w:rsid w:val="004921D6"/>
    <w:rsid w:val="00493F1F"/>
    <w:rsid w:val="00496A4B"/>
    <w:rsid w:val="0049724A"/>
    <w:rsid w:val="004A0317"/>
    <w:rsid w:val="004A137F"/>
    <w:rsid w:val="004A150E"/>
    <w:rsid w:val="004A2940"/>
    <w:rsid w:val="004A5565"/>
    <w:rsid w:val="004A5691"/>
    <w:rsid w:val="004A5DFE"/>
    <w:rsid w:val="004B3AFD"/>
    <w:rsid w:val="004B3F37"/>
    <w:rsid w:val="004B4218"/>
    <w:rsid w:val="004B4756"/>
    <w:rsid w:val="004B79ED"/>
    <w:rsid w:val="004C181C"/>
    <w:rsid w:val="004C275C"/>
    <w:rsid w:val="004C3931"/>
    <w:rsid w:val="004C55B0"/>
    <w:rsid w:val="004C62D4"/>
    <w:rsid w:val="004C65F0"/>
    <w:rsid w:val="004C749C"/>
    <w:rsid w:val="004D0B85"/>
    <w:rsid w:val="004D3400"/>
    <w:rsid w:val="004D404B"/>
    <w:rsid w:val="004D7B22"/>
    <w:rsid w:val="004E0013"/>
    <w:rsid w:val="004E0CF7"/>
    <w:rsid w:val="004E1933"/>
    <w:rsid w:val="004E1C22"/>
    <w:rsid w:val="004E2EAD"/>
    <w:rsid w:val="004E4975"/>
    <w:rsid w:val="004E53F0"/>
    <w:rsid w:val="004E62E1"/>
    <w:rsid w:val="004E7530"/>
    <w:rsid w:val="004E78C7"/>
    <w:rsid w:val="004F04C3"/>
    <w:rsid w:val="004F28FB"/>
    <w:rsid w:val="004F5263"/>
    <w:rsid w:val="004F6BA0"/>
    <w:rsid w:val="004F7001"/>
    <w:rsid w:val="004F7C04"/>
    <w:rsid w:val="00503BEA"/>
    <w:rsid w:val="00504F78"/>
    <w:rsid w:val="0050564E"/>
    <w:rsid w:val="00505AB9"/>
    <w:rsid w:val="00506C0B"/>
    <w:rsid w:val="00507596"/>
    <w:rsid w:val="005075CA"/>
    <w:rsid w:val="00510885"/>
    <w:rsid w:val="0051116F"/>
    <w:rsid w:val="00512ACF"/>
    <w:rsid w:val="00512DFB"/>
    <w:rsid w:val="005164B8"/>
    <w:rsid w:val="005204F8"/>
    <w:rsid w:val="005231DA"/>
    <w:rsid w:val="00525492"/>
    <w:rsid w:val="00527921"/>
    <w:rsid w:val="00531B97"/>
    <w:rsid w:val="00533028"/>
    <w:rsid w:val="00533616"/>
    <w:rsid w:val="00535595"/>
    <w:rsid w:val="00535ABA"/>
    <w:rsid w:val="00535FAE"/>
    <w:rsid w:val="0053768B"/>
    <w:rsid w:val="00540F54"/>
    <w:rsid w:val="005420F2"/>
    <w:rsid w:val="0054285C"/>
    <w:rsid w:val="0054319E"/>
    <w:rsid w:val="0054358F"/>
    <w:rsid w:val="00543DBC"/>
    <w:rsid w:val="0054577F"/>
    <w:rsid w:val="00550D38"/>
    <w:rsid w:val="00552515"/>
    <w:rsid w:val="00552775"/>
    <w:rsid w:val="00552ADB"/>
    <w:rsid w:val="005544AB"/>
    <w:rsid w:val="005558F3"/>
    <w:rsid w:val="00555A87"/>
    <w:rsid w:val="00555FA9"/>
    <w:rsid w:val="00557785"/>
    <w:rsid w:val="00560C60"/>
    <w:rsid w:val="0056171E"/>
    <w:rsid w:val="00561F3F"/>
    <w:rsid w:val="00562386"/>
    <w:rsid w:val="005642A2"/>
    <w:rsid w:val="005644B8"/>
    <w:rsid w:val="0056457C"/>
    <w:rsid w:val="00565B61"/>
    <w:rsid w:val="00565F79"/>
    <w:rsid w:val="005673CA"/>
    <w:rsid w:val="005705D2"/>
    <w:rsid w:val="00572BCE"/>
    <w:rsid w:val="00574881"/>
    <w:rsid w:val="00576880"/>
    <w:rsid w:val="005812A3"/>
    <w:rsid w:val="00584173"/>
    <w:rsid w:val="00586C54"/>
    <w:rsid w:val="005902D8"/>
    <w:rsid w:val="00590688"/>
    <w:rsid w:val="005930A6"/>
    <w:rsid w:val="00595520"/>
    <w:rsid w:val="00597C04"/>
    <w:rsid w:val="005A0812"/>
    <w:rsid w:val="005A44B9"/>
    <w:rsid w:val="005A59D2"/>
    <w:rsid w:val="005A6CFC"/>
    <w:rsid w:val="005A718B"/>
    <w:rsid w:val="005B0E45"/>
    <w:rsid w:val="005B1BA0"/>
    <w:rsid w:val="005B3DB3"/>
    <w:rsid w:val="005B56A4"/>
    <w:rsid w:val="005B7089"/>
    <w:rsid w:val="005B7A3F"/>
    <w:rsid w:val="005C2F15"/>
    <w:rsid w:val="005D02D1"/>
    <w:rsid w:val="005D15B3"/>
    <w:rsid w:val="005D15CA"/>
    <w:rsid w:val="005D1977"/>
    <w:rsid w:val="005D19CD"/>
    <w:rsid w:val="005D4837"/>
    <w:rsid w:val="005E2578"/>
    <w:rsid w:val="005E2797"/>
    <w:rsid w:val="005E2DE5"/>
    <w:rsid w:val="005E586D"/>
    <w:rsid w:val="005E6CC7"/>
    <w:rsid w:val="005F08DF"/>
    <w:rsid w:val="005F27CB"/>
    <w:rsid w:val="005F3066"/>
    <w:rsid w:val="005F3E61"/>
    <w:rsid w:val="00601C52"/>
    <w:rsid w:val="00604DDD"/>
    <w:rsid w:val="006061DB"/>
    <w:rsid w:val="006074E4"/>
    <w:rsid w:val="00607B28"/>
    <w:rsid w:val="006115CC"/>
    <w:rsid w:val="00611FC4"/>
    <w:rsid w:val="00612A3B"/>
    <w:rsid w:val="00613470"/>
    <w:rsid w:val="00614A8E"/>
    <w:rsid w:val="006176FB"/>
    <w:rsid w:val="00617B71"/>
    <w:rsid w:val="00621ADB"/>
    <w:rsid w:val="00622148"/>
    <w:rsid w:val="006256A1"/>
    <w:rsid w:val="0063022C"/>
    <w:rsid w:val="00630B5E"/>
    <w:rsid w:val="00630FCB"/>
    <w:rsid w:val="00631FC0"/>
    <w:rsid w:val="00633A6A"/>
    <w:rsid w:val="00634BCA"/>
    <w:rsid w:val="00637AA2"/>
    <w:rsid w:val="00640B26"/>
    <w:rsid w:val="006419E2"/>
    <w:rsid w:val="00642889"/>
    <w:rsid w:val="00643C98"/>
    <w:rsid w:val="00643DAE"/>
    <w:rsid w:val="00643E3B"/>
    <w:rsid w:val="00644850"/>
    <w:rsid w:val="00650AC4"/>
    <w:rsid w:val="00650AC9"/>
    <w:rsid w:val="006515EF"/>
    <w:rsid w:val="00654917"/>
    <w:rsid w:val="00656476"/>
    <w:rsid w:val="0065766B"/>
    <w:rsid w:val="00657812"/>
    <w:rsid w:val="006624E6"/>
    <w:rsid w:val="006648BA"/>
    <w:rsid w:val="00665E4C"/>
    <w:rsid w:val="00667220"/>
    <w:rsid w:val="00667A97"/>
    <w:rsid w:val="00667FE7"/>
    <w:rsid w:val="0067067F"/>
    <w:rsid w:val="00671444"/>
    <w:rsid w:val="00671829"/>
    <w:rsid w:val="00672894"/>
    <w:rsid w:val="00674819"/>
    <w:rsid w:val="00674C46"/>
    <w:rsid w:val="00675550"/>
    <w:rsid w:val="00676151"/>
    <w:rsid w:val="006770B2"/>
    <w:rsid w:val="00682118"/>
    <w:rsid w:val="00683334"/>
    <w:rsid w:val="00684E98"/>
    <w:rsid w:val="00686A48"/>
    <w:rsid w:val="006940E1"/>
    <w:rsid w:val="00695C58"/>
    <w:rsid w:val="00696E8A"/>
    <w:rsid w:val="006A208A"/>
    <w:rsid w:val="006A3594"/>
    <w:rsid w:val="006A3C72"/>
    <w:rsid w:val="006A4F4C"/>
    <w:rsid w:val="006A5420"/>
    <w:rsid w:val="006A69A4"/>
    <w:rsid w:val="006A7392"/>
    <w:rsid w:val="006B03A1"/>
    <w:rsid w:val="006B0876"/>
    <w:rsid w:val="006B2BFF"/>
    <w:rsid w:val="006B6533"/>
    <w:rsid w:val="006B67D9"/>
    <w:rsid w:val="006B6D9D"/>
    <w:rsid w:val="006B70E9"/>
    <w:rsid w:val="006C248F"/>
    <w:rsid w:val="006C2F58"/>
    <w:rsid w:val="006C4517"/>
    <w:rsid w:val="006C5535"/>
    <w:rsid w:val="006C5DBA"/>
    <w:rsid w:val="006C6155"/>
    <w:rsid w:val="006C61DE"/>
    <w:rsid w:val="006D0137"/>
    <w:rsid w:val="006D0589"/>
    <w:rsid w:val="006D323D"/>
    <w:rsid w:val="006D3304"/>
    <w:rsid w:val="006D4DC1"/>
    <w:rsid w:val="006D6E11"/>
    <w:rsid w:val="006D72AF"/>
    <w:rsid w:val="006E0E97"/>
    <w:rsid w:val="006E10CE"/>
    <w:rsid w:val="006E132D"/>
    <w:rsid w:val="006E564B"/>
    <w:rsid w:val="006E7154"/>
    <w:rsid w:val="006E7F9F"/>
    <w:rsid w:val="006F0A56"/>
    <w:rsid w:val="006F25A3"/>
    <w:rsid w:val="006F45E0"/>
    <w:rsid w:val="006F4E16"/>
    <w:rsid w:val="007003CD"/>
    <w:rsid w:val="00700C40"/>
    <w:rsid w:val="00701FCA"/>
    <w:rsid w:val="0070215D"/>
    <w:rsid w:val="00704475"/>
    <w:rsid w:val="0070701E"/>
    <w:rsid w:val="0071397E"/>
    <w:rsid w:val="00714274"/>
    <w:rsid w:val="007160E8"/>
    <w:rsid w:val="007179B2"/>
    <w:rsid w:val="00717B44"/>
    <w:rsid w:val="00720A08"/>
    <w:rsid w:val="007212C8"/>
    <w:rsid w:val="007218C4"/>
    <w:rsid w:val="00721F29"/>
    <w:rsid w:val="00721F97"/>
    <w:rsid w:val="0072222D"/>
    <w:rsid w:val="00723187"/>
    <w:rsid w:val="00723E14"/>
    <w:rsid w:val="007249EB"/>
    <w:rsid w:val="0072632A"/>
    <w:rsid w:val="0073066C"/>
    <w:rsid w:val="00730BC2"/>
    <w:rsid w:val="00732290"/>
    <w:rsid w:val="00732874"/>
    <w:rsid w:val="007358E8"/>
    <w:rsid w:val="00736ECE"/>
    <w:rsid w:val="007406E1"/>
    <w:rsid w:val="0074474B"/>
    <w:rsid w:val="00744F54"/>
    <w:rsid w:val="0074533B"/>
    <w:rsid w:val="00750A18"/>
    <w:rsid w:val="007567B9"/>
    <w:rsid w:val="007623A2"/>
    <w:rsid w:val="00762769"/>
    <w:rsid w:val="007643BC"/>
    <w:rsid w:val="00765349"/>
    <w:rsid w:val="007671E3"/>
    <w:rsid w:val="007679D6"/>
    <w:rsid w:val="00767B48"/>
    <w:rsid w:val="00770E91"/>
    <w:rsid w:val="00771E8C"/>
    <w:rsid w:val="00772CA7"/>
    <w:rsid w:val="00772EEC"/>
    <w:rsid w:val="00774B57"/>
    <w:rsid w:val="00775297"/>
    <w:rsid w:val="007775DC"/>
    <w:rsid w:val="0077769D"/>
    <w:rsid w:val="00780C67"/>
    <w:rsid w:val="00780C68"/>
    <w:rsid w:val="00781A47"/>
    <w:rsid w:val="00781C64"/>
    <w:rsid w:val="007831CB"/>
    <w:rsid w:val="0078381C"/>
    <w:rsid w:val="00784410"/>
    <w:rsid w:val="00786E9F"/>
    <w:rsid w:val="0078786E"/>
    <w:rsid w:val="00787A95"/>
    <w:rsid w:val="007909D5"/>
    <w:rsid w:val="0079138A"/>
    <w:rsid w:val="0079266A"/>
    <w:rsid w:val="0079470D"/>
    <w:rsid w:val="007959FE"/>
    <w:rsid w:val="00797EBE"/>
    <w:rsid w:val="007A0CF1"/>
    <w:rsid w:val="007A1A5E"/>
    <w:rsid w:val="007A3550"/>
    <w:rsid w:val="007A6069"/>
    <w:rsid w:val="007B0EB7"/>
    <w:rsid w:val="007B6BA5"/>
    <w:rsid w:val="007B7788"/>
    <w:rsid w:val="007C3390"/>
    <w:rsid w:val="007C42D8"/>
    <w:rsid w:val="007C4B94"/>
    <w:rsid w:val="007C4F4B"/>
    <w:rsid w:val="007C5670"/>
    <w:rsid w:val="007C7B1E"/>
    <w:rsid w:val="007D0A7A"/>
    <w:rsid w:val="007D0E77"/>
    <w:rsid w:val="007D1F1D"/>
    <w:rsid w:val="007D7362"/>
    <w:rsid w:val="007D7BA5"/>
    <w:rsid w:val="007E132F"/>
    <w:rsid w:val="007E4ADF"/>
    <w:rsid w:val="007E58DA"/>
    <w:rsid w:val="007E5BA3"/>
    <w:rsid w:val="007E6411"/>
    <w:rsid w:val="007E642E"/>
    <w:rsid w:val="007E691C"/>
    <w:rsid w:val="007F17E4"/>
    <w:rsid w:val="007F21D8"/>
    <w:rsid w:val="007F5CE2"/>
    <w:rsid w:val="007F6611"/>
    <w:rsid w:val="00802CB4"/>
    <w:rsid w:val="0080443A"/>
    <w:rsid w:val="00805E58"/>
    <w:rsid w:val="00806477"/>
    <w:rsid w:val="00806605"/>
    <w:rsid w:val="00806B94"/>
    <w:rsid w:val="00810BAC"/>
    <w:rsid w:val="008139F7"/>
    <w:rsid w:val="008146BD"/>
    <w:rsid w:val="00815B23"/>
    <w:rsid w:val="008175E9"/>
    <w:rsid w:val="008218BF"/>
    <w:rsid w:val="00821B68"/>
    <w:rsid w:val="008232D0"/>
    <w:rsid w:val="008242D7"/>
    <w:rsid w:val="00824E49"/>
    <w:rsid w:val="0082569F"/>
    <w:rsid w:val="0082577B"/>
    <w:rsid w:val="00832CBA"/>
    <w:rsid w:val="00837732"/>
    <w:rsid w:val="00841B68"/>
    <w:rsid w:val="0084479F"/>
    <w:rsid w:val="00845D2D"/>
    <w:rsid w:val="00846E8A"/>
    <w:rsid w:val="00847415"/>
    <w:rsid w:val="00850FEE"/>
    <w:rsid w:val="00854FCB"/>
    <w:rsid w:val="0085674E"/>
    <w:rsid w:val="00862209"/>
    <w:rsid w:val="008623EB"/>
    <w:rsid w:val="008629B6"/>
    <w:rsid w:val="008653CD"/>
    <w:rsid w:val="00866893"/>
    <w:rsid w:val="00866F02"/>
    <w:rsid w:val="00867D18"/>
    <w:rsid w:val="00871F9A"/>
    <w:rsid w:val="00871FD5"/>
    <w:rsid w:val="008728E0"/>
    <w:rsid w:val="008730D2"/>
    <w:rsid w:val="00873DAE"/>
    <w:rsid w:val="00874E3E"/>
    <w:rsid w:val="00877BA8"/>
    <w:rsid w:val="0088066B"/>
    <w:rsid w:val="0088172E"/>
    <w:rsid w:val="00881EFA"/>
    <w:rsid w:val="00882A79"/>
    <w:rsid w:val="00882E5B"/>
    <w:rsid w:val="00885248"/>
    <w:rsid w:val="008879CB"/>
    <w:rsid w:val="008919F9"/>
    <w:rsid w:val="00892269"/>
    <w:rsid w:val="0089339A"/>
    <w:rsid w:val="00894970"/>
    <w:rsid w:val="00896C4C"/>
    <w:rsid w:val="008979B1"/>
    <w:rsid w:val="008A093D"/>
    <w:rsid w:val="008A0ED9"/>
    <w:rsid w:val="008A359E"/>
    <w:rsid w:val="008A520E"/>
    <w:rsid w:val="008A6B25"/>
    <w:rsid w:val="008A6C4F"/>
    <w:rsid w:val="008A74C2"/>
    <w:rsid w:val="008B20D8"/>
    <w:rsid w:val="008B2BC5"/>
    <w:rsid w:val="008B389E"/>
    <w:rsid w:val="008B3B39"/>
    <w:rsid w:val="008B5192"/>
    <w:rsid w:val="008B557A"/>
    <w:rsid w:val="008B5E96"/>
    <w:rsid w:val="008C015F"/>
    <w:rsid w:val="008C1DE8"/>
    <w:rsid w:val="008C4C44"/>
    <w:rsid w:val="008C57D7"/>
    <w:rsid w:val="008C75EC"/>
    <w:rsid w:val="008C7B1A"/>
    <w:rsid w:val="008D02CE"/>
    <w:rsid w:val="008D045E"/>
    <w:rsid w:val="008D0AC2"/>
    <w:rsid w:val="008D3F25"/>
    <w:rsid w:val="008D4D82"/>
    <w:rsid w:val="008D5539"/>
    <w:rsid w:val="008D6163"/>
    <w:rsid w:val="008E0E46"/>
    <w:rsid w:val="008E27DA"/>
    <w:rsid w:val="008E5DF8"/>
    <w:rsid w:val="008E69F1"/>
    <w:rsid w:val="008E7116"/>
    <w:rsid w:val="008E76F9"/>
    <w:rsid w:val="008F029C"/>
    <w:rsid w:val="008F0FEB"/>
    <w:rsid w:val="008F143B"/>
    <w:rsid w:val="008F1C93"/>
    <w:rsid w:val="008F3882"/>
    <w:rsid w:val="008F4B7C"/>
    <w:rsid w:val="009006F9"/>
    <w:rsid w:val="00900F30"/>
    <w:rsid w:val="009012DB"/>
    <w:rsid w:val="0090281B"/>
    <w:rsid w:val="00902F71"/>
    <w:rsid w:val="009049AD"/>
    <w:rsid w:val="0090614F"/>
    <w:rsid w:val="0091039B"/>
    <w:rsid w:val="009103EE"/>
    <w:rsid w:val="00910AD9"/>
    <w:rsid w:val="009151E9"/>
    <w:rsid w:val="0092087B"/>
    <w:rsid w:val="00920B4D"/>
    <w:rsid w:val="00920FBE"/>
    <w:rsid w:val="0092290E"/>
    <w:rsid w:val="00924D71"/>
    <w:rsid w:val="0092590D"/>
    <w:rsid w:val="00926E47"/>
    <w:rsid w:val="00926ECB"/>
    <w:rsid w:val="00932C43"/>
    <w:rsid w:val="0093517B"/>
    <w:rsid w:val="00937178"/>
    <w:rsid w:val="009379BB"/>
    <w:rsid w:val="00941C75"/>
    <w:rsid w:val="00943D70"/>
    <w:rsid w:val="00947162"/>
    <w:rsid w:val="0095471C"/>
    <w:rsid w:val="00954AC0"/>
    <w:rsid w:val="00955139"/>
    <w:rsid w:val="00955DBC"/>
    <w:rsid w:val="009577FA"/>
    <w:rsid w:val="00957C19"/>
    <w:rsid w:val="009608F0"/>
    <w:rsid w:val="009610D0"/>
    <w:rsid w:val="009620BE"/>
    <w:rsid w:val="00963043"/>
    <w:rsid w:val="009631AB"/>
    <w:rsid w:val="0096375C"/>
    <w:rsid w:val="009662E6"/>
    <w:rsid w:val="0097095E"/>
    <w:rsid w:val="00970B5F"/>
    <w:rsid w:val="00972927"/>
    <w:rsid w:val="00973E05"/>
    <w:rsid w:val="009778B9"/>
    <w:rsid w:val="009806BD"/>
    <w:rsid w:val="00984A8C"/>
    <w:rsid w:val="0098592B"/>
    <w:rsid w:val="00985FC4"/>
    <w:rsid w:val="009863F8"/>
    <w:rsid w:val="009868D8"/>
    <w:rsid w:val="00987DDA"/>
    <w:rsid w:val="00990766"/>
    <w:rsid w:val="00990F80"/>
    <w:rsid w:val="00991261"/>
    <w:rsid w:val="00993789"/>
    <w:rsid w:val="0099475D"/>
    <w:rsid w:val="0099547C"/>
    <w:rsid w:val="00995646"/>
    <w:rsid w:val="009964C4"/>
    <w:rsid w:val="009A1859"/>
    <w:rsid w:val="009A1945"/>
    <w:rsid w:val="009A1E42"/>
    <w:rsid w:val="009A3BF7"/>
    <w:rsid w:val="009A5BDF"/>
    <w:rsid w:val="009A5C6A"/>
    <w:rsid w:val="009A616D"/>
    <w:rsid w:val="009A65E8"/>
    <w:rsid w:val="009A7B81"/>
    <w:rsid w:val="009B33A9"/>
    <w:rsid w:val="009B4289"/>
    <w:rsid w:val="009B494D"/>
    <w:rsid w:val="009B4D6E"/>
    <w:rsid w:val="009B4DED"/>
    <w:rsid w:val="009B585D"/>
    <w:rsid w:val="009B763D"/>
    <w:rsid w:val="009C2C4A"/>
    <w:rsid w:val="009C3400"/>
    <w:rsid w:val="009C5544"/>
    <w:rsid w:val="009C6E87"/>
    <w:rsid w:val="009D01C0"/>
    <w:rsid w:val="009D3028"/>
    <w:rsid w:val="009D331D"/>
    <w:rsid w:val="009D3E0A"/>
    <w:rsid w:val="009D3E0F"/>
    <w:rsid w:val="009D5D6F"/>
    <w:rsid w:val="009D6A08"/>
    <w:rsid w:val="009D74DA"/>
    <w:rsid w:val="009D79AA"/>
    <w:rsid w:val="009E0608"/>
    <w:rsid w:val="009E0A16"/>
    <w:rsid w:val="009E0F6A"/>
    <w:rsid w:val="009E2E0B"/>
    <w:rsid w:val="009E3DB7"/>
    <w:rsid w:val="009E517D"/>
    <w:rsid w:val="009E647B"/>
    <w:rsid w:val="009E6CB7"/>
    <w:rsid w:val="009E7970"/>
    <w:rsid w:val="009E7DFD"/>
    <w:rsid w:val="009E7E9A"/>
    <w:rsid w:val="009F0323"/>
    <w:rsid w:val="009F2C43"/>
    <w:rsid w:val="009F2EAC"/>
    <w:rsid w:val="009F362B"/>
    <w:rsid w:val="009F563E"/>
    <w:rsid w:val="009F57E3"/>
    <w:rsid w:val="009F68B9"/>
    <w:rsid w:val="009F6FCD"/>
    <w:rsid w:val="009F7183"/>
    <w:rsid w:val="009F744F"/>
    <w:rsid w:val="00A020B0"/>
    <w:rsid w:val="00A039C1"/>
    <w:rsid w:val="00A065B6"/>
    <w:rsid w:val="00A10949"/>
    <w:rsid w:val="00A10F4F"/>
    <w:rsid w:val="00A11067"/>
    <w:rsid w:val="00A14536"/>
    <w:rsid w:val="00A1593A"/>
    <w:rsid w:val="00A16415"/>
    <w:rsid w:val="00A1704A"/>
    <w:rsid w:val="00A21588"/>
    <w:rsid w:val="00A24397"/>
    <w:rsid w:val="00A24793"/>
    <w:rsid w:val="00A26066"/>
    <w:rsid w:val="00A31812"/>
    <w:rsid w:val="00A3477C"/>
    <w:rsid w:val="00A37533"/>
    <w:rsid w:val="00A379D7"/>
    <w:rsid w:val="00A4007B"/>
    <w:rsid w:val="00A425EB"/>
    <w:rsid w:val="00A45D43"/>
    <w:rsid w:val="00A460E6"/>
    <w:rsid w:val="00A50D88"/>
    <w:rsid w:val="00A512FD"/>
    <w:rsid w:val="00A52882"/>
    <w:rsid w:val="00A52A81"/>
    <w:rsid w:val="00A55276"/>
    <w:rsid w:val="00A568BD"/>
    <w:rsid w:val="00A56B88"/>
    <w:rsid w:val="00A625B0"/>
    <w:rsid w:val="00A671B6"/>
    <w:rsid w:val="00A67A43"/>
    <w:rsid w:val="00A70DE9"/>
    <w:rsid w:val="00A72F22"/>
    <w:rsid w:val="00A733BC"/>
    <w:rsid w:val="00A73BEF"/>
    <w:rsid w:val="00A73E5F"/>
    <w:rsid w:val="00A741E0"/>
    <w:rsid w:val="00A748A6"/>
    <w:rsid w:val="00A74EE9"/>
    <w:rsid w:val="00A76A69"/>
    <w:rsid w:val="00A80025"/>
    <w:rsid w:val="00A8102D"/>
    <w:rsid w:val="00A81603"/>
    <w:rsid w:val="00A8556A"/>
    <w:rsid w:val="00A859EA"/>
    <w:rsid w:val="00A85A32"/>
    <w:rsid w:val="00A85E9C"/>
    <w:rsid w:val="00A86D3A"/>
    <w:rsid w:val="00A87924"/>
    <w:rsid w:val="00A879A4"/>
    <w:rsid w:val="00A87E21"/>
    <w:rsid w:val="00A90D66"/>
    <w:rsid w:val="00A92872"/>
    <w:rsid w:val="00A92AE5"/>
    <w:rsid w:val="00A95D80"/>
    <w:rsid w:val="00AA0D6E"/>
    <w:rsid w:val="00AA0FF8"/>
    <w:rsid w:val="00AA1D4F"/>
    <w:rsid w:val="00AA1D7A"/>
    <w:rsid w:val="00AA21A3"/>
    <w:rsid w:val="00AA3042"/>
    <w:rsid w:val="00AA4649"/>
    <w:rsid w:val="00AA5545"/>
    <w:rsid w:val="00AA60FD"/>
    <w:rsid w:val="00AA7B26"/>
    <w:rsid w:val="00AB1417"/>
    <w:rsid w:val="00AB22DB"/>
    <w:rsid w:val="00AB38E3"/>
    <w:rsid w:val="00AB3A80"/>
    <w:rsid w:val="00AB3F7F"/>
    <w:rsid w:val="00AB423B"/>
    <w:rsid w:val="00AB53E1"/>
    <w:rsid w:val="00AC0F2C"/>
    <w:rsid w:val="00AC1A0F"/>
    <w:rsid w:val="00AC259A"/>
    <w:rsid w:val="00AC2FB1"/>
    <w:rsid w:val="00AC30BD"/>
    <w:rsid w:val="00AC502A"/>
    <w:rsid w:val="00AC550A"/>
    <w:rsid w:val="00AC68FC"/>
    <w:rsid w:val="00AD04F4"/>
    <w:rsid w:val="00AD119D"/>
    <w:rsid w:val="00AD13AA"/>
    <w:rsid w:val="00AD17F7"/>
    <w:rsid w:val="00AD21A8"/>
    <w:rsid w:val="00AD2C06"/>
    <w:rsid w:val="00AD2DEE"/>
    <w:rsid w:val="00AD3F38"/>
    <w:rsid w:val="00AE4ABF"/>
    <w:rsid w:val="00AE561F"/>
    <w:rsid w:val="00AE5850"/>
    <w:rsid w:val="00AE7CB3"/>
    <w:rsid w:val="00AF1C9D"/>
    <w:rsid w:val="00AF27CB"/>
    <w:rsid w:val="00AF451C"/>
    <w:rsid w:val="00AF4C93"/>
    <w:rsid w:val="00AF58C1"/>
    <w:rsid w:val="00AF5D0A"/>
    <w:rsid w:val="00AF6CB9"/>
    <w:rsid w:val="00AF7B60"/>
    <w:rsid w:val="00AF7EBC"/>
    <w:rsid w:val="00B00B86"/>
    <w:rsid w:val="00B01517"/>
    <w:rsid w:val="00B026AD"/>
    <w:rsid w:val="00B0289B"/>
    <w:rsid w:val="00B02F02"/>
    <w:rsid w:val="00B03933"/>
    <w:rsid w:val="00B04A3F"/>
    <w:rsid w:val="00B05A7D"/>
    <w:rsid w:val="00B05EC6"/>
    <w:rsid w:val="00B06643"/>
    <w:rsid w:val="00B078A1"/>
    <w:rsid w:val="00B07C72"/>
    <w:rsid w:val="00B11EFF"/>
    <w:rsid w:val="00B12931"/>
    <w:rsid w:val="00B1374C"/>
    <w:rsid w:val="00B13CA9"/>
    <w:rsid w:val="00B15055"/>
    <w:rsid w:val="00B17393"/>
    <w:rsid w:val="00B1785D"/>
    <w:rsid w:val="00B201F3"/>
    <w:rsid w:val="00B20551"/>
    <w:rsid w:val="00B20F41"/>
    <w:rsid w:val="00B21651"/>
    <w:rsid w:val="00B23FDC"/>
    <w:rsid w:val="00B24892"/>
    <w:rsid w:val="00B26981"/>
    <w:rsid w:val="00B26D5F"/>
    <w:rsid w:val="00B26E0F"/>
    <w:rsid w:val="00B26EC7"/>
    <w:rsid w:val="00B27647"/>
    <w:rsid w:val="00B30179"/>
    <w:rsid w:val="00B31187"/>
    <w:rsid w:val="00B33FC7"/>
    <w:rsid w:val="00B34F2E"/>
    <w:rsid w:val="00B35611"/>
    <w:rsid w:val="00B3617A"/>
    <w:rsid w:val="00B363ED"/>
    <w:rsid w:val="00B37B15"/>
    <w:rsid w:val="00B37F77"/>
    <w:rsid w:val="00B400EC"/>
    <w:rsid w:val="00B406AB"/>
    <w:rsid w:val="00B4141F"/>
    <w:rsid w:val="00B4155E"/>
    <w:rsid w:val="00B42394"/>
    <w:rsid w:val="00B44811"/>
    <w:rsid w:val="00B45008"/>
    <w:rsid w:val="00B45C02"/>
    <w:rsid w:val="00B472F4"/>
    <w:rsid w:val="00B47EEB"/>
    <w:rsid w:val="00B503E2"/>
    <w:rsid w:val="00B508B5"/>
    <w:rsid w:val="00B52B9B"/>
    <w:rsid w:val="00B52F0E"/>
    <w:rsid w:val="00B550B5"/>
    <w:rsid w:val="00B55559"/>
    <w:rsid w:val="00B5717B"/>
    <w:rsid w:val="00B605D8"/>
    <w:rsid w:val="00B60F54"/>
    <w:rsid w:val="00B615D3"/>
    <w:rsid w:val="00B63C57"/>
    <w:rsid w:val="00B64A89"/>
    <w:rsid w:val="00B64BEC"/>
    <w:rsid w:val="00B6689B"/>
    <w:rsid w:val="00B66FE4"/>
    <w:rsid w:val="00B70B63"/>
    <w:rsid w:val="00B70CBE"/>
    <w:rsid w:val="00B71284"/>
    <w:rsid w:val="00B72A1E"/>
    <w:rsid w:val="00B75873"/>
    <w:rsid w:val="00B76BAB"/>
    <w:rsid w:val="00B77D1E"/>
    <w:rsid w:val="00B80457"/>
    <w:rsid w:val="00B80674"/>
    <w:rsid w:val="00B81E12"/>
    <w:rsid w:val="00B8337E"/>
    <w:rsid w:val="00B84BB5"/>
    <w:rsid w:val="00B867B0"/>
    <w:rsid w:val="00B906A6"/>
    <w:rsid w:val="00B9343E"/>
    <w:rsid w:val="00B974A1"/>
    <w:rsid w:val="00B9764D"/>
    <w:rsid w:val="00BA0D23"/>
    <w:rsid w:val="00BA339B"/>
    <w:rsid w:val="00BA455D"/>
    <w:rsid w:val="00BA4DE7"/>
    <w:rsid w:val="00BA51E8"/>
    <w:rsid w:val="00BA5475"/>
    <w:rsid w:val="00BA68FE"/>
    <w:rsid w:val="00BB09AA"/>
    <w:rsid w:val="00BB20B3"/>
    <w:rsid w:val="00BB3240"/>
    <w:rsid w:val="00BB3965"/>
    <w:rsid w:val="00BC1454"/>
    <w:rsid w:val="00BC1A3F"/>
    <w:rsid w:val="00BC1CDA"/>
    <w:rsid w:val="00BC1E7E"/>
    <w:rsid w:val="00BC2C96"/>
    <w:rsid w:val="00BC74E9"/>
    <w:rsid w:val="00BD2C30"/>
    <w:rsid w:val="00BD56F2"/>
    <w:rsid w:val="00BD5D9F"/>
    <w:rsid w:val="00BD6947"/>
    <w:rsid w:val="00BE0649"/>
    <w:rsid w:val="00BE1C2F"/>
    <w:rsid w:val="00BE351E"/>
    <w:rsid w:val="00BE36A9"/>
    <w:rsid w:val="00BE39AD"/>
    <w:rsid w:val="00BE4D02"/>
    <w:rsid w:val="00BE618E"/>
    <w:rsid w:val="00BE7BEC"/>
    <w:rsid w:val="00BE7F2E"/>
    <w:rsid w:val="00BE7F3A"/>
    <w:rsid w:val="00BF08F0"/>
    <w:rsid w:val="00BF0A5A"/>
    <w:rsid w:val="00BF0E63"/>
    <w:rsid w:val="00BF0F43"/>
    <w:rsid w:val="00BF12A3"/>
    <w:rsid w:val="00BF16D7"/>
    <w:rsid w:val="00BF2373"/>
    <w:rsid w:val="00BF23E9"/>
    <w:rsid w:val="00BF3182"/>
    <w:rsid w:val="00BF35E3"/>
    <w:rsid w:val="00BF5B4D"/>
    <w:rsid w:val="00BF70F1"/>
    <w:rsid w:val="00BF7419"/>
    <w:rsid w:val="00C008AB"/>
    <w:rsid w:val="00C037EA"/>
    <w:rsid w:val="00C03F4C"/>
    <w:rsid w:val="00C044E2"/>
    <w:rsid w:val="00C048BC"/>
    <w:rsid w:val="00C048CB"/>
    <w:rsid w:val="00C0494D"/>
    <w:rsid w:val="00C0592C"/>
    <w:rsid w:val="00C05F36"/>
    <w:rsid w:val="00C066F3"/>
    <w:rsid w:val="00C109A7"/>
    <w:rsid w:val="00C13048"/>
    <w:rsid w:val="00C133BA"/>
    <w:rsid w:val="00C139B7"/>
    <w:rsid w:val="00C15FAC"/>
    <w:rsid w:val="00C20F6C"/>
    <w:rsid w:val="00C24A2B"/>
    <w:rsid w:val="00C25677"/>
    <w:rsid w:val="00C2692B"/>
    <w:rsid w:val="00C31711"/>
    <w:rsid w:val="00C3406A"/>
    <w:rsid w:val="00C357C4"/>
    <w:rsid w:val="00C42091"/>
    <w:rsid w:val="00C4454D"/>
    <w:rsid w:val="00C44B95"/>
    <w:rsid w:val="00C45228"/>
    <w:rsid w:val="00C45271"/>
    <w:rsid w:val="00C45296"/>
    <w:rsid w:val="00C452AF"/>
    <w:rsid w:val="00C463DD"/>
    <w:rsid w:val="00C4660D"/>
    <w:rsid w:val="00C46E19"/>
    <w:rsid w:val="00C4717E"/>
    <w:rsid w:val="00C479CF"/>
    <w:rsid w:val="00C51599"/>
    <w:rsid w:val="00C5232C"/>
    <w:rsid w:val="00C52868"/>
    <w:rsid w:val="00C52C75"/>
    <w:rsid w:val="00C52E73"/>
    <w:rsid w:val="00C52FE5"/>
    <w:rsid w:val="00C61210"/>
    <w:rsid w:val="00C616F6"/>
    <w:rsid w:val="00C65953"/>
    <w:rsid w:val="00C665B3"/>
    <w:rsid w:val="00C70F2E"/>
    <w:rsid w:val="00C70FD3"/>
    <w:rsid w:val="00C745C3"/>
    <w:rsid w:val="00C74D98"/>
    <w:rsid w:val="00C83054"/>
    <w:rsid w:val="00C86A48"/>
    <w:rsid w:val="00C90B4E"/>
    <w:rsid w:val="00C91F04"/>
    <w:rsid w:val="00C9312E"/>
    <w:rsid w:val="00C94F0F"/>
    <w:rsid w:val="00C95362"/>
    <w:rsid w:val="00C96676"/>
    <w:rsid w:val="00C978F5"/>
    <w:rsid w:val="00C97F67"/>
    <w:rsid w:val="00CA011A"/>
    <w:rsid w:val="00CA05DB"/>
    <w:rsid w:val="00CA1AA2"/>
    <w:rsid w:val="00CA24A4"/>
    <w:rsid w:val="00CA32D8"/>
    <w:rsid w:val="00CA3F37"/>
    <w:rsid w:val="00CA6110"/>
    <w:rsid w:val="00CA62FB"/>
    <w:rsid w:val="00CB0A16"/>
    <w:rsid w:val="00CB348D"/>
    <w:rsid w:val="00CB388F"/>
    <w:rsid w:val="00CB3F36"/>
    <w:rsid w:val="00CB626B"/>
    <w:rsid w:val="00CB793C"/>
    <w:rsid w:val="00CB7A48"/>
    <w:rsid w:val="00CC0EEC"/>
    <w:rsid w:val="00CC1BD1"/>
    <w:rsid w:val="00CC313C"/>
    <w:rsid w:val="00CC3A64"/>
    <w:rsid w:val="00CC3F0F"/>
    <w:rsid w:val="00CC5350"/>
    <w:rsid w:val="00CC6890"/>
    <w:rsid w:val="00CC73A0"/>
    <w:rsid w:val="00CC7B34"/>
    <w:rsid w:val="00CC7FD7"/>
    <w:rsid w:val="00CD093B"/>
    <w:rsid w:val="00CD0E7D"/>
    <w:rsid w:val="00CD46F5"/>
    <w:rsid w:val="00CD61D8"/>
    <w:rsid w:val="00CE3DA2"/>
    <w:rsid w:val="00CE4A8F"/>
    <w:rsid w:val="00CE5473"/>
    <w:rsid w:val="00CE5F24"/>
    <w:rsid w:val="00CE63FE"/>
    <w:rsid w:val="00CE6546"/>
    <w:rsid w:val="00CF071D"/>
    <w:rsid w:val="00CF1612"/>
    <w:rsid w:val="00CF1885"/>
    <w:rsid w:val="00CF1CC6"/>
    <w:rsid w:val="00CF5AE4"/>
    <w:rsid w:val="00CF6927"/>
    <w:rsid w:val="00CF6F1F"/>
    <w:rsid w:val="00CF7E98"/>
    <w:rsid w:val="00D0123D"/>
    <w:rsid w:val="00D05BB1"/>
    <w:rsid w:val="00D1218B"/>
    <w:rsid w:val="00D13FEA"/>
    <w:rsid w:val="00D14230"/>
    <w:rsid w:val="00D15B04"/>
    <w:rsid w:val="00D15F6E"/>
    <w:rsid w:val="00D16363"/>
    <w:rsid w:val="00D16D1E"/>
    <w:rsid w:val="00D16D5B"/>
    <w:rsid w:val="00D2031B"/>
    <w:rsid w:val="00D20C08"/>
    <w:rsid w:val="00D22DCD"/>
    <w:rsid w:val="00D250E9"/>
    <w:rsid w:val="00D25FE2"/>
    <w:rsid w:val="00D347B2"/>
    <w:rsid w:val="00D35B5A"/>
    <w:rsid w:val="00D36B6A"/>
    <w:rsid w:val="00D37DA9"/>
    <w:rsid w:val="00D406A7"/>
    <w:rsid w:val="00D4285E"/>
    <w:rsid w:val="00D43252"/>
    <w:rsid w:val="00D445AF"/>
    <w:rsid w:val="00D44D86"/>
    <w:rsid w:val="00D46312"/>
    <w:rsid w:val="00D50B7D"/>
    <w:rsid w:val="00D5116E"/>
    <w:rsid w:val="00D52012"/>
    <w:rsid w:val="00D5529B"/>
    <w:rsid w:val="00D6031D"/>
    <w:rsid w:val="00D60DB9"/>
    <w:rsid w:val="00D622B4"/>
    <w:rsid w:val="00D704E5"/>
    <w:rsid w:val="00D7183C"/>
    <w:rsid w:val="00D71B45"/>
    <w:rsid w:val="00D72727"/>
    <w:rsid w:val="00D73582"/>
    <w:rsid w:val="00D75E52"/>
    <w:rsid w:val="00D765BC"/>
    <w:rsid w:val="00D76DE9"/>
    <w:rsid w:val="00D802BB"/>
    <w:rsid w:val="00D807E4"/>
    <w:rsid w:val="00D80EFA"/>
    <w:rsid w:val="00D8172D"/>
    <w:rsid w:val="00D925BC"/>
    <w:rsid w:val="00D9319A"/>
    <w:rsid w:val="00D932D2"/>
    <w:rsid w:val="00D954E4"/>
    <w:rsid w:val="00D978C6"/>
    <w:rsid w:val="00DA0956"/>
    <w:rsid w:val="00DA357F"/>
    <w:rsid w:val="00DA3BAA"/>
    <w:rsid w:val="00DA3E12"/>
    <w:rsid w:val="00DA477C"/>
    <w:rsid w:val="00DA72A6"/>
    <w:rsid w:val="00DB0FA1"/>
    <w:rsid w:val="00DB1F08"/>
    <w:rsid w:val="00DB4A50"/>
    <w:rsid w:val="00DC08FD"/>
    <w:rsid w:val="00DC171B"/>
    <w:rsid w:val="00DC18AD"/>
    <w:rsid w:val="00DC27FF"/>
    <w:rsid w:val="00DC679F"/>
    <w:rsid w:val="00DD0CA0"/>
    <w:rsid w:val="00DD399F"/>
    <w:rsid w:val="00DD5BD2"/>
    <w:rsid w:val="00DD694E"/>
    <w:rsid w:val="00DD71D9"/>
    <w:rsid w:val="00DE4EED"/>
    <w:rsid w:val="00DE594C"/>
    <w:rsid w:val="00DE6A0B"/>
    <w:rsid w:val="00DF332A"/>
    <w:rsid w:val="00DF6A60"/>
    <w:rsid w:val="00DF7CAE"/>
    <w:rsid w:val="00E0190C"/>
    <w:rsid w:val="00E01E60"/>
    <w:rsid w:val="00E04D47"/>
    <w:rsid w:val="00E07B19"/>
    <w:rsid w:val="00E12282"/>
    <w:rsid w:val="00E13977"/>
    <w:rsid w:val="00E14FD6"/>
    <w:rsid w:val="00E15491"/>
    <w:rsid w:val="00E154EE"/>
    <w:rsid w:val="00E2192F"/>
    <w:rsid w:val="00E22E78"/>
    <w:rsid w:val="00E236EE"/>
    <w:rsid w:val="00E23F84"/>
    <w:rsid w:val="00E249E3"/>
    <w:rsid w:val="00E24AF7"/>
    <w:rsid w:val="00E30825"/>
    <w:rsid w:val="00E32C2C"/>
    <w:rsid w:val="00E3314B"/>
    <w:rsid w:val="00E34F0D"/>
    <w:rsid w:val="00E36A99"/>
    <w:rsid w:val="00E41EE6"/>
    <w:rsid w:val="00E423C0"/>
    <w:rsid w:val="00E424EB"/>
    <w:rsid w:val="00E42725"/>
    <w:rsid w:val="00E448E2"/>
    <w:rsid w:val="00E455FC"/>
    <w:rsid w:val="00E506B5"/>
    <w:rsid w:val="00E50E3D"/>
    <w:rsid w:val="00E51656"/>
    <w:rsid w:val="00E524D7"/>
    <w:rsid w:val="00E52FF1"/>
    <w:rsid w:val="00E536FD"/>
    <w:rsid w:val="00E54AFA"/>
    <w:rsid w:val="00E557D3"/>
    <w:rsid w:val="00E55D53"/>
    <w:rsid w:val="00E55E4F"/>
    <w:rsid w:val="00E567FA"/>
    <w:rsid w:val="00E57040"/>
    <w:rsid w:val="00E61BBF"/>
    <w:rsid w:val="00E6414C"/>
    <w:rsid w:val="00E6438B"/>
    <w:rsid w:val="00E64637"/>
    <w:rsid w:val="00E66F54"/>
    <w:rsid w:val="00E70939"/>
    <w:rsid w:val="00E7260F"/>
    <w:rsid w:val="00E72FF2"/>
    <w:rsid w:val="00E75BA8"/>
    <w:rsid w:val="00E77600"/>
    <w:rsid w:val="00E832A9"/>
    <w:rsid w:val="00E8702D"/>
    <w:rsid w:val="00E8729F"/>
    <w:rsid w:val="00E87CBF"/>
    <w:rsid w:val="00E9031D"/>
    <w:rsid w:val="00E905F4"/>
    <w:rsid w:val="00E90D16"/>
    <w:rsid w:val="00E9144C"/>
    <w:rsid w:val="00E916A9"/>
    <w:rsid w:val="00E916DE"/>
    <w:rsid w:val="00E91BF8"/>
    <w:rsid w:val="00E925AD"/>
    <w:rsid w:val="00E929C9"/>
    <w:rsid w:val="00E92A4B"/>
    <w:rsid w:val="00E942F8"/>
    <w:rsid w:val="00E95F00"/>
    <w:rsid w:val="00E96630"/>
    <w:rsid w:val="00E96E0F"/>
    <w:rsid w:val="00E96E36"/>
    <w:rsid w:val="00EA1D54"/>
    <w:rsid w:val="00EA3A67"/>
    <w:rsid w:val="00EA47FE"/>
    <w:rsid w:val="00EA4E7E"/>
    <w:rsid w:val="00EA5421"/>
    <w:rsid w:val="00EA5609"/>
    <w:rsid w:val="00EA7489"/>
    <w:rsid w:val="00EA7A04"/>
    <w:rsid w:val="00EB1AAA"/>
    <w:rsid w:val="00EB25A0"/>
    <w:rsid w:val="00EB2F0E"/>
    <w:rsid w:val="00EB45B8"/>
    <w:rsid w:val="00EB514C"/>
    <w:rsid w:val="00EB668A"/>
    <w:rsid w:val="00EB76E3"/>
    <w:rsid w:val="00EC2B66"/>
    <w:rsid w:val="00EC3B92"/>
    <w:rsid w:val="00EC42D6"/>
    <w:rsid w:val="00EC4AD0"/>
    <w:rsid w:val="00EC4E29"/>
    <w:rsid w:val="00EC6832"/>
    <w:rsid w:val="00EC6A51"/>
    <w:rsid w:val="00ED18DC"/>
    <w:rsid w:val="00ED1BCF"/>
    <w:rsid w:val="00ED3600"/>
    <w:rsid w:val="00ED4424"/>
    <w:rsid w:val="00ED6201"/>
    <w:rsid w:val="00ED76D4"/>
    <w:rsid w:val="00ED7A2A"/>
    <w:rsid w:val="00EE2F7E"/>
    <w:rsid w:val="00EE53D7"/>
    <w:rsid w:val="00EE5826"/>
    <w:rsid w:val="00EE78DF"/>
    <w:rsid w:val="00EF1D7F"/>
    <w:rsid w:val="00EF38E6"/>
    <w:rsid w:val="00EF3FD6"/>
    <w:rsid w:val="00EF444C"/>
    <w:rsid w:val="00EF5C97"/>
    <w:rsid w:val="00EF663E"/>
    <w:rsid w:val="00EF7D71"/>
    <w:rsid w:val="00F0057E"/>
    <w:rsid w:val="00F0137E"/>
    <w:rsid w:val="00F01A7B"/>
    <w:rsid w:val="00F0353D"/>
    <w:rsid w:val="00F03A77"/>
    <w:rsid w:val="00F04544"/>
    <w:rsid w:val="00F049F7"/>
    <w:rsid w:val="00F05EF9"/>
    <w:rsid w:val="00F0617E"/>
    <w:rsid w:val="00F10557"/>
    <w:rsid w:val="00F1170B"/>
    <w:rsid w:val="00F12C08"/>
    <w:rsid w:val="00F12CBC"/>
    <w:rsid w:val="00F15909"/>
    <w:rsid w:val="00F15F74"/>
    <w:rsid w:val="00F1731C"/>
    <w:rsid w:val="00F20A3A"/>
    <w:rsid w:val="00F21786"/>
    <w:rsid w:val="00F21D77"/>
    <w:rsid w:val="00F25FE7"/>
    <w:rsid w:val="00F260E7"/>
    <w:rsid w:val="00F2710F"/>
    <w:rsid w:val="00F30393"/>
    <w:rsid w:val="00F32E28"/>
    <w:rsid w:val="00F3368B"/>
    <w:rsid w:val="00F33A82"/>
    <w:rsid w:val="00F34A21"/>
    <w:rsid w:val="00F35CB7"/>
    <w:rsid w:val="00F3742B"/>
    <w:rsid w:val="00F37E8C"/>
    <w:rsid w:val="00F404D6"/>
    <w:rsid w:val="00F411C7"/>
    <w:rsid w:val="00F4124E"/>
    <w:rsid w:val="00F41EB0"/>
    <w:rsid w:val="00F41FDB"/>
    <w:rsid w:val="00F4276F"/>
    <w:rsid w:val="00F42CF4"/>
    <w:rsid w:val="00F4348E"/>
    <w:rsid w:val="00F44ABC"/>
    <w:rsid w:val="00F45745"/>
    <w:rsid w:val="00F45EDF"/>
    <w:rsid w:val="00F47EFC"/>
    <w:rsid w:val="00F532D1"/>
    <w:rsid w:val="00F53C90"/>
    <w:rsid w:val="00F53F0B"/>
    <w:rsid w:val="00F564DD"/>
    <w:rsid w:val="00F56D63"/>
    <w:rsid w:val="00F609A9"/>
    <w:rsid w:val="00F6132A"/>
    <w:rsid w:val="00F656BE"/>
    <w:rsid w:val="00F661D4"/>
    <w:rsid w:val="00F66A22"/>
    <w:rsid w:val="00F71B10"/>
    <w:rsid w:val="00F73C26"/>
    <w:rsid w:val="00F76343"/>
    <w:rsid w:val="00F7635D"/>
    <w:rsid w:val="00F772DC"/>
    <w:rsid w:val="00F776E5"/>
    <w:rsid w:val="00F77A4C"/>
    <w:rsid w:val="00F8072E"/>
    <w:rsid w:val="00F80C99"/>
    <w:rsid w:val="00F832DE"/>
    <w:rsid w:val="00F8331E"/>
    <w:rsid w:val="00F853BD"/>
    <w:rsid w:val="00F867EC"/>
    <w:rsid w:val="00F91B2B"/>
    <w:rsid w:val="00F92522"/>
    <w:rsid w:val="00F92C94"/>
    <w:rsid w:val="00F94696"/>
    <w:rsid w:val="00F951E7"/>
    <w:rsid w:val="00F96B1F"/>
    <w:rsid w:val="00F96E84"/>
    <w:rsid w:val="00FA21D3"/>
    <w:rsid w:val="00FA2EEE"/>
    <w:rsid w:val="00FA3EAE"/>
    <w:rsid w:val="00FB093B"/>
    <w:rsid w:val="00FB263B"/>
    <w:rsid w:val="00FB3932"/>
    <w:rsid w:val="00FB5FB6"/>
    <w:rsid w:val="00FC004C"/>
    <w:rsid w:val="00FC03CD"/>
    <w:rsid w:val="00FC0646"/>
    <w:rsid w:val="00FC11DE"/>
    <w:rsid w:val="00FC1D7D"/>
    <w:rsid w:val="00FC2F4C"/>
    <w:rsid w:val="00FC3422"/>
    <w:rsid w:val="00FC4EB0"/>
    <w:rsid w:val="00FC626B"/>
    <w:rsid w:val="00FC68B7"/>
    <w:rsid w:val="00FD023D"/>
    <w:rsid w:val="00FD067D"/>
    <w:rsid w:val="00FD0D78"/>
    <w:rsid w:val="00FD1AC8"/>
    <w:rsid w:val="00FD2A88"/>
    <w:rsid w:val="00FD3A43"/>
    <w:rsid w:val="00FD4510"/>
    <w:rsid w:val="00FD4FAA"/>
    <w:rsid w:val="00FD5C4E"/>
    <w:rsid w:val="00FD770A"/>
    <w:rsid w:val="00FD77AD"/>
    <w:rsid w:val="00FE0ED5"/>
    <w:rsid w:val="00FE1C7A"/>
    <w:rsid w:val="00FE2469"/>
    <w:rsid w:val="00FE4C7D"/>
    <w:rsid w:val="00FE6332"/>
    <w:rsid w:val="00FE6985"/>
    <w:rsid w:val="00FE770E"/>
    <w:rsid w:val="00FF0644"/>
    <w:rsid w:val="00FF115A"/>
    <w:rsid w:val="00FF1799"/>
    <w:rsid w:val="00FF2419"/>
    <w:rsid w:val="00FF2C42"/>
    <w:rsid w:val="00FF4388"/>
    <w:rsid w:val="00FF6F17"/>
    <w:rsid w:val="00FF768E"/>
    <w:rsid w:val="00FF7690"/>
    <w:rsid w:val="013A46C7"/>
    <w:rsid w:val="04D4678B"/>
    <w:rsid w:val="06D09EEB"/>
    <w:rsid w:val="088D0C86"/>
    <w:rsid w:val="12EDFF5B"/>
    <w:rsid w:val="29E06C84"/>
    <w:rsid w:val="2A54285C"/>
    <w:rsid w:val="356D73EE"/>
    <w:rsid w:val="35716CF2"/>
    <w:rsid w:val="3F3802DB"/>
    <w:rsid w:val="52589A9E"/>
    <w:rsid w:val="5882E533"/>
    <w:rsid w:val="5BDE9A47"/>
    <w:rsid w:val="6506D5BF"/>
    <w:rsid w:val="66CC21E7"/>
    <w:rsid w:val="6FB921CA"/>
    <w:rsid w:val="7474EC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6131A"/>
  <w15:docId w15:val="{038A6782-22C6-4ACE-AED2-EDDF2E55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C93"/>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17586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17586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160E8"/>
    <w:pPr>
      <w:numPr>
        <w:numId w:val="20"/>
      </w:numPr>
      <w:suppressAutoHyphens w:val="0"/>
    </w:pPr>
  </w:style>
  <w:style w:type="character" w:customStyle="1" w:styleId="SingleTxtGChar">
    <w:name w:val="_ Single Txt_G Char"/>
    <w:link w:val="SingleTxtG"/>
    <w:rsid w:val="00422B71"/>
    <w:rPr>
      <w:lang w:val="en-GB"/>
    </w:rPr>
  </w:style>
  <w:style w:type="character" w:styleId="UnresolvedMention">
    <w:name w:val="Unresolved Mention"/>
    <w:basedOn w:val="DefaultParagraphFont"/>
    <w:uiPriority w:val="99"/>
    <w:semiHidden/>
    <w:unhideWhenUsed/>
    <w:rsid w:val="00E51656"/>
    <w:rPr>
      <w:color w:val="605E5C"/>
      <w:shd w:val="clear" w:color="auto" w:fill="E1DFDD"/>
    </w:rPr>
  </w:style>
  <w:style w:type="character" w:styleId="CommentReference">
    <w:name w:val="annotation reference"/>
    <w:basedOn w:val="DefaultParagraphFont"/>
    <w:semiHidden/>
    <w:unhideWhenUsed/>
    <w:rsid w:val="00D807E4"/>
    <w:rPr>
      <w:sz w:val="16"/>
      <w:szCs w:val="16"/>
    </w:rPr>
  </w:style>
  <w:style w:type="paragraph" w:styleId="CommentText">
    <w:name w:val="annotation text"/>
    <w:basedOn w:val="Normal"/>
    <w:link w:val="CommentTextChar"/>
    <w:semiHidden/>
    <w:unhideWhenUsed/>
    <w:rsid w:val="00D807E4"/>
    <w:pPr>
      <w:spacing w:line="240" w:lineRule="auto"/>
    </w:pPr>
  </w:style>
  <w:style w:type="character" w:customStyle="1" w:styleId="CommentTextChar">
    <w:name w:val="Comment Text Char"/>
    <w:basedOn w:val="DefaultParagraphFont"/>
    <w:link w:val="CommentText"/>
    <w:semiHidden/>
    <w:rsid w:val="00D807E4"/>
    <w:rPr>
      <w:lang w:val="en-GB"/>
    </w:rPr>
  </w:style>
  <w:style w:type="paragraph" w:styleId="CommentSubject">
    <w:name w:val="annotation subject"/>
    <w:basedOn w:val="CommentText"/>
    <w:next w:val="CommentText"/>
    <w:link w:val="CommentSubjectChar"/>
    <w:semiHidden/>
    <w:unhideWhenUsed/>
    <w:rsid w:val="00D807E4"/>
    <w:rPr>
      <w:b/>
      <w:bCs/>
    </w:rPr>
  </w:style>
  <w:style w:type="character" w:customStyle="1" w:styleId="CommentSubjectChar">
    <w:name w:val="Comment Subject Char"/>
    <w:basedOn w:val="CommentTextChar"/>
    <w:link w:val="CommentSubject"/>
    <w:semiHidden/>
    <w:rsid w:val="00D807E4"/>
    <w:rPr>
      <w:b/>
      <w:bCs/>
      <w:lang w:val="en-GB"/>
    </w:rPr>
  </w:style>
  <w:style w:type="character" w:customStyle="1" w:styleId="markedcontent">
    <w:name w:val="markedcontent"/>
    <w:basedOn w:val="DefaultParagraphFont"/>
    <w:rsid w:val="00480CB5"/>
  </w:style>
  <w:style w:type="character" w:customStyle="1" w:styleId="H1GChar">
    <w:name w:val="_ H_1_G Char"/>
    <w:link w:val="H1G"/>
    <w:rsid w:val="00EC3B92"/>
    <w:rPr>
      <w:b/>
      <w:sz w:val="24"/>
      <w:lang w:val="en-GB"/>
    </w:rPr>
  </w:style>
  <w:style w:type="paragraph" w:styleId="Revision">
    <w:name w:val="Revision"/>
    <w:hidden/>
    <w:uiPriority w:val="99"/>
    <w:semiHidden/>
    <w:rsid w:val="00613470"/>
    <w:rPr>
      <w:lang w:val="en-GB"/>
    </w:rPr>
  </w:style>
  <w:style w:type="paragraph" w:styleId="ListParagraph">
    <w:name w:val="List Paragraph"/>
    <w:basedOn w:val="Normal"/>
    <w:uiPriority w:val="34"/>
    <w:qFormat/>
    <w:rsid w:val="00D16D5B"/>
    <w:pPr>
      <w:ind w:left="720"/>
      <w:contextualSpacing/>
    </w:pPr>
  </w:style>
  <w:style w:type="character" w:customStyle="1" w:styleId="FootnoteTextChar">
    <w:name w:val="Footnote Text Char"/>
    <w:aliases w:val="5_G Char"/>
    <w:basedOn w:val="DefaultParagraphFont"/>
    <w:link w:val="FootnoteText"/>
    <w:uiPriority w:val="99"/>
    <w:rsid w:val="00D16D5B"/>
    <w:rPr>
      <w:sz w:val="18"/>
      <w:lang w:val="en-GB"/>
    </w:rPr>
  </w:style>
  <w:style w:type="character" w:customStyle="1" w:styleId="apple-converted-space">
    <w:name w:val="apple-converted-space"/>
    <w:basedOn w:val="DefaultParagraphFont"/>
    <w:rsid w:val="004B3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785">
      <w:bodyDiv w:val="1"/>
      <w:marLeft w:val="0"/>
      <w:marRight w:val="0"/>
      <w:marTop w:val="0"/>
      <w:marBottom w:val="0"/>
      <w:divBdr>
        <w:top w:val="none" w:sz="0" w:space="0" w:color="auto"/>
        <w:left w:val="none" w:sz="0" w:space="0" w:color="auto"/>
        <w:bottom w:val="none" w:sz="0" w:space="0" w:color="auto"/>
        <w:right w:val="none" w:sz="0" w:space="0" w:color="auto"/>
      </w:divBdr>
    </w:div>
    <w:div w:id="353464184">
      <w:bodyDiv w:val="1"/>
      <w:marLeft w:val="0"/>
      <w:marRight w:val="0"/>
      <w:marTop w:val="0"/>
      <w:marBottom w:val="0"/>
      <w:divBdr>
        <w:top w:val="none" w:sz="0" w:space="0" w:color="auto"/>
        <w:left w:val="none" w:sz="0" w:space="0" w:color="auto"/>
        <w:bottom w:val="none" w:sz="0" w:space="0" w:color="auto"/>
        <w:right w:val="none" w:sz="0" w:space="0" w:color="auto"/>
      </w:divBdr>
    </w:div>
    <w:div w:id="903874140">
      <w:bodyDiv w:val="1"/>
      <w:marLeft w:val="0"/>
      <w:marRight w:val="0"/>
      <w:marTop w:val="0"/>
      <w:marBottom w:val="0"/>
      <w:divBdr>
        <w:top w:val="none" w:sz="0" w:space="0" w:color="auto"/>
        <w:left w:val="none" w:sz="0" w:space="0" w:color="auto"/>
        <w:bottom w:val="none" w:sz="0" w:space="0" w:color="auto"/>
        <w:right w:val="none" w:sz="0" w:space="0" w:color="auto"/>
      </w:divBdr>
    </w:div>
    <w:div w:id="16047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9fae64-a0e6-4869-b94e-2533145ac23d">
      <UserInfo>
        <DisplayName>Ariel Ivanier</DisplayName>
        <AccountId>1005</AccountId>
        <AccountType/>
      </UserInfo>
    </SharedWithUsers>
    <MediaLengthInSeconds xmlns="091e5ae7-c31f-43e0-b380-74509edc0e9e" xsi:nil="true"/>
    <_Flow_SignoffStatus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7" ma:contentTypeDescription="Create a new document." ma:contentTypeScope="" ma:versionID="a7450c31903cad5e15a64f23c0a503b9">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5584cae2a9988942cb229f8cc46b21c5"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3e9b0b9-99f3-4c1a-a363-23506d8d5dc7}"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F9F57-3C74-41F1-A8D4-862624E0FF53}">
  <ds:schemaRefs>
    <ds:schemaRef ds:uri="http://schemas.microsoft.com/office/2006/metadata/properties"/>
    <ds:schemaRef ds:uri="http://schemas.microsoft.com/office/infopath/2007/PartnerControls"/>
    <ds:schemaRef ds:uri="009fae64-a0e6-4869-b94e-2533145ac23d"/>
    <ds:schemaRef ds:uri="091e5ae7-c31f-43e0-b380-74509edc0e9e"/>
    <ds:schemaRef ds:uri="985ec44e-1bab-4c0b-9df0-6ba128686fc9"/>
  </ds:schemaRefs>
</ds:datastoreItem>
</file>

<file path=customXml/itemProps2.xml><?xml version="1.0" encoding="utf-8"?>
<ds:datastoreItem xmlns:ds="http://schemas.openxmlformats.org/officeDocument/2006/customXml" ds:itemID="{4E2AA587-20D1-4E42-9B21-593C79F0D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80FBF-E12F-4F85-A3B2-5B6B4E39A55A}">
  <ds:schemaRefs>
    <ds:schemaRef ds:uri="http://schemas.microsoft.com/sharepoint/v3/contenttype/forms"/>
  </ds:schemaRefs>
</ds:datastoreItem>
</file>

<file path=customXml/itemProps4.xml><?xml version="1.0" encoding="utf-8"?>
<ds:datastoreItem xmlns:ds="http://schemas.openxmlformats.org/officeDocument/2006/customXml" ds:itemID="{0294457A-F88A-4C89-A88E-22F786D0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9</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ECE/CTCS/2022/1/Rev.1</vt:lpstr>
    </vt:vector>
  </TitlesOfParts>
  <Company>CSD</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ECE/CTCS/2022/1/Rev.1</dc:title>
  <dc:subject>2209116</dc:subject>
  <dc:creator>Olga KHARITONOVA</dc:creator>
  <cp:keywords/>
  <dc:description/>
  <cp:lastModifiedBy>Dipty Lalka</cp:lastModifiedBy>
  <cp:revision>59</cp:revision>
  <cp:lastPrinted>2023-03-23T15:12:00Z</cp:lastPrinted>
  <dcterms:created xsi:type="dcterms:W3CDTF">2023-03-21T13:57:00Z</dcterms:created>
  <dcterms:modified xsi:type="dcterms:W3CDTF">2023-03-29T07:37:00Z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c0522be61b3c141def1f007877a8d89465975a5f1337725ad1ad06963999a3c6</vt:lpwstr>
  </property>
</Properties>
</file>