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FDB784C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955286D" w14:textId="77777777" w:rsidR="002D5AAC" w:rsidRDefault="002D5AAC" w:rsidP="00C374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2FCA813" w14:textId="77777777" w:rsidR="002D5AAC" w:rsidRPr="00BD33EE" w:rsidRDefault="00DF71B9" w:rsidP="00C3749E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1C8CFDF" w14:textId="42ECDB68" w:rsidR="002D5AAC" w:rsidRDefault="00C3749E" w:rsidP="00C3749E">
            <w:pPr>
              <w:jc w:val="right"/>
            </w:pPr>
            <w:r w:rsidRPr="00C3749E">
              <w:rPr>
                <w:sz w:val="40"/>
              </w:rPr>
              <w:t>ECE</w:t>
            </w:r>
            <w:r>
              <w:t>/TRANS/WP.29/GRVA/2023/14</w:t>
            </w:r>
          </w:p>
        </w:tc>
      </w:tr>
      <w:tr w:rsidR="002D5AAC" w14:paraId="3FBEEA0A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A2F717" w14:textId="77777777" w:rsidR="002D5AAC" w:rsidRDefault="002E5067" w:rsidP="00C3749E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0E3F63B" wp14:editId="246A260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3EE1461" w14:textId="77777777" w:rsidR="002D5AAC" w:rsidRPr="00033EE1" w:rsidRDefault="008A37C8" w:rsidP="00C3749E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3DEA234" w14:textId="77777777" w:rsidR="002D5AAC" w:rsidRDefault="00C3749E" w:rsidP="00C3749E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F2FC58A" w14:textId="77777777" w:rsidR="00C3749E" w:rsidRDefault="00C3749E" w:rsidP="00C3749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March 2023</w:t>
            </w:r>
          </w:p>
          <w:p w14:paraId="172A14A2" w14:textId="77777777" w:rsidR="00C3749E" w:rsidRDefault="00C3749E" w:rsidP="00C3749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F90C414" w14:textId="24322E81" w:rsidR="00C3749E" w:rsidRPr="008D53B6" w:rsidRDefault="00C3749E" w:rsidP="00C3749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A255302" w14:textId="77777777" w:rsidR="008A37C8" w:rsidRDefault="008A37C8" w:rsidP="00C3749E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682F1F2" w14:textId="77777777" w:rsidR="00C3749E" w:rsidRPr="00C3749E" w:rsidRDefault="00C3749E" w:rsidP="00C3749E">
      <w:pPr>
        <w:spacing w:before="120"/>
        <w:rPr>
          <w:sz w:val="28"/>
          <w:szCs w:val="28"/>
        </w:rPr>
      </w:pPr>
      <w:r w:rsidRPr="00C3749E">
        <w:rPr>
          <w:sz w:val="28"/>
          <w:szCs w:val="28"/>
        </w:rPr>
        <w:t>Комитет по внутреннему транспорту</w:t>
      </w:r>
    </w:p>
    <w:p w14:paraId="0888A3F0" w14:textId="2542F3CC" w:rsidR="00C3749E" w:rsidRPr="00C3749E" w:rsidRDefault="00C3749E" w:rsidP="00C3749E">
      <w:pPr>
        <w:spacing w:before="120"/>
        <w:rPr>
          <w:b/>
          <w:sz w:val="24"/>
          <w:szCs w:val="24"/>
        </w:rPr>
      </w:pPr>
      <w:r w:rsidRPr="00C3749E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C3749E">
        <w:rPr>
          <w:b/>
          <w:bCs/>
          <w:sz w:val="24"/>
          <w:szCs w:val="24"/>
        </w:rPr>
        <w:t>в области транспортных средств</w:t>
      </w:r>
    </w:p>
    <w:p w14:paraId="7D05EB8D" w14:textId="148F8E16" w:rsidR="00C3749E" w:rsidRPr="004F08A7" w:rsidRDefault="00C3749E" w:rsidP="00C3749E">
      <w:pPr>
        <w:spacing w:before="120"/>
        <w:rPr>
          <w:b/>
        </w:rPr>
      </w:pPr>
      <w:bookmarkStart w:id="0" w:name="_Hlk518466992"/>
      <w:r>
        <w:rPr>
          <w:b/>
          <w:bCs/>
        </w:rPr>
        <w:t>Рабочая группа по автоматизированным/</w:t>
      </w:r>
      <w:r>
        <w:rPr>
          <w:b/>
          <w:bCs/>
        </w:rPr>
        <w:br/>
      </w:r>
      <w:r>
        <w:rPr>
          <w:b/>
          <w:bCs/>
        </w:rPr>
        <w:t>автономным и подключенным транспортным средствам</w:t>
      </w:r>
      <w:bookmarkEnd w:id="0"/>
    </w:p>
    <w:p w14:paraId="672A775B" w14:textId="77777777" w:rsidR="00C3749E" w:rsidRPr="00084079" w:rsidRDefault="00C3749E" w:rsidP="00C3749E">
      <w:pPr>
        <w:spacing w:before="120"/>
        <w:rPr>
          <w:b/>
        </w:rPr>
      </w:pPr>
      <w:bookmarkStart w:id="1" w:name="OLE_LINK2"/>
      <w:r>
        <w:rPr>
          <w:b/>
          <w:bCs/>
        </w:rPr>
        <w:t>Шестнадцатая сессия</w:t>
      </w:r>
    </w:p>
    <w:p w14:paraId="6331D711" w14:textId="77777777" w:rsidR="00C3749E" w:rsidRPr="00084079" w:rsidRDefault="00C3749E" w:rsidP="00C3749E">
      <w:r>
        <w:t>Женева, 22</w:t>
      </w:r>
      <w:r w:rsidRPr="00084079">
        <w:t>–</w:t>
      </w:r>
      <w:r>
        <w:t>26 мая 2023 года</w:t>
      </w:r>
    </w:p>
    <w:p w14:paraId="0A148E6E" w14:textId="77777777" w:rsidR="00C3749E" w:rsidRPr="004F08A7" w:rsidRDefault="00C3749E" w:rsidP="00C3749E">
      <w:r>
        <w:t>Пункт 10 предварительной повестки дня</w:t>
      </w:r>
    </w:p>
    <w:p w14:paraId="51A8D0FA" w14:textId="77777777" w:rsidR="00C3749E" w:rsidRPr="004F08A7" w:rsidRDefault="00C3749E" w:rsidP="00C3749E">
      <w:pPr>
        <w:rPr>
          <w:b/>
          <w:bCs/>
        </w:rPr>
      </w:pPr>
      <w:r>
        <w:rPr>
          <w:b/>
          <w:bCs/>
        </w:rPr>
        <w:t>Правила № 90 ООН</w:t>
      </w:r>
    </w:p>
    <w:p w14:paraId="5465D771" w14:textId="0607D483" w:rsidR="00C3749E" w:rsidRPr="004F08A7" w:rsidRDefault="00C3749E" w:rsidP="00C3749E">
      <w:pPr>
        <w:pStyle w:val="HChG"/>
      </w:pPr>
      <w:r>
        <w:tab/>
      </w:r>
      <w:r>
        <w:tab/>
        <w:t xml:space="preserve">Предложение по дополнению 12 к поправкам серии 01 </w:t>
      </w:r>
      <w:r>
        <w:br/>
      </w:r>
      <w:r>
        <w:t>к Правилам № 90 ООН (сменные тормозные накладки)</w:t>
      </w:r>
      <w:bookmarkEnd w:id="1"/>
    </w:p>
    <w:p w14:paraId="6206F4F9" w14:textId="77777777" w:rsidR="00C3749E" w:rsidRPr="004F08A7" w:rsidRDefault="00C3749E" w:rsidP="00C3749E">
      <w:pPr>
        <w:pStyle w:val="H1G"/>
      </w:pPr>
      <w:r>
        <w:tab/>
      </w:r>
      <w:r>
        <w:tab/>
        <w:t>Представлено экспертом от Федерации европейских предприятий по производству фрикционных материалов</w:t>
      </w:r>
      <w:r w:rsidRPr="00C3749E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3FF0D604" w14:textId="7DD68356" w:rsidR="00C3749E" w:rsidRPr="004F08A7" w:rsidRDefault="00C3749E" w:rsidP="00C3749E">
      <w:pPr>
        <w:pStyle w:val="SingleTxtG"/>
        <w:rPr>
          <w:b/>
          <w:sz w:val="28"/>
        </w:rPr>
      </w:pPr>
      <w:r>
        <w:tab/>
        <w:t>Воспроизведенный ниже текст был подготовлен экспертом от Федерации европейских предприятий по производству фрикционных материалов (ФЕПФМ). В</w:t>
      </w:r>
      <w:r>
        <w:rPr>
          <w:lang w:val="en-US"/>
        </w:rPr>
        <w:t> </w:t>
      </w:r>
      <w:r>
        <w:t>его основу положен документ GRVA-15-24 с предложением эксперта от Европейской ассоциации поставщиков автомобильных деталей (КСАОД) по включению в Правила</w:t>
      </w:r>
      <w:r w:rsidR="0041716D">
        <w:t xml:space="preserve"> </w:t>
      </w:r>
      <w:r>
        <w:t>№</w:t>
      </w:r>
      <w:r w:rsidR="0041716D">
        <w:t xml:space="preserve"> </w:t>
      </w:r>
      <w:r>
        <w:t xml:space="preserve">90 ООН возможности использования QR-кода (или средства иного типа для передачи цифровых данных) для замены бумажных инструкций по установке, которые физически вкладываются в упаковку. Изменения к существующему тексту Правил выделены </w:t>
      </w:r>
      <w:r w:rsidRPr="00724DC1">
        <w:rPr>
          <w:b/>
          <w:bCs/>
        </w:rPr>
        <w:t>жирным шрифтом</w:t>
      </w:r>
      <w:r>
        <w:t xml:space="preserve"> в случае новых элементов или </w:t>
      </w:r>
      <w:r w:rsidRPr="00724DC1">
        <w:rPr>
          <w:strike/>
        </w:rPr>
        <w:t>зачеркиванием</w:t>
      </w:r>
      <w:r>
        <w:t xml:space="preserve"> в случае исключенных элементов. Изменения к предложению, содержащемуся в неофициальном документе GRVA-15-24, выделены курсивом. </w:t>
      </w:r>
    </w:p>
    <w:p w14:paraId="154F1DF7" w14:textId="77777777" w:rsidR="00C3749E" w:rsidRPr="004F08A7" w:rsidRDefault="00C3749E" w:rsidP="00C3749E">
      <w:pPr>
        <w:pStyle w:val="af3"/>
        <w:suppressAutoHyphens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8A7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173D3D49" w14:textId="77777777" w:rsidR="00C3749E" w:rsidRDefault="00C3749E" w:rsidP="00C3749E">
      <w:pPr>
        <w:pStyle w:val="HChG"/>
        <w:numPr>
          <w:ilvl w:val="0"/>
          <w:numId w:val="22"/>
        </w:numPr>
        <w:tabs>
          <w:tab w:val="clear" w:pos="851"/>
          <w:tab w:val="right" w:pos="1134"/>
        </w:tabs>
        <w:ind w:left="1134" w:hanging="567"/>
        <w:outlineLvl w:val="9"/>
      </w:pPr>
      <w:r>
        <w:rPr>
          <w:bCs/>
        </w:rPr>
        <w:lastRenderedPageBreak/>
        <w:t>Предложение</w:t>
      </w:r>
    </w:p>
    <w:p w14:paraId="2364E7F9" w14:textId="77777777" w:rsidR="00C3749E" w:rsidRPr="00681925" w:rsidRDefault="00C3749E" w:rsidP="00C3749E">
      <w:pPr>
        <w:pStyle w:val="af3"/>
        <w:suppressAutoHyphens/>
        <w:spacing w:after="120"/>
        <w:ind w:left="1134" w:right="1132"/>
        <w:rPr>
          <w:rFonts w:asciiTheme="majorBidi" w:hAnsiTheme="majorBidi" w:cstheme="majorBidi"/>
          <w:sz w:val="20"/>
          <w:szCs w:val="20"/>
          <w:lang w:val="ru-RU"/>
        </w:rPr>
      </w:pPr>
      <w:r w:rsidRPr="00681925">
        <w:rPr>
          <w:rFonts w:asciiTheme="majorBidi" w:hAnsiTheme="majorBidi" w:cstheme="majorBidi"/>
          <w:i/>
          <w:iCs/>
          <w:sz w:val="20"/>
          <w:szCs w:val="20"/>
          <w:lang w:val="ru-RU"/>
        </w:rPr>
        <w:t>Включить новые пункты 6.6, 6.6.1, 6.6.2 и 6.6.3</w:t>
      </w:r>
      <w:r w:rsidRPr="00681925">
        <w:rPr>
          <w:rFonts w:asciiTheme="majorBidi" w:hAnsiTheme="majorBidi" w:cstheme="majorBidi"/>
          <w:sz w:val="20"/>
          <w:szCs w:val="20"/>
          <w:lang w:val="ru-RU"/>
        </w:rPr>
        <w:t xml:space="preserve"> следующего содержания: </w:t>
      </w:r>
    </w:p>
    <w:p w14:paraId="7123F5C0" w14:textId="6BAA6440" w:rsidR="00C3749E" w:rsidRPr="00C3749E" w:rsidRDefault="00C3749E" w:rsidP="00C3749E">
      <w:pPr>
        <w:pStyle w:val="SingleTxtG"/>
        <w:ind w:left="2268" w:hanging="1134"/>
        <w:rPr>
          <w:b/>
          <w:bCs/>
        </w:rPr>
      </w:pPr>
      <w:r w:rsidRPr="00C3749E">
        <w:t>«</w:t>
      </w:r>
      <w:r w:rsidRPr="00C3749E">
        <w:rPr>
          <w:b/>
          <w:bCs/>
        </w:rPr>
        <w:t>6.6</w:t>
      </w:r>
      <w:r w:rsidRPr="00C3749E">
        <w:rPr>
          <w:b/>
          <w:bCs/>
        </w:rPr>
        <w:tab/>
      </w:r>
      <w:r w:rsidRPr="00C3749E">
        <w:rPr>
          <w:b/>
          <w:bCs/>
        </w:rPr>
        <w:tab/>
      </w:r>
      <w:r w:rsidRPr="00C3749E">
        <w:rPr>
          <w:b/>
          <w:bCs/>
          <w:i/>
          <w:iCs/>
        </w:rPr>
        <w:t>Компетентные национальные органы уполномочены выдавать разрешения путем опубликования соответствующих указаний о том, что</w:t>
      </w:r>
      <w:r w:rsidRPr="00C3749E">
        <w:rPr>
          <w:b/>
          <w:bCs/>
        </w:rPr>
        <w:t xml:space="preserve"> инструкции по установке, требуемые в соответствии с </w:t>
      </w:r>
      <w:r w:rsidRPr="00C3749E">
        <w:rPr>
          <w:b/>
          <w:bCs/>
        </w:rPr>
        <w:br/>
      </w:r>
      <w:r w:rsidRPr="00C3749E">
        <w:rPr>
          <w:b/>
          <w:bCs/>
        </w:rPr>
        <w:t xml:space="preserve">пунктами 6.4–6.4.4, могут быть предоставлены посредством QR-кода или веб-ссылки либо иного типа носителя цифровых данных, который должен быть размещен, напечатан или выгравирован на упаковке видимым, четким и нестираемым образом либо вложен в упаковку. </w:t>
      </w:r>
      <w:r w:rsidRPr="00C3749E">
        <w:rPr>
          <w:b/>
          <w:bCs/>
          <w:i/>
          <w:iCs/>
        </w:rPr>
        <w:t>Компетентные органы должны использовать это разрешение только при условии, что на национальной территории обеспечено достаточно широкое цифровое покрытие, которое гарантирует цифровой доступ к инструкциям по установке и возможность ознакомления с ними.</w:t>
      </w:r>
    </w:p>
    <w:p w14:paraId="0B97ACBB" w14:textId="39F017EA" w:rsidR="00C3749E" w:rsidRPr="00681925" w:rsidRDefault="00C3749E" w:rsidP="00C3749E">
      <w:pPr>
        <w:pStyle w:val="af3"/>
        <w:suppressAutoHyphens/>
        <w:spacing w:after="120"/>
        <w:ind w:left="2268" w:right="1132" w:hanging="1134"/>
        <w:rPr>
          <w:rFonts w:asciiTheme="majorBidi" w:hAnsiTheme="majorBidi" w:cstheme="majorBidi"/>
          <w:sz w:val="20"/>
          <w:szCs w:val="20"/>
          <w:lang w:val="ru-RU"/>
        </w:rPr>
      </w:pP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6.6.1</w:t>
      </w:r>
      <w:r w:rsidRPr="00681925">
        <w:rPr>
          <w:rFonts w:asciiTheme="majorBidi" w:hAnsiTheme="majorBidi" w:cstheme="majorBidi"/>
          <w:sz w:val="20"/>
          <w:szCs w:val="20"/>
          <w:lang w:val="ru-RU"/>
        </w:rPr>
        <w:tab/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 xml:space="preserve">Рядом с QR-кодом или веб-ссылкой либо иным носителем цифровых данных должны быть напечатаны или выгравированы видимым, четким и нестираемым образом надпись </w:t>
      </w:r>
      <w:r w:rsidRPr="00C3749E">
        <w:rPr>
          <w:rFonts w:asciiTheme="majorBidi" w:hAnsiTheme="majorBidi" w:cstheme="majorBidi"/>
          <w:b/>
          <w:bCs/>
          <w:sz w:val="20"/>
          <w:szCs w:val="20"/>
          <w:lang w:val="ru-RU"/>
        </w:rPr>
        <w:t>“</w:t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Перед установкой ознакомьтесь с инструкциями</w:t>
      </w:r>
      <w:r w:rsidRPr="00C3749E">
        <w:rPr>
          <w:rFonts w:asciiTheme="majorBidi" w:hAnsiTheme="majorBidi" w:cstheme="majorBidi"/>
          <w:b/>
          <w:bCs/>
          <w:sz w:val="20"/>
          <w:szCs w:val="20"/>
          <w:lang w:val="ru-RU"/>
        </w:rPr>
        <w:t>”</w:t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 xml:space="preserve"> и условное обозначение </w:t>
      </w:r>
      <w:r w:rsidR="0041716D">
        <w:rPr>
          <w:rFonts w:asciiTheme="majorBidi" w:hAnsiTheme="majorBidi" w:cstheme="majorBidi"/>
          <w:b/>
          <w:bCs/>
          <w:sz w:val="20"/>
          <w:szCs w:val="20"/>
          <w:lang w:val="ru-RU"/>
        </w:rPr>
        <w:br/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ISO</w:t>
      </w:r>
      <w:r w:rsidR="0041716D">
        <w:rPr>
          <w:rFonts w:asciiTheme="majorBidi" w:hAnsiTheme="majorBidi" w:cstheme="majorBidi"/>
          <w:b/>
          <w:bCs/>
          <w:sz w:val="20"/>
          <w:szCs w:val="20"/>
          <w:lang w:val="ru-RU"/>
        </w:rPr>
        <w:t> </w:t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2575</w:t>
      </w:r>
      <w:r w:rsidR="0041716D">
        <w:rPr>
          <w:rFonts w:asciiTheme="majorBidi" w:hAnsiTheme="majorBidi" w:cstheme="majorBidi"/>
          <w:b/>
          <w:bCs/>
          <w:sz w:val="20"/>
          <w:szCs w:val="20"/>
          <w:lang w:val="ru-RU"/>
        </w:rPr>
        <w:t> </w:t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N.03 (</w:t>
      </w:r>
      <w:r w:rsidRPr="00C3749E">
        <w:rPr>
          <w:rFonts w:asciiTheme="majorBidi" w:hAnsiTheme="majorBidi" w:cstheme="majorBidi"/>
          <w:b/>
          <w:bCs/>
          <w:sz w:val="20"/>
          <w:szCs w:val="20"/>
          <w:lang w:val="ru-RU"/>
        </w:rPr>
        <w:t>“</w:t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Руководство пользователя, инструкции по эксплуатации</w:t>
      </w:r>
      <w:r w:rsidRPr="00C3749E">
        <w:rPr>
          <w:rFonts w:asciiTheme="majorBidi" w:hAnsiTheme="majorBidi" w:cstheme="majorBidi"/>
          <w:b/>
          <w:bCs/>
          <w:sz w:val="20"/>
          <w:szCs w:val="20"/>
          <w:lang w:val="ru-RU"/>
        </w:rPr>
        <w:t>”</w:t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):</w:t>
      </w:r>
    </w:p>
    <w:p w14:paraId="54CA3DA7" w14:textId="77777777" w:rsidR="00C3749E" w:rsidRPr="00681925" w:rsidRDefault="00C3749E" w:rsidP="00C3749E">
      <w:pPr>
        <w:pStyle w:val="af3"/>
        <w:suppressAutoHyphens/>
        <w:spacing w:after="120"/>
        <w:ind w:left="2268" w:right="1132" w:hanging="113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81925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 wp14:anchorId="77D289CE" wp14:editId="62FD89E3">
            <wp:extent cx="629041" cy="517749"/>
            <wp:effectExtent l="0" t="0" r="0" b="0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7" cy="5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0097" w14:textId="77777777" w:rsidR="00C3749E" w:rsidRPr="00681925" w:rsidRDefault="00C3749E" w:rsidP="00C3749E">
      <w:pPr>
        <w:pStyle w:val="af3"/>
        <w:suppressAutoHyphens/>
        <w:spacing w:after="120"/>
        <w:ind w:left="2268" w:right="1132" w:hanging="1134"/>
        <w:rPr>
          <w:rFonts w:asciiTheme="majorBidi" w:hAnsiTheme="majorBidi" w:cstheme="majorBidi"/>
          <w:sz w:val="20"/>
          <w:szCs w:val="20"/>
          <w:lang w:val="ru-RU"/>
        </w:rPr>
      </w:pP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6.6.2</w:t>
      </w:r>
      <w:r w:rsidRPr="00681925">
        <w:rPr>
          <w:rFonts w:asciiTheme="majorBidi" w:hAnsiTheme="majorBidi" w:cstheme="majorBidi"/>
          <w:sz w:val="20"/>
          <w:szCs w:val="20"/>
          <w:lang w:val="ru-RU"/>
        </w:rPr>
        <w:tab/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Цифровые инструкции должны быть подготовлены в подходящем для печати формате и доступы в течение всего срока службы изделия, по крайней мере пять лет с момента окончательного прекращения производства.</w:t>
      </w:r>
      <w:r w:rsidRPr="00681925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К комплекту документации об официальном утверждении типа изготовитель должен приложить заявление с подтверждением, что данная информация будет доступна в течение по крайней мере пяти лет после прекращения производства.</w:t>
      </w:r>
      <w:r w:rsidRPr="00681925">
        <w:rPr>
          <w:rFonts w:asciiTheme="majorBidi" w:hAnsiTheme="majorBidi" w:cstheme="majorBidi"/>
          <w:sz w:val="20"/>
          <w:szCs w:val="20"/>
          <w:lang w:val="ru-RU"/>
        </w:rPr>
        <w:t xml:space="preserve">  </w:t>
      </w:r>
    </w:p>
    <w:p w14:paraId="7A9F8149" w14:textId="61D85A1E" w:rsidR="00C3749E" w:rsidRPr="00681925" w:rsidRDefault="00C3749E" w:rsidP="00C3749E">
      <w:pPr>
        <w:pStyle w:val="af3"/>
        <w:suppressAutoHyphens/>
        <w:spacing w:after="120"/>
        <w:ind w:left="2268" w:right="1132" w:hanging="1134"/>
        <w:rPr>
          <w:rFonts w:asciiTheme="majorBidi" w:hAnsiTheme="majorBidi" w:cstheme="majorBidi"/>
          <w:b/>
          <w:bCs/>
          <w:sz w:val="20"/>
          <w:szCs w:val="20"/>
          <w:lang w:val="ru-RU"/>
        </w:rPr>
      </w:pP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6.6.3</w:t>
      </w:r>
      <w:r w:rsidRPr="00681925">
        <w:rPr>
          <w:rFonts w:asciiTheme="majorBidi" w:hAnsiTheme="majorBidi" w:cstheme="majorBidi"/>
          <w:sz w:val="20"/>
          <w:szCs w:val="20"/>
          <w:lang w:val="ru-RU"/>
        </w:rPr>
        <w:tab/>
      </w:r>
      <w:r w:rsidRPr="00681925">
        <w:rPr>
          <w:rFonts w:asciiTheme="majorBidi" w:hAnsiTheme="majorBidi" w:cstheme="majorBidi"/>
          <w:b/>
          <w:bCs/>
          <w:sz w:val="20"/>
          <w:szCs w:val="20"/>
          <w:lang w:val="ru-RU"/>
        </w:rPr>
        <w:t>Потребитель не должен быть обязан вводить какие-либо персональные данные для получения доступа к цифровым инструкциям по установке</w:t>
      </w:r>
      <w:r w:rsidRPr="00C3749E">
        <w:rPr>
          <w:rFonts w:asciiTheme="majorBidi" w:hAnsiTheme="majorBidi" w:cstheme="majorBidi"/>
          <w:sz w:val="20"/>
          <w:szCs w:val="20"/>
          <w:lang w:val="ru-RU"/>
        </w:rPr>
        <w:t>»</w:t>
      </w:r>
      <w:r w:rsidRPr="00C3749E">
        <w:rPr>
          <w:rFonts w:asciiTheme="majorBidi" w:hAnsiTheme="majorBidi" w:cstheme="majorBidi"/>
          <w:sz w:val="20"/>
          <w:szCs w:val="20"/>
          <w:lang w:val="ru-RU"/>
        </w:rPr>
        <w:t>.</w:t>
      </w:r>
    </w:p>
    <w:p w14:paraId="542FC507" w14:textId="77777777" w:rsidR="00C3749E" w:rsidRPr="004F08A7" w:rsidRDefault="00C3749E" w:rsidP="00C3749E">
      <w:pPr>
        <w:pStyle w:val="HChG"/>
      </w:pPr>
      <w:r>
        <w:tab/>
        <w:t>II.</w:t>
      </w:r>
      <w:r>
        <w:tab/>
        <w:t>Обоснование</w:t>
      </w:r>
    </w:p>
    <w:p w14:paraId="47A692F5" w14:textId="77777777" w:rsidR="00C3749E" w:rsidRPr="00C3749E" w:rsidRDefault="00C3749E" w:rsidP="00C3749E">
      <w:pPr>
        <w:pStyle w:val="SingleTxtG"/>
      </w:pPr>
      <w:r>
        <w:t>1.</w:t>
      </w:r>
      <w:r>
        <w:tab/>
        <w:t>Цель положений в пункте 6.6 дополнения 12 к поправкам серии 01 к Правилам</w:t>
      </w:r>
      <w:r>
        <w:rPr>
          <w:lang w:val="en-US"/>
        </w:rPr>
        <w:t> </w:t>
      </w:r>
      <w:r>
        <w:t>№ 90 ООН состоит в обеспечении того, чтобы конечный пользователь (тормозных колодо</w:t>
      </w:r>
      <w:r w:rsidRPr="00C3749E">
        <w:t>к, тормозных дисков, тормозных барабанов) получил соответствующие инструкции по установке. Данное предложение направлено на обеспечение того, чтобы конечный пользователь располагал всей необходимой информацией для установки сменных деталей тормозов профессиональным и безопасным образом.</w:t>
      </w:r>
    </w:p>
    <w:p w14:paraId="5C608CAE" w14:textId="753B6FCD" w:rsidR="00C3749E" w:rsidRPr="004F08A7" w:rsidRDefault="00C3749E" w:rsidP="00C3749E">
      <w:pPr>
        <w:pStyle w:val="SingleTxtG"/>
      </w:pPr>
      <w:r w:rsidRPr="00C3749E">
        <w:t>2.</w:t>
      </w:r>
      <w:r w:rsidRPr="00C3749E">
        <w:tab/>
        <w:t>Согласно нынешнему положению, инструкции по установке должны быть помещены внутрь упаковки. Благодаря тому что инструкции по установке физически вложены в упаковку вместе со сменными деталями тормозов (тормозными колодками, тормозными дисками, тормозными барабанами), всегда есть стопроцентная гарантия, что конечный пользователь обязательно получит доступ к инструкциям по установке и сможет ознакомиться с их содержанием и что таким образом выполняются обязательства соответствующего изготовителя (или держателя официального утверждения типа) в части пре</w:t>
      </w:r>
      <w:r>
        <w:t xml:space="preserve">доставления информации. Правила № 90 ООН признаются 57 странами мира. Из этих 57 стран 47 являются договаривающимися сторонами, подписавшими эти Правила, а 39 назначили уполномоченный(е) орган(ы) </w:t>
      </w:r>
      <w:r>
        <w:lastRenderedPageBreak/>
        <w:t>по официальному утверждению типа (источник: документ ECE/TRANS/WP.29/</w:t>
      </w:r>
      <w:r>
        <w:t xml:space="preserve"> </w:t>
      </w:r>
      <w:r>
        <w:t>343/Rev.30/Add.1 Организации Объединенных Наций, 1 марта 2022 года).</w:t>
      </w:r>
    </w:p>
    <w:p w14:paraId="7F01DA94" w14:textId="043CF726" w:rsidR="00C3749E" w:rsidRPr="004F08A7" w:rsidRDefault="00C3749E" w:rsidP="00C3749E">
      <w:pPr>
        <w:pStyle w:val="SingleTxtG"/>
      </w:pPr>
      <w:r>
        <w:t>3.</w:t>
      </w:r>
      <w:r>
        <w:tab/>
        <w:t>ФЕПФМ намерен твердо заявить, что поддерживает цифровую трансформацию, которую продвигает Европейская комиссия и которой способствует внесение предложенной поправки в Правила № 90 ООН (GRVA-15-24), поскольку она учитывает будущее развитие технологий и имеет решающее значение для достижения цифрового прогресса. Однако следует также учитывать, что упомянутые Правила № 129 ООН, которые разрешают альтернативное использование QR-кода или веб-ссылки вместо бумажных инструкций, применяются в мире только 29 странами (из них 16 являются государствами — членами Европейского союза), назначившими орган(ы) по официальному утверждению типа (источник: документ ECE/TRANS/</w:t>
      </w:r>
      <w:r>
        <w:t xml:space="preserve"> </w:t>
      </w:r>
      <w:r>
        <w:t>WP.29/343/Rev.30/Add.1 Организации Объединенных Наций, 1 марта 2022 года). Указанные цифры и разрывы между странами могут привести к значительным расхождениям. Отдельные договаривающиеся стороны, на которых распространяется действие Правил № 90 ООН, демонстрируют различия в охвате своей цифровой инфраструктуры, как в плане времени доступа, так и в плане территориального покрытия.</w:t>
      </w:r>
    </w:p>
    <w:p w14:paraId="052B6B23" w14:textId="360CCC54" w:rsidR="00C3749E" w:rsidRPr="004F08A7" w:rsidRDefault="00C3749E" w:rsidP="00C3749E">
      <w:pPr>
        <w:pStyle w:val="SingleTxtG"/>
      </w:pPr>
      <w:r>
        <w:t>4.</w:t>
      </w:r>
      <w:r>
        <w:tab/>
        <w:t xml:space="preserve">Даже если Европейский союз (ЕС) характеризуется в среднем хорошей цифровой инфраструктурой и хорошим доступом к </w:t>
      </w:r>
      <w:r w:rsidR="0041716D">
        <w:t>И</w:t>
      </w:r>
      <w:r>
        <w:t xml:space="preserve">нтернету (обследования показывают, что показатель доступа домашних хозяйств к </w:t>
      </w:r>
      <w:r w:rsidR="0041716D">
        <w:t>И</w:t>
      </w:r>
      <w:r>
        <w:t>нтернету можно принять за 93</w:t>
      </w:r>
      <w:r w:rsidR="0041716D">
        <w:t> </w:t>
      </w:r>
      <w:r>
        <w:t>%), тем не менее</w:t>
      </w:r>
      <w:r w:rsidR="0041716D">
        <w:t>,</w:t>
      </w:r>
      <w:r>
        <w:t xml:space="preserve"> даже внутри ЕС разница в этих показателях является значительной. Например, в двух странах разница между городами и сельскими районами составляет 14</w:t>
      </w:r>
      <w:r w:rsidR="0041716D">
        <w:t> </w:t>
      </w:r>
      <w:r>
        <w:t xml:space="preserve">% (источник: </w:t>
      </w:r>
      <w:r>
        <w:t>«</w:t>
      </w:r>
      <w:r>
        <w:t>Статистические показатели цифровой экономики и общества: домохозяйства и индивиды</w:t>
      </w:r>
      <w:r>
        <w:t>»</w:t>
      </w:r>
      <w:r>
        <w:t xml:space="preserve"> (Digital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Society </w:t>
      </w:r>
      <w:proofErr w:type="spellStart"/>
      <w:r>
        <w:t>Statistics</w:t>
      </w:r>
      <w:proofErr w:type="spellEnd"/>
      <w:r>
        <w:t xml:space="preserve"> </w:t>
      </w:r>
      <w:r w:rsidR="0041716D">
        <w:t>—</w:t>
      </w:r>
      <w:r>
        <w:t xml:space="preserve"> </w:t>
      </w:r>
      <w:proofErr w:type="spellStart"/>
      <w:r>
        <w:t>households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; European Commission 2022)). А за пределами ЕС разница между странами, подписавшими Правила № 90 ООН, может быть еще более резкой. В одной из самых развитых стран на другом континенте доступ к </w:t>
      </w:r>
      <w:r w:rsidR="0041716D">
        <w:t>И</w:t>
      </w:r>
      <w:r>
        <w:t>нтернету имеет лишь 70</w:t>
      </w:r>
      <w:r>
        <w:t> </w:t>
      </w:r>
      <w:r>
        <w:t xml:space="preserve">% населения (по состоянию на 2020 год; источник: </w:t>
      </w:r>
      <w:r>
        <w:t>«</w:t>
      </w:r>
      <w:r>
        <w:t>Книга фактов ЦРУ</w:t>
      </w:r>
      <w:r>
        <w:t>»</w:t>
      </w:r>
      <w:r>
        <w:t xml:space="preserve"> (The World </w:t>
      </w:r>
      <w:proofErr w:type="spellStart"/>
      <w:r>
        <w:t>Fact</w:t>
      </w:r>
      <w:proofErr w:type="spellEnd"/>
      <w:r>
        <w:t xml:space="preserve"> Book </w:t>
      </w:r>
      <w:r>
        <w:t>—</w:t>
      </w:r>
      <w:r>
        <w:t xml:space="preserve"> CIA.gov)). На том же континенте в другой стране, также подписавшей Правила № 90 ООН, доля тех, кто имеет доступ к </w:t>
      </w:r>
      <w:r>
        <w:t>И</w:t>
      </w:r>
      <w:r>
        <w:t>нтернету, составляет всего 36</w:t>
      </w:r>
      <w:r w:rsidR="0041716D">
        <w:t> </w:t>
      </w:r>
      <w:r>
        <w:t xml:space="preserve">% (по состоянию на 2020 год, источник: </w:t>
      </w:r>
      <w:r>
        <w:t>«</w:t>
      </w:r>
      <w:r>
        <w:t>Книга фактов ЦРУ</w:t>
      </w:r>
      <w:r>
        <w:t>»</w:t>
      </w:r>
      <w:r>
        <w:t xml:space="preserve"> </w:t>
      </w:r>
      <w:r>
        <w:br/>
      </w:r>
      <w:r>
        <w:t xml:space="preserve">(The World </w:t>
      </w:r>
      <w:proofErr w:type="spellStart"/>
      <w:r>
        <w:t>Fact</w:t>
      </w:r>
      <w:proofErr w:type="spellEnd"/>
      <w:r>
        <w:t xml:space="preserve"> Book </w:t>
      </w:r>
      <w:r>
        <w:t>—</w:t>
      </w:r>
      <w:r>
        <w:t xml:space="preserve"> CIA.gov)). Учитывая эти различия, вместо применения ограниченного по времени переходного периода следует скорее обеспечить наличие инфраструктурных предпосылок на соответствующей территории.</w:t>
      </w:r>
    </w:p>
    <w:p w14:paraId="6DB9CB7E" w14:textId="3F1A765C" w:rsidR="00C3749E" w:rsidRDefault="00C3749E" w:rsidP="00C3749E">
      <w:pPr>
        <w:pStyle w:val="SingleTxtG"/>
      </w:pPr>
      <w:r>
        <w:t>5.</w:t>
      </w:r>
      <w:r>
        <w:tab/>
        <w:t xml:space="preserve">Это соответствует также интересам изготовителей запасных частей, которые несут ответственность за предоставление достаточных инструкций по установки. </w:t>
      </w:r>
      <w:r>
        <w:br/>
      </w:r>
      <w:r>
        <w:t>При предоставлении инструкций по установке исключительно с помощью цифровых носителей/форматов, изготовителям следует удостовериться в том, что конечный пользователь имеет возможность получить доступ к содержанию инструкций по установке в цифровой форме, с тем чтобы надлежащим образом и в достаточной степени выполнить возложенные на них обязательства в части ипредоставления информации, а также гарантировать, что они не могут быть привлечены к ответственности из-за того, что конечные пользователи не могут получить доступ к инструкциям по установке в цифровой форме. Поэтому необходимо убедиться, что соответствующий компетентный орган каждой договаривающейся стороны может самостоятельно принять решение о том, имеются ли цифровые предпосылки для использования инструкций по установке в цифровом формате и должно ли такое использование быть одобрено и разрешено этим органом.</w:t>
      </w:r>
    </w:p>
    <w:p w14:paraId="3F7E371C" w14:textId="6814FC25" w:rsidR="00C3749E" w:rsidRPr="00C3749E" w:rsidRDefault="00C3749E" w:rsidP="00C3749E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EEEC7D" w14:textId="77777777" w:rsidR="00E12C5F" w:rsidRPr="008D53B6" w:rsidRDefault="00E12C5F" w:rsidP="00C3749E">
      <w:pPr>
        <w:pStyle w:val="SingleTxtG"/>
      </w:pPr>
    </w:p>
    <w:sectPr w:rsidR="00E12C5F" w:rsidRPr="008D53B6" w:rsidSect="00C3749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F45F" w14:textId="77777777" w:rsidR="00E44B25" w:rsidRPr="00A312BC" w:rsidRDefault="00E44B25" w:rsidP="00A312BC"/>
  </w:endnote>
  <w:endnote w:type="continuationSeparator" w:id="0">
    <w:p w14:paraId="0CF777C7" w14:textId="77777777" w:rsidR="00E44B25" w:rsidRPr="00A312BC" w:rsidRDefault="00E44B2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7570" w14:textId="170ECF09" w:rsidR="00C3749E" w:rsidRPr="00C3749E" w:rsidRDefault="00C3749E">
    <w:pPr>
      <w:pStyle w:val="a8"/>
    </w:pPr>
    <w:r w:rsidRPr="00C3749E">
      <w:rPr>
        <w:b/>
        <w:sz w:val="18"/>
      </w:rPr>
      <w:fldChar w:fldCharType="begin"/>
    </w:r>
    <w:r w:rsidRPr="00C3749E">
      <w:rPr>
        <w:b/>
        <w:sz w:val="18"/>
      </w:rPr>
      <w:instrText xml:space="preserve"> PAGE  \* MERGEFORMAT </w:instrText>
    </w:r>
    <w:r w:rsidRPr="00C3749E">
      <w:rPr>
        <w:b/>
        <w:sz w:val="18"/>
      </w:rPr>
      <w:fldChar w:fldCharType="separate"/>
    </w:r>
    <w:r w:rsidRPr="00C3749E">
      <w:rPr>
        <w:b/>
        <w:noProof/>
        <w:sz w:val="18"/>
      </w:rPr>
      <w:t>2</w:t>
    </w:r>
    <w:r w:rsidRPr="00C3749E">
      <w:rPr>
        <w:b/>
        <w:sz w:val="18"/>
      </w:rPr>
      <w:fldChar w:fldCharType="end"/>
    </w:r>
    <w:r>
      <w:rPr>
        <w:b/>
        <w:sz w:val="18"/>
      </w:rPr>
      <w:tab/>
    </w:r>
    <w:r>
      <w:t>GE.23-04361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343D" w14:textId="05951098" w:rsidR="00C3749E" w:rsidRPr="00C3749E" w:rsidRDefault="00C3749E" w:rsidP="00C3749E">
    <w:pPr>
      <w:pStyle w:val="a8"/>
      <w:tabs>
        <w:tab w:val="clear" w:pos="9639"/>
        <w:tab w:val="right" w:pos="9638"/>
      </w:tabs>
      <w:rPr>
        <w:b/>
        <w:sz w:val="18"/>
      </w:rPr>
    </w:pPr>
    <w:r>
      <w:t>GE.23-04361</w:t>
    </w:r>
    <w:r>
      <w:tab/>
    </w:r>
    <w:r w:rsidRPr="00C3749E">
      <w:rPr>
        <w:b/>
        <w:sz w:val="18"/>
      </w:rPr>
      <w:fldChar w:fldCharType="begin"/>
    </w:r>
    <w:r w:rsidRPr="00C3749E">
      <w:rPr>
        <w:b/>
        <w:sz w:val="18"/>
      </w:rPr>
      <w:instrText xml:space="preserve"> PAGE  \* MERGEFORMAT </w:instrText>
    </w:r>
    <w:r w:rsidRPr="00C3749E">
      <w:rPr>
        <w:b/>
        <w:sz w:val="18"/>
      </w:rPr>
      <w:fldChar w:fldCharType="separate"/>
    </w:r>
    <w:r w:rsidRPr="00C3749E">
      <w:rPr>
        <w:b/>
        <w:noProof/>
        <w:sz w:val="18"/>
      </w:rPr>
      <w:t>3</w:t>
    </w:r>
    <w:r w:rsidRPr="00C3749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26D0" w14:textId="61BDC913" w:rsidR="00042B72" w:rsidRPr="00C3749E" w:rsidRDefault="00C3749E" w:rsidP="00C3749E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545CA64" wp14:editId="4C47316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23-04361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8DB1E0E" wp14:editId="5323E54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200323  210323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9ACA" w14:textId="77777777" w:rsidR="00E44B25" w:rsidRPr="001075E9" w:rsidRDefault="00E44B2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17F759C" w14:textId="77777777" w:rsidR="00E44B25" w:rsidRDefault="00E44B2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39FB297" w14:textId="77777777" w:rsidR="00C3749E" w:rsidRPr="006C5434" w:rsidRDefault="00C3749E" w:rsidP="00C3749E">
      <w:pPr>
        <w:pStyle w:val="ad"/>
      </w:pPr>
      <w:r>
        <w:tab/>
      </w:r>
      <w:r w:rsidRPr="00C3749E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(часть V, разд. 20), п. 20.6), Всемирный форум будет разрабатывать, согласовывать и обновлять правила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4938" w14:textId="2E22B815" w:rsidR="00C3749E" w:rsidRPr="00C3749E" w:rsidRDefault="00C3749E">
    <w:pPr>
      <w:pStyle w:val="a5"/>
    </w:pPr>
    <w:fldSimple w:instr=" TITLE  \* MERGEFORMAT ">
      <w:r w:rsidR="005714C5">
        <w:t>ECE/TRANS/WP.29/GRVA/2023/14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9061" w14:textId="7258EE78" w:rsidR="00C3749E" w:rsidRPr="00C3749E" w:rsidRDefault="00C3749E" w:rsidP="00C3749E">
    <w:pPr>
      <w:pStyle w:val="a5"/>
      <w:jc w:val="right"/>
    </w:pPr>
    <w:fldSimple w:instr=" TITLE  \* MERGEFORMAT ">
      <w:r w:rsidR="005714C5">
        <w:t>ECE/TRANS/WP.29/GRVA/2023/14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DD20D71"/>
    <w:multiLevelType w:val="hybridMultilevel"/>
    <w:tmpl w:val="354868DE"/>
    <w:lvl w:ilvl="0" w:tplc="93000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59713081">
    <w:abstractNumId w:val="17"/>
  </w:num>
  <w:num w:numId="2" w16cid:durableId="1608074679">
    <w:abstractNumId w:val="12"/>
  </w:num>
  <w:num w:numId="3" w16cid:durableId="1960717218">
    <w:abstractNumId w:val="10"/>
  </w:num>
  <w:num w:numId="4" w16cid:durableId="2006737961">
    <w:abstractNumId w:val="18"/>
  </w:num>
  <w:num w:numId="5" w16cid:durableId="2140027591">
    <w:abstractNumId w:val="14"/>
  </w:num>
  <w:num w:numId="6" w16cid:durableId="399405322">
    <w:abstractNumId w:val="8"/>
  </w:num>
  <w:num w:numId="7" w16cid:durableId="1466653619">
    <w:abstractNumId w:val="3"/>
  </w:num>
  <w:num w:numId="8" w16cid:durableId="279847476">
    <w:abstractNumId w:val="2"/>
  </w:num>
  <w:num w:numId="9" w16cid:durableId="1702125487">
    <w:abstractNumId w:val="1"/>
  </w:num>
  <w:num w:numId="10" w16cid:durableId="500512378">
    <w:abstractNumId w:val="0"/>
  </w:num>
  <w:num w:numId="11" w16cid:durableId="158887855">
    <w:abstractNumId w:val="9"/>
  </w:num>
  <w:num w:numId="12" w16cid:durableId="1591694490">
    <w:abstractNumId w:val="7"/>
  </w:num>
  <w:num w:numId="13" w16cid:durableId="1700473898">
    <w:abstractNumId w:val="6"/>
  </w:num>
  <w:num w:numId="14" w16cid:durableId="1921871226">
    <w:abstractNumId w:val="5"/>
  </w:num>
  <w:num w:numId="15" w16cid:durableId="400104561">
    <w:abstractNumId w:val="4"/>
  </w:num>
  <w:num w:numId="16" w16cid:durableId="1565219211">
    <w:abstractNumId w:val="16"/>
  </w:num>
  <w:num w:numId="17" w16cid:durableId="1699043295">
    <w:abstractNumId w:val="13"/>
  </w:num>
  <w:num w:numId="18" w16cid:durableId="1070270702">
    <w:abstractNumId w:val="15"/>
  </w:num>
  <w:num w:numId="19" w16cid:durableId="1640184598">
    <w:abstractNumId w:val="16"/>
  </w:num>
  <w:num w:numId="20" w16cid:durableId="68579674">
    <w:abstractNumId w:val="13"/>
  </w:num>
  <w:num w:numId="21" w16cid:durableId="747652775">
    <w:abstractNumId w:val="15"/>
  </w:num>
  <w:num w:numId="22" w16cid:durableId="142167765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5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868F2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1716D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14C5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3749E"/>
    <w:rsid w:val="00C60F0C"/>
    <w:rsid w:val="00C71E84"/>
    <w:rsid w:val="00C805C9"/>
    <w:rsid w:val="00C92939"/>
    <w:rsid w:val="00CA1679"/>
    <w:rsid w:val="00CB151C"/>
    <w:rsid w:val="00CB22C5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0A1A"/>
    <w:rsid w:val="00DF5767"/>
    <w:rsid w:val="00DF71B9"/>
    <w:rsid w:val="00E12C5F"/>
    <w:rsid w:val="00E44B25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591CD"/>
  <w15:docId w15:val="{2BF466F4-EE03-4419-A45F-4A03E31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Footnote symbol,Footnote,Footnote Reference Superscript,SUPERS, BVI fnr,4_GR,Fußnotenzeichen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-E Fußnotentext,footnote text,Fußnotentext Ursprung,Footnote Text Char Char Char Char,Footnote Text1,Footnote Text Char Char Char,Fußnotentext Char Char,Fußnotentext Char2,Fußn,5_GR,Footnote Text Char Char,Fußnotentext Char1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-E Fußnotentext Знак,footnote text Знак,Fußnotentext Ursprung Знак,Footnote Text Char Char Char Char Знак,Footnote Text1 Знак,Footnote Text Char Char Char Знак,Fußnotentext Char Char Знак,Fußn Знак,5_GR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paragraph" w:styleId="af3">
    <w:name w:val="No Spacing"/>
    <w:uiPriority w:val="1"/>
    <w:qFormat/>
    <w:rsid w:val="00C3749E"/>
    <w:pPr>
      <w:ind w:left="1276"/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ChGChar">
    <w:name w:val="_ H _Ch_G Char"/>
    <w:link w:val="HChG"/>
    <w:qFormat/>
    <w:rsid w:val="00C3749E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C3749E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C3749E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3</Pages>
  <Words>994</Words>
  <Characters>6791</Characters>
  <Application>Microsoft Office Word</Application>
  <DocSecurity>0</DocSecurity>
  <Lines>617</Lines>
  <Paragraphs>259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ECE/TRANS/WP.29/GRVA/2023/14</vt:lpstr>
      <vt:lpstr>A/</vt:lpstr>
      <vt:lpstr>A/</vt:lpstr>
    </vt:vector>
  </TitlesOfParts>
  <Company>DCM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ECE/TRANS/WP.29/GRVA/2023/14</dc:title>
  <dc:subject/>
  <dc:creator>Elena IZOTOVA</dc:creator>
  <cp:keywords/>
  <cp:lastModifiedBy>Elena Izotova</cp:lastModifiedBy>
  <cp:revision>3</cp:revision>
  <cp:lastPrinted>2023-03-21T08:49:00Z</cp:lastPrinted>
  <dcterms:created xsi:type="dcterms:W3CDTF">2023-03-21T08:49:00Z</dcterms:created>
  <dcterms:modified xsi:type="dcterms:W3CDTF">2023-03-21T08:51:00Z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