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4ED509CE" w14:textId="77777777" w:rsidTr="00C97039">
        <w:trPr>
          <w:trHeight w:hRule="exact" w:val="851"/>
        </w:trPr>
        <w:tc>
          <w:tcPr>
            <w:tcW w:w="1276" w:type="dxa"/>
            <w:tcBorders>
              <w:bottom w:val="single" w:sz="4" w:space="0" w:color="auto"/>
            </w:tcBorders>
          </w:tcPr>
          <w:p w14:paraId="5E7E1A7C" w14:textId="77777777" w:rsidR="00F35BAF" w:rsidRPr="00DB58B5" w:rsidRDefault="00F35BAF" w:rsidP="005B2F51"/>
        </w:tc>
        <w:tc>
          <w:tcPr>
            <w:tcW w:w="2268" w:type="dxa"/>
            <w:tcBorders>
              <w:bottom w:val="single" w:sz="4" w:space="0" w:color="auto"/>
            </w:tcBorders>
            <w:vAlign w:val="bottom"/>
          </w:tcPr>
          <w:p w14:paraId="26CAF9C4"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53DC8B33" w14:textId="2A03E134" w:rsidR="00F35BAF" w:rsidRPr="00DB58B5" w:rsidRDefault="005B2F51" w:rsidP="005B2F51">
            <w:pPr>
              <w:jc w:val="right"/>
            </w:pPr>
            <w:r w:rsidRPr="005B2F51">
              <w:rPr>
                <w:sz w:val="40"/>
              </w:rPr>
              <w:t>ECE</w:t>
            </w:r>
            <w:r>
              <w:t>/TRANS/WP.15/AC.1/2023/20</w:t>
            </w:r>
          </w:p>
        </w:tc>
      </w:tr>
      <w:tr w:rsidR="00F35BAF" w:rsidRPr="00DB58B5" w14:paraId="2533A1B2" w14:textId="77777777" w:rsidTr="00C97039">
        <w:trPr>
          <w:trHeight w:hRule="exact" w:val="2835"/>
        </w:trPr>
        <w:tc>
          <w:tcPr>
            <w:tcW w:w="1276" w:type="dxa"/>
            <w:tcBorders>
              <w:top w:val="single" w:sz="4" w:space="0" w:color="auto"/>
              <w:bottom w:val="single" w:sz="12" w:space="0" w:color="auto"/>
            </w:tcBorders>
          </w:tcPr>
          <w:p w14:paraId="5DE5FB5A" w14:textId="77777777" w:rsidR="00F35BAF" w:rsidRPr="00DB58B5" w:rsidRDefault="00F35BAF" w:rsidP="00C97039">
            <w:pPr>
              <w:spacing w:before="120"/>
              <w:jc w:val="center"/>
            </w:pPr>
            <w:r>
              <w:rPr>
                <w:noProof/>
                <w:lang w:eastAsia="fr-CH"/>
              </w:rPr>
              <w:drawing>
                <wp:inline distT="0" distB="0" distL="0" distR="0" wp14:anchorId="7BB06EFA" wp14:editId="3A9E7291">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AE88B87"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469D60EF" w14:textId="77777777" w:rsidR="00F35BAF" w:rsidRDefault="005B2F51" w:rsidP="00C97039">
            <w:pPr>
              <w:spacing w:before="240"/>
            </w:pPr>
            <w:r>
              <w:t xml:space="preserve">Distr. </w:t>
            </w:r>
            <w:proofErr w:type="gramStart"/>
            <w:r>
              <w:t>générale</w:t>
            </w:r>
            <w:proofErr w:type="gramEnd"/>
          </w:p>
          <w:p w14:paraId="72F379F9" w14:textId="77777777" w:rsidR="005B2F51" w:rsidRDefault="005B2F51" w:rsidP="005B2F51">
            <w:pPr>
              <w:spacing w:line="240" w:lineRule="exact"/>
            </w:pPr>
            <w:r>
              <w:t>30 décembre 2022</w:t>
            </w:r>
          </w:p>
          <w:p w14:paraId="51ECEA68" w14:textId="77777777" w:rsidR="005B2F51" w:rsidRDefault="005B2F51" w:rsidP="005B2F51">
            <w:pPr>
              <w:spacing w:line="240" w:lineRule="exact"/>
            </w:pPr>
            <w:r>
              <w:t>Français</w:t>
            </w:r>
          </w:p>
          <w:p w14:paraId="263DA019" w14:textId="00A9FC10" w:rsidR="005B2F51" w:rsidRPr="00DB58B5" w:rsidRDefault="005B2F51" w:rsidP="005B2F51">
            <w:pPr>
              <w:spacing w:line="240" w:lineRule="exact"/>
            </w:pPr>
            <w:r>
              <w:t>Original : anglais</w:t>
            </w:r>
          </w:p>
        </w:tc>
      </w:tr>
    </w:tbl>
    <w:p w14:paraId="48CEEF7F" w14:textId="77777777" w:rsidR="007F20FA" w:rsidRPr="000312C0" w:rsidRDefault="007F20FA" w:rsidP="007F20FA">
      <w:pPr>
        <w:spacing w:before="120"/>
        <w:rPr>
          <w:b/>
          <w:sz w:val="28"/>
          <w:szCs w:val="28"/>
        </w:rPr>
      </w:pPr>
      <w:r w:rsidRPr="000312C0">
        <w:rPr>
          <w:b/>
          <w:sz w:val="28"/>
          <w:szCs w:val="28"/>
        </w:rPr>
        <w:t>Commission économique pour l’Europe</w:t>
      </w:r>
    </w:p>
    <w:p w14:paraId="45C6C011" w14:textId="77777777" w:rsidR="007F20FA" w:rsidRDefault="007F20FA" w:rsidP="007F20FA">
      <w:pPr>
        <w:spacing w:before="120"/>
        <w:rPr>
          <w:sz w:val="28"/>
          <w:szCs w:val="28"/>
        </w:rPr>
      </w:pPr>
      <w:r w:rsidRPr="00685843">
        <w:rPr>
          <w:sz w:val="28"/>
          <w:szCs w:val="28"/>
        </w:rPr>
        <w:t>Comité des transports intérieurs</w:t>
      </w:r>
    </w:p>
    <w:p w14:paraId="4E7F4A2A" w14:textId="1EC25708" w:rsidR="005B2F51" w:rsidRPr="005B2F51" w:rsidRDefault="005B2F51" w:rsidP="00500B07">
      <w:pPr>
        <w:spacing w:before="120"/>
        <w:rPr>
          <w:b/>
          <w:sz w:val="32"/>
          <w:szCs w:val="32"/>
          <w:lang w:val="fr-FR"/>
        </w:rPr>
      </w:pPr>
      <w:r w:rsidRPr="005B2F51">
        <w:rPr>
          <w:b/>
          <w:bCs/>
          <w:sz w:val="24"/>
          <w:szCs w:val="24"/>
          <w:lang w:val="fr-FR"/>
        </w:rPr>
        <w:t xml:space="preserve">Groupe de travail des transports </w:t>
      </w:r>
      <w:r w:rsidR="00F85617">
        <w:rPr>
          <w:b/>
          <w:bCs/>
          <w:sz w:val="24"/>
          <w:szCs w:val="24"/>
          <w:lang w:val="fr-FR"/>
        </w:rPr>
        <w:br/>
      </w:r>
      <w:r w:rsidRPr="005B2F51">
        <w:rPr>
          <w:b/>
          <w:bCs/>
          <w:sz w:val="24"/>
          <w:szCs w:val="24"/>
          <w:lang w:val="fr-FR"/>
        </w:rPr>
        <w:t>de marchandises dangereuses</w:t>
      </w:r>
    </w:p>
    <w:p w14:paraId="044D1DBB" w14:textId="2ABFC3C0" w:rsidR="005B2F51" w:rsidRPr="005B2F51" w:rsidRDefault="005B2F51" w:rsidP="00F85617">
      <w:pPr>
        <w:spacing w:before="120"/>
        <w:rPr>
          <w:b/>
          <w:lang w:val="fr-FR"/>
        </w:rPr>
      </w:pPr>
      <w:r w:rsidRPr="005B2F51">
        <w:rPr>
          <w:b/>
          <w:bCs/>
          <w:lang w:val="fr-FR"/>
        </w:rPr>
        <w:t xml:space="preserve">Réunion commune de la Commission d’experts du RID et du </w:t>
      </w:r>
      <w:r w:rsidR="00F85617">
        <w:rPr>
          <w:b/>
          <w:bCs/>
          <w:lang w:val="fr-FR"/>
        </w:rPr>
        <w:br/>
      </w:r>
      <w:r w:rsidRPr="005B2F51">
        <w:rPr>
          <w:b/>
          <w:bCs/>
          <w:lang w:val="fr-FR"/>
        </w:rPr>
        <w:t xml:space="preserve">Groupe de travail des transports de marchandises dangereuses </w:t>
      </w:r>
    </w:p>
    <w:p w14:paraId="1D7A34B3" w14:textId="77777777" w:rsidR="005B2F51" w:rsidRPr="005B2F51" w:rsidRDefault="005B2F51" w:rsidP="005B2F51">
      <w:pPr>
        <w:rPr>
          <w:lang w:val="fr-FR"/>
        </w:rPr>
      </w:pPr>
      <w:r w:rsidRPr="005B2F51">
        <w:rPr>
          <w:lang w:val="fr-FR"/>
        </w:rPr>
        <w:t>Berne, 20-24 mars 2023</w:t>
      </w:r>
    </w:p>
    <w:p w14:paraId="74447F7B" w14:textId="77777777" w:rsidR="005B2F51" w:rsidRPr="005B2F51" w:rsidRDefault="005B2F51" w:rsidP="005B2F51">
      <w:pPr>
        <w:rPr>
          <w:lang w:val="fr-FR"/>
        </w:rPr>
      </w:pPr>
      <w:r w:rsidRPr="005B2F51">
        <w:rPr>
          <w:lang w:val="fr-FR"/>
        </w:rPr>
        <w:t>Point 5 b) de l’ordre du jour provisoire</w:t>
      </w:r>
    </w:p>
    <w:p w14:paraId="02DB8454" w14:textId="78080A0D" w:rsidR="005B2F51" w:rsidRPr="005B2F51" w:rsidRDefault="005B2F51" w:rsidP="005B2F51">
      <w:pPr>
        <w:rPr>
          <w:lang w:val="fr-FR"/>
        </w:rPr>
      </w:pPr>
      <w:r w:rsidRPr="005B2F51">
        <w:rPr>
          <w:b/>
          <w:bCs/>
          <w:lang w:val="fr-FR"/>
        </w:rPr>
        <w:t xml:space="preserve">Propositions d’amendements au RID, à l’ADR </w:t>
      </w:r>
      <w:r w:rsidR="00F85617">
        <w:rPr>
          <w:b/>
          <w:bCs/>
          <w:lang w:val="fr-FR"/>
        </w:rPr>
        <w:br/>
      </w:r>
      <w:r w:rsidRPr="005B2F51">
        <w:rPr>
          <w:b/>
          <w:bCs/>
          <w:lang w:val="fr-FR"/>
        </w:rPr>
        <w:t>et à l’ADN</w:t>
      </w:r>
      <w:r w:rsidR="00500B07">
        <w:rPr>
          <w:b/>
          <w:bCs/>
          <w:lang w:val="fr-FR"/>
        </w:rPr>
        <w:t> </w:t>
      </w:r>
      <w:r w:rsidRPr="005B2F51">
        <w:rPr>
          <w:b/>
          <w:bCs/>
          <w:lang w:val="fr-FR"/>
        </w:rPr>
        <w:t>: nouvelles propositions</w:t>
      </w:r>
    </w:p>
    <w:p w14:paraId="3A703AB2" w14:textId="77777777" w:rsidR="005B2F51" w:rsidRPr="005B2F51" w:rsidRDefault="005B2F51" w:rsidP="00F85617">
      <w:pPr>
        <w:pStyle w:val="HChG"/>
        <w:rPr>
          <w:lang w:val="fr-FR"/>
        </w:rPr>
      </w:pPr>
      <w:r w:rsidRPr="005B2F51">
        <w:rPr>
          <w:lang w:val="fr-FR"/>
        </w:rPr>
        <w:tab/>
      </w:r>
      <w:r w:rsidRPr="005B2F51">
        <w:rPr>
          <w:lang w:val="fr-FR"/>
        </w:rPr>
        <w:tab/>
        <w:t>Transport de déchets dans un emballage combiné</w:t>
      </w:r>
    </w:p>
    <w:p w14:paraId="7E8890A2" w14:textId="1F1D1A94" w:rsidR="005B2F51" w:rsidRDefault="005B2F51" w:rsidP="00F85617">
      <w:pPr>
        <w:pStyle w:val="H1G"/>
        <w:rPr>
          <w:b w:val="0"/>
          <w:bCs/>
          <w:sz w:val="20"/>
        </w:rPr>
      </w:pPr>
      <w:r w:rsidRPr="005B2F51">
        <w:rPr>
          <w:lang w:val="fr-FR"/>
        </w:rPr>
        <w:tab/>
      </w:r>
      <w:r w:rsidRPr="005B2F51">
        <w:rPr>
          <w:lang w:val="fr-FR"/>
        </w:rPr>
        <w:tab/>
        <w:t xml:space="preserve">Communication de la Fédération européenne des activités </w:t>
      </w:r>
      <w:r w:rsidR="00F85617">
        <w:rPr>
          <w:lang w:val="fr-FR"/>
        </w:rPr>
        <w:br/>
      </w:r>
      <w:r w:rsidRPr="005B2F51">
        <w:rPr>
          <w:lang w:val="fr-FR"/>
        </w:rPr>
        <w:t>de la dépollution et de l’environnement (FEAD)</w:t>
      </w:r>
      <w:r w:rsidR="00F85617" w:rsidRPr="00F85617">
        <w:rPr>
          <w:rStyle w:val="FootnoteReference"/>
          <w:b w:val="0"/>
          <w:bCs/>
          <w:sz w:val="20"/>
          <w:vertAlign w:val="baseline"/>
        </w:rPr>
        <w:footnoteReference w:customMarkFollows="1" w:id="2"/>
        <w:t>*</w:t>
      </w:r>
      <w:r w:rsidRPr="00F85617">
        <w:rPr>
          <w:vertAlign w:val="superscript"/>
          <w:lang w:val="fr-FR"/>
        </w:rPr>
        <w:t>,</w:t>
      </w:r>
      <w:r w:rsidR="00F85617">
        <w:rPr>
          <w:lang w:val="fr-FR"/>
        </w:rPr>
        <w:t xml:space="preserve"> </w:t>
      </w:r>
      <w:r w:rsidR="00F85617" w:rsidRPr="00F85617">
        <w:rPr>
          <w:rStyle w:val="FootnoteReference"/>
          <w:b w:val="0"/>
          <w:bCs/>
          <w:sz w:val="20"/>
          <w:vertAlign w:val="baseline"/>
        </w:rPr>
        <w:footnoteReference w:customMarkFollows="1" w:id="3"/>
        <w:t>**</w:t>
      </w:r>
    </w:p>
    <w:tbl>
      <w:tblPr>
        <w:tblStyle w:val="TableGrid"/>
        <w:tblW w:w="0" w:type="auto"/>
        <w:jc w:val="center"/>
        <w:tblBorders>
          <w:insideH w:val="none" w:sz="0" w:space="0" w:color="auto"/>
        </w:tblBorders>
        <w:tblLook w:val="05E0" w:firstRow="1" w:lastRow="1" w:firstColumn="1" w:lastColumn="1" w:noHBand="0" w:noVBand="1"/>
      </w:tblPr>
      <w:tblGrid>
        <w:gridCol w:w="9628"/>
      </w:tblGrid>
      <w:tr w:rsidR="00F85617" w14:paraId="0ADF5B31" w14:textId="77777777">
        <w:trPr>
          <w:jc w:val="center"/>
        </w:trPr>
        <w:tc>
          <w:tcPr>
            <w:tcW w:w="9637" w:type="dxa"/>
            <w:shd w:val="clear" w:color="auto" w:fill="auto"/>
          </w:tcPr>
          <w:p w14:paraId="021C185D" w14:textId="77777777" w:rsidR="00F85617" w:rsidRDefault="00F85617">
            <w:pPr>
              <w:spacing w:before="240" w:after="120"/>
              <w:ind w:left="255"/>
              <w:rPr>
                <w:i/>
                <w:sz w:val="24"/>
              </w:rPr>
            </w:pPr>
            <w:r>
              <w:rPr>
                <w:i/>
                <w:sz w:val="24"/>
              </w:rPr>
              <w:t>Résumé</w:t>
            </w:r>
          </w:p>
        </w:tc>
      </w:tr>
      <w:tr w:rsidR="00F85617" w14:paraId="3D4A5895" w14:textId="77777777">
        <w:trPr>
          <w:jc w:val="center"/>
        </w:trPr>
        <w:tc>
          <w:tcPr>
            <w:tcW w:w="9637" w:type="dxa"/>
            <w:shd w:val="clear" w:color="auto" w:fill="auto"/>
          </w:tcPr>
          <w:p w14:paraId="642DDF9D" w14:textId="6776936D" w:rsidR="005B2F51" w:rsidRPr="005B2F51" w:rsidRDefault="005B2F51" w:rsidP="00F85617">
            <w:pPr>
              <w:pStyle w:val="SingleTxtG"/>
              <w:kinsoku/>
              <w:overflowPunct/>
              <w:autoSpaceDE/>
              <w:autoSpaceDN/>
              <w:adjustRightInd/>
              <w:snapToGrid/>
              <w:ind w:left="3402" w:hanging="2268"/>
              <w:rPr>
                <w:lang w:val="fr-FR"/>
              </w:rPr>
            </w:pPr>
            <w:r w:rsidRPr="005B2F51">
              <w:rPr>
                <w:b/>
                <w:bCs/>
                <w:lang w:val="fr-FR"/>
              </w:rPr>
              <w:t>Résumé analytique</w:t>
            </w:r>
            <w:r w:rsidRPr="005B2F51">
              <w:rPr>
                <w:lang w:val="fr-FR"/>
              </w:rPr>
              <w:t xml:space="preserve"> :</w:t>
            </w:r>
            <w:r w:rsidRPr="005B2F51">
              <w:rPr>
                <w:lang w:val="fr-FR"/>
              </w:rPr>
              <w:tab/>
              <w:t>Le présent document porte sur la nécessité d’introduire une solution permettant le transport de déchets dans un emballage combiné là où les règles existantes ne sont pas suffisantes pour tenir compte de tous les scénarios qui se produisent dans le cadre de la gestion des déchets</w:t>
            </w:r>
            <w:r w:rsidR="00500B07">
              <w:rPr>
                <w:lang w:val="fr-FR"/>
              </w:rPr>
              <w:t>.</w:t>
            </w:r>
            <w:r w:rsidRPr="005B2F51">
              <w:rPr>
                <w:lang w:val="fr-FR"/>
              </w:rPr>
              <w:t xml:space="preserve"> Souvent, on ne dispose que des emballages intérieurs et il convient d’ajouter un emballage extérieur approprié.</w:t>
            </w:r>
          </w:p>
          <w:p w14:paraId="35BA0B25" w14:textId="1662E9A5" w:rsidR="00F85617" w:rsidRPr="00F85617" w:rsidRDefault="005B2F51" w:rsidP="00F85617">
            <w:pPr>
              <w:pStyle w:val="SingleTxtG"/>
              <w:kinsoku/>
              <w:overflowPunct/>
              <w:autoSpaceDE/>
              <w:autoSpaceDN/>
              <w:adjustRightInd/>
              <w:snapToGrid/>
              <w:ind w:left="3402" w:hanging="2268"/>
              <w:rPr>
                <w:lang w:val="fr-FR"/>
              </w:rPr>
            </w:pPr>
            <w:r w:rsidRPr="005B2F51">
              <w:rPr>
                <w:b/>
                <w:bCs/>
                <w:lang w:val="fr-FR"/>
              </w:rPr>
              <w:t>Mesure à prendre</w:t>
            </w:r>
            <w:r w:rsidR="00F85617">
              <w:rPr>
                <w:lang w:val="fr-FR"/>
              </w:rPr>
              <w:t> :</w:t>
            </w:r>
            <w:r w:rsidRPr="005B2F51">
              <w:rPr>
                <w:lang w:val="fr-FR"/>
              </w:rPr>
              <w:tab/>
              <w:t>Ajouter le nouveau 4.1.1.5.3</w:t>
            </w:r>
          </w:p>
        </w:tc>
      </w:tr>
      <w:tr w:rsidR="00F85617" w14:paraId="5A4C0946" w14:textId="77777777">
        <w:trPr>
          <w:jc w:val="center"/>
        </w:trPr>
        <w:tc>
          <w:tcPr>
            <w:tcW w:w="9637" w:type="dxa"/>
            <w:shd w:val="clear" w:color="auto" w:fill="auto"/>
          </w:tcPr>
          <w:p w14:paraId="683527FD" w14:textId="77777777" w:rsidR="00F85617" w:rsidRDefault="00F85617"/>
        </w:tc>
      </w:tr>
    </w:tbl>
    <w:p w14:paraId="6C2D840B" w14:textId="77777777" w:rsidR="005B2F51" w:rsidRPr="005B2F51" w:rsidRDefault="005B2F51" w:rsidP="00F85617">
      <w:pPr>
        <w:pStyle w:val="HChG"/>
        <w:rPr>
          <w:lang w:val="fr-FR"/>
        </w:rPr>
      </w:pPr>
      <w:r w:rsidRPr="005B2F51">
        <w:rPr>
          <w:lang w:val="fr-FR"/>
        </w:rPr>
        <w:tab/>
      </w:r>
      <w:r w:rsidRPr="005B2F51">
        <w:rPr>
          <w:lang w:val="fr-FR"/>
        </w:rPr>
        <w:tab/>
        <w:t>Introduction</w:t>
      </w:r>
    </w:p>
    <w:p w14:paraId="292F8392" w14:textId="77777777" w:rsidR="005B2F51" w:rsidRPr="005B2F51" w:rsidRDefault="005B2F51" w:rsidP="00F85617">
      <w:pPr>
        <w:pStyle w:val="SingleTxtG"/>
        <w:rPr>
          <w:lang w:val="fr-FR"/>
        </w:rPr>
      </w:pPr>
      <w:r w:rsidRPr="005B2F51">
        <w:rPr>
          <w:lang w:val="fr-FR"/>
        </w:rPr>
        <w:t>1.</w:t>
      </w:r>
      <w:r w:rsidRPr="005B2F51">
        <w:rPr>
          <w:lang w:val="fr-FR"/>
        </w:rPr>
        <w:tab/>
        <w:t>Le 4.1.1.5.1 prévoit certaines modifications de l’emballage intérieur ne nécessitant pas de soumettre l’emballage extérieur à d’autres épreuves.</w:t>
      </w:r>
    </w:p>
    <w:p w14:paraId="1ED74F55" w14:textId="77777777" w:rsidR="005B2F51" w:rsidRPr="005B2F51" w:rsidRDefault="005B2F51" w:rsidP="00F85617">
      <w:pPr>
        <w:pStyle w:val="SingleTxtG"/>
        <w:rPr>
          <w:rFonts w:ascii="Raleway" w:hAnsi="Raleway"/>
          <w:caps/>
          <w:color w:val="333333"/>
          <w:sz w:val="23"/>
          <w:szCs w:val="23"/>
          <w:lang w:val="fr-FR"/>
        </w:rPr>
      </w:pPr>
      <w:r w:rsidRPr="005B2F51">
        <w:rPr>
          <w:lang w:val="fr-FR"/>
        </w:rPr>
        <w:t>2.</w:t>
      </w:r>
      <w:r w:rsidRPr="005B2F51">
        <w:rPr>
          <w:lang w:val="fr-FR"/>
        </w:rPr>
        <w:tab/>
        <w:t xml:space="preserve">Le 6.1.5.1.7 définit des règles applicables aux épreuves auxquelles sont soumis les emballages extérieurs qui contiennent différents types d’emballages intérieurs. </w:t>
      </w:r>
    </w:p>
    <w:p w14:paraId="450B3ACF" w14:textId="2A5A2319" w:rsidR="005B2F51" w:rsidRPr="005B2F51" w:rsidRDefault="005B2F51" w:rsidP="00500B07">
      <w:pPr>
        <w:pStyle w:val="SingleTxtG"/>
        <w:keepNext/>
        <w:keepLines/>
        <w:rPr>
          <w:lang w:val="fr-FR"/>
        </w:rPr>
      </w:pPr>
      <w:r w:rsidRPr="005B2F51">
        <w:rPr>
          <w:lang w:val="fr-FR"/>
        </w:rPr>
        <w:lastRenderedPageBreak/>
        <w:t>3.</w:t>
      </w:r>
      <w:r w:rsidRPr="005B2F51">
        <w:rPr>
          <w:lang w:val="fr-FR"/>
        </w:rPr>
        <w:tab/>
        <w:t>Les produits d’origine sont emballés dans un emballage combiné qui a été spécialement éprouvé à cet effet (voir 6.1.5 du RID et de l’ADR). Lors de la collecte de déchets, il ne reste souvent que l’emballage intérieur (voir images). Les déchets doivent donc être triés en fonction de leurs propriétés dangereuses et emballés de manière à remplir toutes les exigences du RID et de l’ADR.</w:t>
      </w:r>
    </w:p>
    <w:p w14:paraId="5ADBE340" w14:textId="77777777" w:rsidR="005B2F51" w:rsidRPr="005B2F51" w:rsidRDefault="005B2F51" w:rsidP="00F85617">
      <w:pPr>
        <w:pStyle w:val="SingleTxtG"/>
        <w:rPr>
          <w:lang w:val="fr-FR"/>
        </w:rPr>
      </w:pPr>
      <w:r w:rsidRPr="005B2F51">
        <w:rPr>
          <w:lang w:val="fr-FR"/>
        </w:rPr>
        <w:t>4.</w:t>
      </w:r>
      <w:r w:rsidRPr="005B2F51">
        <w:rPr>
          <w:lang w:val="fr-FR"/>
        </w:rPr>
        <w:tab/>
        <w:t>Les modifications visées par le 4.1.1.5.1 et même les dispositions du 6.1.5.1.7 sont trop strictes pour la gestion des déchets car les emballages intérieurs se présentent dans beaucoup plus de configurations que ne le prévoit le 4.1.1.5.1 ou l’emballage ne peut pas être correctement utilisé conformément à la certification au titre du 6.1.5.1.7. En outre, pour des raisons de sécurité, il n’est pas réaliste de réemballer chaque emballage individuel contenant des déchets. Par conséquent, du point de vue juridique, il n’existe pas de solution simple pour remédier au problème que pose l’absence d’emballage extérieur.</w:t>
      </w:r>
    </w:p>
    <w:p w14:paraId="40A9F61A" w14:textId="77777777" w:rsidR="005B2F51" w:rsidRPr="005B2F51" w:rsidRDefault="005B2F51" w:rsidP="00F85617">
      <w:pPr>
        <w:pStyle w:val="SingleTxtG"/>
        <w:rPr>
          <w:lang w:val="fr-FR"/>
        </w:rPr>
      </w:pPr>
      <w:r w:rsidRPr="005B2F51">
        <w:rPr>
          <w:lang w:val="fr-FR"/>
        </w:rPr>
        <w:t>5.</w:t>
      </w:r>
      <w:r w:rsidRPr="005B2F51">
        <w:rPr>
          <w:lang w:val="fr-FR"/>
        </w:rPr>
        <w:tab/>
        <w:t>Faute de règles applicables dans le RID et l’ADR, certains pays ont prévu des dérogations nationales pour remédier au problème de la gestion des déchets. Il convient donc d’adopter des règles harmonisées qui garantissent des conditions de concurrence équitables entre les pays et permettent les transports internationaux.</w:t>
      </w:r>
    </w:p>
    <w:p w14:paraId="535313D8" w14:textId="77777777" w:rsidR="005B2F51" w:rsidRPr="005B2F51" w:rsidRDefault="005B2F51" w:rsidP="00F85617">
      <w:pPr>
        <w:pStyle w:val="SingleTxtG"/>
        <w:rPr>
          <w:lang w:val="fr-FR"/>
        </w:rPr>
      </w:pPr>
      <w:r w:rsidRPr="005B2F51">
        <w:rPr>
          <w:lang w:val="fr-FR"/>
        </w:rPr>
        <w:t>6.</w:t>
      </w:r>
      <w:r w:rsidRPr="005B2F51">
        <w:rPr>
          <w:lang w:val="fr-FR"/>
        </w:rPr>
        <w:tab/>
        <w:t>Les images ci-après montrent des situations auxquelles les professionnels de la gestion des déchets sont confrontés au quotidien :</w:t>
      </w:r>
    </w:p>
    <w:p w14:paraId="352D1B7D" w14:textId="77777777" w:rsidR="005B2F51" w:rsidRPr="005B2F51" w:rsidRDefault="005B2F51" w:rsidP="00F85617">
      <w:pPr>
        <w:jc w:val="center"/>
        <w:rPr>
          <w:lang w:val="fr-FR"/>
        </w:rPr>
      </w:pPr>
      <w:r w:rsidRPr="005B2F51">
        <w:rPr>
          <w:noProof/>
          <w:lang w:val="fr-FR"/>
        </w:rPr>
        <w:drawing>
          <wp:inline distT="0" distB="0" distL="0" distR="0" wp14:anchorId="7E351041" wp14:editId="54BD832D">
            <wp:extent cx="3034030" cy="2040255"/>
            <wp:effectExtent l="0" t="0" r="0" b="0"/>
            <wp:docPr id="6" name="Picture 6" descr="A picture containing trash, several&#10;&#10;Description automatically generated"/>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trash, several&#10;&#10;Description automatically generated"/>
                    <pic:cNvPicPr>
                      <a:picLocks noGrp="1" noChangeAspect="1" noChangeArrowheads="1"/>
                    </pic:cNvPicPr>
                  </pic:nvPicPr>
                  <pic:blipFill>
                    <a:blip r:embed="rId8" cstate="print">
                      <a:extLst>
                        <a:ext uri="{28A0092B-C50C-407E-A947-70E740481C1C}">
                          <a14:useLocalDpi xmlns:a14="http://schemas.microsoft.com/office/drawing/2010/main" val="0"/>
                        </a:ext>
                      </a:extLst>
                    </a:blip>
                    <a:srcRect t="10619" r="-2" b="-2"/>
                    <a:stretch>
                      <a:fillRect/>
                    </a:stretch>
                  </pic:blipFill>
                  <pic:spPr bwMode="auto">
                    <a:xfrm>
                      <a:off x="0" y="0"/>
                      <a:ext cx="3034030" cy="2040255"/>
                    </a:xfrm>
                    <a:prstGeom prst="rect">
                      <a:avLst/>
                    </a:prstGeom>
                    <a:noFill/>
                    <a:ln>
                      <a:noFill/>
                    </a:ln>
                  </pic:spPr>
                </pic:pic>
              </a:graphicData>
            </a:graphic>
          </wp:inline>
        </w:drawing>
      </w:r>
    </w:p>
    <w:p w14:paraId="1E8451F8" w14:textId="77777777" w:rsidR="005B2F51" w:rsidRPr="005B2F51" w:rsidRDefault="005B2F51" w:rsidP="00F85617">
      <w:pPr>
        <w:spacing w:before="120" w:after="120"/>
        <w:ind w:left="2552"/>
        <w:rPr>
          <w:lang w:val="fr-FR"/>
        </w:rPr>
      </w:pPr>
      <w:r w:rsidRPr="005B2F51">
        <w:rPr>
          <w:lang w:val="fr-FR"/>
        </w:rPr>
        <w:t>Fig.1 : déchets non triés proposés à l’élimination</w:t>
      </w:r>
    </w:p>
    <w:p w14:paraId="55495C7A" w14:textId="77777777" w:rsidR="005B2F51" w:rsidRPr="005B2F51" w:rsidRDefault="005B2F51" w:rsidP="00F85617">
      <w:pPr>
        <w:jc w:val="center"/>
        <w:rPr>
          <w:lang w:val="fr-FR"/>
        </w:rPr>
      </w:pPr>
      <w:r w:rsidRPr="005B2F51">
        <w:rPr>
          <w:noProof/>
          <w:lang w:val="fr-FR"/>
        </w:rPr>
        <w:drawing>
          <wp:inline distT="0" distB="0" distL="0" distR="0" wp14:anchorId="055E2F0A" wp14:editId="093F565F">
            <wp:extent cx="2013585" cy="3002280"/>
            <wp:effectExtent l="953" t="0" r="6667" b="6668"/>
            <wp:docPr id="5" name="Picture 5" descr="A picture containing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 picture containing indoor&#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l="10440" r="39281" b="-2"/>
                    <a:stretch>
                      <a:fillRect/>
                    </a:stretch>
                  </pic:blipFill>
                  <pic:spPr bwMode="auto">
                    <a:xfrm rot="5400000">
                      <a:off x="0" y="0"/>
                      <a:ext cx="2013585" cy="3002280"/>
                    </a:xfrm>
                    <a:prstGeom prst="rect">
                      <a:avLst/>
                    </a:prstGeom>
                    <a:noFill/>
                    <a:ln>
                      <a:noFill/>
                    </a:ln>
                  </pic:spPr>
                </pic:pic>
              </a:graphicData>
            </a:graphic>
          </wp:inline>
        </w:drawing>
      </w:r>
    </w:p>
    <w:p w14:paraId="7A6D95CC" w14:textId="77777777" w:rsidR="005B2F51" w:rsidRPr="005B2F51" w:rsidRDefault="005B2F51" w:rsidP="00F85617">
      <w:pPr>
        <w:spacing w:before="120" w:after="120"/>
        <w:ind w:left="2552"/>
        <w:rPr>
          <w:lang w:val="fr-FR"/>
        </w:rPr>
      </w:pPr>
      <w:r w:rsidRPr="005B2F51">
        <w:rPr>
          <w:lang w:val="fr-FR"/>
        </w:rPr>
        <w:t>Fig. 2 : déchets provenant d’un laboratoire universitaire proposés à l’élimination</w:t>
      </w:r>
    </w:p>
    <w:p w14:paraId="5918BF60" w14:textId="77777777" w:rsidR="005B2F51" w:rsidRPr="005B2F51" w:rsidRDefault="005B2F51" w:rsidP="00F85617">
      <w:pPr>
        <w:pStyle w:val="HChG"/>
        <w:rPr>
          <w:lang w:val="fr-FR"/>
        </w:rPr>
      </w:pPr>
      <w:r w:rsidRPr="005B2F51">
        <w:rPr>
          <w:lang w:val="fr-FR"/>
        </w:rPr>
        <w:tab/>
      </w:r>
      <w:r w:rsidRPr="005B2F51">
        <w:rPr>
          <w:lang w:val="fr-FR"/>
        </w:rPr>
        <w:tab/>
        <w:t>Proposition</w:t>
      </w:r>
    </w:p>
    <w:p w14:paraId="2572A0EA" w14:textId="77777777" w:rsidR="005B2F51" w:rsidRPr="005B2F51" w:rsidRDefault="005B2F51" w:rsidP="00F85617">
      <w:pPr>
        <w:pStyle w:val="SingleTxtG"/>
        <w:rPr>
          <w:lang w:val="fr-FR"/>
        </w:rPr>
      </w:pPr>
      <w:r w:rsidRPr="005B2F51">
        <w:rPr>
          <w:lang w:val="fr-FR"/>
        </w:rPr>
        <w:t>7.</w:t>
      </w:r>
      <w:r w:rsidRPr="005B2F51">
        <w:rPr>
          <w:lang w:val="fr-FR"/>
        </w:rPr>
        <w:tab/>
        <w:t xml:space="preserve">Comme </w:t>
      </w:r>
      <w:proofErr w:type="gramStart"/>
      <w:r w:rsidRPr="005B2F51">
        <w:rPr>
          <w:lang w:val="fr-FR"/>
        </w:rPr>
        <w:t>suite aux</w:t>
      </w:r>
      <w:proofErr w:type="gramEnd"/>
      <w:r w:rsidRPr="005B2F51">
        <w:rPr>
          <w:lang w:val="fr-FR"/>
        </w:rPr>
        <w:t xml:space="preserve"> échanges qui ont eu lieu à la réunion du groupe de travail informel du transport des déchets dangereux tenue les 15 et 16 juin 2022 à La Haye (et en ligne), la Fédération européenne des activités de la dépollution et de l’environnement (FEAD) suggère d’ajouter un nouveau 4.1.1.5.3, libellé comme suit :</w:t>
      </w:r>
    </w:p>
    <w:p w14:paraId="3993FF15" w14:textId="77777777" w:rsidR="005B2F51" w:rsidRPr="005B2F51" w:rsidRDefault="005B2F51" w:rsidP="00F85617">
      <w:pPr>
        <w:pStyle w:val="SingleTxtG"/>
        <w:ind w:left="2268" w:hanging="1134"/>
        <w:rPr>
          <w:lang w:val="fr-FR"/>
        </w:rPr>
      </w:pPr>
      <w:r w:rsidRPr="005B2F51">
        <w:rPr>
          <w:lang w:val="fr-FR"/>
        </w:rPr>
        <w:lastRenderedPageBreak/>
        <w:t>« 4.1.1.5.3</w:t>
      </w:r>
      <w:r w:rsidRPr="005B2F51">
        <w:rPr>
          <w:lang w:val="fr-FR"/>
        </w:rPr>
        <w:tab/>
        <w:t>Pour le transport de déchets classés conformément au 2.1.3.5.5, différents types d’emballages intérieurs peuvent être utilisés avec un seul emballage extérieur satisfaisant aux dispositions suivantes :</w:t>
      </w:r>
    </w:p>
    <w:p w14:paraId="7DADACCE" w14:textId="77777777" w:rsidR="005B2F51" w:rsidRPr="005B2F51" w:rsidRDefault="005B2F51" w:rsidP="00F85617">
      <w:pPr>
        <w:pStyle w:val="SingleTxtG"/>
        <w:ind w:left="2835" w:hanging="567"/>
        <w:rPr>
          <w:lang w:val="fr-FR"/>
        </w:rPr>
      </w:pPr>
      <w:r w:rsidRPr="005B2F51">
        <w:rPr>
          <w:lang w:val="fr-FR"/>
        </w:rPr>
        <w:t>a)</w:t>
      </w:r>
      <w:r w:rsidRPr="005B2F51">
        <w:rPr>
          <w:lang w:val="fr-FR"/>
        </w:rPr>
        <w:tab/>
        <w:t>L’emballage extérieur doit être soumis aux épreuves du groupe d’emballage I ;</w:t>
      </w:r>
    </w:p>
    <w:p w14:paraId="0ACB556C" w14:textId="77777777" w:rsidR="005B2F51" w:rsidRPr="005B2F51" w:rsidRDefault="005B2F51" w:rsidP="00F85617">
      <w:pPr>
        <w:pStyle w:val="SingleTxtG"/>
        <w:ind w:left="2835" w:hanging="567"/>
        <w:rPr>
          <w:lang w:val="fr-FR"/>
        </w:rPr>
      </w:pPr>
      <w:r w:rsidRPr="005B2F51">
        <w:rPr>
          <w:lang w:val="fr-FR"/>
        </w:rPr>
        <w:t>b)</w:t>
      </w:r>
      <w:r w:rsidRPr="005B2F51">
        <w:rPr>
          <w:lang w:val="fr-FR"/>
        </w:rPr>
        <w:tab/>
        <w:t>Un emballage extérieur ayant satisfait aux épreuves appropriées pour le transport des matières solides peut être utilisé pour un emballage combiné, sans avoir besoin d’être spécialement éprouvé pour les emballages intérieurs ;</w:t>
      </w:r>
    </w:p>
    <w:p w14:paraId="3598CA01" w14:textId="77777777" w:rsidR="005B2F51" w:rsidRPr="005B2F51" w:rsidRDefault="005B2F51" w:rsidP="00F85617">
      <w:pPr>
        <w:pStyle w:val="SingleTxtG"/>
        <w:ind w:left="2835" w:hanging="567"/>
        <w:rPr>
          <w:lang w:val="fr-FR"/>
        </w:rPr>
      </w:pPr>
      <w:r w:rsidRPr="005B2F51">
        <w:rPr>
          <w:lang w:val="fr-FR"/>
        </w:rPr>
        <w:t>c)</w:t>
      </w:r>
      <w:r w:rsidRPr="005B2F51">
        <w:rPr>
          <w:lang w:val="fr-FR"/>
        </w:rPr>
        <w:tab/>
        <w:t xml:space="preserve">Les dimensions, la forme et les matériaux des emballages intérieurs peuvent varier à condition que l’emballage extérieur utilisé puisse être </w:t>
      </w:r>
      <w:proofErr w:type="gramStart"/>
      <w:r w:rsidRPr="005B2F51">
        <w:rPr>
          <w:lang w:val="fr-FR"/>
        </w:rPr>
        <w:t>fermé</w:t>
      </w:r>
      <w:proofErr w:type="gramEnd"/>
      <w:r w:rsidRPr="005B2F51">
        <w:rPr>
          <w:lang w:val="fr-FR"/>
        </w:rPr>
        <w:t> ;</w:t>
      </w:r>
    </w:p>
    <w:p w14:paraId="418A63ED" w14:textId="77777777" w:rsidR="005B2F51" w:rsidRPr="005B2F51" w:rsidRDefault="005B2F51" w:rsidP="00F85617">
      <w:pPr>
        <w:pStyle w:val="SingleTxtG"/>
        <w:ind w:left="2835" w:hanging="567"/>
        <w:rPr>
          <w:lang w:val="fr-FR"/>
        </w:rPr>
      </w:pPr>
      <w:r w:rsidRPr="005B2F51">
        <w:rPr>
          <w:lang w:val="fr-FR"/>
        </w:rPr>
        <w:t>d)</w:t>
      </w:r>
      <w:r w:rsidRPr="005B2F51">
        <w:rPr>
          <w:lang w:val="fr-FR"/>
        </w:rPr>
        <w:tab/>
        <w:t>Un matériau de rembourrage est utilisé en quantité suffisante pour empêcher tout mouvement appréciable des emballages intérieurs dans des conditions normales de transport ;</w:t>
      </w:r>
    </w:p>
    <w:p w14:paraId="75285396" w14:textId="4F4FEED2" w:rsidR="005B2F51" w:rsidRPr="005B2F51" w:rsidRDefault="005B2F51" w:rsidP="00F85617">
      <w:pPr>
        <w:pStyle w:val="SingleTxtG"/>
        <w:ind w:left="2835" w:hanging="567"/>
        <w:rPr>
          <w:lang w:val="fr-FR"/>
        </w:rPr>
      </w:pPr>
      <w:r w:rsidRPr="005B2F51">
        <w:rPr>
          <w:lang w:val="fr-FR"/>
        </w:rPr>
        <w:t>e)</w:t>
      </w:r>
      <w:r w:rsidRPr="005B2F51">
        <w:rPr>
          <w:lang w:val="fr-FR"/>
        </w:rPr>
        <w:tab/>
        <w:t>Un matériau absorbant est utilisé en quantité suffisante pour qu’une fuite du contenu des emballages intérieurs ne porte pas atteinte à l’intégrité du matériau de rembourrage ou de l’emballage extérieur</w:t>
      </w:r>
      <w:r w:rsidR="00500B07">
        <w:rPr>
          <w:lang w:val="fr-FR"/>
        </w:rPr>
        <w:t> </w:t>
      </w:r>
      <w:r w:rsidRPr="005B2F51">
        <w:rPr>
          <w:lang w:val="fr-FR"/>
        </w:rPr>
        <w:t>;</w:t>
      </w:r>
    </w:p>
    <w:p w14:paraId="271B8F30" w14:textId="6A8A17BE" w:rsidR="005B2F51" w:rsidRPr="005B2F51" w:rsidRDefault="005B2F51" w:rsidP="00F85617">
      <w:pPr>
        <w:pStyle w:val="SingleTxtG"/>
        <w:ind w:left="2835" w:hanging="567"/>
        <w:rPr>
          <w:lang w:val="fr-FR"/>
        </w:rPr>
      </w:pPr>
      <w:r w:rsidRPr="005B2F51">
        <w:rPr>
          <w:lang w:val="fr-FR"/>
        </w:rPr>
        <w:t>f)</w:t>
      </w:r>
      <w:r w:rsidRPr="005B2F51">
        <w:rPr>
          <w:lang w:val="fr-FR"/>
        </w:rPr>
        <w:tab/>
        <w:t>Pour les emballages portant les codes 1H2, 3H2 et 4H2, la preuve d’une compatibilité chimique suffisante est réputée avoir été apportée s’il a été vérifié que le matériau était compatible avec les liquides de référence respectifs dans le cadre d’une épreuve de conception et de l’agrément des emballages portant le code 1H1 ou 3H1</w:t>
      </w:r>
      <w:r w:rsidR="00500B07">
        <w:rPr>
          <w:lang w:val="fr-FR"/>
        </w:rPr>
        <w:t> </w:t>
      </w:r>
      <w:r w:rsidRPr="005B2F51">
        <w:rPr>
          <w:lang w:val="fr-FR"/>
        </w:rPr>
        <w:t>;</w:t>
      </w:r>
    </w:p>
    <w:p w14:paraId="6750FB47" w14:textId="77777777" w:rsidR="005B2F51" w:rsidRPr="005B2F51" w:rsidRDefault="005B2F51" w:rsidP="00F85617">
      <w:pPr>
        <w:pStyle w:val="SingleTxtG"/>
        <w:ind w:left="2835" w:hanging="567"/>
        <w:rPr>
          <w:lang w:val="fr-FR"/>
        </w:rPr>
      </w:pPr>
      <w:r w:rsidRPr="005B2F51">
        <w:rPr>
          <w:lang w:val="fr-FR"/>
        </w:rPr>
        <w:t>g)</w:t>
      </w:r>
      <w:r w:rsidRPr="005B2F51">
        <w:rPr>
          <w:lang w:val="fr-FR"/>
        </w:rPr>
        <w:tab/>
      </w:r>
      <w:r w:rsidRPr="005B2F51">
        <w:rPr>
          <w:lang w:val="fr-FR"/>
        </w:rPr>
        <w:tab/>
        <w:t>Les déchets qui présentent un danger ou un danger subsidiaire et relèvent de la classe 5.1 ne doivent pas être emballés avec des déchets affectés à une autre classe dans le même emballage extérieur ;</w:t>
      </w:r>
    </w:p>
    <w:p w14:paraId="28C4C0A4" w14:textId="77777777" w:rsidR="005B2F51" w:rsidRPr="005B2F51" w:rsidRDefault="005B2F51" w:rsidP="00F85617">
      <w:pPr>
        <w:pStyle w:val="SingleTxtG"/>
        <w:ind w:left="2835" w:hanging="567"/>
        <w:rPr>
          <w:lang w:val="fr-FR"/>
        </w:rPr>
      </w:pPr>
      <w:r w:rsidRPr="005B2F51">
        <w:rPr>
          <w:lang w:val="fr-FR"/>
        </w:rPr>
        <w:t>h)</w:t>
      </w:r>
      <w:r w:rsidRPr="005B2F51">
        <w:rPr>
          <w:lang w:val="fr-FR"/>
        </w:rPr>
        <w:tab/>
      </w:r>
      <w:r w:rsidRPr="005B2F51">
        <w:rPr>
          <w:lang w:val="fr-FR"/>
        </w:rPr>
        <w:tab/>
        <w:t>Sur la base des connaissances de la composition du déchet et des propriétés physiques et chimiques des composants identifiés, le déchet contenu dans un emballage extérieur est affecté à la rubrique collective la plus stricte décrivant ces propriétés, conformément au tableau d’ordre de prépondérance des dangers du 2.1.3.10. ».</w:t>
      </w:r>
    </w:p>
    <w:p w14:paraId="1F1F11FF" w14:textId="77777777" w:rsidR="005B2F51" w:rsidRPr="005B2F51" w:rsidRDefault="005B2F51" w:rsidP="00F85617">
      <w:pPr>
        <w:pStyle w:val="SingleTxtG"/>
        <w:rPr>
          <w:lang w:val="fr-FR"/>
        </w:rPr>
      </w:pPr>
      <w:r w:rsidRPr="005B2F51">
        <w:rPr>
          <w:lang w:val="fr-FR"/>
        </w:rPr>
        <w:t>8.</w:t>
      </w:r>
      <w:r w:rsidRPr="005B2F51">
        <w:rPr>
          <w:lang w:val="fr-FR"/>
        </w:rPr>
        <w:tab/>
        <w:t>Il convient d’ajouter le nouveau paragraphe 5.4.1.1.xx, libellé comme suit :</w:t>
      </w:r>
    </w:p>
    <w:p w14:paraId="060222E1" w14:textId="4EBDBEF2" w:rsidR="005B2F51" w:rsidRPr="005B2F51" w:rsidRDefault="005B2F51" w:rsidP="00F85617">
      <w:pPr>
        <w:pStyle w:val="SingleTxtG"/>
        <w:ind w:left="2268" w:hanging="1134"/>
        <w:rPr>
          <w:lang w:val="fr-FR"/>
        </w:rPr>
      </w:pPr>
      <w:r w:rsidRPr="005B2F51">
        <w:rPr>
          <w:lang w:val="fr-FR"/>
        </w:rPr>
        <w:t>«5.4.1.</w:t>
      </w:r>
      <w:proofErr w:type="gramStart"/>
      <w:r w:rsidRPr="005B2F51">
        <w:rPr>
          <w:lang w:val="fr-FR"/>
        </w:rPr>
        <w:t>1.xx</w:t>
      </w:r>
      <w:proofErr w:type="gramEnd"/>
      <w:r w:rsidRPr="005B2F51">
        <w:rPr>
          <w:lang w:val="fr-FR"/>
        </w:rPr>
        <w:tab/>
      </w:r>
      <w:r w:rsidRPr="005B2F51">
        <w:rPr>
          <w:i/>
          <w:iCs/>
          <w:lang w:val="fr-FR"/>
        </w:rPr>
        <w:t>Disposition spéciale pour le transport de déchets dans un emballage combiné</w:t>
      </w:r>
    </w:p>
    <w:p w14:paraId="1B00D0E8" w14:textId="71B78776" w:rsidR="005B2F51" w:rsidRPr="005B2F51" w:rsidRDefault="005B2F51" w:rsidP="00F85617">
      <w:pPr>
        <w:pStyle w:val="SingleTxtG"/>
        <w:ind w:left="2268"/>
        <w:rPr>
          <w:lang w:val="fr-FR"/>
        </w:rPr>
      </w:pPr>
      <w:r w:rsidRPr="005B2F51">
        <w:rPr>
          <w:lang w:val="fr-FR"/>
        </w:rPr>
        <w:tab/>
        <w:t>Pour les transports effectués conformément au 4.1.1.5.3, le document de transport doit porter la mention suivante</w:t>
      </w:r>
      <w:r w:rsidR="00500B07">
        <w:rPr>
          <w:lang w:val="fr-FR"/>
        </w:rPr>
        <w:t> </w:t>
      </w:r>
      <w:r w:rsidRPr="005B2F51">
        <w:rPr>
          <w:lang w:val="fr-FR"/>
        </w:rPr>
        <w:t>: "Transport conformément au 4.1.1.5.3". ».</w:t>
      </w:r>
    </w:p>
    <w:p w14:paraId="095B0C7B" w14:textId="77777777" w:rsidR="005B2F51" w:rsidRPr="005B2F51" w:rsidRDefault="005B2F51" w:rsidP="00F85617">
      <w:pPr>
        <w:pStyle w:val="SingleTxtG"/>
        <w:rPr>
          <w:lang w:val="fr-FR"/>
        </w:rPr>
      </w:pPr>
      <w:r w:rsidRPr="005B2F51">
        <w:rPr>
          <w:lang w:val="fr-FR"/>
        </w:rPr>
        <w:t>9.</w:t>
      </w:r>
      <w:r w:rsidRPr="005B2F51">
        <w:rPr>
          <w:lang w:val="fr-FR"/>
        </w:rPr>
        <w:tab/>
        <w:t>Les autres obligations prévues par le RID et l’ADR demeurent applicables, notamment celle énoncée au 4.1.1.6. La proposition est fondée sur les connaissances et l’expérience pratique acquises par les professionnels de la gestion des déchets au cours des vingt dernières années dans différents pays.</w:t>
      </w:r>
    </w:p>
    <w:p w14:paraId="04FA8701" w14:textId="77777777" w:rsidR="005B2F51" w:rsidRPr="005B2F51" w:rsidRDefault="005B2F51" w:rsidP="00F85617">
      <w:pPr>
        <w:jc w:val="center"/>
        <w:rPr>
          <w:lang w:val="fr-FR"/>
        </w:rPr>
      </w:pPr>
      <w:r w:rsidRPr="005B2F51">
        <w:rPr>
          <w:noProof/>
          <w:lang w:val="fr-FR"/>
        </w:rPr>
        <w:lastRenderedPageBreak/>
        <w:drawing>
          <wp:inline distT="0" distB="0" distL="0" distR="0" wp14:anchorId="5DE135C7" wp14:editId="23D90722">
            <wp:extent cx="3277235" cy="2199005"/>
            <wp:effectExtent l="0" t="0" r="0" b="0"/>
            <wp:docPr id="4" name="Picture 4" descr="A picture containing bowl, blue, container, plas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ent Placeholder 4" descr="A picture containing bowl, blue, container, plastic&#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t="7841" r="-2" b="2773"/>
                    <a:stretch>
                      <a:fillRect/>
                    </a:stretch>
                  </pic:blipFill>
                  <pic:spPr bwMode="auto">
                    <a:xfrm>
                      <a:off x="0" y="0"/>
                      <a:ext cx="3277235" cy="2199005"/>
                    </a:xfrm>
                    <a:prstGeom prst="rect">
                      <a:avLst/>
                    </a:prstGeom>
                    <a:noFill/>
                    <a:ln>
                      <a:noFill/>
                    </a:ln>
                  </pic:spPr>
                </pic:pic>
              </a:graphicData>
            </a:graphic>
          </wp:inline>
        </w:drawing>
      </w:r>
    </w:p>
    <w:p w14:paraId="1A19ED4F" w14:textId="77777777" w:rsidR="005B2F51" w:rsidRPr="005B2F51" w:rsidRDefault="005B2F51" w:rsidP="00F85617">
      <w:pPr>
        <w:spacing w:before="120" w:after="120"/>
        <w:ind w:left="2552"/>
        <w:rPr>
          <w:lang w:val="fr-FR"/>
        </w:rPr>
      </w:pPr>
      <w:r w:rsidRPr="005B2F51">
        <w:rPr>
          <w:lang w:val="fr-FR"/>
        </w:rPr>
        <w:t>Fig. 3 : exemple de déchets triés destinés à être éliminés</w:t>
      </w:r>
    </w:p>
    <w:p w14:paraId="6FB1AF29" w14:textId="77777777" w:rsidR="005B2F51" w:rsidRPr="005B2F51" w:rsidRDefault="005B2F51" w:rsidP="00F85617">
      <w:pPr>
        <w:jc w:val="center"/>
        <w:rPr>
          <w:lang w:val="fr-FR"/>
        </w:rPr>
      </w:pPr>
      <w:r w:rsidRPr="005B2F51">
        <w:rPr>
          <w:noProof/>
          <w:lang w:val="fr-FR"/>
        </w:rPr>
        <w:drawing>
          <wp:inline distT="0" distB="0" distL="0" distR="0" wp14:anchorId="57F37625" wp14:editId="32085EA1">
            <wp:extent cx="3277235" cy="2458085"/>
            <wp:effectExtent l="0" t="0" r="0" b="0"/>
            <wp:docPr id="7" name="Picture 3" descr="A picture containing dirty, kitchen applian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picture containing dirty, kitchen appliance&#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10800000">
                      <a:off x="0" y="0"/>
                      <a:ext cx="3277235" cy="2458085"/>
                    </a:xfrm>
                    <a:prstGeom prst="rect">
                      <a:avLst/>
                    </a:prstGeom>
                    <a:noFill/>
                    <a:ln>
                      <a:noFill/>
                    </a:ln>
                  </pic:spPr>
                </pic:pic>
              </a:graphicData>
            </a:graphic>
          </wp:inline>
        </w:drawing>
      </w:r>
    </w:p>
    <w:p w14:paraId="0E99B255" w14:textId="77777777" w:rsidR="005B2F51" w:rsidRPr="005B2F51" w:rsidRDefault="005B2F51" w:rsidP="00F85617">
      <w:pPr>
        <w:spacing w:before="120" w:after="120"/>
        <w:ind w:left="2552"/>
        <w:rPr>
          <w:lang w:val="fr-FR"/>
        </w:rPr>
      </w:pPr>
      <w:r w:rsidRPr="005B2F51">
        <w:rPr>
          <w:lang w:val="fr-FR"/>
        </w:rPr>
        <w:t>Fig. 4 : déchets triés (emballage intérieur dans un emballage extérieur)</w:t>
      </w:r>
    </w:p>
    <w:p w14:paraId="395B12DD" w14:textId="74A85616" w:rsidR="005B2F51" w:rsidRPr="005B2F51" w:rsidRDefault="00F85617" w:rsidP="00F85617">
      <w:pPr>
        <w:pStyle w:val="HChG"/>
        <w:rPr>
          <w:lang w:val="fr-FR"/>
        </w:rPr>
      </w:pPr>
      <w:r>
        <w:rPr>
          <w:lang w:val="fr-FR"/>
        </w:rPr>
        <w:tab/>
      </w:r>
      <w:r>
        <w:rPr>
          <w:lang w:val="fr-FR"/>
        </w:rPr>
        <w:tab/>
      </w:r>
      <w:r w:rsidR="005B2F51" w:rsidRPr="005B2F51">
        <w:rPr>
          <w:lang w:val="fr-FR"/>
        </w:rPr>
        <w:t>Justification</w:t>
      </w:r>
    </w:p>
    <w:p w14:paraId="5181DF25" w14:textId="4CAE335F" w:rsidR="00F9573C" w:rsidRDefault="005B2F51" w:rsidP="00F85617">
      <w:pPr>
        <w:pStyle w:val="SingleTxtG"/>
        <w:rPr>
          <w:lang w:val="fr-FR"/>
        </w:rPr>
      </w:pPr>
      <w:r w:rsidRPr="005B2F51">
        <w:rPr>
          <w:lang w:val="fr-FR"/>
        </w:rPr>
        <w:t>10.</w:t>
      </w:r>
      <w:r w:rsidRPr="005B2F51">
        <w:rPr>
          <w:lang w:val="fr-FR"/>
        </w:rPr>
        <w:tab/>
        <w:t>La présente proposition clarifie la situation relative à la gestion des déchets et n’augmente pas le niveau de risque actuel.</w:t>
      </w:r>
    </w:p>
    <w:p w14:paraId="51F58F30" w14:textId="43025D34" w:rsidR="005B2F51" w:rsidRPr="005B2F51" w:rsidRDefault="005B2F51" w:rsidP="005B2F51">
      <w:pPr>
        <w:pStyle w:val="SingleTxtG"/>
        <w:spacing w:before="240" w:after="0"/>
        <w:jc w:val="center"/>
        <w:rPr>
          <w:u w:val="single"/>
        </w:rPr>
      </w:pPr>
      <w:r>
        <w:rPr>
          <w:u w:val="single"/>
        </w:rPr>
        <w:tab/>
      </w:r>
      <w:r>
        <w:rPr>
          <w:u w:val="single"/>
        </w:rPr>
        <w:tab/>
      </w:r>
      <w:r>
        <w:rPr>
          <w:u w:val="single"/>
        </w:rPr>
        <w:tab/>
      </w:r>
      <w:r>
        <w:rPr>
          <w:u w:val="single"/>
        </w:rPr>
        <w:tab/>
      </w:r>
    </w:p>
    <w:sectPr w:rsidR="005B2F51" w:rsidRPr="005B2F51" w:rsidSect="005B2F51">
      <w:headerReference w:type="even" r:id="rId12"/>
      <w:headerReference w:type="default" r:id="rId13"/>
      <w:footerReference w:type="even" r:id="rId14"/>
      <w:footerReference w:type="default" r:id="rId15"/>
      <w:footerReference w:type="first" r:id="rId16"/>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30B55D" w14:textId="77777777" w:rsidR="001A117C" w:rsidRDefault="001A117C" w:rsidP="00F95C08">
      <w:pPr>
        <w:spacing w:line="240" w:lineRule="auto"/>
      </w:pPr>
    </w:p>
  </w:endnote>
  <w:endnote w:type="continuationSeparator" w:id="0">
    <w:p w14:paraId="1DDD2196" w14:textId="77777777" w:rsidR="001A117C" w:rsidRPr="00AC3823" w:rsidRDefault="001A117C" w:rsidP="00AC3823">
      <w:pPr>
        <w:pStyle w:val="Footer"/>
      </w:pPr>
    </w:p>
  </w:endnote>
  <w:endnote w:type="continuationNotice" w:id="1">
    <w:p w14:paraId="0515E194" w14:textId="77777777" w:rsidR="001A117C" w:rsidRDefault="001A117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aleway">
    <w:altName w:val="Raleway"/>
    <w:charset w:val="00"/>
    <w:family w:val="auto"/>
    <w:pitch w:val="variable"/>
    <w:sig w:usb0="A00002FF" w:usb1="5000205B" w:usb2="00000000" w:usb3="00000000" w:csb0="00000197"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B803C" w14:textId="5D35C98B" w:rsidR="005B2F51" w:rsidRPr="005B2F51" w:rsidRDefault="005B2F51" w:rsidP="005B2F51">
    <w:pPr>
      <w:pStyle w:val="Footer"/>
      <w:tabs>
        <w:tab w:val="right" w:pos="9638"/>
      </w:tabs>
    </w:pPr>
    <w:r w:rsidRPr="005B2F51">
      <w:rPr>
        <w:b/>
        <w:sz w:val="18"/>
      </w:rPr>
      <w:fldChar w:fldCharType="begin"/>
    </w:r>
    <w:r w:rsidRPr="005B2F51">
      <w:rPr>
        <w:b/>
        <w:sz w:val="18"/>
      </w:rPr>
      <w:instrText xml:space="preserve"> PAGE  \* MERGEFORMAT </w:instrText>
    </w:r>
    <w:r w:rsidRPr="005B2F51">
      <w:rPr>
        <w:b/>
        <w:sz w:val="18"/>
      </w:rPr>
      <w:fldChar w:fldCharType="separate"/>
    </w:r>
    <w:r w:rsidRPr="005B2F51">
      <w:rPr>
        <w:b/>
        <w:noProof/>
        <w:sz w:val="18"/>
      </w:rPr>
      <w:t>2</w:t>
    </w:r>
    <w:r w:rsidRPr="005B2F51">
      <w:rPr>
        <w:b/>
        <w:sz w:val="18"/>
      </w:rPr>
      <w:fldChar w:fldCharType="end"/>
    </w:r>
    <w:r>
      <w:rPr>
        <w:b/>
        <w:sz w:val="18"/>
      </w:rPr>
      <w:tab/>
    </w:r>
    <w:r>
      <w:t>GE.22-29207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8D300" w14:textId="5DEB50DB" w:rsidR="005B2F51" w:rsidRPr="005B2F51" w:rsidRDefault="005B2F51" w:rsidP="005B2F51">
    <w:pPr>
      <w:pStyle w:val="Footer"/>
      <w:tabs>
        <w:tab w:val="right" w:pos="9638"/>
      </w:tabs>
      <w:rPr>
        <w:b/>
        <w:sz w:val="18"/>
      </w:rPr>
    </w:pPr>
    <w:r>
      <w:t>GE.22-29207</w:t>
    </w:r>
    <w:r>
      <w:tab/>
    </w:r>
    <w:r w:rsidRPr="005B2F51">
      <w:rPr>
        <w:b/>
        <w:sz w:val="18"/>
      </w:rPr>
      <w:fldChar w:fldCharType="begin"/>
    </w:r>
    <w:r w:rsidRPr="005B2F51">
      <w:rPr>
        <w:b/>
        <w:sz w:val="18"/>
      </w:rPr>
      <w:instrText xml:space="preserve"> PAGE  \* MERGEFORMAT </w:instrText>
    </w:r>
    <w:r w:rsidRPr="005B2F51">
      <w:rPr>
        <w:b/>
        <w:sz w:val="18"/>
      </w:rPr>
      <w:fldChar w:fldCharType="separate"/>
    </w:r>
    <w:r w:rsidRPr="005B2F51">
      <w:rPr>
        <w:b/>
        <w:noProof/>
        <w:sz w:val="18"/>
      </w:rPr>
      <w:t>3</w:t>
    </w:r>
    <w:r w:rsidRPr="005B2F5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A1EA6" w14:textId="13C0B0C8" w:rsidR="007F20FA" w:rsidRPr="005B2F51" w:rsidRDefault="005B2F51" w:rsidP="005B2F51">
    <w:pPr>
      <w:pStyle w:val="Footer"/>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69725C22" wp14:editId="3EF7D1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22-</w:t>
    </w:r>
    <w:proofErr w:type="gramStart"/>
    <w:r>
      <w:rPr>
        <w:sz w:val="20"/>
      </w:rPr>
      <w:t>29207  (</w:t>
    </w:r>
    <w:proofErr w:type="gramEnd"/>
    <w:r>
      <w:rPr>
        <w:sz w:val="20"/>
      </w:rPr>
      <w:t>F)</w:t>
    </w:r>
    <w:r>
      <w:rPr>
        <w:noProof/>
        <w:sz w:val="20"/>
      </w:rPr>
      <w:drawing>
        <wp:anchor distT="0" distB="0" distL="114300" distR="114300" simplePos="0" relativeHeight="251660288" behindDoc="0" locked="0" layoutInCell="1" allowOverlap="1" wp14:anchorId="0074EF4A" wp14:editId="21B9679F">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270223    270223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9E075B" w14:textId="77777777" w:rsidR="001A117C" w:rsidRPr="00AC3823" w:rsidRDefault="001A117C" w:rsidP="00AC3823">
      <w:pPr>
        <w:pStyle w:val="Footer"/>
        <w:tabs>
          <w:tab w:val="right" w:pos="2155"/>
        </w:tabs>
        <w:spacing w:after="80" w:line="240" w:lineRule="atLeast"/>
        <w:ind w:left="680"/>
        <w:rPr>
          <w:u w:val="single"/>
        </w:rPr>
      </w:pPr>
      <w:r>
        <w:rPr>
          <w:u w:val="single"/>
        </w:rPr>
        <w:tab/>
      </w:r>
    </w:p>
  </w:footnote>
  <w:footnote w:type="continuationSeparator" w:id="0">
    <w:p w14:paraId="46B9A59D" w14:textId="77777777" w:rsidR="001A117C" w:rsidRPr="00AC3823" w:rsidRDefault="001A117C" w:rsidP="00AC3823">
      <w:pPr>
        <w:pStyle w:val="Footer"/>
        <w:tabs>
          <w:tab w:val="right" w:pos="2155"/>
        </w:tabs>
        <w:spacing w:after="80" w:line="240" w:lineRule="atLeast"/>
        <w:ind w:left="680"/>
        <w:rPr>
          <w:u w:val="single"/>
        </w:rPr>
      </w:pPr>
      <w:r>
        <w:rPr>
          <w:u w:val="single"/>
        </w:rPr>
        <w:tab/>
      </w:r>
    </w:p>
  </w:footnote>
  <w:footnote w:type="continuationNotice" w:id="1">
    <w:p w14:paraId="0E5B7A02" w14:textId="77777777" w:rsidR="001A117C" w:rsidRPr="00AC3823" w:rsidRDefault="001A117C">
      <w:pPr>
        <w:spacing w:line="240" w:lineRule="auto"/>
        <w:rPr>
          <w:sz w:val="2"/>
          <w:szCs w:val="2"/>
        </w:rPr>
      </w:pPr>
    </w:p>
  </w:footnote>
  <w:footnote w:id="2">
    <w:p w14:paraId="1FC088D9" w14:textId="6F58524C" w:rsidR="00F85617" w:rsidRPr="00F85617" w:rsidRDefault="00F85617">
      <w:pPr>
        <w:pStyle w:val="FootnoteText"/>
      </w:pPr>
      <w:r>
        <w:rPr>
          <w:rStyle w:val="FootnoteReference"/>
        </w:rPr>
        <w:tab/>
      </w:r>
      <w:r w:rsidRPr="00F85617">
        <w:rPr>
          <w:rStyle w:val="FootnoteReference"/>
          <w:sz w:val="20"/>
          <w:vertAlign w:val="baseline"/>
        </w:rPr>
        <w:t>*</w:t>
      </w:r>
      <w:r>
        <w:rPr>
          <w:rStyle w:val="FootnoteReference"/>
          <w:sz w:val="20"/>
          <w:vertAlign w:val="baseline"/>
        </w:rPr>
        <w:tab/>
      </w:r>
      <w:r>
        <w:rPr>
          <w:lang w:val="fr-FR"/>
        </w:rPr>
        <w:t>A/77/6 (Sect.</w:t>
      </w:r>
      <w:r w:rsidR="00500B07">
        <w:rPr>
          <w:lang w:val="fr-FR"/>
        </w:rPr>
        <w:t> </w:t>
      </w:r>
      <w:r>
        <w:rPr>
          <w:lang w:val="fr-FR"/>
        </w:rPr>
        <w:t>20), par.</w:t>
      </w:r>
      <w:r w:rsidR="00500B07">
        <w:rPr>
          <w:lang w:val="fr-FR"/>
        </w:rPr>
        <w:t> </w:t>
      </w:r>
      <w:r>
        <w:rPr>
          <w:lang w:val="fr-FR"/>
        </w:rPr>
        <w:t>20.76.</w:t>
      </w:r>
    </w:p>
  </w:footnote>
  <w:footnote w:id="3">
    <w:p w14:paraId="523796B7" w14:textId="703271EE" w:rsidR="00F85617" w:rsidRPr="00F85617" w:rsidRDefault="00F85617">
      <w:pPr>
        <w:pStyle w:val="FootnoteText"/>
      </w:pPr>
      <w:r>
        <w:rPr>
          <w:rStyle w:val="FootnoteReference"/>
        </w:rPr>
        <w:tab/>
      </w:r>
      <w:r w:rsidRPr="00F85617">
        <w:rPr>
          <w:rStyle w:val="FootnoteReference"/>
          <w:sz w:val="20"/>
          <w:vertAlign w:val="baseline"/>
        </w:rPr>
        <w:t>**</w:t>
      </w:r>
      <w:r>
        <w:rPr>
          <w:rStyle w:val="FootnoteReference"/>
          <w:sz w:val="20"/>
          <w:vertAlign w:val="baseline"/>
        </w:rPr>
        <w:tab/>
      </w:r>
      <w:r>
        <w:rPr>
          <w:lang w:val="fr-FR"/>
        </w:rPr>
        <w:t>Diffusée par l’Organisation intergouvernementale pour les transports internationaux ferroviaires (OTIF) sous la cote OTIF/RID/RC/2023/20.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2F325" w14:textId="6A89146E" w:rsidR="005B2F51" w:rsidRPr="005B2F51" w:rsidRDefault="00F72F98">
    <w:pPr>
      <w:pStyle w:val="Header"/>
    </w:pPr>
    <w:r>
      <w:fldChar w:fldCharType="begin"/>
    </w:r>
    <w:r>
      <w:instrText xml:space="preserve"> TITLE  \* MERGEFORMAT </w:instrText>
    </w:r>
    <w:r>
      <w:fldChar w:fldCharType="separate"/>
    </w:r>
    <w:r>
      <w:t>ECE/TRANS/WP.15/AC.1/2023/20</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1F714" w14:textId="1842D7B4" w:rsidR="005B2F51" w:rsidRPr="005B2F51" w:rsidRDefault="00F72F98" w:rsidP="005B2F51">
    <w:pPr>
      <w:pStyle w:val="Header"/>
      <w:jc w:val="right"/>
    </w:pPr>
    <w:r>
      <w:fldChar w:fldCharType="begin"/>
    </w:r>
    <w:r>
      <w:instrText xml:space="preserve"> TITLE  \* MERGEFORMAT </w:instrText>
    </w:r>
    <w:r>
      <w:fldChar w:fldCharType="separate"/>
    </w:r>
    <w:r>
      <w:t>ECE/TRANS/WP.15/AC.1/2023/20</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16cid:durableId="1593124332">
    <w:abstractNumId w:val="12"/>
  </w:num>
  <w:num w:numId="2" w16cid:durableId="2017150402">
    <w:abstractNumId w:val="11"/>
  </w:num>
  <w:num w:numId="3" w16cid:durableId="206183910">
    <w:abstractNumId w:val="10"/>
  </w:num>
  <w:num w:numId="4" w16cid:durableId="252516088">
    <w:abstractNumId w:val="8"/>
  </w:num>
  <w:num w:numId="5" w16cid:durableId="1170222020">
    <w:abstractNumId w:val="3"/>
  </w:num>
  <w:num w:numId="6" w16cid:durableId="1579971913">
    <w:abstractNumId w:val="2"/>
  </w:num>
  <w:num w:numId="7" w16cid:durableId="852064617">
    <w:abstractNumId w:val="1"/>
  </w:num>
  <w:num w:numId="8" w16cid:durableId="1045832680">
    <w:abstractNumId w:val="0"/>
  </w:num>
  <w:num w:numId="9" w16cid:durableId="1788695176">
    <w:abstractNumId w:val="9"/>
  </w:num>
  <w:num w:numId="10" w16cid:durableId="1724866926">
    <w:abstractNumId w:val="7"/>
  </w:num>
  <w:num w:numId="11" w16cid:durableId="1624191495">
    <w:abstractNumId w:val="6"/>
  </w:num>
  <w:num w:numId="12" w16cid:durableId="1484588293">
    <w:abstractNumId w:val="5"/>
  </w:num>
  <w:num w:numId="13" w16cid:durableId="1847596640">
    <w:abstractNumId w:val="4"/>
  </w:num>
  <w:num w:numId="14" w16cid:durableId="1323316361">
    <w:abstractNumId w:val="12"/>
  </w:num>
  <w:num w:numId="15" w16cid:durableId="1360545608">
    <w:abstractNumId w:val="11"/>
  </w:num>
  <w:num w:numId="16" w16cid:durableId="1027756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17C"/>
    <w:rsid w:val="00017F94"/>
    <w:rsid w:val="00023842"/>
    <w:rsid w:val="000334F9"/>
    <w:rsid w:val="00045FEB"/>
    <w:rsid w:val="0007796D"/>
    <w:rsid w:val="000B7790"/>
    <w:rsid w:val="00111F2F"/>
    <w:rsid w:val="0014365E"/>
    <w:rsid w:val="00143C66"/>
    <w:rsid w:val="00176178"/>
    <w:rsid w:val="001A117C"/>
    <w:rsid w:val="001F525A"/>
    <w:rsid w:val="00201148"/>
    <w:rsid w:val="00223272"/>
    <w:rsid w:val="0024779E"/>
    <w:rsid w:val="00257168"/>
    <w:rsid w:val="002744B8"/>
    <w:rsid w:val="002832AC"/>
    <w:rsid w:val="002D7C93"/>
    <w:rsid w:val="00305801"/>
    <w:rsid w:val="003646B9"/>
    <w:rsid w:val="003916DE"/>
    <w:rsid w:val="00421996"/>
    <w:rsid w:val="00441C3B"/>
    <w:rsid w:val="00446FE5"/>
    <w:rsid w:val="00452396"/>
    <w:rsid w:val="00477EB2"/>
    <w:rsid w:val="004837D8"/>
    <w:rsid w:val="004E2EED"/>
    <w:rsid w:val="004E468C"/>
    <w:rsid w:val="00500B07"/>
    <w:rsid w:val="005505B7"/>
    <w:rsid w:val="00573BE5"/>
    <w:rsid w:val="00586ED3"/>
    <w:rsid w:val="00596AA9"/>
    <w:rsid w:val="005B2F51"/>
    <w:rsid w:val="006D7F0E"/>
    <w:rsid w:val="0071601D"/>
    <w:rsid w:val="007A62E6"/>
    <w:rsid w:val="007B76AF"/>
    <w:rsid w:val="007F20FA"/>
    <w:rsid w:val="0080684C"/>
    <w:rsid w:val="00871C75"/>
    <w:rsid w:val="008776DC"/>
    <w:rsid w:val="008D5EF9"/>
    <w:rsid w:val="009446C0"/>
    <w:rsid w:val="009705C8"/>
    <w:rsid w:val="0098322E"/>
    <w:rsid w:val="009C1CF4"/>
    <w:rsid w:val="009F6B74"/>
    <w:rsid w:val="00A3029F"/>
    <w:rsid w:val="00A30353"/>
    <w:rsid w:val="00AC3823"/>
    <w:rsid w:val="00AE323C"/>
    <w:rsid w:val="00AF0CB5"/>
    <w:rsid w:val="00B00181"/>
    <w:rsid w:val="00B00B0D"/>
    <w:rsid w:val="00B45F2E"/>
    <w:rsid w:val="00B765F7"/>
    <w:rsid w:val="00B77993"/>
    <w:rsid w:val="00BA0CA9"/>
    <w:rsid w:val="00C02897"/>
    <w:rsid w:val="00C02F05"/>
    <w:rsid w:val="00C97039"/>
    <w:rsid w:val="00D3439C"/>
    <w:rsid w:val="00D7622E"/>
    <w:rsid w:val="00DB1831"/>
    <w:rsid w:val="00DD3BFD"/>
    <w:rsid w:val="00DF6678"/>
    <w:rsid w:val="00E0299A"/>
    <w:rsid w:val="00E85C74"/>
    <w:rsid w:val="00EA6547"/>
    <w:rsid w:val="00ED7237"/>
    <w:rsid w:val="00EF2E22"/>
    <w:rsid w:val="00F35BAF"/>
    <w:rsid w:val="00F660DF"/>
    <w:rsid w:val="00F72F98"/>
    <w:rsid w:val="00F85617"/>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70AF69"/>
  <w15:docId w15:val="{8C7A7ADC-7C8D-4963-AEFA-3170CBC00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FootnoteReference">
    <w:name w:val="footnote reference"/>
    <w:aliases w:val="4_G"/>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SingleTxtGChar">
    <w:name w:val="_ Single Txt_G Char"/>
    <w:link w:val="SingleTxtG"/>
    <w:qFormat/>
    <w:rsid w:val="00F85617"/>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7.gif"/><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938</Words>
  <Characters>5352</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ECE/TRANS/WP.15/AC.1/2023/20</vt:lpstr>
    </vt:vector>
  </TitlesOfParts>
  <Company>DCM</Company>
  <LinksUpToDate>false</LinksUpToDate>
  <CharactersWithSpaces>6278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ECE/TRANS/WP.15/AC.1/2023/20</dc:title>
  <dc:subject/>
  <dc:creator>Valerie BERTIN</dc:creator>
  <cp:keywords/>
  <cp:lastModifiedBy>Laurence Berthet</cp:lastModifiedBy>
  <cp:revision>3</cp:revision>
  <cp:lastPrinted>2023-03-14T08:31:00Z</cp:lastPrinted>
  <dcterms:created xsi:type="dcterms:W3CDTF">2023-03-14T08:31:00Z</dcterms:created>
  <dcterms:modified xsi:type="dcterms:W3CDTF">2023-03-14T08:31:00Z</dcterms:modified>
</cp:coreProperties>
</file>