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0251F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E7F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83C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40C8D" w14:textId="7BD18991" w:rsidR="00E52109" w:rsidRDefault="00651CF8" w:rsidP="00651CF8">
            <w:pPr>
              <w:suppressAutoHyphens w:val="0"/>
              <w:jc w:val="right"/>
            </w:pPr>
            <w:r w:rsidRPr="00651CF8">
              <w:rPr>
                <w:sz w:val="40"/>
              </w:rPr>
              <w:t>ST</w:t>
            </w:r>
            <w:r>
              <w:t>/SG/AC.10/C.3/1</w:t>
            </w:r>
            <w:r w:rsidR="000F68D2">
              <w:t>2</w:t>
            </w:r>
            <w:r w:rsidR="004424C7">
              <w:t>3</w:t>
            </w:r>
          </w:p>
        </w:tc>
      </w:tr>
      <w:tr w:rsidR="00E52109" w14:paraId="7080E30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0F5B4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BE4A01" wp14:editId="3329D75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980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E0DD" w14:textId="77777777" w:rsidR="00D94B05" w:rsidRDefault="00651CF8" w:rsidP="00651CF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18719B" w14:textId="0CBD3A91" w:rsidR="00651CF8" w:rsidRDefault="00641E5B" w:rsidP="00651CF8">
            <w:pPr>
              <w:suppressAutoHyphens w:val="0"/>
              <w:spacing w:line="240" w:lineRule="exact"/>
            </w:pPr>
            <w:r>
              <w:t>9 February</w:t>
            </w:r>
            <w:r w:rsidR="004424C7">
              <w:t xml:space="preserve"> </w:t>
            </w:r>
            <w:r w:rsidR="00AC23E0">
              <w:t>202</w:t>
            </w:r>
            <w:r w:rsidR="00737778">
              <w:t>3</w:t>
            </w:r>
          </w:p>
          <w:p w14:paraId="4FCAE966" w14:textId="398108EC" w:rsidR="00651CF8" w:rsidRDefault="00651CF8" w:rsidP="00651CF8">
            <w:pPr>
              <w:suppressAutoHyphens w:val="0"/>
              <w:spacing w:line="240" w:lineRule="exact"/>
            </w:pPr>
          </w:p>
          <w:p w14:paraId="3668E0B2" w14:textId="25175862" w:rsidR="00651CF8" w:rsidRDefault="00651CF8" w:rsidP="00651CF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B937A7D" w14:textId="77777777" w:rsidR="0063750F" w:rsidRPr="006500BA" w:rsidRDefault="0063750F" w:rsidP="0063750F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3CEBE31" w14:textId="77777777" w:rsidR="0063750F" w:rsidRPr="006500BA" w:rsidRDefault="0063750F" w:rsidP="0063750F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D631ACB" w14:textId="57B626FD" w:rsidR="0063750F" w:rsidRPr="006500BA" w:rsidRDefault="000F68D2" w:rsidP="0063750F">
      <w:pPr>
        <w:spacing w:before="120"/>
        <w:rPr>
          <w:b/>
        </w:rPr>
      </w:pPr>
      <w:r>
        <w:rPr>
          <w:b/>
        </w:rPr>
        <w:t>Sixty-</w:t>
      </w:r>
      <w:r w:rsidR="00192C6F">
        <w:rPr>
          <w:b/>
        </w:rPr>
        <w:t>second</w:t>
      </w:r>
      <w:r w:rsidR="0063750F">
        <w:rPr>
          <w:b/>
        </w:rPr>
        <w:t xml:space="preserve"> </w:t>
      </w:r>
      <w:r w:rsidR="0063750F" w:rsidRPr="006500BA">
        <w:rPr>
          <w:b/>
        </w:rPr>
        <w:t>session</w:t>
      </w:r>
    </w:p>
    <w:p w14:paraId="4E07B20A" w14:textId="24219899" w:rsidR="0063750F" w:rsidRDefault="0063750F" w:rsidP="0063750F">
      <w:pPr>
        <w:rPr>
          <w:lang w:val="en-US"/>
        </w:rPr>
      </w:pPr>
      <w:r w:rsidRPr="006500BA">
        <w:t>Geneva,</w:t>
      </w:r>
      <w:r>
        <w:t xml:space="preserve"> </w:t>
      </w:r>
      <w:r w:rsidR="00D1697F">
        <w:t>3-7</w:t>
      </w:r>
      <w:r w:rsidR="00490F48">
        <w:t xml:space="preserve"> </w:t>
      </w:r>
      <w:r w:rsidR="00D1697F">
        <w:t>July</w:t>
      </w:r>
      <w:r w:rsidR="00490F48">
        <w:t xml:space="preserve"> 202</w:t>
      </w:r>
      <w:r w:rsidR="00D1697F">
        <w:t>3</w:t>
      </w:r>
      <w:r>
        <w:br/>
      </w:r>
      <w:r>
        <w:rPr>
          <w:lang w:val="en-US"/>
        </w:rPr>
        <w:t>Item 1 of the provisional agenda</w:t>
      </w:r>
    </w:p>
    <w:p w14:paraId="184610BD" w14:textId="77777777" w:rsidR="0063750F" w:rsidRPr="006500BA" w:rsidRDefault="0063750F" w:rsidP="0063750F">
      <w:r w:rsidRPr="00F31B24">
        <w:rPr>
          <w:b/>
          <w:lang w:val="en-US"/>
        </w:rPr>
        <w:t>Adoption of the agenda</w:t>
      </w:r>
    </w:p>
    <w:p w14:paraId="52FCD3BD" w14:textId="566A7001" w:rsidR="0063750F" w:rsidRDefault="0063750F" w:rsidP="00BE1876">
      <w:pPr>
        <w:pStyle w:val="HChG"/>
        <w:spacing w:before="240" w:after="120"/>
      </w:pPr>
      <w:r>
        <w:tab/>
      </w:r>
      <w:r>
        <w:tab/>
        <w:t xml:space="preserve">Provisional agenda for the </w:t>
      </w:r>
      <w:r w:rsidR="0001194B">
        <w:t>s</w:t>
      </w:r>
      <w:r w:rsidR="009029EA">
        <w:t>ixty-</w:t>
      </w:r>
      <w:r w:rsidR="00737778">
        <w:t xml:space="preserve">second </w:t>
      </w:r>
      <w:r>
        <w:t>session</w:t>
      </w:r>
      <w:r>
        <w:rPr>
          <w:rStyle w:val="FootnoteReference"/>
        </w:rPr>
        <w:footnoteReference w:customMarkFollows="1" w:id="2"/>
        <w:t>*,</w:t>
      </w:r>
      <w:r>
        <w:rPr>
          <w:vertAlign w:val="superscript"/>
        </w:rP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3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>
        <w:rPr>
          <w:rStyle w:val="FootnoteReference"/>
        </w:rPr>
        <w:t>,</w:t>
      </w:r>
      <w: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4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</w:p>
    <w:p w14:paraId="4853D286" w14:textId="6429E9FE" w:rsidR="0063750F" w:rsidRDefault="0063750F" w:rsidP="0063750F">
      <w:pPr>
        <w:pStyle w:val="H56G"/>
      </w:pPr>
      <w:r>
        <w:tab/>
      </w:r>
      <w:r>
        <w:tab/>
        <w:t xml:space="preserve">To be held at the Palais des Nations, Geneva </w:t>
      </w:r>
      <w:r>
        <w:br/>
        <w:t xml:space="preserve">starting at 10 a.m. on Monday, </w:t>
      </w:r>
      <w:r w:rsidR="00B33DA0">
        <w:t>3</w:t>
      </w:r>
      <w:r w:rsidR="00A77696">
        <w:t xml:space="preserve"> </w:t>
      </w:r>
      <w:r w:rsidR="00B33DA0">
        <w:t>July</w:t>
      </w:r>
      <w:r w:rsidR="00A77696">
        <w:t xml:space="preserve"> 202</w:t>
      </w:r>
      <w:r w:rsidR="00B33DA0">
        <w:t>3</w:t>
      </w:r>
    </w:p>
    <w:p w14:paraId="52C048DA" w14:textId="77777777" w:rsidR="0063750F" w:rsidRPr="0063750F" w:rsidRDefault="0063750F" w:rsidP="0063750F">
      <w:pPr>
        <w:pStyle w:val="SingleTxtG"/>
      </w:pPr>
      <w:r w:rsidRPr="0063750F">
        <w:t>1.</w:t>
      </w:r>
      <w:r w:rsidRPr="0063750F">
        <w:tab/>
        <w:t>Adoption of the agenda.</w:t>
      </w:r>
    </w:p>
    <w:p w14:paraId="35B7BBCC" w14:textId="555D1DFC" w:rsidR="005F121B" w:rsidRPr="00004FBA" w:rsidRDefault="005F121B" w:rsidP="005F757E">
      <w:pPr>
        <w:pStyle w:val="SingleTxtG"/>
        <w:ind w:left="1701" w:hanging="567"/>
      </w:pPr>
      <w:r w:rsidRPr="00004FBA">
        <w:t>2.</w:t>
      </w:r>
      <w:r w:rsidRPr="00004FBA">
        <w:tab/>
        <w:t>Explosives and related matters:</w:t>
      </w:r>
    </w:p>
    <w:p w14:paraId="64AC4A76" w14:textId="70541DB1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B33DA0">
        <w:t>a</w:t>
      </w:r>
      <w:r w:rsidRPr="00004FBA">
        <w:t>)</w:t>
      </w:r>
      <w:r w:rsidRPr="00004FBA">
        <w:tab/>
        <w:t xml:space="preserve">Review of test series </w:t>
      </w:r>
      <w:proofErr w:type="gramStart"/>
      <w:r w:rsidRPr="00004FBA">
        <w:t>6;</w:t>
      </w:r>
      <w:proofErr w:type="gramEnd"/>
    </w:p>
    <w:p w14:paraId="40B18A67" w14:textId="4332CC70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B33DA0">
        <w:t>b</w:t>
      </w:r>
      <w:r w:rsidRPr="00004FBA">
        <w:t>)</w:t>
      </w:r>
      <w:r w:rsidRPr="00004FBA">
        <w:tab/>
        <w:t xml:space="preserve">Improvement of test series </w:t>
      </w:r>
      <w:proofErr w:type="gramStart"/>
      <w:r w:rsidRPr="00004FBA">
        <w:t>8;</w:t>
      </w:r>
      <w:proofErr w:type="gramEnd"/>
    </w:p>
    <w:p w14:paraId="76175CB8" w14:textId="36DDEBB3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A71966">
        <w:t>c</w:t>
      </w:r>
      <w:r w:rsidRPr="00004FBA">
        <w:t>)</w:t>
      </w:r>
      <w:r w:rsidRPr="00004FBA">
        <w:tab/>
        <w:t xml:space="preserve">Review of tests in parts I, II and III of the Manual of Tests and </w:t>
      </w:r>
      <w:proofErr w:type="gramStart"/>
      <w:r w:rsidRPr="00004FBA">
        <w:t>Criteria;</w:t>
      </w:r>
      <w:proofErr w:type="gramEnd"/>
    </w:p>
    <w:p w14:paraId="794CEDBC" w14:textId="1A0081EB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B33DA0">
        <w:t>d</w:t>
      </w:r>
      <w:r w:rsidRPr="00004FBA">
        <w:t>)</w:t>
      </w:r>
      <w:r w:rsidRPr="00004FBA">
        <w:tab/>
        <w:t xml:space="preserve">“UN” standard </w:t>
      </w:r>
      <w:proofErr w:type="gramStart"/>
      <w:r w:rsidRPr="00004FBA">
        <w:t>detonators;</w:t>
      </w:r>
      <w:proofErr w:type="gramEnd"/>
    </w:p>
    <w:p w14:paraId="4A2493AC" w14:textId="475D2367" w:rsidR="005F121B" w:rsidRPr="00004FBA" w:rsidRDefault="005F121B" w:rsidP="00696F73">
      <w:pPr>
        <w:pStyle w:val="SingleTxtG"/>
        <w:spacing w:line="240" w:lineRule="auto"/>
        <w:ind w:left="2268"/>
      </w:pPr>
      <w:r w:rsidRPr="00004FBA">
        <w:t>(</w:t>
      </w:r>
      <w:r w:rsidR="00B33DA0">
        <w:t>e</w:t>
      </w:r>
      <w:r w:rsidRPr="00004FBA">
        <w:t>)</w:t>
      </w:r>
      <w:r w:rsidRPr="00004FBA">
        <w:tab/>
        <w:t xml:space="preserve">Energetic </w:t>
      </w:r>
      <w:proofErr w:type="gramStart"/>
      <w:r w:rsidRPr="00004FBA">
        <w:t>samples;</w:t>
      </w:r>
      <w:proofErr w:type="gramEnd"/>
    </w:p>
    <w:p w14:paraId="15CFA778" w14:textId="38601539" w:rsidR="005F121B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696F73">
        <w:t>f</w:t>
      </w:r>
      <w:r w:rsidRPr="00004FBA">
        <w:t>)</w:t>
      </w:r>
      <w:r w:rsidRPr="00004FBA">
        <w:tab/>
        <w:t xml:space="preserve">Review of packaging and transport requirements for </w:t>
      </w:r>
      <w:r w:rsidR="00454404" w:rsidRPr="00004FBA">
        <w:t xml:space="preserve">ammonium nitrate </w:t>
      </w:r>
      <w:proofErr w:type="gramStart"/>
      <w:r w:rsidR="00454404" w:rsidRPr="00004FBA">
        <w:t>em</w:t>
      </w:r>
      <w:r w:rsidR="00454404" w:rsidRPr="0001194B">
        <w:t>ulsions</w:t>
      </w:r>
      <w:r w:rsidRPr="00B620F6">
        <w:t>;</w:t>
      </w:r>
      <w:proofErr w:type="gramEnd"/>
    </w:p>
    <w:p w14:paraId="2387FA93" w14:textId="7AA80BE7" w:rsidR="00696F73" w:rsidRPr="00B620F6" w:rsidRDefault="00696F73" w:rsidP="00B620F6">
      <w:pPr>
        <w:pStyle w:val="SingleTxtG"/>
        <w:spacing w:line="240" w:lineRule="auto"/>
        <w:ind w:left="2268"/>
      </w:pPr>
      <w:r>
        <w:t>(g)</w:t>
      </w:r>
      <w:r>
        <w:tab/>
        <w:t>E</w:t>
      </w:r>
      <w:r w:rsidRPr="00DB3F97">
        <w:t>lectrification and alternative fuels and how they will affect transport of explosives</w:t>
      </w:r>
      <w:proofErr w:type="gramStart"/>
      <w:r w:rsidRPr="007F6EF8">
        <w:t>)</w:t>
      </w:r>
      <w:r w:rsidR="005F757E">
        <w:t>;</w:t>
      </w:r>
      <w:proofErr w:type="gramEnd"/>
    </w:p>
    <w:p w14:paraId="5A585E90" w14:textId="7E516AC7" w:rsidR="005F121B" w:rsidRPr="001C1008" w:rsidRDefault="005F121B" w:rsidP="00B620F6">
      <w:pPr>
        <w:pStyle w:val="SingleTxtG"/>
        <w:spacing w:line="240" w:lineRule="auto"/>
        <w:ind w:left="2268"/>
      </w:pPr>
      <w:r w:rsidRPr="00B620F6">
        <w:t>(</w:t>
      </w:r>
      <w:r w:rsidR="00696F73">
        <w:t>h</w:t>
      </w:r>
      <w:r w:rsidRPr="001C1008">
        <w:t>)</w:t>
      </w:r>
      <w:r w:rsidRPr="001C1008">
        <w:tab/>
        <w:t>Miscellaneous.</w:t>
      </w:r>
    </w:p>
    <w:p w14:paraId="0B30AE74" w14:textId="77777777" w:rsidR="005F121B" w:rsidRPr="00E74574" w:rsidRDefault="005F121B" w:rsidP="005F121B">
      <w:pPr>
        <w:pStyle w:val="SingleTxtG"/>
      </w:pPr>
      <w:r w:rsidRPr="001C1008">
        <w:t>3.</w:t>
      </w:r>
      <w:r w:rsidRPr="001C1008">
        <w:tab/>
        <w:t>Listing, classification and packing.</w:t>
      </w:r>
    </w:p>
    <w:p w14:paraId="65A16072" w14:textId="77777777" w:rsidR="005F121B" w:rsidRPr="0001194B" w:rsidRDefault="005F121B" w:rsidP="005F121B">
      <w:pPr>
        <w:pStyle w:val="SingleTxtG"/>
      </w:pPr>
      <w:r w:rsidRPr="0001194B">
        <w:t>4.</w:t>
      </w:r>
      <w:r w:rsidRPr="0001194B">
        <w:tab/>
        <w:t>Electric storage systems:</w:t>
      </w:r>
    </w:p>
    <w:p w14:paraId="7AFDDA1D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(a)</w:t>
      </w:r>
      <w:r w:rsidRPr="0001194B">
        <w:tab/>
        <w:t xml:space="preserve">Testing of lithium </w:t>
      </w:r>
      <w:proofErr w:type="gramStart"/>
      <w:r w:rsidRPr="0001194B">
        <w:t>batteries;</w:t>
      </w:r>
      <w:proofErr w:type="gramEnd"/>
    </w:p>
    <w:p w14:paraId="77A58F88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lastRenderedPageBreak/>
        <w:t>(b)</w:t>
      </w:r>
      <w:r w:rsidRPr="0001194B">
        <w:tab/>
        <w:t xml:space="preserve">Hazard-based system for classification of lithium </w:t>
      </w:r>
      <w:proofErr w:type="gramStart"/>
      <w:r w:rsidRPr="0001194B">
        <w:t>batteries;</w:t>
      </w:r>
      <w:proofErr w:type="gramEnd"/>
    </w:p>
    <w:p w14:paraId="25803E22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(c)</w:t>
      </w:r>
      <w:r w:rsidRPr="0001194B">
        <w:tab/>
        <w:t xml:space="preserve">Transport </w:t>
      </w:r>
      <w:proofErr w:type="gramStart"/>
      <w:r w:rsidRPr="0001194B">
        <w:t>provisions;</w:t>
      </w:r>
      <w:proofErr w:type="gramEnd"/>
    </w:p>
    <w:p w14:paraId="43DC5D37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(d)</w:t>
      </w:r>
      <w:r w:rsidRPr="0001194B">
        <w:tab/>
        <w:t xml:space="preserve">Damaged or defective lithium </w:t>
      </w:r>
      <w:proofErr w:type="gramStart"/>
      <w:r w:rsidRPr="0001194B">
        <w:t>batteries;</w:t>
      </w:r>
      <w:proofErr w:type="gramEnd"/>
    </w:p>
    <w:p w14:paraId="77F0F007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(e)</w:t>
      </w:r>
      <w:r w:rsidRPr="0001194B">
        <w:tab/>
        <w:t xml:space="preserve">Sodium-ion </w:t>
      </w:r>
      <w:proofErr w:type="gramStart"/>
      <w:r w:rsidRPr="0001194B">
        <w:t>batteries</w:t>
      </w:r>
      <w:r w:rsidR="00A70E8A" w:rsidRPr="0001194B">
        <w:t>;</w:t>
      </w:r>
      <w:proofErr w:type="gramEnd"/>
    </w:p>
    <w:p w14:paraId="71352FB5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(f)</w:t>
      </w:r>
      <w:r w:rsidRPr="0001194B">
        <w:tab/>
        <w:t>Miscellaneous.</w:t>
      </w:r>
    </w:p>
    <w:p w14:paraId="207413A3" w14:textId="77777777" w:rsidR="005F121B" w:rsidRPr="0001194B" w:rsidRDefault="005F121B" w:rsidP="005F121B">
      <w:pPr>
        <w:pStyle w:val="SingleTxtG"/>
      </w:pPr>
      <w:r w:rsidRPr="0001194B">
        <w:t>5.</w:t>
      </w:r>
      <w:r w:rsidRPr="0001194B">
        <w:tab/>
        <w:t>Transport of gases:</w:t>
      </w:r>
    </w:p>
    <w:p w14:paraId="202228D0" w14:textId="2AE6A54C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(a)</w:t>
      </w:r>
      <w:r w:rsidRPr="0001194B">
        <w:tab/>
        <w:t>Global recognition of UN and non-U</w:t>
      </w:r>
      <w:r w:rsidR="0007120A" w:rsidRPr="0001194B">
        <w:t xml:space="preserve">nited </w:t>
      </w:r>
      <w:r w:rsidRPr="0001194B">
        <w:t>N</w:t>
      </w:r>
      <w:r w:rsidR="0007120A" w:rsidRPr="0001194B">
        <w:t>ations</w:t>
      </w:r>
      <w:r w:rsidRPr="0001194B">
        <w:t xml:space="preserve"> pressure </w:t>
      </w:r>
      <w:proofErr w:type="gramStart"/>
      <w:r w:rsidRPr="0001194B">
        <w:t>receptacles;</w:t>
      </w:r>
      <w:proofErr w:type="gramEnd"/>
    </w:p>
    <w:p w14:paraId="737A6616" w14:textId="03CCB6B4" w:rsidR="007F37B2" w:rsidRPr="0001194B" w:rsidRDefault="005F121B" w:rsidP="007F37B2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(b)</w:t>
      </w:r>
      <w:r w:rsidRPr="0001194B">
        <w:tab/>
      </w:r>
      <w:r w:rsidR="007F37B2" w:rsidRPr="0001194B">
        <w:t xml:space="preserve">Limited quantities for division </w:t>
      </w:r>
      <w:proofErr w:type="gramStart"/>
      <w:r w:rsidR="007F37B2" w:rsidRPr="0001194B">
        <w:t>2.2;</w:t>
      </w:r>
      <w:proofErr w:type="gramEnd"/>
    </w:p>
    <w:p w14:paraId="598469CF" w14:textId="00A38223" w:rsidR="005F121B" w:rsidRPr="0001194B" w:rsidRDefault="007F37B2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(c)</w:t>
      </w:r>
      <w:r w:rsidRPr="0001194B">
        <w:tab/>
      </w:r>
      <w:r w:rsidR="005F121B" w:rsidRPr="0001194B">
        <w:t>Miscellaneous.</w:t>
      </w:r>
    </w:p>
    <w:p w14:paraId="47DC1785" w14:textId="77777777" w:rsidR="005F121B" w:rsidRPr="0001194B" w:rsidRDefault="005F121B" w:rsidP="005F121B">
      <w:pPr>
        <w:pStyle w:val="SingleTxtG"/>
      </w:pPr>
      <w:r w:rsidRPr="0001194B">
        <w:t>6.</w:t>
      </w:r>
      <w:r w:rsidRPr="0001194B">
        <w:tab/>
        <w:t xml:space="preserve">Miscellaneous proposals for amendments to the Model Regulations on the Transport </w:t>
      </w:r>
      <w:r w:rsidRPr="0001194B">
        <w:tab/>
        <w:t>of Dangerous Goods:</w:t>
      </w:r>
    </w:p>
    <w:p w14:paraId="617F23AE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01194B">
        <w:t>(a)</w:t>
      </w:r>
      <w:r w:rsidRPr="0001194B">
        <w:tab/>
        <w:t xml:space="preserve">Marking and </w:t>
      </w:r>
      <w:proofErr w:type="gramStart"/>
      <w:r w:rsidRPr="0001194B">
        <w:t>labelling;</w:t>
      </w:r>
      <w:proofErr w:type="gramEnd"/>
    </w:p>
    <w:p w14:paraId="6588A64C" w14:textId="0521721C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01194B">
        <w:t>(b)</w:t>
      </w:r>
      <w:r w:rsidRPr="0001194B">
        <w:tab/>
      </w:r>
      <w:proofErr w:type="spellStart"/>
      <w:r w:rsidRPr="0001194B">
        <w:t>Packagings</w:t>
      </w:r>
      <w:proofErr w:type="spellEnd"/>
      <w:r w:rsidR="00D129C1" w:rsidRPr="0001194B">
        <w:t>,</w:t>
      </w:r>
      <w:r w:rsidR="001C4A50" w:rsidRPr="0001194B">
        <w:t xml:space="preserve"> including the use of recycled plastics </w:t>
      </w:r>
      <w:proofErr w:type="gramStart"/>
      <w:r w:rsidR="001C4A50" w:rsidRPr="0001194B">
        <w:t>material</w:t>
      </w:r>
      <w:r w:rsidRPr="0001194B">
        <w:t>;</w:t>
      </w:r>
      <w:proofErr w:type="gramEnd"/>
    </w:p>
    <w:p w14:paraId="022E5CCE" w14:textId="7F499C34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9"/>
      </w:pPr>
      <w:r w:rsidRPr="0001194B">
        <w:t>(</w:t>
      </w:r>
      <w:r w:rsidR="00CA30DD" w:rsidRPr="0001194B">
        <w:t>c</w:t>
      </w:r>
      <w:r w:rsidRPr="0001194B">
        <w:t>)</w:t>
      </w:r>
      <w:r w:rsidRPr="0001194B">
        <w:tab/>
        <w:t xml:space="preserve">Portable </w:t>
      </w:r>
      <w:proofErr w:type="gramStart"/>
      <w:r w:rsidRPr="0001194B">
        <w:t>tanks;</w:t>
      </w:r>
      <w:proofErr w:type="gramEnd"/>
    </w:p>
    <w:p w14:paraId="47AAFDF0" w14:textId="45FA62DD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01"/>
      </w:pPr>
      <w:r w:rsidRPr="0001194B">
        <w:t>(</w:t>
      </w:r>
      <w:r w:rsidR="00CA30DD" w:rsidRPr="0001194B">
        <w:t>d</w:t>
      </w:r>
      <w:r w:rsidRPr="0001194B">
        <w:t>)</w:t>
      </w:r>
      <w:r w:rsidRPr="0001194B">
        <w:tab/>
        <w:t>Other miscellaneous proposals.</w:t>
      </w:r>
    </w:p>
    <w:p w14:paraId="05DCB563" w14:textId="77777777" w:rsidR="005F121B" w:rsidRPr="0001194B" w:rsidRDefault="005F121B" w:rsidP="005F121B">
      <w:pPr>
        <w:pStyle w:val="SingleTxtG"/>
      </w:pPr>
      <w:r w:rsidRPr="0001194B">
        <w:t>7.</w:t>
      </w:r>
      <w:r w:rsidRPr="0001194B">
        <w:tab/>
        <w:t xml:space="preserve">Global harmonization of transport of dangerous goods regulations with the Model </w:t>
      </w:r>
      <w:r w:rsidRPr="0001194B">
        <w:tab/>
        <w:t>Regulations.</w:t>
      </w:r>
    </w:p>
    <w:p w14:paraId="7F274F3C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1194B">
        <w:t>8.</w:t>
      </w:r>
      <w:r w:rsidRPr="0001194B">
        <w:tab/>
        <w:t>Cooperation with the International Atomic Energy Agency.</w:t>
      </w:r>
    </w:p>
    <w:p w14:paraId="22179A73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1194B">
        <w:t>9.</w:t>
      </w:r>
      <w:r w:rsidRPr="0001194B">
        <w:tab/>
        <w:t>Guiding principles for the Model Regulations.</w:t>
      </w:r>
    </w:p>
    <w:p w14:paraId="7E8CE5BF" w14:textId="44F9DDC9" w:rsidR="005F121B" w:rsidRPr="00E74574" w:rsidRDefault="005F121B" w:rsidP="005F121B">
      <w:pPr>
        <w:pStyle w:val="SingleTxtG"/>
      </w:pPr>
      <w:r w:rsidRPr="0001194B">
        <w:t>10.</w:t>
      </w:r>
      <w:r w:rsidRPr="0001194B">
        <w:tab/>
        <w:t>Issues relating to the Globally Harmonized System</w:t>
      </w:r>
      <w:r w:rsidRPr="00E74574">
        <w:rPr>
          <w:rStyle w:val="FootnoteReference"/>
        </w:rPr>
        <w:footnoteReference w:customMarkFollows="1" w:id="5"/>
        <w:sym w:font="Symbol" w:char="F031"/>
      </w:r>
      <w:r w:rsidRPr="00E74574">
        <w:t>:</w:t>
      </w:r>
    </w:p>
    <w:p w14:paraId="7E56C486" w14:textId="77777777" w:rsidR="005F121B" w:rsidRPr="00E74574" w:rsidRDefault="005F121B" w:rsidP="005F121B">
      <w:pPr>
        <w:pStyle w:val="SingleTxtG"/>
        <w:spacing w:line="240" w:lineRule="auto"/>
        <w:ind w:left="1701"/>
      </w:pPr>
      <w:r w:rsidRPr="00E74574">
        <w:t>(a)</w:t>
      </w:r>
      <w:r w:rsidRPr="00E74574">
        <w:tab/>
        <w:t xml:space="preserve">Testing of oxidizing </w:t>
      </w:r>
      <w:proofErr w:type="gramStart"/>
      <w:r w:rsidRPr="00E74574">
        <w:t>substances;</w:t>
      </w:r>
      <w:proofErr w:type="gramEnd"/>
    </w:p>
    <w:p w14:paraId="0338F2DE" w14:textId="147A3DF2" w:rsidR="005F121B" w:rsidRPr="00E74574" w:rsidRDefault="005F121B" w:rsidP="005F121B">
      <w:pPr>
        <w:pStyle w:val="SingleTxtG"/>
        <w:spacing w:line="240" w:lineRule="auto"/>
        <w:ind w:left="1701"/>
      </w:pPr>
      <w:r w:rsidRPr="00E74574">
        <w:t>(</w:t>
      </w:r>
      <w:r w:rsidR="00803FD3" w:rsidRPr="00E74574">
        <w:t>b</w:t>
      </w:r>
      <w:r w:rsidRPr="00E74574">
        <w:t>)</w:t>
      </w:r>
      <w:r w:rsidRPr="00E74574">
        <w:tab/>
        <w:t xml:space="preserve">Simultaneous classification in physical hazards and </w:t>
      </w:r>
      <w:r w:rsidR="002020E3">
        <w:t>possible combination</w:t>
      </w:r>
      <w:r w:rsidR="002020E3" w:rsidRPr="001539E0">
        <w:t xml:space="preserve"> </w:t>
      </w:r>
      <w:r w:rsidRPr="00E74574">
        <w:t xml:space="preserve">of </w:t>
      </w:r>
      <w:proofErr w:type="gramStart"/>
      <w:r w:rsidRPr="00E74574">
        <w:t>hazards;</w:t>
      </w:r>
      <w:proofErr w:type="gramEnd"/>
    </w:p>
    <w:p w14:paraId="3AC9DFE1" w14:textId="2393B75E" w:rsidR="005F121B" w:rsidRPr="00E74574" w:rsidRDefault="005F121B" w:rsidP="005F121B">
      <w:pPr>
        <w:pStyle w:val="SingleTxtG"/>
        <w:ind w:left="1701"/>
      </w:pPr>
      <w:r w:rsidRPr="00E74574">
        <w:t>(</w:t>
      </w:r>
      <w:r w:rsidR="00803FD3" w:rsidRPr="00E74574">
        <w:t>c</w:t>
      </w:r>
      <w:r w:rsidRPr="00E74574">
        <w:t>)</w:t>
      </w:r>
      <w:r w:rsidRPr="00E74574">
        <w:tab/>
        <w:t>Miscellaneous.</w:t>
      </w:r>
    </w:p>
    <w:p w14:paraId="407215AD" w14:textId="77777777" w:rsidR="00E84DDE" w:rsidRPr="00E74574" w:rsidRDefault="00E84DDE" w:rsidP="00E84DDE">
      <w:pPr>
        <w:pStyle w:val="SingleTxtG"/>
      </w:pPr>
      <w:r w:rsidRPr="00E74574">
        <w:t>11.</w:t>
      </w:r>
      <w:r w:rsidRPr="00E74574">
        <w:tab/>
        <w:t>Unified interpretations of the Model Regulations.</w:t>
      </w:r>
    </w:p>
    <w:p w14:paraId="73B6522E" w14:textId="77777777" w:rsidR="00E84DDE" w:rsidRPr="00E74574" w:rsidRDefault="00E84DDE" w:rsidP="00E84DDE">
      <w:pPr>
        <w:pStyle w:val="SingleTxtG"/>
      </w:pPr>
      <w:r w:rsidRPr="00E74574">
        <w:t>12.</w:t>
      </w:r>
      <w:r w:rsidRPr="00E74574">
        <w:tab/>
        <w:t>Implementation of the Model Regulations.</w:t>
      </w:r>
    </w:p>
    <w:p w14:paraId="347BA1BA" w14:textId="77777777" w:rsidR="00E84DDE" w:rsidRPr="00E74574" w:rsidRDefault="00E84DDE" w:rsidP="00E84DDE">
      <w:pPr>
        <w:pStyle w:val="SingleTxtG"/>
      </w:pPr>
      <w:r w:rsidRPr="00E74574">
        <w:t>13.</w:t>
      </w:r>
      <w:r w:rsidRPr="00E74574">
        <w:tab/>
        <w:t>Dangerous goods safety training and capacity building.</w:t>
      </w:r>
    </w:p>
    <w:p w14:paraId="265DB177" w14:textId="030DC9B9" w:rsidR="005E5B6B" w:rsidRDefault="005E5B6B" w:rsidP="0042659C">
      <w:pPr>
        <w:pStyle w:val="SingleTxtG"/>
      </w:pPr>
      <w:r>
        <w:t>14.</w:t>
      </w:r>
      <w:r>
        <w:tab/>
      </w:r>
      <w:r w:rsidR="00B2078D">
        <w:t xml:space="preserve">United Nations </w:t>
      </w:r>
      <w:r w:rsidR="00B2078D" w:rsidRPr="000C315A">
        <w:t>2030 Agenda for Sustainable Development</w:t>
      </w:r>
      <w:r>
        <w:t>.</w:t>
      </w:r>
    </w:p>
    <w:p w14:paraId="736DF0AD" w14:textId="13479249" w:rsidR="005E5B6B" w:rsidRDefault="005E5B6B" w:rsidP="0042659C">
      <w:pPr>
        <w:pStyle w:val="SingleTxtG"/>
      </w:pPr>
      <w:r>
        <w:t>15.</w:t>
      </w:r>
      <w:r>
        <w:tab/>
      </w:r>
      <w:r w:rsidR="00942A85">
        <w:t>Opportunities to enhance operational efficiency and inclusiveness</w:t>
      </w:r>
      <w:r>
        <w:t>.</w:t>
      </w:r>
    </w:p>
    <w:p w14:paraId="6D9E7B2D" w14:textId="008BB070" w:rsidR="005F121B" w:rsidRPr="00E74574" w:rsidRDefault="005E5B6B">
      <w:pPr>
        <w:pStyle w:val="SingleTxtG"/>
      </w:pPr>
      <w:r w:rsidRPr="00050DC8">
        <w:t>1</w:t>
      </w:r>
      <w:r>
        <w:t>6</w:t>
      </w:r>
      <w:r w:rsidRPr="00050DC8">
        <w:t>.</w:t>
      </w:r>
      <w:r w:rsidRPr="00050DC8">
        <w:tab/>
      </w:r>
      <w:r w:rsidR="005F121B" w:rsidRPr="00E74574">
        <w:t>Other business.</w:t>
      </w:r>
    </w:p>
    <w:p w14:paraId="73E86647" w14:textId="09FC760F" w:rsidR="005F121B" w:rsidRPr="00E051D7" w:rsidRDefault="005F121B" w:rsidP="005F121B">
      <w:pPr>
        <w:pStyle w:val="SingleTxtG"/>
      </w:pPr>
      <w:r w:rsidRPr="00E74574">
        <w:t>1</w:t>
      </w:r>
      <w:r w:rsidR="00942A85">
        <w:t>7</w:t>
      </w:r>
      <w:r w:rsidRPr="00E74574">
        <w:t>.</w:t>
      </w:r>
      <w:r w:rsidRPr="00E74574">
        <w:tab/>
        <w:t>Adoption of the report.</w:t>
      </w:r>
    </w:p>
    <w:p w14:paraId="35A8B897" w14:textId="77777777" w:rsidR="0063750F" w:rsidRPr="0063750F" w:rsidRDefault="0063750F" w:rsidP="007B2B05">
      <w:pPr>
        <w:spacing w:before="120"/>
        <w:jc w:val="center"/>
        <w:rPr>
          <w:highlight w:val="yellow"/>
          <w:u w:val="single"/>
        </w:rPr>
      </w:pPr>
      <w:r w:rsidRPr="0063750F">
        <w:rPr>
          <w:u w:val="single"/>
        </w:rPr>
        <w:tab/>
      </w:r>
      <w:r w:rsidRPr="0063750F">
        <w:rPr>
          <w:u w:val="single"/>
        </w:rPr>
        <w:tab/>
      </w:r>
      <w:r w:rsidRPr="0063750F">
        <w:rPr>
          <w:u w:val="single"/>
        </w:rPr>
        <w:tab/>
      </w:r>
    </w:p>
    <w:sectPr w:rsidR="0063750F" w:rsidRPr="0063750F" w:rsidSect="00736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9491" w14:textId="77777777" w:rsidR="00957B71" w:rsidRPr="00C47B2E" w:rsidRDefault="00957B71" w:rsidP="00C47B2E">
      <w:pPr>
        <w:pStyle w:val="Footer"/>
      </w:pPr>
    </w:p>
  </w:endnote>
  <w:endnote w:type="continuationSeparator" w:id="0">
    <w:p w14:paraId="01477DDC" w14:textId="77777777" w:rsidR="00957B71" w:rsidRPr="00C47B2E" w:rsidRDefault="00957B71" w:rsidP="00C47B2E">
      <w:pPr>
        <w:pStyle w:val="Footer"/>
      </w:pPr>
    </w:p>
  </w:endnote>
  <w:endnote w:type="continuationNotice" w:id="1">
    <w:p w14:paraId="4BECF0D5" w14:textId="77777777" w:rsidR="00957B71" w:rsidRPr="00C47B2E" w:rsidRDefault="00957B7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6342" w14:textId="77777777" w:rsidR="00D94B05" w:rsidRPr="00651CF8" w:rsidRDefault="00651CF8" w:rsidP="00651CF8">
    <w:pPr>
      <w:pStyle w:val="Footer"/>
      <w:tabs>
        <w:tab w:val="right" w:pos="9598"/>
        <w:tab w:val="right" w:pos="9638"/>
      </w:tabs>
      <w:rPr>
        <w:sz w:val="18"/>
      </w:rPr>
    </w:pPr>
    <w:r w:rsidRPr="00651CF8">
      <w:rPr>
        <w:b/>
        <w:sz w:val="18"/>
      </w:rPr>
      <w:fldChar w:fldCharType="begin"/>
    </w:r>
    <w:r w:rsidRPr="00651CF8">
      <w:rPr>
        <w:b/>
        <w:sz w:val="18"/>
      </w:rPr>
      <w:instrText xml:space="preserve"> PAGE  \* MERGEFORMAT </w:instrText>
    </w:r>
    <w:r w:rsidRPr="00651CF8">
      <w:rPr>
        <w:b/>
        <w:sz w:val="18"/>
      </w:rPr>
      <w:fldChar w:fldCharType="separate"/>
    </w:r>
    <w:r w:rsidRPr="00651CF8">
      <w:rPr>
        <w:b/>
        <w:noProof/>
        <w:sz w:val="18"/>
      </w:rPr>
      <w:t>2</w:t>
    </w:r>
    <w:r w:rsidRPr="00651C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24B" w14:textId="77777777" w:rsidR="00D94B05" w:rsidRPr="00651CF8" w:rsidRDefault="00651CF8" w:rsidP="00651CF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51CF8">
      <w:rPr>
        <w:sz w:val="18"/>
      </w:rPr>
      <w:fldChar w:fldCharType="begin"/>
    </w:r>
    <w:r w:rsidRPr="00651CF8">
      <w:rPr>
        <w:sz w:val="18"/>
      </w:rPr>
      <w:instrText xml:space="preserve"> PAGE  \* MERGEFORMAT </w:instrText>
    </w:r>
    <w:r w:rsidRPr="00651CF8">
      <w:rPr>
        <w:sz w:val="18"/>
      </w:rPr>
      <w:fldChar w:fldCharType="separate"/>
    </w:r>
    <w:r w:rsidRPr="00651CF8">
      <w:rPr>
        <w:noProof/>
        <w:sz w:val="18"/>
      </w:rPr>
      <w:t>3</w:t>
    </w:r>
    <w:r w:rsidRPr="00651CF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C88" w14:textId="77777777" w:rsidR="00942A85" w:rsidRDefault="0094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8F2" w14:textId="77777777" w:rsidR="00957B71" w:rsidRPr="00C47B2E" w:rsidRDefault="00957B7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F4D1918" w14:textId="77777777" w:rsidR="00957B71" w:rsidRPr="00C47B2E" w:rsidRDefault="00957B7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886794B" w14:textId="77777777" w:rsidR="00957B71" w:rsidRPr="00C47B2E" w:rsidRDefault="00957B71" w:rsidP="00C47B2E">
      <w:pPr>
        <w:pStyle w:val="Footer"/>
      </w:pPr>
    </w:p>
  </w:footnote>
  <w:footnote w:id="2">
    <w:p w14:paraId="15424233" w14:textId="4DD8AE5B" w:rsidR="0063750F" w:rsidRPr="008D0D60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ST/SG/AC.10/C.3/1</w:t>
      </w:r>
      <w:r w:rsidR="009029EA">
        <w:rPr>
          <w:bCs/>
          <w:szCs w:val="18"/>
        </w:rPr>
        <w:t>2</w:t>
      </w:r>
      <w:r w:rsidR="00D9137B">
        <w:rPr>
          <w:bCs/>
          <w:szCs w:val="18"/>
        </w:rPr>
        <w:t>3</w:t>
      </w:r>
      <w:r w:rsidRPr="003400A8">
        <w:rPr>
          <w:bCs/>
          <w:szCs w:val="18"/>
        </w:rPr>
        <w:t xml:space="preserve">/Add.1. The deadline for submission of documents is </w:t>
      </w:r>
      <w:r w:rsidR="00344AB8">
        <w:rPr>
          <w:bCs/>
          <w:szCs w:val="18"/>
        </w:rPr>
        <w:t>6</w:t>
      </w:r>
      <w:r>
        <w:rPr>
          <w:bCs/>
          <w:szCs w:val="18"/>
        </w:rPr>
        <w:t xml:space="preserve"> </w:t>
      </w:r>
      <w:r w:rsidR="003A37F6">
        <w:rPr>
          <w:bCs/>
          <w:szCs w:val="18"/>
        </w:rPr>
        <w:t>April</w:t>
      </w:r>
      <w:r>
        <w:rPr>
          <w:bCs/>
          <w:szCs w:val="18"/>
        </w:rPr>
        <w:t xml:space="preserve"> 20</w:t>
      </w:r>
      <w:r w:rsidR="00EA4892">
        <w:rPr>
          <w:bCs/>
          <w:szCs w:val="18"/>
        </w:rPr>
        <w:t>2</w:t>
      </w:r>
      <w:r w:rsidR="003A37F6">
        <w:rPr>
          <w:bCs/>
          <w:szCs w:val="18"/>
        </w:rPr>
        <w:t>3</w:t>
      </w:r>
      <w:r w:rsidRPr="003400A8">
        <w:rPr>
          <w:bCs/>
          <w:szCs w:val="18"/>
        </w:rPr>
        <w:t>.</w:t>
      </w:r>
    </w:p>
  </w:footnote>
  <w:footnote w:id="3">
    <w:p w14:paraId="29F26171" w14:textId="6EE440D8" w:rsidR="0063750F" w:rsidRPr="005409EC" w:rsidRDefault="0063750F" w:rsidP="003D74DF">
      <w:pPr>
        <w:pStyle w:val="FootnoteText"/>
        <w:tabs>
          <w:tab w:val="left" w:pos="1418"/>
        </w:tabs>
        <w:ind w:firstLine="0"/>
        <w:rPr>
          <w:lang w:val="fr-CH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="009632ED">
        <w:rPr>
          <w:szCs w:val="18"/>
        </w:rPr>
        <w:t>The</w:t>
      </w:r>
      <w:r w:rsidR="0001426A">
        <w:rPr>
          <w:szCs w:val="18"/>
        </w:rPr>
        <w:t xml:space="preserve"> documentation for the session will be made available </w:t>
      </w:r>
      <w:bookmarkStart w:id="0" w:name="_Hlk15909003"/>
      <w:r w:rsidR="00C15C23">
        <w:rPr>
          <w:szCs w:val="18"/>
        </w:rPr>
        <w:t xml:space="preserve">at: </w:t>
      </w:r>
      <w:hyperlink r:id="rId1" w:history="1">
        <w:r w:rsidR="003D74DF" w:rsidRPr="005F54B7">
          <w:rPr>
            <w:rStyle w:val="Hyperlink"/>
            <w:szCs w:val="18"/>
          </w:rPr>
          <w:t>https://unece.org/info/Transport/Dangerous-Goods/events/373851</w:t>
        </w:r>
      </w:hyperlink>
      <w:bookmarkEnd w:id="0"/>
      <w:r w:rsidR="0001426A">
        <w:rPr>
          <w:szCs w:val="18"/>
        </w:rPr>
        <w:t xml:space="preserve">. </w:t>
      </w:r>
      <w:r w:rsidR="00330C63">
        <w:t xml:space="preserve">This will be a paperless meeting. Printed documents will not be available </w:t>
      </w:r>
      <w:r w:rsidR="00330C63">
        <w:rPr>
          <w:szCs w:val="18"/>
        </w:rPr>
        <w:t>in the meeting room.</w:t>
      </w:r>
    </w:p>
  </w:footnote>
  <w:footnote w:id="4">
    <w:p w14:paraId="2358C1AF" w14:textId="411C0901" w:rsidR="00B10927" w:rsidRDefault="0063750F" w:rsidP="0063750F">
      <w:pPr>
        <w:pStyle w:val="FootnoteText"/>
        <w:tabs>
          <w:tab w:val="left" w:pos="1418"/>
        </w:tabs>
        <w:ind w:firstLine="0"/>
        <w:rPr>
          <w:color w:val="000000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="001E321C">
        <w:t xml:space="preserve">Participation will only be possible for registered delegates. All participants wishing to attend the session shall register in INDICO at the following address: </w:t>
      </w:r>
      <w:r w:rsidR="008C610F" w:rsidRPr="008C610F">
        <w:rPr>
          <w:color w:val="000000"/>
        </w:rPr>
        <w:t>https://indico.un.org/event/1001151</w:t>
      </w:r>
      <w:r w:rsidR="00AE7008">
        <w:rPr>
          <w:color w:val="000000"/>
        </w:rPr>
        <w:t>.</w:t>
      </w:r>
    </w:p>
    <w:p w14:paraId="5290E765" w14:textId="2C4D91C5" w:rsidR="0063750F" w:rsidRPr="005409EC" w:rsidRDefault="00B10927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 w:rsidRPr="009E5EAE">
        <w:t>Delegates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="0063750F" w:rsidRPr="003400A8">
        <w:rPr>
          <w:color w:val="000000"/>
        </w:rPr>
        <w:t xml:space="preserve">pon arrival at the Palais des Nations, obtain an identification badge at the UNOG Security and Safety Section, located at the </w:t>
      </w:r>
      <w:proofErr w:type="spellStart"/>
      <w:r w:rsidR="0063750F" w:rsidRPr="003400A8">
        <w:rPr>
          <w:color w:val="000000"/>
        </w:rPr>
        <w:t>Pregny</w:t>
      </w:r>
      <w:proofErr w:type="spellEnd"/>
      <w:r w:rsidR="0063750F" w:rsidRPr="003400A8">
        <w:rPr>
          <w:color w:val="000000"/>
        </w:rPr>
        <w:t xml:space="preserve"> Gate (14, Avenue de la </w:t>
      </w:r>
      <w:proofErr w:type="spellStart"/>
      <w:r w:rsidR="0063750F" w:rsidRPr="003400A8">
        <w:rPr>
          <w:color w:val="000000"/>
        </w:rPr>
        <w:t>Paix</w:t>
      </w:r>
      <w:proofErr w:type="spellEnd"/>
      <w:r w:rsidR="0063750F" w:rsidRPr="003400A8">
        <w:rPr>
          <w:color w:val="000000"/>
        </w:rPr>
        <w:t>). In case of difficulty, please contact the secretariat by telephone (ext. 72106). For a map of the Palais des Nations and other useful information, see</w:t>
      </w:r>
      <w:r w:rsidR="00731ED3">
        <w:rPr>
          <w:color w:val="000000"/>
        </w:rPr>
        <w:t xml:space="preserve"> the website</w:t>
      </w:r>
      <w:r w:rsidR="009632ED">
        <w:rPr>
          <w:color w:val="000000"/>
        </w:rPr>
        <w:t>:</w:t>
      </w:r>
      <w:r w:rsidR="0063750F" w:rsidRPr="003400A8">
        <w:rPr>
          <w:color w:val="000000"/>
        </w:rPr>
        <w:t xml:space="preserve"> </w:t>
      </w:r>
      <w:r w:rsidR="00E96121" w:rsidRPr="00E96121">
        <w:rPr>
          <w:color w:val="000000"/>
        </w:rPr>
        <w:t>https://unece.org/practical-information-delegates</w:t>
      </w:r>
      <w:r w:rsidR="0063750F" w:rsidRPr="003400A8">
        <w:rPr>
          <w:color w:val="000000"/>
        </w:rPr>
        <w:t>.</w:t>
      </w:r>
    </w:p>
  </w:footnote>
  <w:footnote w:id="5">
    <w:p w14:paraId="1C09E223" w14:textId="34DCC812" w:rsidR="005F121B" w:rsidRPr="00977D39" w:rsidRDefault="005F121B" w:rsidP="005F121B">
      <w:pPr>
        <w:pStyle w:val="FootnoteText"/>
        <w:tabs>
          <w:tab w:val="left" w:pos="1418"/>
        </w:tabs>
        <w:ind w:firstLine="0"/>
        <w:rPr>
          <w:lang w:val="fr-CH"/>
        </w:rPr>
      </w:pPr>
      <w:r w:rsidRPr="00AD33AB">
        <w:rPr>
          <w:rStyle w:val="FootnoteReference"/>
        </w:rPr>
        <w:sym w:font="Symbol" w:char="F031"/>
      </w:r>
      <w:r>
        <w:t xml:space="preserve"> </w:t>
      </w:r>
      <w:r>
        <w:tab/>
      </w:r>
      <w:r w:rsidRPr="00977D39">
        <w:t xml:space="preserve">Participants in the work of the Sub-Committee of Experts on the Globally Harmonized System of Classification and Labelling of Chemicals </w:t>
      </w:r>
      <w:r w:rsidR="00532C11">
        <w:t xml:space="preserve">(GHS) </w:t>
      </w:r>
      <w:r w:rsidRPr="00977D39">
        <w:t xml:space="preserve">who are not normally involved in the work of the TDG Sub-Committee are invited to participate in the work of the TDG Sub-Committee when the Sub-Committee is acting as GHS focal point for physical hazards </w:t>
      </w:r>
      <w:r w:rsidR="00987CA9">
        <w:br/>
      </w:r>
      <w:r w:rsidRPr="00977D39">
        <w:t xml:space="preserve">(see also </w:t>
      </w:r>
      <w:r>
        <w:t>ST/SG/AC.10/C.4/2, par</w:t>
      </w:r>
      <w:r w:rsidR="00E86D96">
        <w:t>a</w:t>
      </w:r>
      <w:r w:rsidR="009B3386">
        <w:t>.</w:t>
      </w:r>
      <w:r>
        <w:t> 43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B572" w14:textId="3549C7DC" w:rsidR="00651CF8" w:rsidRPr="00651CF8" w:rsidRDefault="00A77696">
    <w:pPr>
      <w:pStyle w:val="Header"/>
    </w:pPr>
    <w:r>
      <w:t>ST/SG/AC.10/C.3/</w:t>
    </w:r>
    <w:r w:rsidR="00306225">
      <w:t>1</w:t>
    </w:r>
    <w:r w:rsidR="00452712">
      <w:t>2</w:t>
    </w:r>
    <w:r w:rsidR="004424C7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AD9" w14:textId="6A8520EB" w:rsidR="00D94B05" w:rsidRPr="00651CF8" w:rsidRDefault="00E94C7B" w:rsidP="00651CF8">
    <w:pPr>
      <w:pStyle w:val="Header"/>
      <w:jc w:val="right"/>
    </w:pPr>
    <w:r w:rsidRPr="00E94C7B">
      <w:t>ST/SG/AC.10/C.3/1</w:t>
    </w:r>
    <w:r w:rsidR="00BE1876">
      <w:t>2</w:t>
    </w:r>
    <w:r w:rsidR="00942A8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1CF" w14:textId="77777777" w:rsidR="00942A85" w:rsidRDefault="00942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2267581">
    <w:abstractNumId w:val="7"/>
  </w:num>
  <w:num w:numId="2" w16cid:durableId="1796678880">
    <w:abstractNumId w:val="6"/>
  </w:num>
  <w:num w:numId="3" w16cid:durableId="2119831781">
    <w:abstractNumId w:val="0"/>
  </w:num>
  <w:num w:numId="4" w16cid:durableId="1495490882">
    <w:abstractNumId w:val="10"/>
  </w:num>
  <w:num w:numId="5" w16cid:durableId="699357715">
    <w:abstractNumId w:val="11"/>
  </w:num>
  <w:num w:numId="6" w16cid:durableId="444619793">
    <w:abstractNumId w:val="14"/>
  </w:num>
  <w:num w:numId="7" w16cid:durableId="283313891">
    <w:abstractNumId w:val="5"/>
  </w:num>
  <w:num w:numId="8" w16cid:durableId="381487131">
    <w:abstractNumId w:val="1"/>
  </w:num>
  <w:num w:numId="9" w16cid:durableId="411779246">
    <w:abstractNumId w:val="13"/>
  </w:num>
  <w:num w:numId="10" w16cid:durableId="14045261">
    <w:abstractNumId w:val="1"/>
  </w:num>
  <w:num w:numId="11" w16cid:durableId="63111209">
    <w:abstractNumId w:val="13"/>
  </w:num>
  <w:num w:numId="12" w16cid:durableId="1356998467">
    <w:abstractNumId w:val="2"/>
  </w:num>
  <w:num w:numId="13" w16cid:durableId="1539660484">
    <w:abstractNumId w:val="2"/>
  </w:num>
  <w:num w:numId="14" w16cid:durableId="293218452">
    <w:abstractNumId w:val="9"/>
  </w:num>
  <w:num w:numId="15" w16cid:durableId="1500272733">
    <w:abstractNumId w:val="8"/>
  </w:num>
  <w:num w:numId="16" w16cid:durableId="1364747147">
    <w:abstractNumId w:val="3"/>
  </w:num>
  <w:num w:numId="17" w16cid:durableId="1944915025">
    <w:abstractNumId w:val="12"/>
  </w:num>
  <w:num w:numId="18" w16cid:durableId="16228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8"/>
    <w:rsid w:val="0000427D"/>
    <w:rsid w:val="00004FBA"/>
    <w:rsid w:val="0001194B"/>
    <w:rsid w:val="0001426A"/>
    <w:rsid w:val="00046E92"/>
    <w:rsid w:val="00063C90"/>
    <w:rsid w:val="0007120A"/>
    <w:rsid w:val="0008215B"/>
    <w:rsid w:val="000B75CE"/>
    <w:rsid w:val="000F68D2"/>
    <w:rsid w:val="00101B98"/>
    <w:rsid w:val="00107854"/>
    <w:rsid w:val="00135358"/>
    <w:rsid w:val="001514D1"/>
    <w:rsid w:val="00175E75"/>
    <w:rsid w:val="00192C6F"/>
    <w:rsid w:val="001C1008"/>
    <w:rsid w:val="001C4A50"/>
    <w:rsid w:val="001C7CC7"/>
    <w:rsid w:val="001E321C"/>
    <w:rsid w:val="002020E3"/>
    <w:rsid w:val="002126BA"/>
    <w:rsid w:val="002205E4"/>
    <w:rsid w:val="00232D27"/>
    <w:rsid w:val="002371D1"/>
    <w:rsid w:val="00247182"/>
    <w:rsid w:val="00247E2C"/>
    <w:rsid w:val="002A32CB"/>
    <w:rsid w:val="002D5B2C"/>
    <w:rsid w:val="002D6C53"/>
    <w:rsid w:val="002E25EF"/>
    <w:rsid w:val="002F5595"/>
    <w:rsid w:val="00306225"/>
    <w:rsid w:val="00330C63"/>
    <w:rsid w:val="00333586"/>
    <w:rsid w:val="00334F6A"/>
    <w:rsid w:val="00342AC8"/>
    <w:rsid w:val="00343302"/>
    <w:rsid w:val="00344AB8"/>
    <w:rsid w:val="00353F58"/>
    <w:rsid w:val="00364C2D"/>
    <w:rsid w:val="00381EC2"/>
    <w:rsid w:val="003979DE"/>
    <w:rsid w:val="003A37F6"/>
    <w:rsid w:val="003B4550"/>
    <w:rsid w:val="003D2A18"/>
    <w:rsid w:val="003D74DF"/>
    <w:rsid w:val="00413386"/>
    <w:rsid w:val="0042659C"/>
    <w:rsid w:val="004424C7"/>
    <w:rsid w:val="00452712"/>
    <w:rsid w:val="00454404"/>
    <w:rsid w:val="00461253"/>
    <w:rsid w:val="004858F5"/>
    <w:rsid w:val="00490F48"/>
    <w:rsid w:val="004A2814"/>
    <w:rsid w:val="004C0622"/>
    <w:rsid w:val="004F3F48"/>
    <w:rsid w:val="005042C2"/>
    <w:rsid w:val="005102B4"/>
    <w:rsid w:val="00532C11"/>
    <w:rsid w:val="005567B1"/>
    <w:rsid w:val="005659E3"/>
    <w:rsid w:val="00573609"/>
    <w:rsid w:val="005E1960"/>
    <w:rsid w:val="005E5B6B"/>
    <w:rsid w:val="005E716E"/>
    <w:rsid w:val="005F121B"/>
    <w:rsid w:val="005F757E"/>
    <w:rsid w:val="006001F6"/>
    <w:rsid w:val="006225C0"/>
    <w:rsid w:val="0063750F"/>
    <w:rsid w:val="00641E5B"/>
    <w:rsid w:val="006476E1"/>
    <w:rsid w:val="00650642"/>
    <w:rsid w:val="00651CF8"/>
    <w:rsid w:val="006604DF"/>
    <w:rsid w:val="0067019E"/>
    <w:rsid w:val="00671529"/>
    <w:rsid w:val="00696F73"/>
    <w:rsid w:val="006E3DB3"/>
    <w:rsid w:val="0070489D"/>
    <w:rsid w:val="007268F9"/>
    <w:rsid w:val="00731ED3"/>
    <w:rsid w:val="0073657B"/>
    <w:rsid w:val="00737778"/>
    <w:rsid w:val="00750282"/>
    <w:rsid w:val="00764440"/>
    <w:rsid w:val="0077101B"/>
    <w:rsid w:val="007869A2"/>
    <w:rsid w:val="007A6170"/>
    <w:rsid w:val="007B2B05"/>
    <w:rsid w:val="007C52B0"/>
    <w:rsid w:val="007C6033"/>
    <w:rsid w:val="007F37B2"/>
    <w:rsid w:val="00803FD3"/>
    <w:rsid w:val="008147C8"/>
    <w:rsid w:val="0081753A"/>
    <w:rsid w:val="00826B10"/>
    <w:rsid w:val="008303D9"/>
    <w:rsid w:val="00857D23"/>
    <w:rsid w:val="00877B25"/>
    <w:rsid w:val="008C610F"/>
    <w:rsid w:val="008D73D3"/>
    <w:rsid w:val="009029EA"/>
    <w:rsid w:val="009411B4"/>
    <w:rsid w:val="00942A85"/>
    <w:rsid w:val="00946F1D"/>
    <w:rsid w:val="00957B71"/>
    <w:rsid w:val="00960F75"/>
    <w:rsid w:val="009632ED"/>
    <w:rsid w:val="00964E6F"/>
    <w:rsid w:val="0096727E"/>
    <w:rsid w:val="0098117D"/>
    <w:rsid w:val="00983A4F"/>
    <w:rsid w:val="00987CA9"/>
    <w:rsid w:val="009973A6"/>
    <w:rsid w:val="009A7509"/>
    <w:rsid w:val="009B3386"/>
    <w:rsid w:val="009D0139"/>
    <w:rsid w:val="009D717D"/>
    <w:rsid w:val="009E0B75"/>
    <w:rsid w:val="009E7675"/>
    <w:rsid w:val="009F5CDC"/>
    <w:rsid w:val="00A07070"/>
    <w:rsid w:val="00A072D7"/>
    <w:rsid w:val="00A108C4"/>
    <w:rsid w:val="00A2458B"/>
    <w:rsid w:val="00A3061D"/>
    <w:rsid w:val="00A70E8A"/>
    <w:rsid w:val="00A71966"/>
    <w:rsid w:val="00A775CF"/>
    <w:rsid w:val="00A77696"/>
    <w:rsid w:val="00AA132E"/>
    <w:rsid w:val="00AB6C55"/>
    <w:rsid w:val="00AC23E0"/>
    <w:rsid w:val="00AD1A9C"/>
    <w:rsid w:val="00AE7008"/>
    <w:rsid w:val="00AF12B6"/>
    <w:rsid w:val="00AF5DE1"/>
    <w:rsid w:val="00B06045"/>
    <w:rsid w:val="00B10927"/>
    <w:rsid w:val="00B110E8"/>
    <w:rsid w:val="00B206DD"/>
    <w:rsid w:val="00B2078D"/>
    <w:rsid w:val="00B33DA0"/>
    <w:rsid w:val="00B52EF4"/>
    <w:rsid w:val="00B620F6"/>
    <w:rsid w:val="00B777AD"/>
    <w:rsid w:val="00B8192A"/>
    <w:rsid w:val="00B91E96"/>
    <w:rsid w:val="00BA1BAD"/>
    <w:rsid w:val="00BA2C25"/>
    <w:rsid w:val="00BB73B6"/>
    <w:rsid w:val="00BD1FFF"/>
    <w:rsid w:val="00BE1876"/>
    <w:rsid w:val="00BE4B55"/>
    <w:rsid w:val="00C03015"/>
    <w:rsid w:val="00C0358D"/>
    <w:rsid w:val="00C15C23"/>
    <w:rsid w:val="00C20448"/>
    <w:rsid w:val="00C20A70"/>
    <w:rsid w:val="00C35A27"/>
    <w:rsid w:val="00C47B2E"/>
    <w:rsid w:val="00CA30DD"/>
    <w:rsid w:val="00CA6705"/>
    <w:rsid w:val="00CC102D"/>
    <w:rsid w:val="00D129C1"/>
    <w:rsid w:val="00D1697F"/>
    <w:rsid w:val="00D22BC0"/>
    <w:rsid w:val="00D23A08"/>
    <w:rsid w:val="00D63CD2"/>
    <w:rsid w:val="00D87DC2"/>
    <w:rsid w:val="00D9137B"/>
    <w:rsid w:val="00D91D44"/>
    <w:rsid w:val="00D94B05"/>
    <w:rsid w:val="00DA558E"/>
    <w:rsid w:val="00E02C2B"/>
    <w:rsid w:val="00E21C27"/>
    <w:rsid w:val="00E26BCF"/>
    <w:rsid w:val="00E45B4C"/>
    <w:rsid w:val="00E52109"/>
    <w:rsid w:val="00E74574"/>
    <w:rsid w:val="00E75317"/>
    <w:rsid w:val="00E84DDE"/>
    <w:rsid w:val="00E86D96"/>
    <w:rsid w:val="00E872B5"/>
    <w:rsid w:val="00E94C7B"/>
    <w:rsid w:val="00E96121"/>
    <w:rsid w:val="00EA4892"/>
    <w:rsid w:val="00EC0CE6"/>
    <w:rsid w:val="00EC65EB"/>
    <w:rsid w:val="00EC7C1D"/>
    <w:rsid w:val="00ED6C48"/>
    <w:rsid w:val="00EE3045"/>
    <w:rsid w:val="00F06453"/>
    <w:rsid w:val="00F552FE"/>
    <w:rsid w:val="00F65F5D"/>
    <w:rsid w:val="00F732F9"/>
    <w:rsid w:val="00F86A3A"/>
    <w:rsid w:val="00FA1C2E"/>
    <w:rsid w:val="00FD1BB8"/>
    <w:rsid w:val="00FF6DA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272A8"/>
  <w15:docId w15:val="{E4001636-3F88-4D77-AC76-CE2C6DE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5E5B6B"/>
  </w:style>
  <w:style w:type="character" w:styleId="UnresolvedMention">
    <w:name w:val="Unresolved Mention"/>
    <w:basedOn w:val="DefaultParagraphFont"/>
    <w:uiPriority w:val="99"/>
    <w:semiHidden/>
    <w:unhideWhenUsed/>
    <w:rsid w:val="003D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73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1ED86-3FB4-4501-A6C7-E44BBA1F3697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3559BB3-7559-4461-BDDB-09A6B3CC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4E6B6-36BE-4161-8CAE-25F1DDAEA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C0926-A36B-4C47-8C00-4FA4C1956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43</TotalTime>
  <Pages>2</Pages>
  <Words>349</Words>
  <Characters>2098</Characters>
  <Application>Microsoft Office Word</Application>
  <DocSecurity>0</DocSecurity>
  <Lines>67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ST/SG/AC.10/C.3/111</vt:lpstr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ST/SG/AC.10/C.3/111</dc:title>
  <dc:subject/>
  <dc:creator>Rosa Garcia-Couto</dc:creator>
  <cp:lastModifiedBy>Laurence Berthet</cp:lastModifiedBy>
  <cp:revision>27</cp:revision>
  <cp:lastPrinted>2023-02-09T11:14:00Z</cp:lastPrinted>
  <dcterms:created xsi:type="dcterms:W3CDTF">2023-01-12T13:35:00Z</dcterms:created>
  <dcterms:modified xsi:type="dcterms:W3CDTF">2023-02-09T11:15:00Z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9469400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