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52109" w:rsidRPr="00D773F7" w14:paraId="2014E2F1" w14:textId="77777777" w:rsidTr="006476E1">
        <w:trPr>
          <w:trHeight w:val="851"/>
        </w:trPr>
        <w:tc>
          <w:tcPr>
            <w:tcW w:w="1259" w:type="dxa"/>
            <w:tcBorders>
              <w:top w:val="nil"/>
              <w:left w:val="nil"/>
              <w:bottom w:val="single" w:sz="4" w:space="0" w:color="auto"/>
              <w:right w:val="nil"/>
            </w:tcBorders>
          </w:tcPr>
          <w:p w14:paraId="7F807D3D" w14:textId="77777777" w:rsidR="00E52109" w:rsidRPr="00D773F7" w:rsidRDefault="00E52109" w:rsidP="004858F5">
            <w:pPr>
              <w:rPr>
                <w:rFonts w:asciiTheme="majorBidi" w:hAnsiTheme="majorBidi" w:cstheme="majorBidi"/>
              </w:rPr>
            </w:pPr>
          </w:p>
        </w:tc>
        <w:tc>
          <w:tcPr>
            <w:tcW w:w="2236" w:type="dxa"/>
            <w:tcBorders>
              <w:top w:val="nil"/>
              <w:left w:val="nil"/>
              <w:bottom w:val="single" w:sz="4" w:space="0" w:color="auto"/>
              <w:right w:val="nil"/>
            </w:tcBorders>
            <w:vAlign w:val="bottom"/>
          </w:tcPr>
          <w:p w14:paraId="7F519633" w14:textId="77777777" w:rsidR="00E52109" w:rsidRPr="00D773F7" w:rsidRDefault="00E52109" w:rsidP="006476E1">
            <w:pPr>
              <w:spacing w:after="80" w:line="300" w:lineRule="exact"/>
              <w:rPr>
                <w:rFonts w:asciiTheme="majorBidi" w:hAnsiTheme="majorBidi" w:cstheme="majorBidi"/>
                <w:sz w:val="28"/>
                <w:szCs w:val="28"/>
              </w:rPr>
            </w:pPr>
            <w:r w:rsidRPr="00D773F7">
              <w:rPr>
                <w:rFonts w:asciiTheme="majorBidi" w:hAnsiTheme="majorBidi" w:cstheme="majorBidi"/>
                <w:sz w:val="28"/>
                <w:szCs w:val="28"/>
              </w:rPr>
              <w:t>United Nations</w:t>
            </w:r>
          </w:p>
        </w:tc>
        <w:tc>
          <w:tcPr>
            <w:tcW w:w="6144" w:type="dxa"/>
            <w:gridSpan w:val="2"/>
            <w:tcBorders>
              <w:top w:val="nil"/>
              <w:left w:val="nil"/>
              <w:bottom w:val="single" w:sz="4" w:space="0" w:color="auto"/>
              <w:right w:val="nil"/>
            </w:tcBorders>
            <w:vAlign w:val="bottom"/>
          </w:tcPr>
          <w:p w14:paraId="77FC2B45" w14:textId="66CFCAA6" w:rsidR="00E52109" w:rsidRPr="00D773F7" w:rsidRDefault="00835F99" w:rsidP="00835F99">
            <w:pPr>
              <w:jc w:val="right"/>
              <w:rPr>
                <w:rFonts w:asciiTheme="majorBidi" w:hAnsiTheme="majorBidi" w:cstheme="majorBidi"/>
              </w:rPr>
            </w:pPr>
            <w:r w:rsidRPr="00D773F7">
              <w:rPr>
                <w:rFonts w:asciiTheme="majorBidi" w:hAnsiTheme="majorBidi" w:cstheme="majorBidi"/>
                <w:sz w:val="40"/>
              </w:rPr>
              <w:t>ST</w:t>
            </w:r>
            <w:r w:rsidRPr="00D773F7">
              <w:rPr>
                <w:rFonts w:asciiTheme="majorBidi" w:hAnsiTheme="majorBidi" w:cstheme="majorBidi"/>
              </w:rPr>
              <w:t>/SG/AC.10/50/Add.3</w:t>
            </w:r>
          </w:p>
        </w:tc>
      </w:tr>
      <w:tr w:rsidR="00E52109" w:rsidRPr="00D773F7" w14:paraId="78DA631B" w14:textId="77777777" w:rsidTr="006476E1">
        <w:trPr>
          <w:trHeight w:val="2835"/>
        </w:trPr>
        <w:tc>
          <w:tcPr>
            <w:tcW w:w="1259" w:type="dxa"/>
            <w:tcBorders>
              <w:top w:val="single" w:sz="4" w:space="0" w:color="auto"/>
              <w:left w:val="nil"/>
              <w:bottom w:val="single" w:sz="12" w:space="0" w:color="auto"/>
              <w:right w:val="nil"/>
            </w:tcBorders>
          </w:tcPr>
          <w:p w14:paraId="5C52E82E" w14:textId="77777777" w:rsidR="00E52109" w:rsidRPr="00D773F7" w:rsidRDefault="00E52109" w:rsidP="006476E1">
            <w:pPr>
              <w:spacing w:before="120"/>
              <w:jc w:val="center"/>
              <w:rPr>
                <w:rFonts w:asciiTheme="majorBidi" w:hAnsiTheme="majorBidi" w:cstheme="majorBidi"/>
              </w:rPr>
            </w:pPr>
            <w:r w:rsidRPr="00D773F7">
              <w:rPr>
                <w:rFonts w:asciiTheme="majorBidi" w:hAnsiTheme="majorBidi" w:cstheme="majorBidi"/>
                <w:noProof/>
                <w:lang w:val="fr-CH" w:eastAsia="fr-CH"/>
              </w:rPr>
              <w:drawing>
                <wp:inline distT="0" distB="0" distL="0" distR="0" wp14:anchorId="6F932A14" wp14:editId="7BC23613">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14:paraId="73A20220" w14:textId="77777777" w:rsidR="00E52109" w:rsidRPr="00D773F7" w:rsidRDefault="00D94B05" w:rsidP="006476E1">
            <w:pPr>
              <w:spacing w:before="120" w:line="420" w:lineRule="exact"/>
              <w:rPr>
                <w:rFonts w:asciiTheme="majorBidi" w:hAnsiTheme="majorBidi" w:cstheme="majorBidi"/>
                <w:b/>
                <w:sz w:val="40"/>
                <w:szCs w:val="40"/>
              </w:rPr>
            </w:pPr>
            <w:r w:rsidRPr="00D773F7">
              <w:rPr>
                <w:rFonts w:asciiTheme="majorBidi" w:hAnsiTheme="majorBidi" w:cstheme="majorBidi"/>
                <w:b/>
                <w:sz w:val="40"/>
                <w:szCs w:val="40"/>
              </w:rPr>
              <w:t>Secretariat</w:t>
            </w:r>
          </w:p>
        </w:tc>
        <w:tc>
          <w:tcPr>
            <w:tcW w:w="2930" w:type="dxa"/>
            <w:tcBorders>
              <w:top w:val="single" w:sz="4" w:space="0" w:color="auto"/>
              <w:left w:val="nil"/>
              <w:bottom w:val="single" w:sz="12" w:space="0" w:color="auto"/>
              <w:right w:val="nil"/>
            </w:tcBorders>
          </w:tcPr>
          <w:p w14:paraId="1E142D1E" w14:textId="77777777" w:rsidR="00D94B05" w:rsidRPr="00D773F7" w:rsidRDefault="00835F99" w:rsidP="00835F99">
            <w:pPr>
              <w:spacing w:before="240" w:line="240" w:lineRule="exact"/>
              <w:rPr>
                <w:rFonts w:asciiTheme="majorBidi" w:hAnsiTheme="majorBidi" w:cstheme="majorBidi"/>
              </w:rPr>
            </w:pPr>
            <w:r w:rsidRPr="00D773F7">
              <w:rPr>
                <w:rFonts w:asciiTheme="majorBidi" w:hAnsiTheme="majorBidi" w:cstheme="majorBidi"/>
              </w:rPr>
              <w:t>Distr.: General</w:t>
            </w:r>
          </w:p>
          <w:p w14:paraId="7EDD6DCA" w14:textId="0842B7BC" w:rsidR="00835F99" w:rsidRPr="00D773F7" w:rsidRDefault="001152A3" w:rsidP="00835F99">
            <w:pPr>
              <w:spacing w:line="240" w:lineRule="exact"/>
              <w:rPr>
                <w:rFonts w:asciiTheme="majorBidi" w:hAnsiTheme="majorBidi" w:cstheme="majorBidi"/>
              </w:rPr>
            </w:pPr>
            <w:r w:rsidRPr="001152A3">
              <w:rPr>
                <w:rFonts w:asciiTheme="majorBidi" w:hAnsiTheme="majorBidi" w:cstheme="majorBidi"/>
              </w:rPr>
              <w:t>2</w:t>
            </w:r>
            <w:r w:rsidR="00ED5825">
              <w:rPr>
                <w:rFonts w:asciiTheme="majorBidi" w:hAnsiTheme="majorBidi" w:cstheme="majorBidi"/>
              </w:rPr>
              <w:t>7</w:t>
            </w:r>
            <w:r w:rsidRPr="001152A3">
              <w:rPr>
                <w:rFonts w:asciiTheme="majorBidi" w:hAnsiTheme="majorBidi" w:cstheme="majorBidi"/>
              </w:rPr>
              <w:t xml:space="preserve"> February 2023</w:t>
            </w:r>
          </w:p>
          <w:p w14:paraId="4C9E2723" w14:textId="77777777" w:rsidR="00835F99" w:rsidRPr="00D773F7" w:rsidRDefault="00835F99" w:rsidP="00835F99">
            <w:pPr>
              <w:spacing w:line="240" w:lineRule="exact"/>
              <w:rPr>
                <w:rFonts w:asciiTheme="majorBidi" w:hAnsiTheme="majorBidi" w:cstheme="majorBidi"/>
              </w:rPr>
            </w:pPr>
          </w:p>
          <w:p w14:paraId="29388887" w14:textId="10D78D58" w:rsidR="00835F99" w:rsidRPr="00D773F7" w:rsidRDefault="00835F99" w:rsidP="00835F99">
            <w:pPr>
              <w:spacing w:line="240" w:lineRule="exact"/>
              <w:rPr>
                <w:rFonts w:asciiTheme="majorBidi" w:hAnsiTheme="majorBidi" w:cstheme="majorBidi"/>
              </w:rPr>
            </w:pPr>
            <w:r w:rsidRPr="001152A3">
              <w:rPr>
                <w:rFonts w:asciiTheme="majorBidi" w:hAnsiTheme="majorBidi" w:cstheme="majorBidi"/>
              </w:rPr>
              <w:t>Original: English</w:t>
            </w:r>
            <w:r w:rsidR="00F56B65" w:rsidRPr="001152A3">
              <w:rPr>
                <w:rFonts w:asciiTheme="majorBidi" w:hAnsiTheme="majorBidi" w:cstheme="majorBidi"/>
              </w:rPr>
              <w:t xml:space="preserve"> and French</w:t>
            </w:r>
          </w:p>
        </w:tc>
      </w:tr>
    </w:tbl>
    <w:p w14:paraId="0E637883" w14:textId="77777777" w:rsidR="00835F99" w:rsidRPr="00F56C8E" w:rsidRDefault="00835F99" w:rsidP="00EC7C1D">
      <w:pPr>
        <w:spacing w:before="120"/>
        <w:rPr>
          <w:rFonts w:asciiTheme="majorBidi" w:hAnsiTheme="majorBidi" w:cstheme="majorBidi"/>
          <w:b/>
          <w:sz w:val="24"/>
          <w:szCs w:val="24"/>
        </w:rPr>
      </w:pPr>
      <w:r w:rsidRPr="00F56C8E">
        <w:rPr>
          <w:rFonts w:asciiTheme="majorBidi" w:hAnsiTheme="majorBidi" w:cstheme="majorBidi"/>
          <w:b/>
          <w:sz w:val="24"/>
          <w:szCs w:val="24"/>
        </w:rPr>
        <w:t>Committee of Experts on the Transport of Dangerous Goods</w:t>
      </w:r>
      <w:r w:rsidRPr="00F56C8E">
        <w:rPr>
          <w:rFonts w:asciiTheme="majorBidi" w:hAnsiTheme="majorBidi" w:cstheme="majorBidi"/>
          <w:b/>
          <w:sz w:val="24"/>
          <w:szCs w:val="24"/>
        </w:rPr>
        <w:br/>
        <w:t>and on the Globally Harmonized System of Classification</w:t>
      </w:r>
      <w:r w:rsidRPr="00F56C8E">
        <w:rPr>
          <w:rFonts w:asciiTheme="majorBidi" w:hAnsiTheme="majorBidi" w:cstheme="majorBidi"/>
          <w:b/>
          <w:sz w:val="24"/>
          <w:szCs w:val="24"/>
        </w:rPr>
        <w:br/>
        <w:t>and Labelling of Chemicals</w:t>
      </w:r>
    </w:p>
    <w:p w14:paraId="45203EAA" w14:textId="36902AF2" w:rsidR="00D2123D" w:rsidRPr="00F56C8E" w:rsidRDefault="00D2123D" w:rsidP="00D2123D">
      <w:pPr>
        <w:pStyle w:val="HChG"/>
        <w:rPr>
          <w:bCs/>
        </w:rPr>
      </w:pPr>
      <w:r w:rsidRPr="00F56C8E">
        <w:rPr>
          <w:bCs/>
        </w:rPr>
        <w:tab/>
      </w:r>
      <w:r w:rsidRPr="00F56C8E">
        <w:rPr>
          <w:bCs/>
        </w:rPr>
        <w:tab/>
        <w:t>Report of the Committee of Experts on the Transport of Dangerous Goods and on the Globally Harmonized System of Classification and Labelling of Chemicals on its eleventh session</w:t>
      </w:r>
    </w:p>
    <w:p w14:paraId="71A3435D" w14:textId="409FD065" w:rsidR="00D106EC" w:rsidRPr="00F56C8E" w:rsidRDefault="00D106EC" w:rsidP="00D106EC">
      <w:pPr>
        <w:pStyle w:val="SingleTxtG"/>
      </w:pPr>
      <w:r w:rsidRPr="00F56C8E">
        <w:t xml:space="preserve">held in Geneva on </w:t>
      </w:r>
      <w:r w:rsidR="00255FB8" w:rsidRPr="00F56C8E">
        <w:t>9</w:t>
      </w:r>
      <w:r w:rsidRPr="00F56C8E">
        <w:t xml:space="preserve"> December </w:t>
      </w:r>
      <w:r w:rsidR="005E44CA" w:rsidRPr="00F56C8E">
        <w:t>2022</w:t>
      </w:r>
    </w:p>
    <w:p w14:paraId="1F5C3D19" w14:textId="77777777" w:rsidR="00D106EC" w:rsidRPr="00F56C8E" w:rsidRDefault="00D106EC" w:rsidP="00D106EC">
      <w:pPr>
        <w:pStyle w:val="H23G"/>
      </w:pPr>
      <w:r w:rsidRPr="00F56C8E">
        <w:tab/>
      </w:r>
      <w:r w:rsidRPr="00F56C8E">
        <w:tab/>
        <w:t>Addendum</w:t>
      </w:r>
    </w:p>
    <w:p w14:paraId="30A0BABB" w14:textId="77777777" w:rsidR="00D106EC" w:rsidRPr="000A602B" w:rsidRDefault="00D106EC" w:rsidP="00D106EC">
      <w:pPr>
        <w:pStyle w:val="H1G"/>
      </w:pPr>
      <w:r w:rsidRPr="00F56C8E">
        <w:tab/>
      </w:r>
      <w:r w:rsidRPr="00F56C8E">
        <w:tab/>
        <w:t>Annex III</w:t>
      </w:r>
    </w:p>
    <w:p w14:paraId="212858D3" w14:textId="096FF680" w:rsidR="00D106EC" w:rsidRDefault="00D106EC" w:rsidP="00D106EC">
      <w:pPr>
        <w:pStyle w:val="H1G"/>
      </w:pPr>
      <w:r w:rsidRPr="000A602B">
        <w:tab/>
      </w:r>
      <w:r w:rsidRPr="000A602B">
        <w:tab/>
        <w:t xml:space="preserve">Amendments to the </w:t>
      </w:r>
      <w:r w:rsidR="00F959EE">
        <w:t>ninth</w:t>
      </w:r>
      <w:r w:rsidRPr="000A602B">
        <w:t xml:space="preserve"> revised edition of the Globally Harmonized System of Classification and Labelling of Chemicals (GHS) (ST/SG/AC.10/30/Rev.</w:t>
      </w:r>
      <w:r w:rsidR="00F959EE">
        <w:t>9</w:t>
      </w:r>
      <w:r w:rsidRPr="000A602B">
        <w:t>)</w:t>
      </w:r>
    </w:p>
    <w:p w14:paraId="6160A6D7" w14:textId="77777777" w:rsidR="004B1D8B" w:rsidRPr="00D773F7" w:rsidRDefault="004B1D8B">
      <w:pPr>
        <w:rPr>
          <w:rFonts w:asciiTheme="majorBidi" w:hAnsiTheme="majorBidi" w:cstheme="majorBidi"/>
        </w:rPr>
      </w:pPr>
    </w:p>
    <w:p w14:paraId="5701DC01" w14:textId="77777777" w:rsidR="004B1D8B" w:rsidRPr="00D773F7" w:rsidRDefault="004B1D8B">
      <w:pPr>
        <w:rPr>
          <w:rFonts w:asciiTheme="majorBidi" w:hAnsiTheme="majorBidi" w:cstheme="majorBidi"/>
        </w:rPr>
      </w:pPr>
    </w:p>
    <w:p w14:paraId="321C6824" w14:textId="77777777" w:rsidR="004B1D8B" w:rsidRPr="00D773F7" w:rsidRDefault="004B1D8B">
      <w:pPr>
        <w:rPr>
          <w:rFonts w:asciiTheme="majorBidi" w:hAnsiTheme="majorBidi" w:cstheme="majorBidi"/>
        </w:rPr>
      </w:pPr>
    </w:p>
    <w:p w14:paraId="666C495C" w14:textId="7D61F5B7" w:rsidR="00AA4011" w:rsidRPr="00D773F7" w:rsidRDefault="00AA4011">
      <w:pPr>
        <w:rPr>
          <w:rFonts w:asciiTheme="majorBidi" w:hAnsiTheme="majorBidi" w:cstheme="majorBidi"/>
        </w:rPr>
      </w:pPr>
      <w:r w:rsidRPr="00D773F7">
        <w:rPr>
          <w:rFonts w:asciiTheme="majorBidi" w:hAnsiTheme="majorBidi" w:cstheme="majorBidi"/>
        </w:rPr>
        <w:br w:type="page"/>
      </w:r>
    </w:p>
    <w:p w14:paraId="005166D6" w14:textId="4868DB6F" w:rsidR="00662CE9" w:rsidRPr="00D773F7" w:rsidRDefault="00662CE9" w:rsidP="00662CE9">
      <w:pPr>
        <w:pStyle w:val="H1G"/>
        <w:rPr>
          <w:rFonts w:asciiTheme="majorBidi" w:hAnsiTheme="majorBidi" w:cstheme="majorBidi"/>
          <w:lang w:eastAsia="en-US"/>
        </w:rPr>
      </w:pPr>
      <w:r w:rsidRPr="00D773F7">
        <w:rPr>
          <w:rFonts w:asciiTheme="majorBidi" w:hAnsiTheme="majorBidi" w:cstheme="majorBidi"/>
          <w:lang w:eastAsia="en-US"/>
        </w:rPr>
        <w:lastRenderedPageBreak/>
        <w:tab/>
      </w:r>
      <w:r w:rsidRPr="00D773F7">
        <w:rPr>
          <w:rFonts w:asciiTheme="majorBidi" w:hAnsiTheme="majorBidi" w:cstheme="majorBidi"/>
          <w:lang w:eastAsia="en-US"/>
        </w:rPr>
        <w:tab/>
      </w:r>
      <w:r w:rsidRPr="00D773F7">
        <w:rPr>
          <w:rFonts w:asciiTheme="majorBidi" w:hAnsiTheme="majorBidi" w:cstheme="majorBidi"/>
          <w:lang w:eastAsia="en-US"/>
        </w:rPr>
        <w:tab/>
        <w:t>Chapter 1.2</w:t>
      </w:r>
    </w:p>
    <w:p w14:paraId="4D98E761" w14:textId="57C7AF42" w:rsidR="00C707D9" w:rsidRPr="00D773F7" w:rsidRDefault="00C707D9" w:rsidP="00C707D9">
      <w:pPr>
        <w:pStyle w:val="SingleTxtG"/>
        <w:ind w:firstLine="567"/>
        <w:rPr>
          <w:rFonts w:asciiTheme="majorBidi" w:hAnsiTheme="majorBidi" w:cstheme="majorBidi"/>
        </w:rPr>
      </w:pPr>
      <w:r w:rsidRPr="00D773F7">
        <w:rPr>
          <w:rFonts w:asciiTheme="majorBidi" w:hAnsiTheme="majorBidi" w:cstheme="majorBidi"/>
        </w:rPr>
        <w:t xml:space="preserve">Insert </w:t>
      </w:r>
      <w:r w:rsidR="00B840F5" w:rsidRPr="00D773F7">
        <w:rPr>
          <w:rFonts w:asciiTheme="majorBidi" w:hAnsiTheme="majorBidi" w:cstheme="majorBidi"/>
        </w:rPr>
        <w:t xml:space="preserve">the following </w:t>
      </w:r>
      <w:r w:rsidRPr="00D773F7">
        <w:rPr>
          <w:rFonts w:asciiTheme="majorBidi" w:hAnsiTheme="majorBidi" w:cstheme="majorBidi"/>
        </w:rPr>
        <w:t>definition</w:t>
      </w:r>
      <w:r w:rsidR="00B840F5" w:rsidRPr="00D773F7">
        <w:rPr>
          <w:rFonts w:asciiTheme="majorBidi" w:hAnsiTheme="majorBidi" w:cstheme="majorBidi"/>
        </w:rPr>
        <w:t>s</w:t>
      </w:r>
      <w:r w:rsidRPr="00D773F7">
        <w:rPr>
          <w:rFonts w:asciiTheme="majorBidi" w:hAnsiTheme="majorBidi" w:cstheme="majorBidi"/>
        </w:rPr>
        <w:t xml:space="preserve"> </w:t>
      </w:r>
      <w:r w:rsidR="00B840F5" w:rsidRPr="00D773F7">
        <w:rPr>
          <w:rFonts w:asciiTheme="majorBidi" w:hAnsiTheme="majorBidi" w:cstheme="majorBidi"/>
        </w:rPr>
        <w:t>in the alphabetical order</w:t>
      </w:r>
      <w:r w:rsidRPr="00D773F7">
        <w:rPr>
          <w:rFonts w:asciiTheme="majorBidi" w:hAnsiTheme="majorBidi" w:cstheme="majorBidi"/>
        </w:rPr>
        <w:t>:</w:t>
      </w:r>
    </w:p>
    <w:p w14:paraId="7DF15BC9" w14:textId="14BDA404" w:rsidR="00C707D9" w:rsidRPr="00D773F7" w:rsidRDefault="00C707D9" w:rsidP="00C707D9">
      <w:pPr>
        <w:pStyle w:val="SingleTxtG"/>
        <w:ind w:left="1701"/>
        <w:rPr>
          <w:rFonts w:asciiTheme="majorBidi" w:hAnsiTheme="majorBidi" w:cstheme="majorBidi"/>
        </w:rPr>
      </w:pPr>
      <w:r w:rsidRPr="00D773F7">
        <w:rPr>
          <w:rFonts w:asciiTheme="majorBidi" w:hAnsiTheme="majorBidi" w:cstheme="majorBidi"/>
        </w:rPr>
        <w:t>“</w:t>
      </w:r>
      <w:r w:rsidRPr="00D773F7">
        <w:rPr>
          <w:rFonts w:asciiTheme="majorBidi" w:hAnsiTheme="majorBidi" w:cstheme="majorBidi"/>
          <w:b/>
          <w:bCs/>
          <w:i/>
          <w:iCs/>
        </w:rPr>
        <w:t>Defined approach</w:t>
      </w:r>
      <w:r w:rsidRPr="00D773F7">
        <w:rPr>
          <w:rFonts w:asciiTheme="majorBidi" w:hAnsiTheme="majorBidi" w:cstheme="majorBidi"/>
        </w:rPr>
        <w:t xml:space="preserve"> means an approach to testing and assessment that consists of a fixed </w:t>
      </w:r>
      <w:r w:rsidR="00332776" w:rsidRPr="00D773F7">
        <w:rPr>
          <w:rFonts w:asciiTheme="majorBidi" w:hAnsiTheme="majorBidi" w:cstheme="majorBidi"/>
        </w:rPr>
        <w:t>d</w:t>
      </w:r>
      <w:r w:rsidRPr="00D773F7">
        <w:rPr>
          <w:rFonts w:asciiTheme="majorBidi" w:hAnsiTheme="majorBidi" w:cstheme="majorBidi"/>
        </w:rPr>
        <w:t xml:space="preserve">ata </w:t>
      </w:r>
      <w:r w:rsidR="00332776" w:rsidRPr="00D773F7">
        <w:rPr>
          <w:rFonts w:asciiTheme="majorBidi" w:hAnsiTheme="majorBidi" w:cstheme="majorBidi"/>
        </w:rPr>
        <w:t>i</w:t>
      </w:r>
      <w:r w:rsidRPr="00D773F7">
        <w:rPr>
          <w:rFonts w:asciiTheme="majorBidi" w:hAnsiTheme="majorBidi" w:cstheme="majorBidi"/>
        </w:rPr>
        <w:t xml:space="preserve">nterpretation </w:t>
      </w:r>
      <w:r w:rsidR="00332776" w:rsidRPr="00D773F7">
        <w:rPr>
          <w:rFonts w:asciiTheme="majorBidi" w:hAnsiTheme="majorBidi" w:cstheme="majorBidi"/>
        </w:rPr>
        <w:t>p</w:t>
      </w:r>
      <w:r w:rsidRPr="00D773F7">
        <w:rPr>
          <w:rFonts w:asciiTheme="majorBidi" w:hAnsiTheme="majorBidi" w:cstheme="majorBidi"/>
        </w:rPr>
        <w:t>rocedure used to interpret data generated with a defined set of information sources, that can either be used on its own, or together with other information sources within an overall weight of evidence, to satisfy a specific regulatory need;”</w:t>
      </w:r>
    </w:p>
    <w:p w14:paraId="2D859773" w14:textId="47D82E50" w:rsidR="00CF7C8A" w:rsidRPr="00D773F7" w:rsidRDefault="00CF7C8A" w:rsidP="00CF7C8A">
      <w:pPr>
        <w:pStyle w:val="SingleTxtG"/>
        <w:tabs>
          <w:tab w:val="clear" w:pos="1701"/>
          <w:tab w:val="clear" w:pos="2268"/>
        </w:tabs>
        <w:ind w:left="1701" w:right="521"/>
        <w:rPr>
          <w:rFonts w:asciiTheme="majorBidi" w:hAnsiTheme="majorBidi" w:cstheme="majorBidi"/>
          <w:i/>
          <w:iCs/>
        </w:rPr>
      </w:pPr>
      <w:r w:rsidRPr="00D773F7">
        <w:rPr>
          <w:rFonts w:asciiTheme="majorBidi" w:hAnsiTheme="majorBidi" w:cstheme="majorBidi"/>
          <w:b/>
          <w:bCs/>
          <w:i/>
          <w:iCs/>
        </w:rPr>
        <w:t>IATA</w:t>
      </w:r>
      <w:r w:rsidRPr="00D773F7">
        <w:rPr>
          <w:rFonts w:asciiTheme="majorBidi" w:hAnsiTheme="majorBidi" w:cstheme="majorBidi"/>
        </w:rPr>
        <w:t xml:space="preserve"> means “Integrated Approach on Testing and Assessment”;</w:t>
      </w:r>
    </w:p>
    <w:p w14:paraId="462577D6" w14:textId="55E1A506" w:rsidR="00A757D6" w:rsidRPr="00D773F7" w:rsidRDefault="00A757D6" w:rsidP="00A757D6">
      <w:pPr>
        <w:pStyle w:val="H1G"/>
        <w:rPr>
          <w:rFonts w:asciiTheme="majorBidi" w:hAnsiTheme="majorBidi" w:cstheme="majorBidi"/>
          <w:lang w:eastAsia="en-US"/>
        </w:rPr>
      </w:pPr>
      <w:r w:rsidRPr="00D773F7">
        <w:rPr>
          <w:rFonts w:asciiTheme="majorBidi" w:hAnsiTheme="majorBidi" w:cstheme="majorBidi"/>
          <w:lang w:eastAsia="en-US"/>
        </w:rPr>
        <w:tab/>
      </w:r>
      <w:r w:rsidRPr="00D773F7">
        <w:rPr>
          <w:rFonts w:asciiTheme="majorBidi" w:hAnsiTheme="majorBidi" w:cstheme="majorBidi"/>
          <w:lang w:eastAsia="en-US"/>
        </w:rPr>
        <w:tab/>
        <w:t>Chapter 1.3</w:t>
      </w:r>
    </w:p>
    <w:p w14:paraId="2A45ABD7" w14:textId="7D513461" w:rsidR="000D036A" w:rsidRPr="00D773F7" w:rsidRDefault="000D036A" w:rsidP="000D036A">
      <w:pPr>
        <w:pStyle w:val="SingleTxtG"/>
        <w:rPr>
          <w:rFonts w:asciiTheme="majorBidi" w:hAnsiTheme="majorBidi" w:cstheme="majorBidi"/>
        </w:rPr>
      </w:pPr>
      <w:r w:rsidRPr="00D773F7">
        <w:rPr>
          <w:rFonts w:asciiTheme="majorBidi" w:hAnsiTheme="majorBidi" w:cstheme="majorBidi"/>
        </w:rPr>
        <w:t>1.3.2.4.8</w:t>
      </w:r>
      <w:r w:rsidRPr="00D773F7">
        <w:rPr>
          <w:rFonts w:asciiTheme="majorBidi" w:hAnsiTheme="majorBidi" w:cstheme="majorBidi"/>
        </w:rPr>
        <w:tab/>
        <w:t>Replace “determinations” with “assessments” in the last sentence.</w:t>
      </w:r>
    </w:p>
    <w:p w14:paraId="11CEF3EC" w14:textId="125B9EA2" w:rsidR="00CE07F1" w:rsidRPr="00D773F7" w:rsidRDefault="00CE07F1" w:rsidP="00CE07F1">
      <w:pPr>
        <w:pStyle w:val="SingleTxtG"/>
        <w:rPr>
          <w:rFonts w:asciiTheme="majorBidi" w:hAnsiTheme="majorBidi" w:cstheme="majorBidi"/>
        </w:rPr>
      </w:pPr>
      <w:r w:rsidRPr="00D773F7">
        <w:rPr>
          <w:rFonts w:asciiTheme="majorBidi" w:hAnsiTheme="majorBidi" w:cstheme="majorBidi"/>
        </w:rPr>
        <w:t>1.3.2.4.9.2</w:t>
      </w:r>
      <w:r w:rsidRPr="00D773F7">
        <w:rPr>
          <w:rFonts w:asciiTheme="majorBidi" w:hAnsiTheme="majorBidi" w:cstheme="majorBidi"/>
        </w:rPr>
        <w:tab/>
        <w:t xml:space="preserve">Replace “determination” with “assessment” in the last sentence. </w:t>
      </w:r>
    </w:p>
    <w:p w14:paraId="4B706240" w14:textId="236EC823" w:rsidR="00CE07F1" w:rsidRPr="00D773F7" w:rsidRDefault="00CE07F1" w:rsidP="00CE07F1">
      <w:pPr>
        <w:pStyle w:val="SingleTxtG"/>
        <w:rPr>
          <w:rFonts w:asciiTheme="majorBidi" w:hAnsiTheme="majorBidi" w:cstheme="majorBidi"/>
        </w:rPr>
      </w:pPr>
      <w:r w:rsidRPr="00D773F7">
        <w:rPr>
          <w:rFonts w:asciiTheme="majorBidi" w:hAnsiTheme="majorBidi" w:cstheme="majorBidi"/>
        </w:rPr>
        <w:t>1.3.2.4.9.5</w:t>
      </w:r>
      <w:r w:rsidRPr="00D773F7">
        <w:rPr>
          <w:rFonts w:asciiTheme="majorBidi" w:hAnsiTheme="majorBidi" w:cstheme="majorBidi"/>
        </w:rPr>
        <w:tab/>
        <w:t>Replace “determination” with “assessment” in the first sentence.</w:t>
      </w:r>
    </w:p>
    <w:p w14:paraId="542718AE" w14:textId="507C178D" w:rsidR="00321AB5" w:rsidRPr="00D773F7" w:rsidRDefault="00130492" w:rsidP="00321AB5">
      <w:pPr>
        <w:pStyle w:val="H1G"/>
        <w:rPr>
          <w:rFonts w:asciiTheme="majorBidi" w:hAnsiTheme="majorBidi" w:cstheme="majorBidi"/>
          <w:lang w:eastAsia="en-US"/>
        </w:rPr>
      </w:pPr>
      <w:r w:rsidRPr="00D773F7">
        <w:rPr>
          <w:rFonts w:asciiTheme="majorBidi" w:hAnsiTheme="majorBidi" w:cstheme="majorBidi"/>
          <w:lang w:eastAsia="en-US"/>
        </w:rPr>
        <w:tab/>
      </w:r>
      <w:r w:rsidRPr="00D773F7">
        <w:rPr>
          <w:rFonts w:asciiTheme="majorBidi" w:hAnsiTheme="majorBidi" w:cstheme="majorBidi"/>
          <w:lang w:eastAsia="en-US"/>
        </w:rPr>
        <w:tab/>
      </w:r>
      <w:r w:rsidR="00321AB5" w:rsidRPr="00D773F7">
        <w:rPr>
          <w:rFonts w:asciiTheme="majorBidi" w:hAnsiTheme="majorBidi" w:cstheme="majorBidi"/>
          <w:lang w:eastAsia="en-US"/>
        </w:rPr>
        <w:t>Chapter 2.1</w:t>
      </w:r>
    </w:p>
    <w:p w14:paraId="75C384BF" w14:textId="0309260B" w:rsidR="00D2711A" w:rsidRPr="00D773F7" w:rsidRDefault="00757137" w:rsidP="008710D7">
      <w:pPr>
        <w:pStyle w:val="SingleTxtG"/>
        <w:ind w:left="2268" w:hanging="1134"/>
        <w:rPr>
          <w:rFonts w:asciiTheme="majorBidi" w:hAnsiTheme="majorBidi" w:cstheme="majorBidi"/>
        </w:rPr>
      </w:pPr>
      <w:r w:rsidRPr="00D773F7">
        <w:rPr>
          <w:rFonts w:asciiTheme="majorBidi" w:hAnsiTheme="majorBidi" w:cstheme="majorBidi"/>
        </w:rPr>
        <w:t>2.1.1.1</w:t>
      </w:r>
      <w:r w:rsidRPr="00D773F7">
        <w:rPr>
          <w:rFonts w:asciiTheme="majorBidi" w:hAnsiTheme="majorBidi" w:cstheme="majorBidi"/>
        </w:rPr>
        <w:tab/>
      </w:r>
      <w:r w:rsidRPr="00D773F7">
        <w:rPr>
          <w:rFonts w:asciiTheme="majorBidi" w:hAnsiTheme="majorBidi" w:cstheme="majorBidi"/>
        </w:rPr>
        <w:tab/>
      </w:r>
      <w:r w:rsidR="00CA5730" w:rsidRPr="00D773F7">
        <w:rPr>
          <w:rFonts w:asciiTheme="majorBidi" w:hAnsiTheme="majorBidi" w:cstheme="majorBidi"/>
        </w:rPr>
        <w:t xml:space="preserve">Amend the beginning of the definition of </w:t>
      </w:r>
      <w:r w:rsidR="00D2711A" w:rsidRPr="00D773F7">
        <w:rPr>
          <w:rFonts w:asciiTheme="majorBidi" w:hAnsiTheme="majorBidi" w:cstheme="majorBidi"/>
        </w:rPr>
        <w:t>“pyrotechnic substance or mixture” to read:</w:t>
      </w:r>
      <w:r w:rsidR="00AC2B66" w:rsidRPr="00D773F7">
        <w:rPr>
          <w:rFonts w:asciiTheme="majorBidi" w:hAnsiTheme="majorBidi" w:cstheme="majorBidi"/>
        </w:rPr>
        <w:t xml:space="preserve"> </w:t>
      </w:r>
      <w:r w:rsidR="00D2711A" w:rsidRPr="00D773F7">
        <w:rPr>
          <w:rFonts w:asciiTheme="majorBidi" w:hAnsiTheme="majorBidi" w:cstheme="majorBidi"/>
          <w:iCs/>
        </w:rPr>
        <w:t>“</w:t>
      </w:r>
      <w:r w:rsidR="00344EC2" w:rsidRPr="00D773F7">
        <w:rPr>
          <w:rFonts w:asciiTheme="majorBidi" w:hAnsiTheme="majorBidi" w:cstheme="majorBidi"/>
          <w:i/>
        </w:rPr>
        <w:t>A p</w:t>
      </w:r>
      <w:r w:rsidR="00D2711A" w:rsidRPr="00D773F7">
        <w:rPr>
          <w:rFonts w:asciiTheme="majorBidi" w:hAnsiTheme="majorBidi" w:cstheme="majorBidi"/>
          <w:i/>
        </w:rPr>
        <w:t>yrotechnic substance or mixture</w:t>
      </w:r>
      <w:r w:rsidR="00D2711A" w:rsidRPr="00D773F7">
        <w:rPr>
          <w:rFonts w:asciiTheme="majorBidi" w:hAnsiTheme="majorBidi" w:cstheme="majorBidi"/>
        </w:rPr>
        <w:t xml:space="preserve"> is </w:t>
      </w:r>
      <w:r w:rsidR="004C12EE" w:rsidRPr="00D773F7">
        <w:rPr>
          <w:rFonts w:asciiTheme="majorBidi" w:hAnsiTheme="majorBidi" w:cstheme="majorBidi"/>
        </w:rPr>
        <w:t>a</w:t>
      </w:r>
      <w:r w:rsidR="00D2711A" w:rsidRPr="00D773F7">
        <w:rPr>
          <w:rFonts w:asciiTheme="majorBidi" w:hAnsiTheme="majorBidi" w:cstheme="majorBidi"/>
        </w:rPr>
        <w:t>n explosive substance or mixture that is designed to produce an effect by heat</w:t>
      </w:r>
      <w:r w:rsidR="009E0B5E" w:rsidRPr="00D773F7">
        <w:rPr>
          <w:rFonts w:asciiTheme="majorBidi" w:hAnsiTheme="majorBidi" w:cstheme="majorBidi"/>
        </w:rPr>
        <w:t>…</w:t>
      </w:r>
      <w:r w:rsidR="004C12EE" w:rsidRPr="00D773F7">
        <w:rPr>
          <w:rFonts w:asciiTheme="majorBidi" w:hAnsiTheme="majorBidi" w:cstheme="majorBidi"/>
        </w:rPr>
        <w:t>”</w:t>
      </w:r>
      <w:r w:rsidR="008710D7" w:rsidRPr="00D773F7">
        <w:rPr>
          <w:rFonts w:asciiTheme="majorBidi" w:hAnsiTheme="majorBidi" w:cstheme="majorBidi"/>
        </w:rPr>
        <w:t>.</w:t>
      </w:r>
      <w:r w:rsidR="004C12EE" w:rsidRPr="00D773F7">
        <w:rPr>
          <w:rFonts w:asciiTheme="majorBidi" w:hAnsiTheme="majorBidi" w:cstheme="majorBidi"/>
        </w:rPr>
        <w:t xml:space="preserve"> </w:t>
      </w:r>
    </w:p>
    <w:p w14:paraId="68C87FBB" w14:textId="224AA2B2" w:rsidR="00D2711A" w:rsidRPr="00D773F7" w:rsidRDefault="00AC2B66" w:rsidP="00AC2B66">
      <w:pPr>
        <w:pStyle w:val="SingleTxtG"/>
        <w:ind w:left="2268" w:hanging="1134"/>
        <w:rPr>
          <w:rFonts w:asciiTheme="majorBidi" w:hAnsiTheme="majorBidi" w:cstheme="majorBidi"/>
        </w:rPr>
      </w:pPr>
      <w:r w:rsidRPr="00D773F7">
        <w:rPr>
          <w:rFonts w:asciiTheme="majorBidi" w:hAnsiTheme="majorBidi" w:cstheme="majorBidi"/>
        </w:rPr>
        <w:tab/>
      </w:r>
      <w:r w:rsidRPr="00D773F7">
        <w:rPr>
          <w:rFonts w:asciiTheme="majorBidi" w:hAnsiTheme="majorBidi" w:cstheme="majorBidi"/>
        </w:rPr>
        <w:tab/>
      </w:r>
      <w:r w:rsidR="00D2711A" w:rsidRPr="00D773F7">
        <w:rPr>
          <w:rFonts w:asciiTheme="majorBidi" w:hAnsiTheme="majorBidi" w:cstheme="majorBidi"/>
        </w:rPr>
        <w:t xml:space="preserve">Add </w:t>
      </w:r>
      <w:r w:rsidRPr="00D773F7">
        <w:rPr>
          <w:rFonts w:asciiTheme="majorBidi" w:hAnsiTheme="majorBidi" w:cstheme="majorBidi"/>
        </w:rPr>
        <w:t xml:space="preserve">the following new </w:t>
      </w:r>
      <w:r w:rsidR="00D2711A" w:rsidRPr="00D773F7">
        <w:rPr>
          <w:rFonts w:asciiTheme="majorBidi" w:hAnsiTheme="majorBidi" w:cstheme="majorBidi"/>
        </w:rPr>
        <w:t>definition</w:t>
      </w:r>
      <w:r w:rsidRPr="00D773F7">
        <w:rPr>
          <w:rFonts w:asciiTheme="majorBidi" w:hAnsiTheme="majorBidi" w:cstheme="majorBidi"/>
        </w:rPr>
        <w:t>:</w:t>
      </w:r>
      <w:r w:rsidR="00D2711A" w:rsidRPr="00D773F7">
        <w:rPr>
          <w:rFonts w:asciiTheme="majorBidi" w:hAnsiTheme="majorBidi" w:cstheme="majorBidi"/>
        </w:rPr>
        <w:t xml:space="preserve"> </w:t>
      </w:r>
    </w:p>
    <w:p w14:paraId="6ED91BF2" w14:textId="5025069B" w:rsidR="00D2711A" w:rsidRPr="00D773F7" w:rsidRDefault="00D2711A" w:rsidP="00AC2B66">
      <w:pPr>
        <w:pStyle w:val="SingleTxtG"/>
        <w:tabs>
          <w:tab w:val="clear" w:pos="1701"/>
        </w:tabs>
        <w:ind w:left="2268"/>
        <w:rPr>
          <w:rFonts w:asciiTheme="majorBidi" w:hAnsiTheme="majorBidi" w:cstheme="majorBidi"/>
        </w:rPr>
      </w:pPr>
      <w:r w:rsidRPr="00D773F7">
        <w:rPr>
          <w:rFonts w:asciiTheme="majorBidi" w:hAnsiTheme="majorBidi" w:cstheme="majorBidi"/>
          <w:iCs/>
        </w:rPr>
        <w:t>“</w:t>
      </w:r>
      <w:r w:rsidRPr="00D773F7">
        <w:rPr>
          <w:rFonts w:asciiTheme="majorBidi" w:hAnsiTheme="majorBidi" w:cstheme="majorBidi"/>
          <w:i/>
        </w:rPr>
        <w:t>Explosive or pyrotechnic effect</w:t>
      </w:r>
      <w:r w:rsidRPr="00D773F7">
        <w:rPr>
          <w:rFonts w:asciiTheme="majorBidi" w:hAnsiTheme="majorBidi" w:cstheme="majorBidi"/>
        </w:rPr>
        <w:t xml:space="preserve"> in the context of 2.1.1.2.1 </w:t>
      </w:r>
      <w:r w:rsidR="00EB0A40">
        <w:rPr>
          <w:rFonts w:asciiTheme="majorBidi" w:hAnsiTheme="majorBidi" w:cstheme="majorBidi"/>
        </w:rPr>
        <w:t>(</w:t>
      </w:r>
      <w:r w:rsidRPr="00D773F7">
        <w:rPr>
          <w:rFonts w:asciiTheme="majorBidi" w:hAnsiTheme="majorBidi" w:cstheme="majorBidi"/>
        </w:rPr>
        <w:t>c) means an effect produced by self-sustaining exothermic chemical reactions including shock, blast, fragmentation, projection, heat, light, sound, gas and smoke.”.</w:t>
      </w:r>
    </w:p>
    <w:p w14:paraId="6F8CA17D" w14:textId="2CDAD5FC" w:rsidR="00A56F43" w:rsidRPr="00D773F7" w:rsidRDefault="00A56F43" w:rsidP="00A56F43">
      <w:pPr>
        <w:pStyle w:val="SingleTxtG"/>
        <w:tabs>
          <w:tab w:val="clear" w:pos="1701"/>
        </w:tabs>
        <w:ind w:left="2268" w:hanging="1134"/>
        <w:rPr>
          <w:rFonts w:asciiTheme="majorBidi" w:hAnsiTheme="majorBidi" w:cstheme="majorBidi"/>
        </w:rPr>
      </w:pPr>
      <w:r w:rsidRPr="00D773F7">
        <w:rPr>
          <w:rFonts w:asciiTheme="majorBidi" w:hAnsiTheme="majorBidi" w:cstheme="majorBidi"/>
        </w:rPr>
        <w:t>2.1.3</w:t>
      </w:r>
      <w:r w:rsidRPr="00D773F7">
        <w:rPr>
          <w:rFonts w:asciiTheme="majorBidi" w:hAnsiTheme="majorBidi" w:cstheme="majorBidi"/>
        </w:rPr>
        <w:tab/>
      </w:r>
      <w:r w:rsidR="00E010F4" w:rsidRPr="00D773F7">
        <w:rPr>
          <w:rFonts w:asciiTheme="majorBidi" w:hAnsiTheme="majorBidi" w:cstheme="majorBidi"/>
        </w:rPr>
        <w:t xml:space="preserve">Add the following sentence at the end of the paragraph: </w:t>
      </w:r>
      <w:r w:rsidRPr="00D773F7">
        <w:rPr>
          <w:rFonts w:asciiTheme="majorBidi" w:hAnsiTheme="majorBidi" w:cstheme="majorBidi"/>
        </w:rPr>
        <w:t>“Table 2.1.2 presents specific label elements for substances and mixtures classified into this hazard class based on the criteria in this chapter.”</w:t>
      </w:r>
      <w:r w:rsidR="00E010F4" w:rsidRPr="00D773F7">
        <w:rPr>
          <w:rFonts w:asciiTheme="majorBidi" w:hAnsiTheme="majorBidi" w:cstheme="majorBidi"/>
        </w:rPr>
        <w:t>.</w:t>
      </w:r>
    </w:p>
    <w:p w14:paraId="2DE09807" w14:textId="7E0BC84A" w:rsidR="00C115EC" w:rsidRPr="00D773F7" w:rsidRDefault="00C115EC" w:rsidP="00C115EC">
      <w:pPr>
        <w:pStyle w:val="H1G"/>
        <w:rPr>
          <w:rFonts w:asciiTheme="majorBidi" w:hAnsiTheme="majorBidi" w:cstheme="majorBidi"/>
          <w:lang w:eastAsia="en-US"/>
        </w:rPr>
      </w:pPr>
      <w:r w:rsidRPr="00D773F7">
        <w:rPr>
          <w:rFonts w:asciiTheme="majorBidi" w:hAnsiTheme="majorBidi" w:cstheme="majorBidi"/>
          <w:lang w:eastAsia="en-US"/>
        </w:rPr>
        <w:tab/>
      </w:r>
      <w:r w:rsidRPr="00D773F7">
        <w:rPr>
          <w:rFonts w:asciiTheme="majorBidi" w:hAnsiTheme="majorBidi" w:cstheme="majorBidi"/>
          <w:lang w:eastAsia="en-US"/>
        </w:rPr>
        <w:tab/>
        <w:t>Chapter 2.2</w:t>
      </w:r>
    </w:p>
    <w:p w14:paraId="3325C407" w14:textId="703030AA" w:rsidR="002E6649" w:rsidRPr="00D773F7" w:rsidRDefault="002E6649" w:rsidP="002E6649">
      <w:pPr>
        <w:pStyle w:val="SingleTxtG"/>
        <w:tabs>
          <w:tab w:val="clear" w:pos="1701"/>
        </w:tabs>
        <w:ind w:left="2268" w:hanging="1134"/>
        <w:rPr>
          <w:rFonts w:asciiTheme="majorBidi" w:hAnsiTheme="majorBidi" w:cstheme="majorBidi"/>
        </w:rPr>
      </w:pPr>
      <w:r w:rsidRPr="00D773F7">
        <w:rPr>
          <w:rFonts w:asciiTheme="majorBidi" w:hAnsiTheme="majorBidi" w:cstheme="majorBidi"/>
        </w:rPr>
        <w:t>2.2.3.1</w:t>
      </w:r>
      <w:r w:rsidRPr="00D773F7">
        <w:rPr>
          <w:rFonts w:asciiTheme="majorBidi" w:hAnsiTheme="majorBidi" w:cstheme="majorBidi"/>
        </w:rPr>
        <w:tab/>
      </w:r>
      <w:r w:rsidR="00E010F4" w:rsidRPr="00D773F7">
        <w:rPr>
          <w:rFonts w:asciiTheme="majorBidi" w:hAnsiTheme="majorBidi" w:cstheme="majorBidi"/>
        </w:rPr>
        <w:t xml:space="preserve">Add the following sentence at the end of the paragraph: </w:t>
      </w:r>
      <w:r w:rsidRPr="00D773F7">
        <w:rPr>
          <w:rFonts w:asciiTheme="majorBidi" w:hAnsiTheme="majorBidi" w:cstheme="majorBidi"/>
        </w:rPr>
        <w:t xml:space="preserve"> “Table 2.2.2 presents specific label elements for substances and mixtures classified into this hazard class based on the criteria in this chapter.”</w:t>
      </w:r>
      <w:r w:rsidR="00336CCE" w:rsidRPr="00D773F7">
        <w:rPr>
          <w:rFonts w:asciiTheme="majorBidi" w:hAnsiTheme="majorBidi" w:cstheme="majorBidi"/>
        </w:rPr>
        <w:t>.</w:t>
      </w:r>
    </w:p>
    <w:p w14:paraId="256DFB80" w14:textId="331AFE1E" w:rsidR="00104D66" w:rsidRPr="00D773F7" w:rsidRDefault="00104D66" w:rsidP="00104D66">
      <w:pPr>
        <w:pStyle w:val="H1G"/>
        <w:rPr>
          <w:rFonts w:asciiTheme="majorBidi" w:hAnsiTheme="majorBidi" w:cstheme="majorBidi"/>
          <w:lang w:eastAsia="en-US"/>
        </w:rPr>
      </w:pPr>
      <w:r w:rsidRPr="00D773F7">
        <w:rPr>
          <w:rFonts w:asciiTheme="majorBidi" w:hAnsiTheme="majorBidi" w:cstheme="majorBidi"/>
          <w:lang w:eastAsia="en-US"/>
        </w:rPr>
        <w:tab/>
      </w:r>
      <w:r w:rsidRPr="00D773F7">
        <w:rPr>
          <w:rFonts w:asciiTheme="majorBidi" w:hAnsiTheme="majorBidi" w:cstheme="majorBidi"/>
          <w:lang w:eastAsia="en-US"/>
        </w:rPr>
        <w:tab/>
        <w:t>Chapter 2.3</w:t>
      </w:r>
    </w:p>
    <w:p w14:paraId="325131DC" w14:textId="262A523B" w:rsidR="001D112E" w:rsidRPr="00D773F7" w:rsidRDefault="001D112E" w:rsidP="001D112E">
      <w:pPr>
        <w:pStyle w:val="SingleTxtG"/>
        <w:tabs>
          <w:tab w:val="clear" w:pos="1701"/>
        </w:tabs>
        <w:ind w:left="2268" w:hanging="1134"/>
        <w:rPr>
          <w:rFonts w:asciiTheme="majorBidi" w:hAnsiTheme="majorBidi" w:cstheme="majorBidi"/>
        </w:rPr>
      </w:pPr>
      <w:r w:rsidRPr="00D773F7">
        <w:rPr>
          <w:rFonts w:asciiTheme="majorBidi" w:hAnsiTheme="majorBidi" w:cstheme="majorBidi"/>
        </w:rPr>
        <w:t>2.3.1.3</w:t>
      </w:r>
      <w:r w:rsidRPr="00D773F7">
        <w:rPr>
          <w:rFonts w:asciiTheme="majorBidi" w:hAnsiTheme="majorBidi" w:cstheme="majorBidi"/>
        </w:rPr>
        <w:tab/>
      </w:r>
      <w:r w:rsidR="00336CCE" w:rsidRPr="00D773F7">
        <w:rPr>
          <w:rFonts w:asciiTheme="majorBidi" w:hAnsiTheme="majorBidi" w:cstheme="majorBidi"/>
        </w:rPr>
        <w:t xml:space="preserve">Add the following sentence at the end of the paragraph: </w:t>
      </w:r>
      <w:r w:rsidRPr="00D773F7">
        <w:rPr>
          <w:rFonts w:asciiTheme="majorBidi" w:hAnsiTheme="majorBidi" w:cstheme="majorBidi"/>
        </w:rPr>
        <w:t>“Table 2.3.2 presents specific label elements for substances and mixtures classified into this hazard class based on the criteria in this chapter.”</w:t>
      </w:r>
      <w:r w:rsidR="00336CCE" w:rsidRPr="00D773F7">
        <w:rPr>
          <w:rFonts w:asciiTheme="majorBidi" w:hAnsiTheme="majorBidi" w:cstheme="majorBidi"/>
        </w:rPr>
        <w:t>.</w:t>
      </w:r>
    </w:p>
    <w:p w14:paraId="6FF29E89" w14:textId="1918EB13" w:rsidR="001D112E" w:rsidRPr="00D773F7" w:rsidRDefault="001D112E" w:rsidP="001D112E">
      <w:pPr>
        <w:pStyle w:val="SingleTxtG"/>
        <w:tabs>
          <w:tab w:val="clear" w:pos="1701"/>
        </w:tabs>
        <w:ind w:left="2268" w:hanging="1134"/>
        <w:rPr>
          <w:rFonts w:asciiTheme="majorBidi" w:hAnsiTheme="majorBidi" w:cstheme="majorBidi"/>
        </w:rPr>
      </w:pPr>
      <w:r w:rsidRPr="00D773F7">
        <w:rPr>
          <w:rFonts w:asciiTheme="majorBidi" w:hAnsiTheme="majorBidi" w:cstheme="majorBidi"/>
        </w:rPr>
        <w:t>2.3.2.3</w:t>
      </w:r>
      <w:r w:rsidRPr="00D773F7">
        <w:rPr>
          <w:rFonts w:asciiTheme="majorBidi" w:hAnsiTheme="majorBidi" w:cstheme="majorBidi"/>
        </w:rPr>
        <w:tab/>
      </w:r>
      <w:r w:rsidR="00336CCE" w:rsidRPr="00D773F7">
        <w:rPr>
          <w:rFonts w:asciiTheme="majorBidi" w:hAnsiTheme="majorBidi" w:cstheme="majorBidi"/>
        </w:rPr>
        <w:t>Add the following sentence at the end of the paragraph:</w:t>
      </w:r>
      <w:r w:rsidRPr="00D773F7">
        <w:rPr>
          <w:rFonts w:asciiTheme="majorBidi" w:hAnsiTheme="majorBidi" w:cstheme="majorBidi"/>
        </w:rPr>
        <w:t xml:space="preserve"> “Table 2.3.4 presents specific label elements for substances and mixtures classified into this hazard class based on the criteria in this chapter.”</w:t>
      </w:r>
      <w:r w:rsidR="00336CCE" w:rsidRPr="00D773F7">
        <w:rPr>
          <w:rFonts w:asciiTheme="majorBidi" w:hAnsiTheme="majorBidi" w:cstheme="majorBidi"/>
        </w:rPr>
        <w:t>.</w:t>
      </w:r>
    </w:p>
    <w:p w14:paraId="30649E27" w14:textId="4F6F8E2A" w:rsidR="004F7E4A" w:rsidRPr="00D773F7" w:rsidRDefault="004F7E4A" w:rsidP="004F7E4A">
      <w:pPr>
        <w:pStyle w:val="H1G"/>
        <w:rPr>
          <w:rFonts w:asciiTheme="majorBidi" w:hAnsiTheme="majorBidi" w:cstheme="majorBidi"/>
          <w:lang w:eastAsia="en-US"/>
        </w:rPr>
      </w:pPr>
      <w:r w:rsidRPr="00D773F7">
        <w:rPr>
          <w:rFonts w:asciiTheme="majorBidi" w:hAnsiTheme="majorBidi" w:cstheme="majorBidi"/>
          <w:lang w:eastAsia="en-US"/>
        </w:rPr>
        <w:tab/>
      </w:r>
      <w:r w:rsidRPr="00D773F7">
        <w:rPr>
          <w:rFonts w:asciiTheme="majorBidi" w:hAnsiTheme="majorBidi" w:cstheme="majorBidi"/>
          <w:lang w:eastAsia="en-US"/>
        </w:rPr>
        <w:tab/>
        <w:t>Chapter 2.4</w:t>
      </w:r>
    </w:p>
    <w:p w14:paraId="2EBDC91C" w14:textId="28A13D2A" w:rsidR="004E4E2F" w:rsidRPr="00D773F7" w:rsidRDefault="004E4E2F" w:rsidP="004E4E2F">
      <w:pPr>
        <w:pStyle w:val="SingleTxtG"/>
        <w:tabs>
          <w:tab w:val="clear" w:pos="1701"/>
        </w:tabs>
        <w:ind w:left="2268" w:hanging="1134"/>
        <w:rPr>
          <w:rFonts w:asciiTheme="majorBidi" w:hAnsiTheme="majorBidi" w:cstheme="majorBidi"/>
        </w:rPr>
      </w:pPr>
      <w:r w:rsidRPr="00D773F7">
        <w:rPr>
          <w:rFonts w:asciiTheme="majorBidi" w:hAnsiTheme="majorBidi" w:cstheme="majorBidi"/>
        </w:rPr>
        <w:t>2.4.3</w:t>
      </w:r>
      <w:r w:rsidRPr="00D773F7">
        <w:rPr>
          <w:rFonts w:asciiTheme="majorBidi" w:hAnsiTheme="majorBidi" w:cstheme="majorBidi"/>
        </w:rPr>
        <w:tab/>
      </w:r>
      <w:r w:rsidR="00336CCE" w:rsidRPr="00D773F7">
        <w:rPr>
          <w:rFonts w:asciiTheme="majorBidi" w:hAnsiTheme="majorBidi" w:cstheme="majorBidi"/>
        </w:rPr>
        <w:t>Add the following sentence at the end of the paragraph:</w:t>
      </w:r>
      <w:r w:rsidRPr="00D773F7">
        <w:rPr>
          <w:rFonts w:asciiTheme="majorBidi" w:hAnsiTheme="majorBidi" w:cstheme="majorBidi"/>
        </w:rPr>
        <w:t xml:space="preserve"> “Table 2.4.2 presents specific label elements for substances and mixtures classified into this hazard class based on the criteria in this chapter.”</w:t>
      </w:r>
      <w:r w:rsidR="00336CCE" w:rsidRPr="00D773F7">
        <w:rPr>
          <w:rFonts w:asciiTheme="majorBidi" w:hAnsiTheme="majorBidi" w:cstheme="majorBidi"/>
        </w:rPr>
        <w:t>.</w:t>
      </w:r>
    </w:p>
    <w:p w14:paraId="5BDAADC6" w14:textId="7CFCD1E1" w:rsidR="002656AC" w:rsidRPr="00D773F7" w:rsidRDefault="002656AC" w:rsidP="002656AC">
      <w:pPr>
        <w:pStyle w:val="H1G"/>
        <w:rPr>
          <w:rFonts w:asciiTheme="majorBidi" w:hAnsiTheme="majorBidi" w:cstheme="majorBidi"/>
          <w:lang w:eastAsia="en-US"/>
        </w:rPr>
      </w:pPr>
      <w:r w:rsidRPr="00D773F7">
        <w:rPr>
          <w:rFonts w:asciiTheme="majorBidi" w:hAnsiTheme="majorBidi" w:cstheme="majorBidi"/>
          <w:lang w:eastAsia="en-US"/>
        </w:rPr>
        <w:lastRenderedPageBreak/>
        <w:tab/>
      </w:r>
      <w:r w:rsidRPr="00D773F7">
        <w:rPr>
          <w:rFonts w:asciiTheme="majorBidi" w:hAnsiTheme="majorBidi" w:cstheme="majorBidi"/>
          <w:lang w:eastAsia="en-US"/>
        </w:rPr>
        <w:tab/>
        <w:t>Chapter 2.5</w:t>
      </w:r>
    </w:p>
    <w:p w14:paraId="6D7460DE" w14:textId="6001C93B" w:rsidR="00DE3FE5" w:rsidRPr="00D773F7" w:rsidRDefault="00DE3FE5" w:rsidP="00DE3FE5">
      <w:pPr>
        <w:pStyle w:val="SingleTxtG"/>
        <w:tabs>
          <w:tab w:val="clear" w:pos="1701"/>
        </w:tabs>
        <w:ind w:left="2268" w:hanging="1134"/>
        <w:rPr>
          <w:rFonts w:asciiTheme="majorBidi" w:hAnsiTheme="majorBidi" w:cstheme="majorBidi"/>
        </w:rPr>
      </w:pPr>
      <w:r w:rsidRPr="00D773F7">
        <w:rPr>
          <w:rFonts w:asciiTheme="majorBidi" w:hAnsiTheme="majorBidi" w:cstheme="majorBidi"/>
        </w:rPr>
        <w:t>2.5.3</w:t>
      </w:r>
      <w:r w:rsidRPr="00D773F7">
        <w:rPr>
          <w:rFonts w:asciiTheme="majorBidi" w:hAnsiTheme="majorBidi" w:cstheme="majorBidi"/>
        </w:rPr>
        <w:tab/>
      </w:r>
      <w:r w:rsidR="00336CCE" w:rsidRPr="00D773F7">
        <w:rPr>
          <w:rFonts w:asciiTheme="majorBidi" w:hAnsiTheme="majorBidi" w:cstheme="majorBidi"/>
        </w:rPr>
        <w:t>Add the following sentence at the end of the paragraph:</w:t>
      </w:r>
      <w:r w:rsidRPr="00D773F7">
        <w:rPr>
          <w:rFonts w:asciiTheme="majorBidi" w:hAnsiTheme="majorBidi" w:cstheme="majorBidi"/>
        </w:rPr>
        <w:t xml:space="preserve"> “Table 2.5.2 presents specific label elements for substances and mixtures classified into this hazard class based on the criteria in this chapter.”</w:t>
      </w:r>
      <w:r w:rsidR="00336CCE" w:rsidRPr="00D773F7">
        <w:rPr>
          <w:rFonts w:asciiTheme="majorBidi" w:hAnsiTheme="majorBidi" w:cstheme="majorBidi"/>
        </w:rPr>
        <w:t>.</w:t>
      </w:r>
    </w:p>
    <w:p w14:paraId="7EBB6B15" w14:textId="00414689" w:rsidR="00866A50" w:rsidRPr="00D773F7" w:rsidRDefault="00641C84" w:rsidP="00866A50">
      <w:pPr>
        <w:pStyle w:val="H1G"/>
        <w:rPr>
          <w:rFonts w:asciiTheme="majorBidi" w:hAnsiTheme="majorBidi" w:cstheme="majorBidi"/>
          <w:lang w:eastAsia="en-US"/>
        </w:rPr>
      </w:pPr>
      <w:r w:rsidRPr="00D773F7">
        <w:rPr>
          <w:rFonts w:asciiTheme="majorBidi" w:hAnsiTheme="majorBidi" w:cstheme="majorBidi"/>
          <w:lang w:eastAsia="en-US"/>
        </w:rPr>
        <w:tab/>
      </w:r>
      <w:r w:rsidRPr="00D773F7">
        <w:rPr>
          <w:rFonts w:asciiTheme="majorBidi" w:hAnsiTheme="majorBidi" w:cstheme="majorBidi"/>
          <w:lang w:eastAsia="en-US"/>
        </w:rPr>
        <w:tab/>
      </w:r>
      <w:r w:rsidR="00866A50" w:rsidRPr="00D773F7">
        <w:rPr>
          <w:rFonts w:asciiTheme="majorBidi" w:hAnsiTheme="majorBidi" w:cstheme="majorBidi"/>
          <w:lang w:eastAsia="en-US"/>
        </w:rPr>
        <w:tab/>
        <w:t>Chapter 2.6</w:t>
      </w:r>
    </w:p>
    <w:p w14:paraId="2DBC1DB8" w14:textId="68A92E94" w:rsidR="006A2B14" w:rsidRPr="00D773F7" w:rsidRDefault="006A2B14" w:rsidP="006221F3">
      <w:pPr>
        <w:pStyle w:val="SingleTxtG"/>
        <w:tabs>
          <w:tab w:val="clear" w:pos="1701"/>
        </w:tabs>
        <w:ind w:left="2268" w:hanging="1134"/>
        <w:rPr>
          <w:rFonts w:asciiTheme="majorBidi" w:hAnsiTheme="majorBidi" w:cstheme="majorBidi"/>
        </w:rPr>
      </w:pPr>
      <w:r w:rsidRPr="00D773F7">
        <w:rPr>
          <w:rFonts w:asciiTheme="majorBidi" w:hAnsiTheme="majorBidi" w:cstheme="majorBidi"/>
        </w:rPr>
        <w:t>2.6.3</w:t>
      </w:r>
      <w:r w:rsidRPr="00D773F7">
        <w:rPr>
          <w:rFonts w:asciiTheme="majorBidi" w:hAnsiTheme="majorBidi" w:cstheme="majorBidi"/>
        </w:rPr>
        <w:tab/>
      </w:r>
      <w:r w:rsidR="00336CCE" w:rsidRPr="00D773F7">
        <w:rPr>
          <w:rFonts w:asciiTheme="majorBidi" w:hAnsiTheme="majorBidi" w:cstheme="majorBidi"/>
        </w:rPr>
        <w:t>Add</w:t>
      </w:r>
      <w:r w:rsidR="00A45166" w:rsidRPr="00D773F7">
        <w:rPr>
          <w:rFonts w:asciiTheme="majorBidi" w:hAnsiTheme="majorBidi" w:cstheme="majorBidi"/>
        </w:rPr>
        <w:t xml:space="preserve"> the following sentence at the end of the paragraph: </w:t>
      </w:r>
      <w:r w:rsidRPr="00D773F7">
        <w:rPr>
          <w:rFonts w:asciiTheme="majorBidi" w:hAnsiTheme="majorBidi" w:cstheme="majorBidi"/>
        </w:rPr>
        <w:t xml:space="preserve"> “Table 2.6.2 presents specific label elements for substances and mixtures classified into this hazard class based on the criteria in this chapter.”</w:t>
      </w:r>
      <w:r w:rsidR="00584CB1">
        <w:rPr>
          <w:rFonts w:asciiTheme="majorBidi" w:hAnsiTheme="majorBidi" w:cstheme="majorBidi"/>
        </w:rPr>
        <w:t>.</w:t>
      </w:r>
      <w:r w:rsidRPr="00D773F7">
        <w:rPr>
          <w:rFonts w:asciiTheme="majorBidi" w:hAnsiTheme="majorBidi" w:cstheme="majorBidi"/>
        </w:rPr>
        <w:t xml:space="preserve"> </w:t>
      </w:r>
    </w:p>
    <w:p w14:paraId="7E49EC1F" w14:textId="6EC99232" w:rsidR="00265FF0" w:rsidRPr="00D773F7" w:rsidRDefault="008D5B2A" w:rsidP="00FF5260">
      <w:pPr>
        <w:pStyle w:val="SingleTxtG"/>
        <w:ind w:left="2268" w:hanging="1134"/>
        <w:rPr>
          <w:rFonts w:asciiTheme="majorBidi" w:hAnsiTheme="majorBidi" w:cstheme="majorBidi"/>
          <w:lang w:eastAsia="en-US"/>
        </w:rPr>
      </w:pPr>
      <w:r w:rsidRPr="00D773F7">
        <w:rPr>
          <w:rFonts w:asciiTheme="majorBidi" w:hAnsiTheme="majorBidi" w:cstheme="majorBidi"/>
          <w:lang w:eastAsia="en-US"/>
        </w:rPr>
        <w:t>2.6.4.2.4</w:t>
      </w:r>
      <w:r w:rsidRPr="00D773F7">
        <w:rPr>
          <w:rFonts w:asciiTheme="majorBidi" w:hAnsiTheme="majorBidi" w:cstheme="majorBidi"/>
          <w:lang w:eastAsia="en-US"/>
        </w:rPr>
        <w:tab/>
      </w:r>
      <w:r w:rsidR="00BB0266" w:rsidRPr="00D773F7">
        <w:rPr>
          <w:rFonts w:asciiTheme="majorBidi" w:hAnsiTheme="majorBidi" w:cstheme="majorBidi"/>
          <w:lang w:eastAsia="en-US"/>
        </w:rPr>
        <w:t>In the first and second sentences replace “shall” with “should”</w:t>
      </w:r>
      <w:r w:rsidR="00265FF0" w:rsidRPr="00D773F7">
        <w:rPr>
          <w:rFonts w:asciiTheme="majorBidi" w:hAnsiTheme="majorBidi" w:cstheme="majorBidi"/>
          <w:lang w:eastAsia="en-US"/>
        </w:rPr>
        <w:t>.</w:t>
      </w:r>
    </w:p>
    <w:p w14:paraId="1BDAA529" w14:textId="078F2D23" w:rsidR="00866A50" w:rsidRPr="00D773F7" w:rsidRDefault="00AA0E57" w:rsidP="00FF5260">
      <w:pPr>
        <w:pStyle w:val="SingleTxtG"/>
        <w:ind w:left="2268"/>
        <w:rPr>
          <w:rFonts w:asciiTheme="majorBidi" w:hAnsiTheme="majorBidi" w:cstheme="majorBidi"/>
          <w:lang w:eastAsia="en-US"/>
        </w:rPr>
      </w:pPr>
      <w:r w:rsidRPr="00D773F7">
        <w:rPr>
          <w:rFonts w:asciiTheme="majorBidi" w:hAnsiTheme="majorBidi" w:cstheme="majorBidi"/>
          <w:lang w:eastAsia="en-US"/>
        </w:rPr>
        <w:t xml:space="preserve">Replace </w:t>
      </w:r>
      <w:r w:rsidR="008E3767" w:rsidRPr="00D773F7">
        <w:rPr>
          <w:rFonts w:asciiTheme="majorBidi" w:hAnsiTheme="majorBidi" w:cstheme="majorBidi"/>
          <w:lang w:eastAsia="en-US"/>
        </w:rPr>
        <w:t xml:space="preserve">the last sentence </w:t>
      </w:r>
      <w:r w:rsidRPr="00D773F7">
        <w:rPr>
          <w:rFonts w:asciiTheme="majorBidi" w:hAnsiTheme="majorBidi" w:cstheme="majorBidi"/>
          <w:lang w:eastAsia="en-US"/>
        </w:rPr>
        <w:t>with the following</w:t>
      </w:r>
      <w:r w:rsidR="008E3767" w:rsidRPr="00D773F7">
        <w:rPr>
          <w:rFonts w:asciiTheme="majorBidi" w:hAnsiTheme="majorBidi" w:cstheme="majorBidi"/>
          <w:lang w:eastAsia="en-US"/>
        </w:rPr>
        <w:t>:</w:t>
      </w:r>
    </w:p>
    <w:p w14:paraId="5456D7C0" w14:textId="128154A7" w:rsidR="007A54E6" w:rsidRPr="00D773F7" w:rsidRDefault="008E3767" w:rsidP="007A54E6">
      <w:pPr>
        <w:pStyle w:val="SingleTxtG"/>
        <w:tabs>
          <w:tab w:val="clear" w:pos="1701"/>
        </w:tabs>
        <w:ind w:left="2268"/>
        <w:rPr>
          <w:rFonts w:asciiTheme="majorBidi" w:hAnsiTheme="majorBidi" w:cstheme="majorBidi"/>
        </w:rPr>
      </w:pPr>
      <w:r w:rsidRPr="00D773F7">
        <w:rPr>
          <w:rFonts w:asciiTheme="majorBidi" w:hAnsiTheme="majorBidi" w:cstheme="majorBidi"/>
          <w:lang w:eastAsia="en-US"/>
        </w:rPr>
        <w:t>“</w:t>
      </w:r>
      <w:r w:rsidR="007A54E6" w:rsidRPr="00D773F7">
        <w:rPr>
          <w:rFonts w:asciiTheme="majorBidi" w:hAnsiTheme="majorBidi" w:cstheme="majorBidi"/>
        </w:rPr>
        <w:t>Open-cup tests are acceptable</w:t>
      </w:r>
      <w:r w:rsidR="00AC6749">
        <w:rPr>
          <w:rFonts w:asciiTheme="majorBidi" w:hAnsiTheme="majorBidi" w:cstheme="majorBidi"/>
        </w:rPr>
        <w:t xml:space="preserve"> </w:t>
      </w:r>
      <w:r w:rsidR="007A54E6" w:rsidRPr="00D773F7">
        <w:rPr>
          <w:rFonts w:asciiTheme="majorBidi" w:hAnsiTheme="majorBidi" w:cstheme="majorBidi"/>
        </w:rPr>
        <w:t xml:space="preserve">for liquids which cannot be tested in closed-cup test methods (e.g. due to their viscosity) or </w:t>
      </w:r>
      <w:r w:rsidR="007127B4" w:rsidRPr="00D773F7">
        <w:rPr>
          <w:rFonts w:asciiTheme="majorBidi" w:hAnsiTheme="majorBidi" w:cstheme="majorBidi"/>
        </w:rPr>
        <w:t>when open-cup test data is already available</w:t>
      </w:r>
      <w:r w:rsidR="007A54E6" w:rsidRPr="00D773F7">
        <w:rPr>
          <w:rFonts w:asciiTheme="majorBidi" w:hAnsiTheme="majorBidi" w:cstheme="majorBidi"/>
        </w:rPr>
        <w:t>. In these cases, 5</w:t>
      </w:r>
      <w:r w:rsidR="00BB3DB3" w:rsidRPr="00D773F7">
        <w:rPr>
          <w:rFonts w:asciiTheme="majorBidi" w:hAnsiTheme="majorBidi" w:cstheme="majorBidi"/>
        </w:rPr>
        <w:t>.6</w:t>
      </w:r>
      <w:r w:rsidR="007A54E6" w:rsidRPr="00D773F7">
        <w:rPr>
          <w:rFonts w:asciiTheme="majorBidi" w:hAnsiTheme="majorBidi" w:cstheme="majorBidi"/>
        </w:rPr>
        <w:t>°C should be subtracted from the measured value because open</w:t>
      </w:r>
      <w:r w:rsidR="00BB3DB3" w:rsidRPr="00D773F7">
        <w:rPr>
          <w:rFonts w:asciiTheme="majorBidi" w:hAnsiTheme="majorBidi" w:cstheme="majorBidi"/>
        </w:rPr>
        <w:t>-</w:t>
      </w:r>
      <w:r w:rsidR="007A54E6" w:rsidRPr="00D773F7">
        <w:rPr>
          <w:rFonts w:asciiTheme="majorBidi" w:hAnsiTheme="majorBidi" w:cstheme="majorBidi"/>
        </w:rPr>
        <w:t>cup test methods generally result in higher values than closed-cup methods.”</w:t>
      </w:r>
    </w:p>
    <w:p w14:paraId="6389D428" w14:textId="7E0F00A1" w:rsidR="00A6379D" w:rsidRPr="00D773F7" w:rsidRDefault="00A6379D" w:rsidP="00A6379D">
      <w:pPr>
        <w:pStyle w:val="H1G"/>
        <w:rPr>
          <w:rFonts w:asciiTheme="majorBidi" w:hAnsiTheme="majorBidi" w:cstheme="majorBidi"/>
          <w:lang w:eastAsia="en-US"/>
        </w:rPr>
      </w:pPr>
      <w:r w:rsidRPr="00D773F7">
        <w:rPr>
          <w:rFonts w:asciiTheme="majorBidi" w:hAnsiTheme="majorBidi" w:cstheme="majorBidi"/>
          <w:lang w:eastAsia="en-US"/>
        </w:rPr>
        <w:tab/>
      </w:r>
      <w:r w:rsidRPr="00D773F7">
        <w:rPr>
          <w:rFonts w:asciiTheme="majorBidi" w:hAnsiTheme="majorBidi" w:cstheme="majorBidi"/>
          <w:lang w:eastAsia="en-US"/>
        </w:rPr>
        <w:tab/>
      </w:r>
      <w:r w:rsidRPr="00D773F7">
        <w:rPr>
          <w:rFonts w:asciiTheme="majorBidi" w:hAnsiTheme="majorBidi" w:cstheme="majorBidi"/>
          <w:lang w:eastAsia="en-US"/>
        </w:rPr>
        <w:tab/>
        <w:t>Chapter 2.7</w:t>
      </w:r>
    </w:p>
    <w:p w14:paraId="26BA330B" w14:textId="35EFBCBA" w:rsidR="00B167F4" w:rsidRPr="00D773F7" w:rsidRDefault="00B167F4" w:rsidP="00B167F4">
      <w:pPr>
        <w:pStyle w:val="SingleTxtG"/>
        <w:ind w:left="2268" w:hanging="1134"/>
        <w:rPr>
          <w:rFonts w:asciiTheme="majorBidi" w:hAnsiTheme="majorBidi" w:cstheme="majorBidi"/>
        </w:rPr>
      </w:pPr>
      <w:r w:rsidRPr="00D773F7">
        <w:rPr>
          <w:rFonts w:asciiTheme="majorBidi" w:hAnsiTheme="majorBidi" w:cstheme="majorBidi"/>
        </w:rPr>
        <w:t>2.7.1</w:t>
      </w:r>
      <w:r w:rsidRPr="00D773F7">
        <w:rPr>
          <w:rFonts w:asciiTheme="majorBidi" w:hAnsiTheme="majorBidi" w:cstheme="majorBidi"/>
        </w:rPr>
        <w:tab/>
      </w:r>
      <w:r w:rsidRPr="00D773F7">
        <w:rPr>
          <w:rFonts w:asciiTheme="majorBidi" w:hAnsiTheme="majorBidi" w:cstheme="majorBidi"/>
        </w:rPr>
        <w:tab/>
        <w:t xml:space="preserve">Add the following definition under the definition of </w:t>
      </w:r>
      <w:r w:rsidR="00010DE4" w:rsidRPr="00D773F7">
        <w:rPr>
          <w:rFonts w:asciiTheme="majorBidi" w:hAnsiTheme="majorBidi" w:cstheme="majorBidi"/>
        </w:rPr>
        <w:t>r</w:t>
      </w:r>
      <w:r w:rsidRPr="00D773F7">
        <w:rPr>
          <w:rFonts w:asciiTheme="majorBidi" w:hAnsiTheme="majorBidi" w:cstheme="majorBidi"/>
        </w:rPr>
        <w:t>eadily combustible solids</w:t>
      </w:r>
      <w:r w:rsidR="0013664E" w:rsidRPr="00D773F7">
        <w:rPr>
          <w:rFonts w:asciiTheme="majorBidi" w:hAnsiTheme="majorBidi" w:cstheme="majorBidi"/>
        </w:rPr>
        <w:t>:</w:t>
      </w:r>
      <w:r w:rsidRPr="00D773F7">
        <w:rPr>
          <w:rFonts w:asciiTheme="majorBidi" w:hAnsiTheme="majorBidi" w:cstheme="majorBidi"/>
        </w:rPr>
        <w:t xml:space="preserve"> “</w:t>
      </w:r>
      <w:r w:rsidRPr="00D773F7">
        <w:rPr>
          <w:rFonts w:asciiTheme="majorBidi" w:hAnsiTheme="majorBidi" w:cstheme="majorBidi"/>
          <w:i/>
          <w:iCs/>
        </w:rPr>
        <w:t>Metal powders</w:t>
      </w:r>
      <w:r w:rsidRPr="00D773F7">
        <w:rPr>
          <w:rFonts w:asciiTheme="majorBidi" w:hAnsiTheme="majorBidi" w:cstheme="majorBidi"/>
        </w:rPr>
        <w:t xml:space="preserve"> are powders of metals or metal alloys.”.</w:t>
      </w:r>
    </w:p>
    <w:p w14:paraId="2D796F93" w14:textId="0597350C" w:rsidR="00B167F4" w:rsidRPr="00D773F7" w:rsidRDefault="00B167F4" w:rsidP="00B167F4">
      <w:pPr>
        <w:pStyle w:val="SingleTxtG"/>
        <w:rPr>
          <w:rFonts w:asciiTheme="majorBidi" w:hAnsiTheme="majorBidi" w:cstheme="majorBidi"/>
        </w:rPr>
      </w:pPr>
      <w:r w:rsidRPr="00D773F7">
        <w:rPr>
          <w:rFonts w:asciiTheme="majorBidi" w:hAnsiTheme="majorBidi" w:cstheme="majorBidi"/>
        </w:rPr>
        <w:t>2.7.2.2</w:t>
      </w:r>
      <w:r w:rsidR="00A1601B" w:rsidRPr="00D773F7">
        <w:rPr>
          <w:rFonts w:asciiTheme="majorBidi" w:hAnsiTheme="majorBidi" w:cstheme="majorBidi"/>
        </w:rPr>
        <w:tab/>
      </w:r>
      <w:r w:rsidRPr="00D773F7">
        <w:rPr>
          <w:rFonts w:asciiTheme="majorBidi" w:hAnsiTheme="majorBidi" w:cstheme="majorBidi"/>
        </w:rPr>
        <w:tab/>
        <w:t>Replace “Powders of metals or metal alloys” with “Metal powders”.</w:t>
      </w:r>
    </w:p>
    <w:p w14:paraId="0580D468" w14:textId="3C174016" w:rsidR="003831DD" w:rsidRPr="00D773F7" w:rsidRDefault="00C87DA5" w:rsidP="00FF5260">
      <w:pPr>
        <w:pStyle w:val="SingleTxtG"/>
        <w:tabs>
          <w:tab w:val="clear" w:pos="1701"/>
        </w:tabs>
        <w:ind w:left="2268" w:hanging="1134"/>
        <w:rPr>
          <w:rFonts w:asciiTheme="majorBidi" w:hAnsiTheme="majorBidi" w:cstheme="majorBidi"/>
        </w:rPr>
      </w:pPr>
      <w:r w:rsidRPr="00D773F7">
        <w:rPr>
          <w:rFonts w:asciiTheme="majorBidi" w:hAnsiTheme="majorBidi" w:cstheme="majorBidi"/>
        </w:rPr>
        <w:t>2.7.3</w:t>
      </w:r>
      <w:r w:rsidRPr="00D773F7">
        <w:rPr>
          <w:rFonts w:asciiTheme="majorBidi" w:hAnsiTheme="majorBidi" w:cstheme="majorBidi"/>
        </w:rPr>
        <w:tab/>
      </w:r>
      <w:r w:rsidR="009618F4" w:rsidRPr="00D773F7">
        <w:rPr>
          <w:rFonts w:asciiTheme="majorBidi" w:hAnsiTheme="majorBidi" w:cstheme="majorBidi"/>
        </w:rPr>
        <w:t>Add</w:t>
      </w:r>
      <w:r w:rsidR="00A45166" w:rsidRPr="00D773F7">
        <w:rPr>
          <w:rFonts w:asciiTheme="majorBidi" w:hAnsiTheme="majorBidi" w:cstheme="majorBidi"/>
        </w:rPr>
        <w:t xml:space="preserve"> the following sentence at the end of the paragraph: </w:t>
      </w:r>
      <w:r w:rsidRPr="00D773F7">
        <w:rPr>
          <w:rFonts w:asciiTheme="majorBidi" w:hAnsiTheme="majorBidi" w:cstheme="majorBidi"/>
        </w:rPr>
        <w:t xml:space="preserve">“Table 2.7.2 presents specific label elements for substances and mixtures classified into this hazard class based on the criteria in this chapter.” </w:t>
      </w:r>
    </w:p>
    <w:p w14:paraId="40A38151" w14:textId="3A54D55B" w:rsidR="00641C84" w:rsidRPr="00D773F7" w:rsidRDefault="00A6379D" w:rsidP="007A54E6">
      <w:pPr>
        <w:pStyle w:val="H1G"/>
        <w:rPr>
          <w:rFonts w:asciiTheme="majorBidi" w:hAnsiTheme="majorBidi" w:cstheme="majorBidi"/>
          <w:lang w:eastAsia="en-US"/>
        </w:rPr>
      </w:pPr>
      <w:r w:rsidRPr="00D773F7">
        <w:rPr>
          <w:rFonts w:asciiTheme="majorBidi" w:hAnsiTheme="majorBidi" w:cstheme="majorBidi"/>
          <w:lang w:eastAsia="en-US"/>
        </w:rPr>
        <w:tab/>
      </w:r>
      <w:r w:rsidRPr="00D773F7">
        <w:rPr>
          <w:rFonts w:asciiTheme="majorBidi" w:hAnsiTheme="majorBidi" w:cstheme="majorBidi"/>
          <w:lang w:eastAsia="en-US"/>
        </w:rPr>
        <w:tab/>
      </w:r>
      <w:r w:rsidR="00641C84" w:rsidRPr="00D773F7">
        <w:rPr>
          <w:rFonts w:asciiTheme="majorBidi" w:hAnsiTheme="majorBidi" w:cstheme="majorBidi"/>
          <w:lang w:eastAsia="en-US"/>
        </w:rPr>
        <w:t>Chapter 2.8</w:t>
      </w:r>
    </w:p>
    <w:p w14:paraId="7C9EA217" w14:textId="6EB97190" w:rsidR="00D17E85" w:rsidRPr="00D773F7" w:rsidRDefault="00D17E85" w:rsidP="009618F4">
      <w:pPr>
        <w:pStyle w:val="SingleTxtG"/>
        <w:tabs>
          <w:tab w:val="clear" w:pos="1701"/>
        </w:tabs>
        <w:ind w:left="2268" w:hanging="1134"/>
        <w:rPr>
          <w:rFonts w:asciiTheme="majorBidi" w:hAnsiTheme="majorBidi" w:cstheme="majorBidi"/>
        </w:rPr>
      </w:pPr>
      <w:r w:rsidRPr="00D773F7">
        <w:rPr>
          <w:rFonts w:asciiTheme="majorBidi" w:hAnsiTheme="majorBidi" w:cstheme="majorBidi"/>
        </w:rPr>
        <w:t>2.8.3</w:t>
      </w:r>
      <w:r w:rsidRPr="00D773F7">
        <w:rPr>
          <w:rFonts w:asciiTheme="majorBidi" w:hAnsiTheme="majorBidi" w:cstheme="majorBidi"/>
        </w:rPr>
        <w:tab/>
      </w:r>
      <w:r w:rsidR="009618F4" w:rsidRPr="00D773F7">
        <w:rPr>
          <w:rFonts w:asciiTheme="majorBidi" w:hAnsiTheme="majorBidi" w:cstheme="majorBidi"/>
        </w:rPr>
        <w:t>Add</w:t>
      </w:r>
      <w:r w:rsidRPr="00D773F7">
        <w:rPr>
          <w:rFonts w:asciiTheme="majorBidi" w:hAnsiTheme="majorBidi" w:cstheme="majorBidi"/>
        </w:rPr>
        <w:t xml:space="preserve"> </w:t>
      </w:r>
      <w:r w:rsidR="00D51EE9" w:rsidRPr="00D773F7">
        <w:rPr>
          <w:rFonts w:asciiTheme="majorBidi" w:hAnsiTheme="majorBidi" w:cstheme="majorBidi"/>
        </w:rPr>
        <w:t xml:space="preserve">the following sentence at the end of the paragraph: </w:t>
      </w:r>
      <w:r w:rsidRPr="00D773F7">
        <w:rPr>
          <w:rFonts w:asciiTheme="majorBidi" w:hAnsiTheme="majorBidi" w:cstheme="majorBidi"/>
        </w:rPr>
        <w:t>“Table 2.8.1 presents specific label elements for substances and mixtures classified into this hazard class based on the criteria in this chapter.”.</w:t>
      </w:r>
    </w:p>
    <w:p w14:paraId="3CE7A31B" w14:textId="2C44B94B" w:rsidR="008A73B5" w:rsidRPr="00D773F7" w:rsidRDefault="008A73B5" w:rsidP="008A73B5">
      <w:pPr>
        <w:pStyle w:val="H1G"/>
        <w:rPr>
          <w:rFonts w:asciiTheme="majorBidi" w:hAnsiTheme="majorBidi" w:cstheme="majorBidi"/>
          <w:lang w:eastAsia="en-US"/>
        </w:rPr>
      </w:pPr>
      <w:r w:rsidRPr="00D773F7">
        <w:rPr>
          <w:rFonts w:asciiTheme="majorBidi" w:hAnsiTheme="majorBidi" w:cstheme="majorBidi"/>
          <w:lang w:eastAsia="en-US"/>
        </w:rPr>
        <w:tab/>
      </w:r>
      <w:r w:rsidRPr="00D773F7">
        <w:rPr>
          <w:rFonts w:asciiTheme="majorBidi" w:hAnsiTheme="majorBidi" w:cstheme="majorBidi"/>
          <w:lang w:eastAsia="en-US"/>
        </w:rPr>
        <w:tab/>
        <w:t>Chapter 2.9</w:t>
      </w:r>
    </w:p>
    <w:p w14:paraId="27C19A63" w14:textId="3D91A069" w:rsidR="00070F00" w:rsidRPr="00D773F7" w:rsidRDefault="00070F00" w:rsidP="00EA4197">
      <w:pPr>
        <w:pStyle w:val="SingleTxtG"/>
        <w:tabs>
          <w:tab w:val="clear" w:pos="1701"/>
        </w:tabs>
        <w:ind w:left="2268" w:hanging="1134"/>
        <w:rPr>
          <w:rFonts w:asciiTheme="majorBidi" w:hAnsiTheme="majorBidi" w:cstheme="majorBidi"/>
        </w:rPr>
      </w:pPr>
      <w:r w:rsidRPr="00D773F7">
        <w:rPr>
          <w:rFonts w:asciiTheme="majorBidi" w:hAnsiTheme="majorBidi" w:cstheme="majorBidi"/>
        </w:rPr>
        <w:t>2.9.3</w:t>
      </w:r>
      <w:r w:rsidRPr="00D773F7">
        <w:rPr>
          <w:rFonts w:asciiTheme="majorBidi" w:hAnsiTheme="majorBidi" w:cstheme="majorBidi"/>
        </w:rPr>
        <w:tab/>
      </w:r>
      <w:r w:rsidR="001370E0" w:rsidRPr="00D773F7">
        <w:rPr>
          <w:rFonts w:asciiTheme="majorBidi" w:hAnsiTheme="majorBidi" w:cstheme="majorBidi"/>
        </w:rPr>
        <w:t xml:space="preserve">Add </w:t>
      </w:r>
      <w:r w:rsidR="00D51EE9" w:rsidRPr="00D773F7">
        <w:rPr>
          <w:rFonts w:asciiTheme="majorBidi" w:hAnsiTheme="majorBidi" w:cstheme="majorBidi"/>
        </w:rPr>
        <w:t xml:space="preserve">the following sentence at the end of the paragraph:  </w:t>
      </w:r>
      <w:r w:rsidRPr="00D773F7">
        <w:rPr>
          <w:rFonts w:asciiTheme="majorBidi" w:hAnsiTheme="majorBidi" w:cstheme="majorBidi"/>
        </w:rPr>
        <w:t>“Table 2.9.2 presents specific label elements for substances and mixtures classified into this hazard class based on the criteria in this chapter.”</w:t>
      </w:r>
      <w:r w:rsidR="00D51EE9" w:rsidRPr="00D773F7">
        <w:rPr>
          <w:rFonts w:asciiTheme="majorBidi" w:hAnsiTheme="majorBidi" w:cstheme="majorBidi"/>
        </w:rPr>
        <w:t>.</w:t>
      </w:r>
    </w:p>
    <w:p w14:paraId="6E2B7F41" w14:textId="302D5C7F" w:rsidR="007D41B8" w:rsidRPr="00D773F7" w:rsidRDefault="007D41B8" w:rsidP="007D41B8">
      <w:pPr>
        <w:pStyle w:val="H1G"/>
        <w:rPr>
          <w:rFonts w:asciiTheme="majorBidi" w:hAnsiTheme="majorBidi" w:cstheme="majorBidi"/>
          <w:lang w:eastAsia="en-US"/>
        </w:rPr>
      </w:pPr>
      <w:r w:rsidRPr="00D773F7">
        <w:rPr>
          <w:rFonts w:asciiTheme="majorBidi" w:hAnsiTheme="majorBidi" w:cstheme="majorBidi"/>
          <w:lang w:eastAsia="en-US"/>
        </w:rPr>
        <w:tab/>
      </w:r>
      <w:r w:rsidRPr="00D773F7">
        <w:rPr>
          <w:rFonts w:asciiTheme="majorBidi" w:hAnsiTheme="majorBidi" w:cstheme="majorBidi"/>
          <w:lang w:eastAsia="en-US"/>
        </w:rPr>
        <w:tab/>
        <w:t>Chapter 2.10</w:t>
      </w:r>
    </w:p>
    <w:p w14:paraId="265D9C15" w14:textId="2A980D1E" w:rsidR="009E03EB" w:rsidRPr="00D773F7" w:rsidRDefault="009E03EB" w:rsidP="00EA4197">
      <w:pPr>
        <w:pStyle w:val="SingleTxtG"/>
        <w:tabs>
          <w:tab w:val="clear" w:pos="1701"/>
        </w:tabs>
        <w:ind w:left="2268" w:hanging="1134"/>
        <w:rPr>
          <w:rFonts w:asciiTheme="majorBidi" w:hAnsiTheme="majorBidi" w:cstheme="majorBidi"/>
        </w:rPr>
      </w:pPr>
      <w:r w:rsidRPr="00D773F7">
        <w:rPr>
          <w:rFonts w:asciiTheme="majorBidi" w:hAnsiTheme="majorBidi" w:cstheme="majorBidi"/>
        </w:rPr>
        <w:t>2.10.3</w:t>
      </w:r>
      <w:r w:rsidRPr="00D773F7">
        <w:rPr>
          <w:rFonts w:asciiTheme="majorBidi" w:hAnsiTheme="majorBidi" w:cstheme="majorBidi"/>
        </w:rPr>
        <w:tab/>
      </w:r>
      <w:r w:rsidR="001370E0" w:rsidRPr="00D773F7">
        <w:rPr>
          <w:rFonts w:asciiTheme="majorBidi" w:hAnsiTheme="majorBidi" w:cstheme="majorBidi"/>
        </w:rPr>
        <w:t>Add</w:t>
      </w:r>
      <w:r w:rsidRPr="00D773F7">
        <w:rPr>
          <w:rFonts w:asciiTheme="majorBidi" w:hAnsiTheme="majorBidi" w:cstheme="majorBidi"/>
        </w:rPr>
        <w:t xml:space="preserve"> </w:t>
      </w:r>
      <w:r w:rsidR="00D51EE9" w:rsidRPr="00D773F7">
        <w:rPr>
          <w:rFonts w:asciiTheme="majorBidi" w:hAnsiTheme="majorBidi" w:cstheme="majorBidi"/>
        </w:rPr>
        <w:t xml:space="preserve">the following sentence at the end of the paragraph: </w:t>
      </w:r>
      <w:r w:rsidRPr="00D773F7">
        <w:rPr>
          <w:rFonts w:asciiTheme="majorBidi" w:hAnsiTheme="majorBidi" w:cstheme="majorBidi"/>
        </w:rPr>
        <w:t>“Table 2.10.2 presents specific label elements for substances and mixtures classified into this hazard class based on the criteria in this chapter.”</w:t>
      </w:r>
      <w:r w:rsidR="00D51EE9" w:rsidRPr="00D773F7">
        <w:rPr>
          <w:rFonts w:asciiTheme="majorBidi" w:hAnsiTheme="majorBidi" w:cstheme="majorBidi"/>
        </w:rPr>
        <w:t>.</w:t>
      </w:r>
    </w:p>
    <w:p w14:paraId="492CB6A6" w14:textId="3ACAE5B7" w:rsidR="00B47FAD" w:rsidRPr="00D773F7" w:rsidRDefault="00B47FAD" w:rsidP="00B47FAD">
      <w:pPr>
        <w:pStyle w:val="H1G"/>
        <w:rPr>
          <w:rFonts w:asciiTheme="majorBidi" w:hAnsiTheme="majorBidi" w:cstheme="majorBidi"/>
          <w:lang w:eastAsia="en-US"/>
        </w:rPr>
      </w:pPr>
      <w:r w:rsidRPr="00D773F7">
        <w:rPr>
          <w:rFonts w:asciiTheme="majorBidi" w:hAnsiTheme="majorBidi" w:cstheme="majorBidi"/>
          <w:lang w:eastAsia="en-US"/>
        </w:rPr>
        <w:tab/>
      </w:r>
      <w:r w:rsidRPr="00D773F7">
        <w:rPr>
          <w:rFonts w:asciiTheme="majorBidi" w:hAnsiTheme="majorBidi" w:cstheme="majorBidi"/>
          <w:lang w:eastAsia="en-US"/>
        </w:rPr>
        <w:tab/>
        <w:t>Chapter 2.11</w:t>
      </w:r>
    </w:p>
    <w:p w14:paraId="7CD6CE2D" w14:textId="40BDF0EB" w:rsidR="00F02969" w:rsidRPr="00D773F7" w:rsidRDefault="00F02969" w:rsidP="00EA4197">
      <w:pPr>
        <w:pStyle w:val="SingleTxtG"/>
        <w:tabs>
          <w:tab w:val="clear" w:pos="1701"/>
        </w:tabs>
        <w:ind w:left="2268" w:hanging="1134"/>
        <w:rPr>
          <w:rFonts w:asciiTheme="majorBidi" w:hAnsiTheme="majorBidi" w:cstheme="majorBidi"/>
        </w:rPr>
      </w:pPr>
      <w:r w:rsidRPr="00D773F7">
        <w:rPr>
          <w:rFonts w:asciiTheme="majorBidi" w:hAnsiTheme="majorBidi" w:cstheme="majorBidi"/>
        </w:rPr>
        <w:t>2.11.3</w:t>
      </w:r>
      <w:r w:rsidRPr="00D773F7">
        <w:rPr>
          <w:rFonts w:asciiTheme="majorBidi" w:hAnsiTheme="majorBidi" w:cstheme="majorBidi"/>
        </w:rPr>
        <w:tab/>
      </w:r>
      <w:r w:rsidR="001370E0" w:rsidRPr="00D773F7">
        <w:rPr>
          <w:rFonts w:asciiTheme="majorBidi" w:hAnsiTheme="majorBidi" w:cstheme="majorBidi"/>
        </w:rPr>
        <w:t>Add</w:t>
      </w:r>
      <w:r w:rsidRPr="00D773F7">
        <w:rPr>
          <w:rFonts w:asciiTheme="majorBidi" w:hAnsiTheme="majorBidi" w:cstheme="majorBidi"/>
        </w:rPr>
        <w:t xml:space="preserve"> </w:t>
      </w:r>
      <w:r w:rsidR="00D51EE9" w:rsidRPr="00D773F7">
        <w:rPr>
          <w:rFonts w:asciiTheme="majorBidi" w:hAnsiTheme="majorBidi" w:cstheme="majorBidi"/>
        </w:rPr>
        <w:t>the following sentence at the end of the paragraph:</w:t>
      </w:r>
      <w:r w:rsidR="00EA4197" w:rsidRPr="00D773F7">
        <w:rPr>
          <w:rFonts w:asciiTheme="majorBidi" w:hAnsiTheme="majorBidi" w:cstheme="majorBidi"/>
        </w:rPr>
        <w:t xml:space="preserve"> </w:t>
      </w:r>
      <w:r w:rsidRPr="00D773F7">
        <w:rPr>
          <w:rFonts w:asciiTheme="majorBidi" w:hAnsiTheme="majorBidi" w:cstheme="majorBidi"/>
        </w:rPr>
        <w:t>“Table 2.11.2 presents specific label elements for substances and mixtures classified into this hazard class based on the criteria in this chapter.”</w:t>
      </w:r>
      <w:r w:rsidR="00D51EE9" w:rsidRPr="00D773F7">
        <w:rPr>
          <w:rFonts w:asciiTheme="majorBidi" w:hAnsiTheme="majorBidi" w:cstheme="majorBidi"/>
        </w:rPr>
        <w:t>.</w:t>
      </w:r>
    </w:p>
    <w:p w14:paraId="75212E0D" w14:textId="2FCBAD8C" w:rsidR="00DB366A" w:rsidRPr="00D773F7" w:rsidRDefault="00DB366A" w:rsidP="00DB366A">
      <w:pPr>
        <w:pStyle w:val="H1G"/>
        <w:rPr>
          <w:rFonts w:asciiTheme="majorBidi" w:hAnsiTheme="majorBidi" w:cstheme="majorBidi"/>
          <w:lang w:eastAsia="en-US"/>
        </w:rPr>
      </w:pPr>
      <w:r w:rsidRPr="00D773F7">
        <w:rPr>
          <w:rFonts w:asciiTheme="majorBidi" w:hAnsiTheme="majorBidi" w:cstheme="majorBidi"/>
          <w:lang w:eastAsia="en-US"/>
        </w:rPr>
        <w:lastRenderedPageBreak/>
        <w:tab/>
      </w:r>
      <w:r w:rsidRPr="00D773F7">
        <w:rPr>
          <w:rFonts w:asciiTheme="majorBidi" w:hAnsiTheme="majorBidi" w:cstheme="majorBidi"/>
          <w:lang w:eastAsia="en-US"/>
        </w:rPr>
        <w:tab/>
        <w:t>Chapter 2.12</w:t>
      </w:r>
    </w:p>
    <w:p w14:paraId="795A0359" w14:textId="17DF147F" w:rsidR="00A96C5C" w:rsidRPr="00D773F7" w:rsidRDefault="00A96C5C" w:rsidP="00571EE6">
      <w:pPr>
        <w:pStyle w:val="SingleTxtG"/>
        <w:tabs>
          <w:tab w:val="clear" w:pos="1701"/>
        </w:tabs>
        <w:ind w:left="2268" w:hanging="1134"/>
        <w:rPr>
          <w:rFonts w:asciiTheme="majorBidi" w:hAnsiTheme="majorBidi" w:cstheme="majorBidi"/>
        </w:rPr>
      </w:pPr>
      <w:r w:rsidRPr="00D773F7">
        <w:rPr>
          <w:rFonts w:asciiTheme="majorBidi" w:hAnsiTheme="majorBidi" w:cstheme="majorBidi"/>
        </w:rPr>
        <w:t>2.12.3</w:t>
      </w:r>
      <w:r w:rsidRPr="00D773F7">
        <w:rPr>
          <w:rFonts w:asciiTheme="majorBidi" w:hAnsiTheme="majorBidi" w:cstheme="majorBidi"/>
        </w:rPr>
        <w:tab/>
      </w:r>
      <w:r w:rsidR="001370E0" w:rsidRPr="00D773F7">
        <w:rPr>
          <w:rFonts w:asciiTheme="majorBidi" w:hAnsiTheme="majorBidi" w:cstheme="majorBidi"/>
        </w:rPr>
        <w:t>Add</w:t>
      </w:r>
      <w:r w:rsidRPr="00D773F7">
        <w:rPr>
          <w:rFonts w:asciiTheme="majorBidi" w:hAnsiTheme="majorBidi" w:cstheme="majorBidi"/>
        </w:rPr>
        <w:t xml:space="preserve"> </w:t>
      </w:r>
      <w:r w:rsidR="00D51EE9" w:rsidRPr="00D773F7">
        <w:rPr>
          <w:rFonts w:asciiTheme="majorBidi" w:hAnsiTheme="majorBidi" w:cstheme="majorBidi"/>
        </w:rPr>
        <w:t xml:space="preserve">the following sentence at the end of the paragraph: </w:t>
      </w:r>
      <w:r w:rsidRPr="00D773F7">
        <w:rPr>
          <w:rFonts w:asciiTheme="majorBidi" w:hAnsiTheme="majorBidi" w:cstheme="majorBidi"/>
        </w:rPr>
        <w:t>“Table 2.12.2 presents specific label elements for substances and mixtures classified into this hazard class based on the criteria in this chapter.”.</w:t>
      </w:r>
    </w:p>
    <w:p w14:paraId="0A4B2656" w14:textId="6F818188" w:rsidR="00EC13D9" w:rsidRPr="00D773F7" w:rsidRDefault="00EC13D9" w:rsidP="00EC13D9">
      <w:pPr>
        <w:pStyle w:val="H1G"/>
        <w:rPr>
          <w:rFonts w:asciiTheme="majorBidi" w:hAnsiTheme="majorBidi" w:cstheme="majorBidi"/>
          <w:lang w:eastAsia="en-US"/>
        </w:rPr>
      </w:pPr>
      <w:r w:rsidRPr="00D773F7">
        <w:rPr>
          <w:rFonts w:asciiTheme="majorBidi" w:hAnsiTheme="majorBidi" w:cstheme="majorBidi"/>
          <w:lang w:eastAsia="en-US"/>
        </w:rPr>
        <w:tab/>
      </w:r>
      <w:r w:rsidRPr="00D773F7">
        <w:rPr>
          <w:rFonts w:asciiTheme="majorBidi" w:hAnsiTheme="majorBidi" w:cstheme="majorBidi"/>
          <w:lang w:eastAsia="en-US"/>
        </w:rPr>
        <w:tab/>
        <w:t>Chapter 2.13</w:t>
      </w:r>
    </w:p>
    <w:p w14:paraId="4C1E49A6" w14:textId="3000A5C3" w:rsidR="007B2CD3" w:rsidRPr="00D773F7" w:rsidRDefault="007B2CD3" w:rsidP="00571EE6">
      <w:pPr>
        <w:pStyle w:val="SingleTxtG"/>
        <w:tabs>
          <w:tab w:val="clear" w:pos="1701"/>
        </w:tabs>
        <w:ind w:left="2268" w:hanging="1134"/>
        <w:rPr>
          <w:rFonts w:asciiTheme="majorBidi" w:hAnsiTheme="majorBidi" w:cstheme="majorBidi"/>
        </w:rPr>
      </w:pPr>
      <w:r w:rsidRPr="00D773F7">
        <w:rPr>
          <w:rFonts w:asciiTheme="majorBidi" w:hAnsiTheme="majorBidi" w:cstheme="majorBidi"/>
        </w:rPr>
        <w:t>2.13.3</w:t>
      </w:r>
      <w:r w:rsidRPr="00D773F7">
        <w:rPr>
          <w:rFonts w:asciiTheme="majorBidi" w:hAnsiTheme="majorBidi" w:cstheme="majorBidi"/>
        </w:rPr>
        <w:tab/>
      </w:r>
      <w:r w:rsidR="001370E0" w:rsidRPr="00D773F7">
        <w:rPr>
          <w:rFonts w:asciiTheme="majorBidi" w:hAnsiTheme="majorBidi" w:cstheme="majorBidi"/>
        </w:rPr>
        <w:t>Add</w:t>
      </w:r>
      <w:r w:rsidRPr="00D773F7">
        <w:rPr>
          <w:rFonts w:asciiTheme="majorBidi" w:hAnsiTheme="majorBidi" w:cstheme="majorBidi"/>
        </w:rPr>
        <w:t xml:space="preserve"> </w:t>
      </w:r>
      <w:r w:rsidR="00D51EE9" w:rsidRPr="00D773F7">
        <w:rPr>
          <w:rFonts w:asciiTheme="majorBidi" w:hAnsiTheme="majorBidi" w:cstheme="majorBidi"/>
        </w:rPr>
        <w:t xml:space="preserve">the following sentence at the end of the paragraph: </w:t>
      </w:r>
      <w:r w:rsidRPr="00D773F7">
        <w:rPr>
          <w:rFonts w:asciiTheme="majorBidi" w:hAnsiTheme="majorBidi" w:cstheme="majorBidi"/>
        </w:rPr>
        <w:t>“Table 2.13.2 presents specific label elements for substances and mixtures classified into this hazard class based on the criteria in this chapter.”</w:t>
      </w:r>
      <w:r w:rsidR="00D51EE9" w:rsidRPr="00D773F7">
        <w:rPr>
          <w:rFonts w:asciiTheme="majorBidi" w:hAnsiTheme="majorBidi" w:cstheme="majorBidi"/>
        </w:rPr>
        <w:t>.</w:t>
      </w:r>
    </w:p>
    <w:p w14:paraId="53B6D992" w14:textId="4B5079C0" w:rsidR="00F123F0" w:rsidRPr="00D773F7" w:rsidRDefault="00F123F0" w:rsidP="00F123F0">
      <w:pPr>
        <w:pStyle w:val="H1G"/>
        <w:rPr>
          <w:rFonts w:asciiTheme="majorBidi" w:hAnsiTheme="majorBidi" w:cstheme="majorBidi"/>
          <w:lang w:eastAsia="en-US"/>
        </w:rPr>
      </w:pPr>
      <w:r w:rsidRPr="00D773F7">
        <w:rPr>
          <w:rFonts w:asciiTheme="majorBidi" w:hAnsiTheme="majorBidi" w:cstheme="majorBidi"/>
          <w:lang w:eastAsia="en-US"/>
        </w:rPr>
        <w:tab/>
      </w:r>
      <w:r w:rsidRPr="00D773F7">
        <w:rPr>
          <w:rFonts w:asciiTheme="majorBidi" w:hAnsiTheme="majorBidi" w:cstheme="majorBidi"/>
          <w:lang w:eastAsia="en-US"/>
        </w:rPr>
        <w:tab/>
        <w:t>Chapter 2.14</w:t>
      </w:r>
    </w:p>
    <w:p w14:paraId="6306ADA1" w14:textId="7172D12E" w:rsidR="007B58F4" w:rsidRPr="00D773F7" w:rsidRDefault="007B58F4" w:rsidP="00571EE6">
      <w:pPr>
        <w:pStyle w:val="SingleTxtG"/>
        <w:tabs>
          <w:tab w:val="clear" w:pos="1701"/>
        </w:tabs>
        <w:ind w:left="2268" w:hanging="1134"/>
        <w:rPr>
          <w:rFonts w:asciiTheme="majorBidi" w:hAnsiTheme="majorBidi" w:cstheme="majorBidi"/>
        </w:rPr>
      </w:pPr>
      <w:r w:rsidRPr="00D773F7">
        <w:rPr>
          <w:rFonts w:asciiTheme="majorBidi" w:hAnsiTheme="majorBidi" w:cstheme="majorBidi"/>
        </w:rPr>
        <w:t>2.14.3</w:t>
      </w:r>
      <w:r w:rsidRPr="00D773F7">
        <w:rPr>
          <w:rFonts w:asciiTheme="majorBidi" w:hAnsiTheme="majorBidi" w:cstheme="majorBidi"/>
        </w:rPr>
        <w:tab/>
      </w:r>
      <w:r w:rsidR="001370E0" w:rsidRPr="00D773F7">
        <w:rPr>
          <w:rFonts w:asciiTheme="majorBidi" w:hAnsiTheme="majorBidi" w:cstheme="majorBidi"/>
        </w:rPr>
        <w:t>Add</w:t>
      </w:r>
      <w:r w:rsidRPr="00D773F7">
        <w:rPr>
          <w:rFonts w:asciiTheme="majorBidi" w:hAnsiTheme="majorBidi" w:cstheme="majorBidi"/>
        </w:rPr>
        <w:t xml:space="preserve"> </w:t>
      </w:r>
      <w:r w:rsidR="00D51EE9" w:rsidRPr="00D773F7">
        <w:rPr>
          <w:rFonts w:asciiTheme="majorBidi" w:hAnsiTheme="majorBidi" w:cstheme="majorBidi"/>
        </w:rPr>
        <w:t xml:space="preserve">the following sentence at the end of the paragraph: </w:t>
      </w:r>
      <w:r w:rsidRPr="00D773F7">
        <w:rPr>
          <w:rFonts w:asciiTheme="majorBidi" w:hAnsiTheme="majorBidi" w:cstheme="majorBidi"/>
        </w:rPr>
        <w:t>“Table 2.14.2 presents specific label elements for substances and mixtures classified into this hazard class based on the criteria in this chapter.”</w:t>
      </w:r>
      <w:r w:rsidR="00F84ABC" w:rsidRPr="00D773F7">
        <w:rPr>
          <w:rFonts w:asciiTheme="majorBidi" w:hAnsiTheme="majorBidi" w:cstheme="majorBidi"/>
        </w:rPr>
        <w:t>.</w:t>
      </w:r>
    </w:p>
    <w:p w14:paraId="58CCC8A8" w14:textId="6C4C309B" w:rsidR="00976D93" w:rsidRPr="00D773F7" w:rsidRDefault="009E03EB" w:rsidP="00976D93">
      <w:pPr>
        <w:pStyle w:val="H1G"/>
        <w:rPr>
          <w:rFonts w:asciiTheme="majorBidi" w:hAnsiTheme="majorBidi" w:cstheme="majorBidi"/>
          <w:lang w:eastAsia="en-US"/>
        </w:rPr>
      </w:pPr>
      <w:r w:rsidRPr="00D773F7">
        <w:rPr>
          <w:rFonts w:asciiTheme="majorBidi" w:hAnsiTheme="majorBidi" w:cstheme="majorBidi"/>
          <w:b w:val="0"/>
          <w:sz w:val="20"/>
        </w:rPr>
        <w:tab/>
      </w:r>
      <w:r w:rsidRPr="00D773F7">
        <w:rPr>
          <w:rFonts w:asciiTheme="majorBidi" w:hAnsiTheme="majorBidi" w:cstheme="majorBidi"/>
          <w:b w:val="0"/>
          <w:sz w:val="20"/>
        </w:rPr>
        <w:tab/>
      </w:r>
      <w:r w:rsidR="00976D93" w:rsidRPr="00D773F7">
        <w:rPr>
          <w:rFonts w:asciiTheme="majorBidi" w:hAnsiTheme="majorBidi" w:cstheme="majorBidi"/>
          <w:lang w:eastAsia="en-US"/>
        </w:rPr>
        <w:t>Chapter 2.15</w:t>
      </w:r>
    </w:p>
    <w:p w14:paraId="4CB0CC19" w14:textId="3D4D9874" w:rsidR="00AB46FB" w:rsidRPr="00D773F7" w:rsidRDefault="00AB46FB" w:rsidP="00571EE6">
      <w:pPr>
        <w:pStyle w:val="SingleTxtG"/>
        <w:tabs>
          <w:tab w:val="clear" w:pos="1701"/>
        </w:tabs>
        <w:ind w:left="2268" w:hanging="1134"/>
        <w:rPr>
          <w:rFonts w:asciiTheme="majorBidi" w:hAnsiTheme="majorBidi" w:cstheme="majorBidi"/>
        </w:rPr>
      </w:pPr>
      <w:r w:rsidRPr="00D773F7">
        <w:rPr>
          <w:rFonts w:asciiTheme="majorBidi" w:hAnsiTheme="majorBidi" w:cstheme="majorBidi"/>
        </w:rPr>
        <w:t>2.15.3</w:t>
      </w:r>
      <w:r w:rsidRPr="00D773F7">
        <w:rPr>
          <w:rFonts w:asciiTheme="majorBidi" w:hAnsiTheme="majorBidi" w:cstheme="majorBidi"/>
        </w:rPr>
        <w:tab/>
      </w:r>
      <w:r w:rsidR="001370E0" w:rsidRPr="00D773F7">
        <w:rPr>
          <w:rFonts w:asciiTheme="majorBidi" w:hAnsiTheme="majorBidi" w:cstheme="majorBidi"/>
        </w:rPr>
        <w:t>Add</w:t>
      </w:r>
      <w:r w:rsidRPr="00D773F7">
        <w:rPr>
          <w:rFonts w:asciiTheme="majorBidi" w:hAnsiTheme="majorBidi" w:cstheme="majorBidi"/>
        </w:rPr>
        <w:t xml:space="preserve"> </w:t>
      </w:r>
      <w:r w:rsidR="00F84ABC" w:rsidRPr="00D773F7">
        <w:rPr>
          <w:rFonts w:asciiTheme="majorBidi" w:hAnsiTheme="majorBidi" w:cstheme="majorBidi"/>
        </w:rPr>
        <w:t xml:space="preserve">the following sentence at the end of the paragraph: </w:t>
      </w:r>
      <w:r w:rsidRPr="00D773F7">
        <w:rPr>
          <w:rFonts w:asciiTheme="majorBidi" w:hAnsiTheme="majorBidi" w:cstheme="majorBidi"/>
        </w:rPr>
        <w:t>“Table 2.15.1 presents specific label elements for substances and mixtures classified into this hazard class based on the criteria in this chapter.”.</w:t>
      </w:r>
    </w:p>
    <w:p w14:paraId="435FCB17" w14:textId="7322A0B8" w:rsidR="00A405B7" w:rsidRPr="00D773F7" w:rsidRDefault="00A405B7" w:rsidP="00A405B7">
      <w:pPr>
        <w:pStyle w:val="H1G"/>
        <w:rPr>
          <w:rFonts w:asciiTheme="majorBidi" w:hAnsiTheme="majorBidi" w:cstheme="majorBidi"/>
          <w:lang w:eastAsia="en-US"/>
        </w:rPr>
      </w:pPr>
      <w:r w:rsidRPr="00D773F7">
        <w:rPr>
          <w:rFonts w:asciiTheme="majorBidi" w:hAnsiTheme="majorBidi" w:cstheme="majorBidi"/>
          <w:lang w:eastAsia="en-US"/>
        </w:rPr>
        <w:tab/>
      </w:r>
      <w:r w:rsidRPr="00D773F7">
        <w:rPr>
          <w:rFonts w:asciiTheme="majorBidi" w:hAnsiTheme="majorBidi" w:cstheme="majorBidi"/>
          <w:lang w:eastAsia="en-US"/>
        </w:rPr>
        <w:tab/>
      </w:r>
      <w:r w:rsidRPr="00D773F7">
        <w:rPr>
          <w:rFonts w:asciiTheme="majorBidi" w:hAnsiTheme="majorBidi" w:cstheme="majorBidi"/>
          <w:lang w:eastAsia="en-US"/>
        </w:rPr>
        <w:tab/>
        <w:t>Chapter 2.16</w:t>
      </w:r>
    </w:p>
    <w:p w14:paraId="5E3810D5" w14:textId="169DF171" w:rsidR="00DA532C" w:rsidRPr="00D773F7" w:rsidRDefault="00DA532C" w:rsidP="00571EE6">
      <w:pPr>
        <w:pStyle w:val="SingleTxtG"/>
        <w:tabs>
          <w:tab w:val="clear" w:pos="1701"/>
        </w:tabs>
        <w:ind w:left="2268" w:hanging="1134"/>
        <w:rPr>
          <w:rFonts w:asciiTheme="majorBidi" w:hAnsiTheme="majorBidi" w:cstheme="majorBidi"/>
        </w:rPr>
      </w:pPr>
      <w:r w:rsidRPr="00D773F7">
        <w:rPr>
          <w:rFonts w:asciiTheme="majorBidi" w:hAnsiTheme="majorBidi" w:cstheme="majorBidi"/>
        </w:rPr>
        <w:t>2.16.3</w:t>
      </w:r>
      <w:r w:rsidRPr="00D773F7">
        <w:rPr>
          <w:rFonts w:asciiTheme="majorBidi" w:hAnsiTheme="majorBidi" w:cstheme="majorBidi"/>
        </w:rPr>
        <w:tab/>
      </w:r>
      <w:r w:rsidR="001370E0" w:rsidRPr="00D773F7">
        <w:rPr>
          <w:rFonts w:asciiTheme="majorBidi" w:hAnsiTheme="majorBidi" w:cstheme="majorBidi"/>
        </w:rPr>
        <w:t>Add</w:t>
      </w:r>
      <w:r w:rsidRPr="00D773F7">
        <w:rPr>
          <w:rFonts w:asciiTheme="majorBidi" w:hAnsiTheme="majorBidi" w:cstheme="majorBidi"/>
        </w:rPr>
        <w:t xml:space="preserve"> </w:t>
      </w:r>
      <w:r w:rsidR="00F84ABC" w:rsidRPr="00D773F7">
        <w:rPr>
          <w:rFonts w:asciiTheme="majorBidi" w:hAnsiTheme="majorBidi" w:cstheme="majorBidi"/>
        </w:rPr>
        <w:t xml:space="preserve">the following sentence at the end of the paragraph: </w:t>
      </w:r>
      <w:r w:rsidRPr="00D773F7">
        <w:rPr>
          <w:rFonts w:asciiTheme="majorBidi" w:hAnsiTheme="majorBidi" w:cstheme="majorBidi"/>
        </w:rPr>
        <w:t>“Table 2.16.2 presents specific label elements for substances and mixtures classified into this hazard class based on the criteria in this chapter.”.</w:t>
      </w:r>
    </w:p>
    <w:p w14:paraId="730BAFD4" w14:textId="67739319" w:rsidR="001C02BA" w:rsidRPr="00D773F7" w:rsidRDefault="001C02BA" w:rsidP="001C02BA">
      <w:pPr>
        <w:pStyle w:val="H1G"/>
        <w:rPr>
          <w:rFonts w:asciiTheme="majorBidi" w:hAnsiTheme="majorBidi" w:cstheme="majorBidi"/>
          <w:lang w:eastAsia="en-US"/>
        </w:rPr>
      </w:pPr>
      <w:r w:rsidRPr="00D773F7">
        <w:rPr>
          <w:rFonts w:asciiTheme="majorBidi" w:hAnsiTheme="majorBidi" w:cstheme="majorBidi"/>
          <w:lang w:eastAsia="en-US"/>
        </w:rPr>
        <w:tab/>
      </w:r>
      <w:r w:rsidRPr="00D773F7">
        <w:rPr>
          <w:rFonts w:asciiTheme="majorBidi" w:hAnsiTheme="majorBidi" w:cstheme="majorBidi"/>
          <w:lang w:eastAsia="en-US"/>
        </w:rPr>
        <w:tab/>
      </w:r>
      <w:r w:rsidRPr="00D773F7">
        <w:rPr>
          <w:rFonts w:asciiTheme="majorBidi" w:hAnsiTheme="majorBidi" w:cstheme="majorBidi"/>
          <w:lang w:eastAsia="en-US"/>
        </w:rPr>
        <w:tab/>
        <w:t>Chapter 2.17</w:t>
      </w:r>
    </w:p>
    <w:p w14:paraId="1A0E4728" w14:textId="0E93016E" w:rsidR="00957201" w:rsidRPr="00D773F7" w:rsidRDefault="00957201" w:rsidP="00957201">
      <w:pPr>
        <w:pStyle w:val="SingleTxtG"/>
        <w:rPr>
          <w:rFonts w:asciiTheme="majorBidi" w:hAnsiTheme="majorBidi" w:cstheme="majorBidi"/>
        </w:rPr>
      </w:pPr>
      <w:r w:rsidRPr="00D773F7">
        <w:rPr>
          <w:rFonts w:asciiTheme="majorBidi" w:hAnsiTheme="majorBidi" w:cstheme="majorBidi"/>
        </w:rPr>
        <w:t>2.17.1.1</w:t>
      </w:r>
      <w:r w:rsidRPr="00D773F7">
        <w:rPr>
          <w:rFonts w:asciiTheme="majorBidi" w:hAnsiTheme="majorBidi" w:cstheme="majorBidi"/>
        </w:rPr>
        <w:tab/>
        <w:t xml:space="preserve">Amend to </w:t>
      </w:r>
      <w:r w:rsidR="000A34A8" w:rsidRPr="00D773F7">
        <w:rPr>
          <w:rFonts w:asciiTheme="majorBidi" w:hAnsiTheme="majorBidi" w:cstheme="majorBidi"/>
        </w:rPr>
        <w:t xml:space="preserve">read </w:t>
      </w:r>
      <w:r w:rsidRPr="00D773F7">
        <w:rPr>
          <w:rFonts w:asciiTheme="majorBidi" w:hAnsiTheme="majorBidi" w:cstheme="majorBidi"/>
        </w:rPr>
        <w:t>as follows</w:t>
      </w:r>
      <w:r w:rsidR="000A34A8" w:rsidRPr="00D773F7">
        <w:rPr>
          <w:rFonts w:asciiTheme="majorBidi" w:hAnsiTheme="majorBidi" w:cstheme="majorBidi"/>
        </w:rPr>
        <w:t xml:space="preserve">: </w:t>
      </w:r>
    </w:p>
    <w:p w14:paraId="30CC7A89" w14:textId="20BD0DC4" w:rsidR="00957201" w:rsidRPr="00D773F7" w:rsidRDefault="00957201" w:rsidP="00B33D2A">
      <w:pPr>
        <w:pStyle w:val="SingleTxtG"/>
        <w:spacing w:before="240" w:after="0" w:line="240" w:lineRule="auto"/>
        <w:ind w:left="2268"/>
        <w:rPr>
          <w:rFonts w:asciiTheme="majorBidi" w:hAnsiTheme="majorBidi" w:cstheme="majorBidi"/>
          <w:lang w:val="en-US"/>
        </w:rPr>
      </w:pPr>
      <w:r w:rsidRPr="00D773F7">
        <w:rPr>
          <w:rFonts w:asciiTheme="majorBidi" w:hAnsiTheme="majorBidi" w:cstheme="majorBidi"/>
          <w:lang w:val="en-US"/>
        </w:rPr>
        <w:t>“2.17.1.1</w:t>
      </w:r>
      <w:r w:rsidRPr="00D773F7">
        <w:rPr>
          <w:rFonts w:asciiTheme="majorBidi" w:hAnsiTheme="majorBidi" w:cstheme="majorBidi"/>
          <w:lang w:val="en-US"/>
        </w:rPr>
        <w:tab/>
        <w:t xml:space="preserve">Desensitized explosives are substances and mixtures in the scope of </w:t>
      </w:r>
      <w:r w:rsidR="00170498" w:rsidRPr="00D773F7">
        <w:rPr>
          <w:rFonts w:asciiTheme="majorBidi" w:hAnsiTheme="majorBidi" w:cstheme="majorBidi"/>
          <w:lang w:val="en-US"/>
        </w:rPr>
        <w:t>c</w:t>
      </w:r>
      <w:r w:rsidRPr="00D773F7">
        <w:rPr>
          <w:rFonts w:asciiTheme="majorBidi" w:hAnsiTheme="majorBidi" w:cstheme="majorBidi"/>
          <w:lang w:val="en-US"/>
        </w:rPr>
        <w:t>hapter 2.1 which are phlegmatized to suppress their explosive properties in such a manner that they meet the criteria as specified in 2.17.2 and thus may be exempted from the hazard class “Explosives” (</w:t>
      </w:r>
      <w:r w:rsidR="00170498" w:rsidRPr="00D773F7">
        <w:rPr>
          <w:rFonts w:asciiTheme="majorBidi" w:hAnsiTheme="majorBidi" w:cstheme="majorBidi"/>
          <w:lang w:val="en-US"/>
        </w:rPr>
        <w:t>c</w:t>
      </w:r>
      <w:r w:rsidRPr="00D773F7">
        <w:rPr>
          <w:rFonts w:asciiTheme="majorBidi" w:hAnsiTheme="majorBidi" w:cstheme="majorBidi"/>
          <w:lang w:val="en-US"/>
        </w:rPr>
        <w:t>hapter 2.1; see paragraph 2.1.1.2.2).”.</w:t>
      </w:r>
    </w:p>
    <w:p w14:paraId="37196B5B" w14:textId="48C1796D" w:rsidR="00F03E7C" w:rsidRPr="00D773F7" w:rsidRDefault="00D5293C" w:rsidP="00F03E7C">
      <w:pPr>
        <w:pStyle w:val="SingleTxtG"/>
        <w:spacing w:before="240" w:after="0" w:line="240" w:lineRule="auto"/>
        <w:rPr>
          <w:rFonts w:asciiTheme="majorBidi" w:hAnsiTheme="majorBidi" w:cstheme="majorBidi"/>
        </w:rPr>
      </w:pPr>
      <w:r w:rsidRPr="00D773F7">
        <w:rPr>
          <w:rFonts w:asciiTheme="majorBidi" w:hAnsiTheme="majorBidi" w:cstheme="majorBidi"/>
        </w:rPr>
        <w:t>2.17.2</w:t>
      </w:r>
      <w:r w:rsidRPr="00D773F7">
        <w:rPr>
          <w:rFonts w:asciiTheme="majorBidi" w:hAnsiTheme="majorBidi" w:cstheme="majorBidi"/>
        </w:rPr>
        <w:tab/>
      </w:r>
      <w:r w:rsidR="00F03E7C" w:rsidRPr="00D773F7">
        <w:rPr>
          <w:rFonts w:asciiTheme="majorBidi" w:hAnsiTheme="majorBidi" w:cstheme="majorBidi"/>
        </w:rPr>
        <w:tab/>
        <w:t>Replace with the following:</w:t>
      </w:r>
    </w:p>
    <w:p w14:paraId="58CC5FDC" w14:textId="04A7DEC2" w:rsidR="00F03E7C" w:rsidRPr="00D773F7" w:rsidRDefault="00F03E7C" w:rsidP="00F03E7C">
      <w:pPr>
        <w:pStyle w:val="SingleTxtG"/>
        <w:spacing w:before="240" w:after="0" w:line="240" w:lineRule="auto"/>
        <w:ind w:left="2268"/>
        <w:rPr>
          <w:rFonts w:asciiTheme="majorBidi" w:hAnsiTheme="majorBidi" w:cstheme="majorBidi"/>
          <w:b/>
          <w:bCs/>
          <w:lang w:val="en-US"/>
        </w:rPr>
      </w:pPr>
      <w:r w:rsidRPr="00D773F7">
        <w:rPr>
          <w:rFonts w:asciiTheme="majorBidi" w:hAnsiTheme="majorBidi" w:cstheme="majorBidi"/>
          <w:b/>
          <w:bCs/>
          <w:lang w:val="en-US"/>
        </w:rPr>
        <w:t>“2.17.2</w:t>
      </w:r>
      <w:r w:rsidRPr="00D773F7">
        <w:rPr>
          <w:rFonts w:asciiTheme="majorBidi" w:hAnsiTheme="majorBidi" w:cstheme="majorBidi"/>
          <w:b/>
          <w:bCs/>
          <w:lang w:val="en-US"/>
        </w:rPr>
        <w:tab/>
        <w:t>Classification criteria</w:t>
      </w:r>
    </w:p>
    <w:p w14:paraId="33866C5D" w14:textId="5D71F7B3" w:rsidR="00F03E7C" w:rsidRPr="00D773F7" w:rsidRDefault="00F03E7C" w:rsidP="00F03E7C">
      <w:pPr>
        <w:pStyle w:val="SingleTxtG"/>
        <w:tabs>
          <w:tab w:val="left" w:pos="1134"/>
        </w:tabs>
        <w:spacing w:before="240" w:after="0" w:line="240" w:lineRule="auto"/>
        <w:ind w:left="2268"/>
        <w:rPr>
          <w:rFonts w:asciiTheme="majorBidi" w:hAnsiTheme="majorBidi" w:cstheme="majorBidi"/>
          <w:lang w:val="en-US"/>
        </w:rPr>
      </w:pPr>
      <w:r w:rsidRPr="00D773F7">
        <w:rPr>
          <w:rFonts w:asciiTheme="majorBidi" w:hAnsiTheme="majorBidi" w:cstheme="majorBidi"/>
          <w:lang w:val="en-US"/>
        </w:rPr>
        <w:t>2.17.2.1</w:t>
      </w:r>
      <w:r w:rsidRPr="00D773F7">
        <w:rPr>
          <w:rFonts w:asciiTheme="majorBidi" w:hAnsiTheme="majorBidi" w:cstheme="majorBidi"/>
          <w:lang w:val="en-US"/>
        </w:rPr>
        <w:tab/>
        <w:t>A</w:t>
      </w:r>
      <w:r w:rsidR="006E2E16" w:rsidRPr="00D773F7">
        <w:rPr>
          <w:rFonts w:asciiTheme="majorBidi" w:hAnsiTheme="majorBidi" w:cstheme="majorBidi"/>
          <w:lang w:val="en-US"/>
        </w:rPr>
        <w:t xml:space="preserve"> phlegmatized </w:t>
      </w:r>
      <w:r w:rsidRPr="00D773F7">
        <w:rPr>
          <w:rFonts w:asciiTheme="majorBidi" w:hAnsiTheme="majorBidi" w:cstheme="majorBidi"/>
          <w:lang w:val="en-US"/>
        </w:rPr>
        <w:t xml:space="preserve">explosive should be considered </w:t>
      </w:r>
      <w:r w:rsidR="00390E79" w:rsidRPr="00D773F7">
        <w:rPr>
          <w:rFonts w:asciiTheme="majorBidi" w:hAnsiTheme="majorBidi" w:cstheme="majorBidi"/>
          <w:lang w:val="en-US"/>
        </w:rPr>
        <w:t xml:space="preserve">for inclusion </w:t>
      </w:r>
      <w:r w:rsidRPr="00D773F7">
        <w:rPr>
          <w:rFonts w:asciiTheme="majorBidi" w:hAnsiTheme="majorBidi" w:cstheme="majorBidi"/>
          <w:lang w:val="en-US"/>
        </w:rPr>
        <w:t>in this class if, in that state, the exothermic decomposition energy is ≥ 300 J/g.</w:t>
      </w:r>
    </w:p>
    <w:p w14:paraId="46F805C6" w14:textId="520E8FEF" w:rsidR="00F03E7C" w:rsidRPr="00D773F7" w:rsidRDefault="00F03E7C" w:rsidP="00F03E7C">
      <w:pPr>
        <w:pStyle w:val="SingleTxtG"/>
        <w:spacing w:before="240" w:after="0" w:line="240" w:lineRule="auto"/>
        <w:ind w:left="2268"/>
        <w:rPr>
          <w:rFonts w:asciiTheme="majorBidi" w:hAnsiTheme="majorBidi" w:cstheme="majorBidi"/>
          <w:i/>
          <w:iCs/>
          <w:lang w:val="en-US"/>
        </w:rPr>
      </w:pPr>
      <w:r w:rsidRPr="00D773F7">
        <w:rPr>
          <w:rFonts w:asciiTheme="majorBidi" w:hAnsiTheme="majorBidi" w:cstheme="majorBidi"/>
          <w:b/>
          <w:bCs/>
          <w:i/>
          <w:iCs/>
          <w:lang w:val="en-US"/>
        </w:rPr>
        <w:t>NOTE 1</w:t>
      </w:r>
      <w:r w:rsidRPr="00D773F7">
        <w:rPr>
          <w:rFonts w:asciiTheme="majorBidi" w:hAnsiTheme="majorBidi" w:cstheme="majorBidi"/>
          <w:i/>
          <w:iCs/>
          <w:lang w:val="en-US"/>
        </w:rPr>
        <w:t>:</w:t>
      </w:r>
      <w:r w:rsidRPr="00D773F7">
        <w:rPr>
          <w:rFonts w:asciiTheme="majorBidi" w:hAnsiTheme="majorBidi" w:cstheme="majorBidi"/>
          <w:i/>
          <w:iCs/>
          <w:lang w:val="en-US"/>
        </w:rPr>
        <w:tab/>
        <w:t>The exothermic decomposition energy may be estimated using a suitable calorimetric technique (see section 20, subsection 20.3.3.3 in Part II of the Manual of Tests and Criteria).</w:t>
      </w:r>
    </w:p>
    <w:p w14:paraId="34025C8A" w14:textId="72E13515" w:rsidR="00F03E7C" w:rsidRPr="00D773F7" w:rsidRDefault="00F03E7C" w:rsidP="00F03E7C">
      <w:pPr>
        <w:pStyle w:val="SingleTxtG"/>
        <w:spacing w:before="240" w:after="0" w:line="240" w:lineRule="auto"/>
        <w:ind w:left="2268"/>
        <w:rPr>
          <w:rFonts w:asciiTheme="majorBidi" w:hAnsiTheme="majorBidi" w:cstheme="majorBidi"/>
          <w:i/>
          <w:iCs/>
          <w:lang w:val="en-US"/>
        </w:rPr>
      </w:pPr>
      <w:r w:rsidRPr="00D773F7">
        <w:rPr>
          <w:rFonts w:asciiTheme="majorBidi" w:hAnsiTheme="majorBidi" w:cstheme="majorBidi"/>
          <w:b/>
          <w:bCs/>
          <w:i/>
          <w:iCs/>
          <w:lang w:val="en-US"/>
        </w:rPr>
        <w:t>NOTE 2:</w:t>
      </w:r>
      <w:r w:rsidRPr="00D773F7">
        <w:rPr>
          <w:rFonts w:asciiTheme="majorBidi" w:hAnsiTheme="majorBidi" w:cstheme="majorBidi"/>
          <w:i/>
          <w:iCs/>
          <w:lang w:val="en-US"/>
        </w:rPr>
        <w:tab/>
        <w:t xml:space="preserve">Substances and mixtures with an exothermic decomposition energy &lt; 300 J/g should be considered for </w:t>
      </w:r>
      <w:r w:rsidR="00B4492A" w:rsidRPr="00D773F7">
        <w:rPr>
          <w:rFonts w:asciiTheme="majorBidi" w:hAnsiTheme="majorBidi" w:cstheme="majorBidi"/>
          <w:i/>
          <w:iCs/>
          <w:lang w:val="en-US"/>
        </w:rPr>
        <w:t xml:space="preserve">inclusion in </w:t>
      </w:r>
      <w:r w:rsidRPr="00D773F7">
        <w:rPr>
          <w:rFonts w:asciiTheme="majorBidi" w:hAnsiTheme="majorBidi" w:cstheme="majorBidi"/>
          <w:i/>
          <w:iCs/>
          <w:lang w:val="en-US"/>
        </w:rPr>
        <w:t>other physical hazard classes (e.g. as flammable liquids or flammable solids).</w:t>
      </w:r>
    </w:p>
    <w:p w14:paraId="59A4EB47" w14:textId="2B39D02E" w:rsidR="00F03E7C" w:rsidRPr="00D773F7" w:rsidRDefault="00F03E7C" w:rsidP="00F03E7C">
      <w:pPr>
        <w:pStyle w:val="SingleTxtG"/>
        <w:spacing w:before="240"/>
        <w:ind w:left="2268"/>
        <w:rPr>
          <w:rFonts w:asciiTheme="majorBidi" w:hAnsiTheme="majorBidi" w:cstheme="majorBidi"/>
        </w:rPr>
      </w:pPr>
      <w:r w:rsidRPr="00D773F7">
        <w:rPr>
          <w:rFonts w:asciiTheme="majorBidi" w:hAnsiTheme="majorBidi" w:cstheme="majorBidi"/>
        </w:rPr>
        <w:lastRenderedPageBreak/>
        <w:t>2.17.2.2</w:t>
      </w:r>
      <w:r w:rsidRPr="00D773F7">
        <w:rPr>
          <w:rFonts w:asciiTheme="majorBidi" w:hAnsiTheme="majorBidi" w:cstheme="majorBidi"/>
        </w:rPr>
        <w:tab/>
        <w:t xml:space="preserve">A </w:t>
      </w:r>
      <w:r w:rsidR="0006066B" w:rsidRPr="00D773F7">
        <w:rPr>
          <w:rFonts w:asciiTheme="majorBidi" w:hAnsiTheme="majorBidi" w:cstheme="majorBidi"/>
        </w:rPr>
        <w:t xml:space="preserve">phlegmatized </w:t>
      </w:r>
      <w:r w:rsidRPr="00D773F7">
        <w:rPr>
          <w:rFonts w:asciiTheme="majorBidi" w:hAnsiTheme="majorBidi" w:cstheme="majorBidi"/>
        </w:rPr>
        <w:t xml:space="preserve">explosive should be considered </w:t>
      </w:r>
      <w:r w:rsidR="00C87CE7" w:rsidRPr="00D773F7">
        <w:rPr>
          <w:rFonts w:asciiTheme="majorBidi" w:hAnsiTheme="majorBidi" w:cstheme="majorBidi"/>
        </w:rPr>
        <w:t xml:space="preserve">for inclusion </w:t>
      </w:r>
      <w:r w:rsidRPr="00D773F7">
        <w:rPr>
          <w:rFonts w:asciiTheme="majorBidi" w:hAnsiTheme="majorBidi" w:cstheme="majorBidi"/>
        </w:rPr>
        <w:t>in this class if, in that state, it meets the following criteria:</w:t>
      </w:r>
    </w:p>
    <w:p w14:paraId="26E2F822" w14:textId="77777777" w:rsidR="00F03E7C" w:rsidRPr="00D773F7" w:rsidRDefault="00F03E7C" w:rsidP="00F03E7C">
      <w:pPr>
        <w:tabs>
          <w:tab w:val="left" w:pos="1560"/>
        </w:tabs>
        <w:spacing w:before="120" w:line="240" w:lineRule="auto"/>
        <w:ind w:left="2694" w:right="1134" w:hanging="426"/>
        <w:jc w:val="both"/>
        <w:rPr>
          <w:rFonts w:asciiTheme="majorBidi" w:hAnsiTheme="majorBidi" w:cstheme="majorBidi"/>
          <w:lang w:val="en-US"/>
        </w:rPr>
      </w:pPr>
      <w:r w:rsidRPr="00D773F7">
        <w:rPr>
          <w:rFonts w:asciiTheme="majorBidi" w:hAnsiTheme="majorBidi" w:cstheme="majorBidi"/>
          <w:lang w:val="en-US"/>
        </w:rPr>
        <w:t>(a)</w:t>
      </w:r>
      <w:r w:rsidRPr="00D773F7">
        <w:rPr>
          <w:rFonts w:asciiTheme="majorBidi" w:hAnsiTheme="majorBidi" w:cstheme="majorBidi"/>
          <w:lang w:val="en-US"/>
        </w:rPr>
        <w:tab/>
        <w:t>It is not intended to produce a practical explosive or pyrotechnic effect; and</w:t>
      </w:r>
    </w:p>
    <w:p w14:paraId="6C55F50F" w14:textId="58778B84" w:rsidR="00F03E7C" w:rsidRPr="00D773F7" w:rsidRDefault="00F03E7C" w:rsidP="00F03E7C">
      <w:pPr>
        <w:tabs>
          <w:tab w:val="left" w:pos="1560"/>
        </w:tabs>
        <w:spacing w:before="120" w:line="240" w:lineRule="auto"/>
        <w:ind w:left="2694" w:right="1134" w:hanging="426"/>
        <w:jc w:val="both"/>
        <w:rPr>
          <w:rFonts w:asciiTheme="majorBidi" w:hAnsiTheme="majorBidi" w:cstheme="majorBidi"/>
          <w:lang w:val="en-US"/>
        </w:rPr>
      </w:pPr>
      <w:r w:rsidRPr="00D773F7">
        <w:rPr>
          <w:rFonts w:asciiTheme="majorBidi" w:hAnsiTheme="majorBidi" w:cstheme="majorBidi"/>
          <w:lang w:val="en-US"/>
        </w:rPr>
        <w:t>(b)</w:t>
      </w:r>
      <w:r w:rsidRPr="00D773F7">
        <w:rPr>
          <w:rFonts w:asciiTheme="majorBidi" w:hAnsiTheme="majorBidi" w:cstheme="majorBidi"/>
          <w:lang w:val="en-US"/>
        </w:rPr>
        <w:tab/>
        <w:t>it is phlegmatized to an extent that</w:t>
      </w:r>
      <w:r w:rsidR="00CC2BA9" w:rsidRPr="00D773F7">
        <w:rPr>
          <w:rFonts w:asciiTheme="majorBidi" w:hAnsiTheme="majorBidi" w:cstheme="majorBidi"/>
          <w:lang w:val="en-US"/>
        </w:rPr>
        <w:t>:</w:t>
      </w:r>
    </w:p>
    <w:p w14:paraId="38A72FF1" w14:textId="63F42EC7" w:rsidR="00F03E7C" w:rsidRPr="00D773F7" w:rsidRDefault="00F03E7C" w:rsidP="00F03E7C">
      <w:pPr>
        <w:tabs>
          <w:tab w:val="left" w:pos="3119"/>
        </w:tabs>
        <w:spacing w:before="120" w:line="240" w:lineRule="auto"/>
        <w:ind w:left="3119" w:right="1134" w:hanging="425"/>
        <w:jc w:val="both"/>
        <w:rPr>
          <w:rFonts w:asciiTheme="majorBidi" w:hAnsiTheme="majorBidi" w:cstheme="majorBidi"/>
          <w:lang w:val="en-US"/>
        </w:rPr>
      </w:pPr>
      <w:r w:rsidRPr="00D773F7">
        <w:rPr>
          <w:rFonts w:asciiTheme="majorBidi" w:hAnsiTheme="majorBidi" w:cstheme="majorBidi"/>
          <w:lang w:val="en-US"/>
        </w:rPr>
        <w:t>(</w:t>
      </w:r>
      <w:proofErr w:type="spellStart"/>
      <w:r w:rsidRPr="00D773F7">
        <w:rPr>
          <w:rFonts w:asciiTheme="majorBidi" w:hAnsiTheme="majorBidi" w:cstheme="majorBidi"/>
          <w:lang w:val="en-US"/>
        </w:rPr>
        <w:t>i</w:t>
      </w:r>
      <w:proofErr w:type="spellEnd"/>
      <w:r w:rsidRPr="00D773F7">
        <w:rPr>
          <w:rFonts w:asciiTheme="majorBidi" w:hAnsiTheme="majorBidi" w:cstheme="majorBidi"/>
          <w:lang w:val="en-US"/>
        </w:rPr>
        <w:t>)</w:t>
      </w:r>
      <w:r w:rsidRPr="00D773F7">
        <w:rPr>
          <w:rFonts w:asciiTheme="majorBidi" w:hAnsiTheme="majorBidi" w:cstheme="majorBidi"/>
          <w:lang w:val="en-US"/>
        </w:rPr>
        <w:tab/>
        <w:t xml:space="preserve">it has no mass explosion hazard </w:t>
      </w:r>
      <w:r w:rsidR="00035B19" w:rsidRPr="00D773F7">
        <w:rPr>
          <w:rFonts w:asciiTheme="majorBidi" w:hAnsiTheme="majorBidi" w:cstheme="majorBidi"/>
          <w:lang w:val="en-US"/>
        </w:rPr>
        <w:t>in accordance with</w:t>
      </w:r>
      <w:r w:rsidRPr="00D773F7">
        <w:rPr>
          <w:rFonts w:asciiTheme="majorBidi" w:hAnsiTheme="majorBidi" w:cstheme="majorBidi"/>
          <w:lang w:val="en-US"/>
        </w:rPr>
        <w:t xml:space="preserve"> test 6 (a) or 6 (b) of the </w:t>
      </w:r>
      <w:r w:rsidRPr="00D773F7">
        <w:rPr>
          <w:rFonts w:asciiTheme="majorBidi" w:hAnsiTheme="majorBidi" w:cstheme="majorBidi"/>
          <w:i/>
          <w:iCs/>
          <w:lang w:val="en-US"/>
        </w:rPr>
        <w:t>Manual of Tests and Criteria</w:t>
      </w:r>
      <w:r w:rsidRPr="00D773F7">
        <w:rPr>
          <w:rFonts w:asciiTheme="majorBidi" w:hAnsiTheme="majorBidi" w:cstheme="majorBidi"/>
          <w:lang w:val="en-US"/>
        </w:rPr>
        <w:t>; and</w:t>
      </w:r>
    </w:p>
    <w:p w14:paraId="00E7152F" w14:textId="29B37FBB" w:rsidR="00F03E7C" w:rsidRPr="00D773F7" w:rsidRDefault="00F03E7C" w:rsidP="00F03E7C">
      <w:pPr>
        <w:tabs>
          <w:tab w:val="left" w:pos="3119"/>
        </w:tabs>
        <w:spacing w:before="120" w:line="240" w:lineRule="auto"/>
        <w:ind w:left="3119" w:right="1134" w:hanging="425"/>
        <w:jc w:val="both"/>
        <w:rPr>
          <w:rFonts w:asciiTheme="majorBidi" w:hAnsiTheme="majorBidi" w:cstheme="majorBidi"/>
          <w:lang w:val="en-US"/>
        </w:rPr>
      </w:pPr>
      <w:r w:rsidRPr="00D773F7">
        <w:rPr>
          <w:rFonts w:asciiTheme="majorBidi" w:hAnsiTheme="majorBidi" w:cstheme="majorBidi"/>
          <w:lang w:val="en-US"/>
        </w:rPr>
        <w:t>(ii)</w:t>
      </w:r>
      <w:r w:rsidRPr="00D773F7">
        <w:rPr>
          <w:rFonts w:asciiTheme="majorBidi" w:hAnsiTheme="majorBidi" w:cstheme="majorBidi"/>
          <w:lang w:val="en-US"/>
        </w:rPr>
        <w:tab/>
        <w:t xml:space="preserve">it is not too sensitive or thermally unstable </w:t>
      </w:r>
      <w:r w:rsidR="00035B19" w:rsidRPr="00D773F7">
        <w:rPr>
          <w:rFonts w:asciiTheme="majorBidi" w:hAnsiTheme="majorBidi" w:cstheme="majorBidi"/>
          <w:lang w:val="en-US"/>
        </w:rPr>
        <w:t xml:space="preserve">in accordance with </w:t>
      </w:r>
      <w:r w:rsidRPr="00D773F7">
        <w:rPr>
          <w:rFonts w:asciiTheme="majorBidi" w:hAnsiTheme="majorBidi" w:cstheme="majorBidi"/>
          <w:lang w:val="en-US"/>
        </w:rPr>
        <w:t xml:space="preserve">test series 3 of the </w:t>
      </w:r>
      <w:r w:rsidRPr="00D773F7">
        <w:rPr>
          <w:rFonts w:asciiTheme="majorBidi" w:hAnsiTheme="majorBidi" w:cstheme="majorBidi"/>
          <w:i/>
          <w:iCs/>
          <w:lang w:val="en-US"/>
        </w:rPr>
        <w:t>Manual of Tests and Criteria</w:t>
      </w:r>
      <w:r w:rsidRPr="00D773F7">
        <w:rPr>
          <w:rFonts w:asciiTheme="majorBidi" w:hAnsiTheme="majorBidi" w:cstheme="majorBidi"/>
          <w:lang w:val="en-US"/>
        </w:rPr>
        <w:t>;</w:t>
      </w:r>
    </w:p>
    <w:p w14:paraId="3C245D61" w14:textId="57285D30" w:rsidR="00F03E7C" w:rsidRPr="00D773F7" w:rsidRDefault="00F03E7C" w:rsidP="00F03E7C">
      <w:pPr>
        <w:tabs>
          <w:tab w:val="left" w:pos="3119"/>
        </w:tabs>
        <w:spacing w:before="120" w:line="240" w:lineRule="auto"/>
        <w:ind w:left="3119" w:right="1134" w:hanging="425"/>
        <w:jc w:val="both"/>
        <w:rPr>
          <w:rFonts w:asciiTheme="majorBidi" w:hAnsiTheme="majorBidi" w:cstheme="majorBidi"/>
          <w:lang w:val="en-US"/>
        </w:rPr>
      </w:pPr>
      <w:r w:rsidRPr="00D773F7">
        <w:rPr>
          <w:rFonts w:asciiTheme="majorBidi" w:hAnsiTheme="majorBidi" w:cstheme="majorBidi"/>
          <w:lang w:val="en-US"/>
        </w:rPr>
        <w:t>or that</w:t>
      </w:r>
    </w:p>
    <w:p w14:paraId="5A1F19A5" w14:textId="6637F0F0" w:rsidR="00F03E7C" w:rsidRPr="00D773F7" w:rsidRDefault="00F03E7C" w:rsidP="00F03E7C">
      <w:pPr>
        <w:tabs>
          <w:tab w:val="left" w:pos="3119"/>
        </w:tabs>
        <w:spacing w:before="120" w:line="240" w:lineRule="auto"/>
        <w:ind w:left="3119" w:right="1134" w:hanging="425"/>
        <w:jc w:val="both"/>
        <w:rPr>
          <w:rFonts w:asciiTheme="majorBidi" w:hAnsiTheme="majorBidi" w:cstheme="majorBidi"/>
          <w:lang w:val="en-US"/>
        </w:rPr>
      </w:pPr>
      <w:r w:rsidRPr="00D773F7">
        <w:rPr>
          <w:rFonts w:asciiTheme="majorBidi" w:hAnsiTheme="majorBidi" w:cstheme="majorBidi"/>
          <w:lang w:val="en-US"/>
        </w:rPr>
        <w:t>(iii)</w:t>
      </w:r>
      <w:r w:rsidRPr="00D773F7">
        <w:rPr>
          <w:rFonts w:asciiTheme="majorBidi" w:hAnsiTheme="majorBidi" w:cstheme="majorBidi"/>
          <w:lang w:val="en-US"/>
        </w:rPr>
        <w:tab/>
        <w:t xml:space="preserve">it is too insensitive for inclusion into in the class of explosives </w:t>
      </w:r>
      <w:r w:rsidR="00035B19" w:rsidRPr="00D773F7">
        <w:rPr>
          <w:rFonts w:asciiTheme="majorBidi" w:hAnsiTheme="majorBidi" w:cstheme="majorBidi"/>
          <w:lang w:val="en-US"/>
        </w:rPr>
        <w:t xml:space="preserve">in accordance with </w:t>
      </w:r>
      <w:r w:rsidRPr="00D773F7">
        <w:rPr>
          <w:rFonts w:asciiTheme="majorBidi" w:hAnsiTheme="majorBidi" w:cstheme="majorBidi"/>
          <w:lang w:val="en-US"/>
        </w:rPr>
        <w:t xml:space="preserve">test series 2 of the </w:t>
      </w:r>
      <w:r w:rsidRPr="00D773F7">
        <w:rPr>
          <w:rFonts w:asciiTheme="majorBidi" w:hAnsiTheme="majorBidi" w:cstheme="majorBidi"/>
          <w:i/>
          <w:iCs/>
          <w:lang w:val="en-US"/>
        </w:rPr>
        <w:t>Manual of Tests and Criteria</w:t>
      </w:r>
      <w:r w:rsidRPr="00D773F7">
        <w:rPr>
          <w:rFonts w:asciiTheme="majorBidi" w:hAnsiTheme="majorBidi" w:cstheme="majorBidi"/>
          <w:lang w:val="en-US"/>
        </w:rPr>
        <w:t>; and</w:t>
      </w:r>
    </w:p>
    <w:p w14:paraId="7627B836" w14:textId="03E901D7" w:rsidR="00F03E7C" w:rsidRPr="00D773F7" w:rsidRDefault="00F03E7C" w:rsidP="00F03E7C">
      <w:pPr>
        <w:tabs>
          <w:tab w:val="left" w:pos="1560"/>
        </w:tabs>
        <w:spacing w:before="120" w:line="240" w:lineRule="auto"/>
        <w:ind w:left="2835" w:right="1134" w:hanging="567"/>
        <w:jc w:val="both"/>
        <w:rPr>
          <w:rFonts w:asciiTheme="majorBidi" w:hAnsiTheme="majorBidi" w:cstheme="majorBidi"/>
          <w:lang w:val="en-US"/>
        </w:rPr>
      </w:pPr>
      <w:r w:rsidRPr="00D773F7">
        <w:rPr>
          <w:rFonts w:asciiTheme="majorBidi" w:hAnsiTheme="majorBidi" w:cstheme="majorBidi"/>
          <w:lang w:val="en-US"/>
        </w:rPr>
        <w:t>(c)</w:t>
      </w:r>
      <w:r w:rsidRPr="00D773F7">
        <w:rPr>
          <w:rFonts w:asciiTheme="majorBidi" w:hAnsiTheme="majorBidi" w:cstheme="majorBidi"/>
          <w:lang w:val="en-US"/>
        </w:rPr>
        <w:tab/>
        <w:t xml:space="preserve">it </w:t>
      </w:r>
      <w:r w:rsidR="00035B19" w:rsidRPr="00D773F7">
        <w:rPr>
          <w:rFonts w:asciiTheme="majorBidi" w:hAnsiTheme="majorBidi" w:cstheme="majorBidi"/>
          <w:lang w:val="en-US"/>
        </w:rPr>
        <w:t xml:space="preserve">presents </w:t>
      </w:r>
      <w:r w:rsidRPr="00D773F7">
        <w:rPr>
          <w:rFonts w:asciiTheme="majorBidi" w:hAnsiTheme="majorBidi" w:cstheme="majorBidi"/>
          <w:lang w:val="en-US"/>
        </w:rPr>
        <w:t xml:space="preserve">no mass explosion hazard and </w:t>
      </w:r>
      <w:r w:rsidR="00035B19" w:rsidRPr="00D773F7">
        <w:rPr>
          <w:rFonts w:asciiTheme="majorBidi" w:hAnsiTheme="majorBidi" w:cstheme="majorBidi"/>
          <w:lang w:val="en-US"/>
        </w:rPr>
        <w:t xml:space="preserve">has </w:t>
      </w:r>
      <w:r w:rsidRPr="00D773F7">
        <w:rPr>
          <w:rFonts w:asciiTheme="majorBidi" w:hAnsiTheme="majorBidi" w:cstheme="majorBidi"/>
          <w:lang w:val="en-US"/>
        </w:rPr>
        <w:t xml:space="preserve">a corrected burning rate ≤ 1200 kg/min </w:t>
      </w:r>
      <w:r w:rsidR="00496C5D" w:rsidRPr="00D773F7">
        <w:rPr>
          <w:rFonts w:asciiTheme="majorBidi" w:hAnsiTheme="majorBidi" w:cstheme="majorBidi"/>
          <w:lang w:val="en-US"/>
        </w:rPr>
        <w:t>in accordance with</w:t>
      </w:r>
      <w:r w:rsidRPr="00D773F7">
        <w:rPr>
          <w:rFonts w:asciiTheme="majorBidi" w:hAnsiTheme="majorBidi" w:cstheme="majorBidi"/>
          <w:lang w:val="en-US"/>
        </w:rPr>
        <w:t xml:space="preserve"> the burning rate test of subsection 51.4 of the </w:t>
      </w:r>
      <w:r w:rsidRPr="00D773F7">
        <w:rPr>
          <w:rFonts w:asciiTheme="majorBidi" w:hAnsiTheme="majorBidi" w:cstheme="majorBidi"/>
          <w:i/>
          <w:iCs/>
          <w:lang w:val="en-US"/>
        </w:rPr>
        <w:t>Manual of Tests and Criteria</w:t>
      </w:r>
      <w:r w:rsidRPr="00D773F7">
        <w:rPr>
          <w:rFonts w:asciiTheme="majorBidi" w:hAnsiTheme="majorBidi" w:cstheme="majorBidi"/>
          <w:lang w:val="en-US"/>
        </w:rPr>
        <w:t>.</w:t>
      </w:r>
    </w:p>
    <w:p w14:paraId="6CD2F7AF" w14:textId="3622F5D8" w:rsidR="00F03E7C" w:rsidRPr="00D773F7" w:rsidRDefault="00F03E7C" w:rsidP="00F03E7C">
      <w:pPr>
        <w:pStyle w:val="SingleTxtG"/>
        <w:spacing w:before="240" w:after="0" w:line="240" w:lineRule="auto"/>
        <w:ind w:left="2268"/>
        <w:rPr>
          <w:rFonts w:asciiTheme="majorBidi" w:hAnsiTheme="majorBidi" w:cstheme="majorBidi"/>
          <w:i/>
          <w:iCs/>
          <w:lang w:val="en-US"/>
        </w:rPr>
      </w:pPr>
      <w:r w:rsidRPr="00D773F7">
        <w:rPr>
          <w:rFonts w:asciiTheme="majorBidi" w:hAnsiTheme="majorBidi" w:cstheme="majorBidi"/>
          <w:b/>
          <w:bCs/>
          <w:i/>
          <w:iCs/>
          <w:lang w:val="en-US"/>
        </w:rPr>
        <w:t>NOTE:</w:t>
      </w:r>
      <w:r w:rsidRPr="00D773F7">
        <w:rPr>
          <w:rFonts w:asciiTheme="majorBidi" w:hAnsiTheme="majorBidi" w:cstheme="majorBidi"/>
          <w:b/>
          <w:bCs/>
          <w:i/>
          <w:iCs/>
          <w:lang w:val="en-US"/>
        </w:rPr>
        <w:tab/>
      </w:r>
      <w:r w:rsidR="00496C5D" w:rsidRPr="00D773F7">
        <w:rPr>
          <w:rFonts w:asciiTheme="majorBidi" w:hAnsiTheme="majorBidi" w:cstheme="majorBidi"/>
          <w:i/>
          <w:iCs/>
          <w:lang w:val="en-US"/>
        </w:rPr>
        <w:t>Phlegmatized explosives</w:t>
      </w:r>
      <w:r w:rsidRPr="00D773F7">
        <w:rPr>
          <w:rFonts w:asciiTheme="majorBidi" w:hAnsiTheme="majorBidi" w:cstheme="majorBidi"/>
          <w:i/>
          <w:iCs/>
          <w:lang w:val="en-US"/>
        </w:rPr>
        <w:t xml:space="preserve"> which do not meet the criteria of 2.17.2.2 should be classified as explosives (see </w:t>
      </w:r>
      <w:r w:rsidR="00170498" w:rsidRPr="00D773F7">
        <w:rPr>
          <w:rFonts w:asciiTheme="majorBidi" w:hAnsiTheme="majorBidi" w:cstheme="majorBidi"/>
          <w:i/>
          <w:iCs/>
          <w:lang w:val="en-US"/>
        </w:rPr>
        <w:t>c</w:t>
      </w:r>
      <w:r w:rsidRPr="00D773F7">
        <w:rPr>
          <w:rFonts w:asciiTheme="majorBidi" w:hAnsiTheme="majorBidi" w:cstheme="majorBidi"/>
          <w:i/>
          <w:iCs/>
          <w:lang w:val="en-US"/>
        </w:rPr>
        <w:t>hapter 2.1).</w:t>
      </w:r>
    </w:p>
    <w:p w14:paraId="7474EF61" w14:textId="20B4F823" w:rsidR="00F03E7C" w:rsidRPr="00D773F7" w:rsidRDefault="00F03E7C" w:rsidP="00F03E7C">
      <w:pPr>
        <w:pStyle w:val="SingleTxtG"/>
        <w:tabs>
          <w:tab w:val="left" w:pos="1134"/>
        </w:tabs>
        <w:spacing w:before="240" w:after="0" w:line="240" w:lineRule="auto"/>
        <w:ind w:left="2268"/>
        <w:rPr>
          <w:rFonts w:asciiTheme="majorBidi" w:hAnsiTheme="majorBidi" w:cstheme="majorBidi"/>
          <w:lang w:val="en-US"/>
        </w:rPr>
      </w:pPr>
      <w:r w:rsidRPr="00D773F7">
        <w:rPr>
          <w:rFonts w:asciiTheme="majorBidi" w:hAnsiTheme="majorBidi" w:cstheme="majorBidi"/>
          <w:lang w:val="en-US"/>
        </w:rPr>
        <w:t>2.17.2.3</w:t>
      </w:r>
      <w:r w:rsidRPr="00D773F7">
        <w:rPr>
          <w:rFonts w:asciiTheme="majorBidi" w:hAnsiTheme="majorBidi" w:cstheme="majorBidi"/>
          <w:lang w:val="en-US"/>
        </w:rPr>
        <w:tab/>
        <w:t xml:space="preserve">In addition to the criteria in 2.17.2.1 and 2.17.2.2, nitrocellulose should be stable </w:t>
      </w:r>
      <w:r w:rsidR="000D4E05" w:rsidRPr="00D773F7">
        <w:rPr>
          <w:rFonts w:asciiTheme="majorBidi" w:hAnsiTheme="majorBidi" w:cstheme="majorBidi"/>
          <w:lang w:val="en-US"/>
        </w:rPr>
        <w:t>in accordance with</w:t>
      </w:r>
      <w:r w:rsidRPr="00D773F7">
        <w:rPr>
          <w:rFonts w:asciiTheme="majorBidi" w:hAnsiTheme="majorBidi" w:cstheme="majorBidi"/>
          <w:lang w:val="en-US"/>
        </w:rPr>
        <w:t xml:space="preserve"> </w:t>
      </w:r>
      <w:r w:rsidR="00E139AD">
        <w:rPr>
          <w:rFonts w:asciiTheme="majorBidi" w:hAnsiTheme="majorBidi" w:cstheme="majorBidi"/>
          <w:lang w:val="en-US"/>
        </w:rPr>
        <w:t>a</w:t>
      </w:r>
      <w:r w:rsidRPr="00D773F7">
        <w:rPr>
          <w:rFonts w:asciiTheme="majorBidi" w:hAnsiTheme="majorBidi" w:cstheme="majorBidi"/>
          <w:lang w:val="en-US"/>
        </w:rPr>
        <w:t xml:space="preserve">ppendix 10 of the </w:t>
      </w:r>
      <w:r w:rsidRPr="00D773F7">
        <w:rPr>
          <w:rFonts w:asciiTheme="majorBidi" w:hAnsiTheme="majorBidi" w:cstheme="majorBidi"/>
          <w:i/>
          <w:iCs/>
          <w:lang w:val="en-US"/>
        </w:rPr>
        <w:t>Manual of Tests and Criteria</w:t>
      </w:r>
      <w:r w:rsidRPr="00D773F7">
        <w:rPr>
          <w:rFonts w:asciiTheme="majorBidi" w:hAnsiTheme="majorBidi" w:cstheme="majorBidi"/>
          <w:lang w:val="en-US"/>
        </w:rPr>
        <w:t xml:space="preserve"> in order to be used in nitrocellulose mixtures considered for this class</w:t>
      </w:r>
      <w:r w:rsidRPr="00D773F7">
        <w:rPr>
          <w:rFonts w:asciiTheme="majorBidi" w:hAnsiTheme="majorBidi" w:cstheme="majorBidi"/>
          <w:i/>
          <w:iCs/>
          <w:lang w:val="en-US"/>
        </w:rPr>
        <w:t>.</w:t>
      </w:r>
    </w:p>
    <w:p w14:paraId="4510515A" w14:textId="7AC1BA93" w:rsidR="00F03E7C" w:rsidRPr="00D773F7" w:rsidRDefault="00F03E7C" w:rsidP="000931AA">
      <w:pPr>
        <w:pStyle w:val="SingleTxtG"/>
        <w:spacing w:before="240" w:after="240" w:line="240" w:lineRule="auto"/>
        <w:ind w:left="2268"/>
        <w:rPr>
          <w:rFonts w:asciiTheme="majorBidi" w:hAnsiTheme="majorBidi" w:cstheme="majorBidi"/>
          <w:i/>
          <w:iCs/>
          <w:lang w:val="en-US"/>
        </w:rPr>
      </w:pPr>
      <w:r w:rsidRPr="00D773F7">
        <w:rPr>
          <w:rFonts w:asciiTheme="majorBidi" w:hAnsiTheme="majorBidi" w:cstheme="majorBidi"/>
          <w:b/>
          <w:bCs/>
          <w:i/>
          <w:iCs/>
          <w:lang w:val="en-US"/>
        </w:rPr>
        <w:t>NOTE:</w:t>
      </w:r>
      <w:r w:rsidRPr="00D773F7">
        <w:rPr>
          <w:rFonts w:asciiTheme="majorBidi" w:hAnsiTheme="majorBidi" w:cstheme="majorBidi"/>
          <w:b/>
          <w:bCs/>
          <w:i/>
          <w:iCs/>
          <w:lang w:val="en-US"/>
        </w:rPr>
        <w:tab/>
      </w:r>
      <w:r w:rsidRPr="00D773F7">
        <w:rPr>
          <w:rFonts w:asciiTheme="majorBidi" w:hAnsiTheme="majorBidi" w:cstheme="majorBidi"/>
          <w:i/>
          <w:iCs/>
          <w:lang w:val="en-US"/>
        </w:rPr>
        <w:t xml:space="preserve">Nitrocellulose mixtures containing no explosives </w:t>
      </w:r>
      <w:r w:rsidR="000D4E05" w:rsidRPr="00D773F7">
        <w:rPr>
          <w:rFonts w:asciiTheme="majorBidi" w:hAnsiTheme="majorBidi" w:cstheme="majorBidi"/>
          <w:i/>
          <w:iCs/>
          <w:lang w:val="en-US"/>
        </w:rPr>
        <w:t xml:space="preserve">other </w:t>
      </w:r>
      <w:r w:rsidRPr="00D773F7">
        <w:rPr>
          <w:rFonts w:asciiTheme="majorBidi" w:hAnsiTheme="majorBidi" w:cstheme="majorBidi"/>
          <w:i/>
          <w:iCs/>
          <w:lang w:val="en-US"/>
        </w:rPr>
        <w:t>than nitrocellulose, do not need to meet the criterion of 2.17.2.2 (b) (ii).”.</w:t>
      </w:r>
    </w:p>
    <w:p w14:paraId="6911D1DD" w14:textId="335B174C" w:rsidR="000931AA" w:rsidRPr="00D773F7" w:rsidRDefault="009C3C4E" w:rsidP="00DB4F22">
      <w:pPr>
        <w:pStyle w:val="SingleTxtG"/>
        <w:ind w:left="2268" w:hanging="1134"/>
        <w:rPr>
          <w:rFonts w:asciiTheme="majorBidi" w:hAnsiTheme="majorBidi" w:cstheme="majorBidi"/>
        </w:rPr>
      </w:pPr>
      <w:r w:rsidRPr="00D773F7">
        <w:rPr>
          <w:rFonts w:asciiTheme="majorBidi" w:hAnsiTheme="majorBidi" w:cstheme="majorBidi"/>
        </w:rPr>
        <w:t xml:space="preserve">2.17.2.4 (new, former 2.17.2.2) </w:t>
      </w:r>
      <w:r w:rsidRPr="00D773F7">
        <w:rPr>
          <w:rFonts w:asciiTheme="majorBidi" w:hAnsiTheme="majorBidi" w:cstheme="majorBidi"/>
        </w:rPr>
        <w:tab/>
      </w:r>
      <w:r w:rsidR="000931AA" w:rsidRPr="00D773F7">
        <w:rPr>
          <w:rFonts w:asciiTheme="majorBidi" w:hAnsiTheme="majorBidi" w:cstheme="majorBidi"/>
        </w:rPr>
        <w:t>Current paragraph 2.17.2.2 becomes new paragraph</w:t>
      </w:r>
      <w:r w:rsidR="008825F5" w:rsidRPr="00D773F7">
        <w:rPr>
          <w:rFonts w:asciiTheme="majorBidi" w:hAnsiTheme="majorBidi" w:cstheme="majorBidi"/>
        </w:rPr>
        <w:t> </w:t>
      </w:r>
      <w:r w:rsidR="000931AA" w:rsidRPr="00D773F7">
        <w:rPr>
          <w:rFonts w:asciiTheme="majorBidi" w:hAnsiTheme="majorBidi" w:cstheme="majorBidi"/>
        </w:rPr>
        <w:t>2.17.2.4.</w:t>
      </w:r>
      <w:r w:rsidR="00DE08E6" w:rsidRPr="00D773F7">
        <w:rPr>
          <w:rFonts w:asciiTheme="majorBidi" w:hAnsiTheme="majorBidi" w:cstheme="majorBidi"/>
        </w:rPr>
        <w:t xml:space="preserve"> Replace “using the test “burning rate test (external fire)” with “</w:t>
      </w:r>
      <w:r w:rsidR="00283DEA" w:rsidRPr="00D773F7">
        <w:rPr>
          <w:rFonts w:asciiTheme="majorBidi" w:hAnsiTheme="majorBidi" w:cstheme="majorBidi"/>
        </w:rPr>
        <w:t>determined using the burning rate (external fire) test”.</w:t>
      </w:r>
    </w:p>
    <w:p w14:paraId="58F3A4D2" w14:textId="1D4A370F" w:rsidR="00E54D8D" w:rsidRPr="00D773F7" w:rsidRDefault="00E54D8D" w:rsidP="00915415">
      <w:pPr>
        <w:pStyle w:val="SingleTxtG"/>
        <w:spacing w:before="240" w:after="240" w:line="240" w:lineRule="auto"/>
        <w:ind w:left="2268" w:hanging="1134"/>
        <w:rPr>
          <w:rFonts w:asciiTheme="majorBidi" w:hAnsiTheme="majorBidi" w:cstheme="majorBidi"/>
        </w:rPr>
      </w:pPr>
      <w:r w:rsidRPr="00D773F7">
        <w:rPr>
          <w:rFonts w:asciiTheme="majorBidi" w:hAnsiTheme="majorBidi" w:cstheme="majorBidi"/>
        </w:rPr>
        <w:t>2.17.3</w:t>
      </w:r>
      <w:r w:rsidRPr="00D773F7">
        <w:rPr>
          <w:rFonts w:asciiTheme="majorBidi" w:hAnsiTheme="majorBidi" w:cstheme="majorBidi"/>
        </w:rPr>
        <w:tab/>
      </w:r>
      <w:r w:rsidRPr="00D773F7">
        <w:rPr>
          <w:rFonts w:asciiTheme="majorBidi" w:hAnsiTheme="majorBidi" w:cstheme="majorBidi"/>
        </w:rPr>
        <w:tab/>
      </w:r>
      <w:r w:rsidR="00CA0F85" w:rsidRPr="00D773F7">
        <w:rPr>
          <w:rFonts w:asciiTheme="majorBidi" w:hAnsiTheme="majorBidi" w:cstheme="majorBidi"/>
        </w:rPr>
        <w:t>Add</w:t>
      </w:r>
      <w:r w:rsidR="001129A1" w:rsidRPr="00D773F7">
        <w:rPr>
          <w:rFonts w:asciiTheme="majorBidi" w:hAnsiTheme="majorBidi" w:cstheme="majorBidi"/>
        </w:rPr>
        <w:t xml:space="preserve"> the following sentence at the end of the paragraph: </w:t>
      </w:r>
      <w:r w:rsidRPr="00D773F7">
        <w:rPr>
          <w:rFonts w:asciiTheme="majorBidi" w:hAnsiTheme="majorBidi" w:cstheme="majorBidi"/>
        </w:rPr>
        <w:t>“Table 2.17.2 presents specific label elements for substances and mixtures classified into this hazard class based on the criteria in this chapter.”</w:t>
      </w:r>
      <w:r w:rsidR="001129A1" w:rsidRPr="00D773F7">
        <w:rPr>
          <w:rFonts w:asciiTheme="majorBidi" w:hAnsiTheme="majorBidi" w:cstheme="majorBidi"/>
        </w:rPr>
        <w:t xml:space="preserve">. </w:t>
      </w:r>
    </w:p>
    <w:p w14:paraId="02839C4B" w14:textId="7EDCD522" w:rsidR="000C42D2" w:rsidRPr="00D773F7" w:rsidRDefault="000C42D2" w:rsidP="00CA0F85">
      <w:pPr>
        <w:pStyle w:val="SingleTxtG"/>
        <w:rPr>
          <w:rFonts w:asciiTheme="majorBidi" w:hAnsiTheme="majorBidi" w:cstheme="majorBidi"/>
          <w:i/>
          <w:iCs/>
          <w:lang w:val="en-US"/>
        </w:rPr>
      </w:pPr>
      <w:r w:rsidRPr="00D773F7">
        <w:rPr>
          <w:rFonts w:asciiTheme="majorBidi" w:hAnsiTheme="majorBidi" w:cstheme="majorBidi"/>
        </w:rPr>
        <w:t>Current paragraph 2.17.4 remains unchanged.</w:t>
      </w:r>
    </w:p>
    <w:p w14:paraId="37C502AA" w14:textId="68D27A34" w:rsidR="008D58BB" w:rsidRPr="00D773F7" w:rsidRDefault="008D58BB" w:rsidP="008D58BB">
      <w:pPr>
        <w:pStyle w:val="SingleTxtG"/>
        <w:rPr>
          <w:rFonts w:asciiTheme="majorBidi" w:hAnsiTheme="majorBidi" w:cstheme="majorBidi"/>
        </w:rPr>
      </w:pPr>
      <w:r w:rsidRPr="00D773F7">
        <w:rPr>
          <w:rFonts w:asciiTheme="majorBidi" w:hAnsiTheme="majorBidi" w:cstheme="majorBidi"/>
        </w:rPr>
        <w:t>2.17.4.1</w:t>
      </w:r>
      <w:r w:rsidRPr="00D773F7">
        <w:rPr>
          <w:rFonts w:asciiTheme="majorBidi" w:hAnsiTheme="majorBidi" w:cstheme="majorBidi"/>
        </w:rPr>
        <w:tab/>
        <w:t>Amend to read as follows:</w:t>
      </w:r>
    </w:p>
    <w:p w14:paraId="1C03F938" w14:textId="1413F466" w:rsidR="008D58BB" w:rsidRPr="00D773F7" w:rsidRDefault="00836359" w:rsidP="00836359">
      <w:pPr>
        <w:keepNext/>
        <w:keepLines/>
        <w:tabs>
          <w:tab w:val="left" w:pos="2268"/>
          <w:tab w:val="left" w:pos="3119"/>
          <w:tab w:val="left" w:pos="3686"/>
        </w:tabs>
        <w:spacing w:before="240" w:line="240" w:lineRule="auto"/>
        <w:ind w:left="2268" w:hanging="1134"/>
        <w:jc w:val="both"/>
        <w:rPr>
          <w:rFonts w:asciiTheme="majorBidi" w:hAnsiTheme="majorBidi" w:cstheme="majorBidi"/>
          <w:b/>
          <w:bCs/>
          <w:i/>
          <w:color w:val="000000"/>
          <w:szCs w:val="22"/>
          <w:lang w:val="en-US" w:eastAsia="fr-FR"/>
        </w:rPr>
      </w:pPr>
      <w:r w:rsidRPr="00D773F7">
        <w:rPr>
          <w:rFonts w:asciiTheme="majorBidi" w:hAnsiTheme="majorBidi" w:cstheme="majorBidi"/>
          <w:b/>
          <w:bCs/>
          <w:color w:val="000000"/>
          <w:szCs w:val="22"/>
          <w:lang w:val="en-US" w:eastAsia="fr-FR"/>
        </w:rPr>
        <w:tab/>
      </w:r>
      <w:r w:rsidR="008D58BB" w:rsidRPr="00D773F7">
        <w:rPr>
          <w:rFonts w:asciiTheme="majorBidi" w:hAnsiTheme="majorBidi" w:cstheme="majorBidi"/>
          <w:b/>
          <w:bCs/>
          <w:color w:val="000000"/>
          <w:szCs w:val="22"/>
          <w:lang w:val="en-US" w:eastAsia="fr-FR"/>
        </w:rPr>
        <w:t>“2.17.4.1</w:t>
      </w:r>
      <w:r w:rsidR="008D58BB" w:rsidRPr="00D773F7">
        <w:rPr>
          <w:rFonts w:asciiTheme="majorBidi" w:hAnsiTheme="majorBidi" w:cstheme="majorBidi"/>
          <w:b/>
          <w:bCs/>
          <w:color w:val="000000"/>
          <w:szCs w:val="22"/>
          <w:lang w:val="en-US" w:eastAsia="fr-FR"/>
        </w:rPr>
        <w:tab/>
      </w:r>
      <w:r w:rsidR="008D58BB" w:rsidRPr="00D773F7">
        <w:rPr>
          <w:rFonts w:asciiTheme="majorBidi" w:hAnsiTheme="majorBidi" w:cstheme="majorBidi"/>
          <w:b/>
          <w:bCs/>
          <w:i/>
          <w:color w:val="000000"/>
          <w:szCs w:val="22"/>
          <w:lang w:val="en-US" w:eastAsia="fr-FR"/>
        </w:rPr>
        <w:t>Decision logic</w:t>
      </w:r>
    </w:p>
    <w:p w14:paraId="5F7C9B6E" w14:textId="15CE108C" w:rsidR="008D58BB" w:rsidRPr="00D773F7" w:rsidRDefault="008D58BB" w:rsidP="00836359">
      <w:pPr>
        <w:tabs>
          <w:tab w:val="left" w:pos="2268"/>
          <w:tab w:val="left" w:pos="3119"/>
        </w:tabs>
        <w:spacing w:before="240" w:line="240" w:lineRule="auto"/>
        <w:ind w:left="2268" w:right="1134" w:hanging="1134"/>
        <w:jc w:val="both"/>
        <w:rPr>
          <w:rFonts w:asciiTheme="majorBidi" w:hAnsiTheme="majorBidi" w:cstheme="majorBidi"/>
          <w:lang w:val="en-US"/>
        </w:rPr>
      </w:pPr>
      <w:r w:rsidRPr="00D773F7">
        <w:rPr>
          <w:rFonts w:asciiTheme="majorBidi" w:hAnsiTheme="majorBidi" w:cstheme="majorBidi"/>
          <w:lang w:val="en-US"/>
        </w:rPr>
        <w:tab/>
      </w:r>
      <w:r w:rsidR="00836359" w:rsidRPr="00D773F7">
        <w:rPr>
          <w:rFonts w:asciiTheme="majorBidi" w:hAnsiTheme="majorBidi" w:cstheme="majorBidi"/>
          <w:lang w:val="en-US"/>
        </w:rPr>
        <w:tab/>
      </w:r>
      <w:r w:rsidRPr="00D773F7">
        <w:rPr>
          <w:rFonts w:asciiTheme="majorBidi" w:hAnsiTheme="majorBidi" w:cstheme="majorBidi"/>
          <w:lang w:val="en-US"/>
        </w:rPr>
        <w:t xml:space="preserve">To classify desensitized explosives, data for the sensitivity, thermal stability, explosive potential and the corrected burning rate should be determined as described in Part I and Part V of the </w:t>
      </w:r>
      <w:r w:rsidRPr="00D773F7">
        <w:rPr>
          <w:rFonts w:asciiTheme="majorBidi" w:hAnsiTheme="majorBidi" w:cstheme="majorBidi"/>
          <w:i/>
          <w:lang w:val="en-US"/>
        </w:rPr>
        <w:t>Manual of Tests and Criteria</w:t>
      </w:r>
      <w:r w:rsidRPr="00D773F7">
        <w:rPr>
          <w:rFonts w:asciiTheme="majorBidi" w:hAnsiTheme="majorBidi" w:cstheme="majorBidi"/>
          <w:lang w:val="en-US"/>
        </w:rPr>
        <w:t xml:space="preserve">. </w:t>
      </w:r>
      <w:r w:rsidR="004A366D" w:rsidRPr="00D773F7">
        <w:rPr>
          <w:rFonts w:asciiTheme="majorBidi" w:hAnsiTheme="majorBidi" w:cstheme="majorBidi"/>
          <w:lang w:val="en-US"/>
        </w:rPr>
        <w:t xml:space="preserve">Where a mixture contains </w:t>
      </w:r>
      <w:r w:rsidRPr="00D773F7">
        <w:rPr>
          <w:rFonts w:asciiTheme="majorBidi" w:hAnsiTheme="majorBidi" w:cstheme="majorBidi"/>
          <w:lang w:val="en-US"/>
        </w:rPr>
        <w:t xml:space="preserve">nitrocellulose, additional data for the stability </w:t>
      </w:r>
      <w:r w:rsidR="00E54759" w:rsidRPr="00D773F7">
        <w:rPr>
          <w:rFonts w:asciiTheme="majorBidi" w:hAnsiTheme="majorBidi" w:cstheme="majorBidi"/>
          <w:lang w:val="en-US"/>
        </w:rPr>
        <w:t xml:space="preserve">of the nitrocellulose </w:t>
      </w:r>
      <w:r w:rsidRPr="00D773F7">
        <w:rPr>
          <w:rFonts w:asciiTheme="majorBidi" w:hAnsiTheme="majorBidi" w:cstheme="majorBidi"/>
          <w:lang w:val="en-US"/>
        </w:rPr>
        <w:t xml:space="preserve">as described in </w:t>
      </w:r>
      <w:r w:rsidR="0037076F">
        <w:rPr>
          <w:rFonts w:asciiTheme="majorBidi" w:hAnsiTheme="majorBidi" w:cstheme="majorBidi"/>
          <w:lang w:val="en-US"/>
        </w:rPr>
        <w:t>a</w:t>
      </w:r>
      <w:r w:rsidRPr="00D773F7">
        <w:rPr>
          <w:rFonts w:asciiTheme="majorBidi" w:hAnsiTheme="majorBidi" w:cstheme="majorBidi"/>
          <w:lang w:val="en-US"/>
        </w:rPr>
        <w:t xml:space="preserve">ppendix 10 of the </w:t>
      </w:r>
      <w:r w:rsidRPr="00D773F7">
        <w:rPr>
          <w:rFonts w:asciiTheme="majorBidi" w:hAnsiTheme="majorBidi" w:cstheme="majorBidi"/>
          <w:i/>
          <w:iCs/>
          <w:lang w:val="en-US"/>
        </w:rPr>
        <w:t>Manual of Tests and Criteria</w:t>
      </w:r>
      <w:r w:rsidRPr="00D773F7">
        <w:rPr>
          <w:rFonts w:asciiTheme="majorBidi" w:hAnsiTheme="majorBidi" w:cstheme="majorBidi"/>
          <w:lang w:val="en-US"/>
        </w:rPr>
        <w:t xml:space="preserve"> are needed in order to be used in nitrocellulose mixtures considered for this class. Classification is according to decision logic 2.17.1.”</w:t>
      </w:r>
    </w:p>
    <w:p w14:paraId="55515E43" w14:textId="77777777" w:rsidR="00677BE9" w:rsidRPr="00D773F7" w:rsidRDefault="00321AB5" w:rsidP="00677BE9">
      <w:pPr>
        <w:keepNext/>
        <w:keepLines/>
        <w:tabs>
          <w:tab w:val="left" w:pos="2268"/>
        </w:tabs>
        <w:spacing w:before="240" w:line="240" w:lineRule="auto"/>
        <w:ind w:left="1134" w:right="1134"/>
        <w:jc w:val="both"/>
        <w:rPr>
          <w:rFonts w:asciiTheme="majorBidi" w:hAnsiTheme="majorBidi" w:cstheme="majorBidi"/>
          <w:b/>
          <w:bCs/>
          <w:i/>
          <w:iCs/>
          <w:lang w:val="en-US"/>
        </w:rPr>
      </w:pPr>
      <w:r w:rsidRPr="00D773F7">
        <w:rPr>
          <w:rFonts w:asciiTheme="majorBidi" w:hAnsiTheme="majorBidi" w:cstheme="majorBidi"/>
          <w:lang w:eastAsia="en-US"/>
        </w:rPr>
        <w:lastRenderedPageBreak/>
        <w:tab/>
      </w:r>
      <w:r w:rsidRPr="00D773F7">
        <w:rPr>
          <w:rFonts w:asciiTheme="majorBidi" w:hAnsiTheme="majorBidi" w:cstheme="majorBidi"/>
          <w:lang w:eastAsia="en-US"/>
        </w:rPr>
        <w:tab/>
      </w:r>
      <w:r w:rsidR="00677BE9" w:rsidRPr="00D773F7">
        <w:rPr>
          <w:rFonts w:asciiTheme="majorBidi" w:hAnsiTheme="majorBidi" w:cstheme="majorBidi"/>
          <w:b/>
          <w:bCs/>
          <w:i/>
          <w:iCs/>
          <w:lang w:val="en-US"/>
        </w:rPr>
        <w:t>Decision logic 2.17.1 for desensitized explosives</w:t>
      </w:r>
    </w:p>
    <w:p w14:paraId="2D9A054F" w14:textId="4202FD79" w:rsidR="00677BE9" w:rsidRPr="00D773F7" w:rsidRDefault="009965AB" w:rsidP="007C30E3">
      <w:pPr>
        <w:keepNext/>
        <w:keepLines/>
        <w:tabs>
          <w:tab w:val="left" w:pos="2268"/>
        </w:tabs>
        <w:spacing w:before="240" w:line="240" w:lineRule="auto"/>
        <w:ind w:left="284" w:right="1134"/>
        <w:jc w:val="both"/>
        <w:rPr>
          <w:rFonts w:asciiTheme="majorBidi" w:hAnsiTheme="majorBidi" w:cstheme="majorBidi"/>
          <w:highlight w:val="green"/>
          <w:lang w:val="en-US"/>
        </w:rPr>
      </w:pPr>
      <w:r w:rsidRPr="00D773F7">
        <w:rPr>
          <w:rFonts w:asciiTheme="majorBidi" w:hAnsiTheme="majorBidi" w:cstheme="majorBidi"/>
        </w:rPr>
        <w:object w:dxaOrig="9133" w:dyaOrig="12025" w14:anchorId="3E6E50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4pt;height:577.8pt" o:ole="">
            <v:imagedata r:id="rId12" o:title=""/>
          </v:shape>
          <o:OLEObject Type="Embed" ProgID="Visio.Drawing.15" ShapeID="_x0000_i1025" DrawAspect="Content" ObjectID="_1744797699" r:id="rId13"/>
        </w:object>
      </w:r>
    </w:p>
    <w:p w14:paraId="08CA80CB" w14:textId="77777777" w:rsidR="00677BE9" w:rsidRPr="00D773F7" w:rsidRDefault="00677BE9" w:rsidP="00232205">
      <w:pPr>
        <w:tabs>
          <w:tab w:val="left" w:pos="2268"/>
        </w:tabs>
        <w:spacing w:before="120" w:after="100" w:line="240" w:lineRule="auto"/>
        <w:ind w:left="1134" w:right="1134"/>
        <w:jc w:val="both"/>
        <w:rPr>
          <w:rFonts w:asciiTheme="majorBidi" w:hAnsiTheme="majorBidi" w:cstheme="majorBidi"/>
          <w:lang w:val="en-US"/>
        </w:rPr>
      </w:pPr>
      <w:r w:rsidRPr="00D773F7">
        <w:rPr>
          <w:rFonts w:asciiTheme="majorBidi" w:hAnsiTheme="majorBidi" w:cstheme="majorBidi"/>
          <w:lang w:val="en-US"/>
        </w:rPr>
        <w:t xml:space="preserve">Insert the following footnotes: </w:t>
      </w:r>
    </w:p>
    <w:p w14:paraId="5BBB9E19" w14:textId="77777777" w:rsidR="00677BE9" w:rsidRPr="00D773F7" w:rsidRDefault="00677BE9" w:rsidP="009965AB">
      <w:pPr>
        <w:pStyle w:val="SingleTxtG"/>
        <w:spacing w:after="60" w:line="240" w:lineRule="auto"/>
        <w:rPr>
          <w:rFonts w:asciiTheme="majorBidi" w:hAnsiTheme="majorBidi" w:cstheme="majorBidi"/>
          <w:i/>
          <w:iCs/>
          <w:lang w:val="en-US"/>
        </w:rPr>
      </w:pPr>
      <w:r w:rsidRPr="00D773F7">
        <w:rPr>
          <w:rFonts w:asciiTheme="majorBidi" w:hAnsiTheme="majorBidi" w:cstheme="majorBidi"/>
          <w:i/>
          <w:iCs/>
          <w:vertAlign w:val="superscript"/>
          <w:lang w:val="en-US"/>
        </w:rPr>
        <w:t>“</w:t>
      </w:r>
      <w:r w:rsidRPr="00D773F7">
        <w:rPr>
          <w:rFonts w:asciiTheme="majorBidi" w:hAnsiTheme="majorBidi" w:cstheme="majorBidi"/>
          <w:vertAlign w:val="superscript"/>
          <w:lang w:val="en-US"/>
        </w:rPr>
        <w:t>1</w:t>
      </w:r>
      <w:r w:rsidRPr="00D773F7">
        <w:rPr>
          <w:rFonts w:asciiTheme="majorBidi" w:hAnsiTheme="majorBidi" w:cstheme="majorBidi"/>
          <w:i/>
          <w:iCs/>
          <w:lang w:val="en-US"/>
        </w:rPr>
        <w:tab/>
        <w:t>Test series 2 is optional. The alternative route (via test 6 (a) and (b) and test series 3) may be taken directly without performing test series 2.</w:t>
      </w:r>
    </w:p>
    <w:p w14:paraId="47AD0152" w14:textId="64096FA1" w:rsidR="00677BE9" w:rsidRPr="00D773F7" w:rsidRDefault="00677BE9" w:rsidP="009965AB">
      <w:pPr>
        <w:pStyle w:val="SingleTxtG"/>
        <w:spacing w:after="0" w:line="240" w:lineRule="auto"/>
        <w:rPr>
          <w:rFonts w:asciiTheme="majorBidi" w:hAnsiTheme="majorBidi" w:cstheme="majorBidi"/>
          <w:i/>
          <w:iCs/>
          <w:lang w:val="en-US"/>
        </w:rPr>
      </w:pPr>
      <w:r w:rsidRPr="00D773F7">
        <w:rPr>
          <w:rFonts w:asciiTheme="majorBidi" w:hAnsiTheme="majorBidi" w:cstheme="majorBidi"/>
          <w:vertAlign w:val="superscript"/>
          <w:lang w:val="en-US"/>
        </w:rPr>
        <w:t>2</w:t>
      </w:r>
      <w:r w:rsidRPr="00D773F7">
        <w:rPr>
          <w:rFonts w:asciiTheme="majorBidi" w:hAnsiTheme="majorBidi" w:cstheme="majorBidi"/>
          <w:i/>
          <w:iCs/>
          <w:lang w:val="en-US"/>
        </w:rPr>
        <w:tab/>
        <w:t xml:space="preserve">Test series 3 is not applicable to nitrocellulose mixtures containing no explosives </w:t>
      </w:r>
      <w:r w:rsidR="003B7865" w:rsidRPr="00D773F7">
        <w:rPr>
          <w:rFonts w:asciiTheme="majorBidi" w:hAnsiTheme="majorBidi" w:cstheme="majorBidi"/>
          <w:i/>
          <w:iCs/>
          <w:lang w:val="en-US"/>
        </w:rPr>
        <w:t xml:space="preserve">other </w:t>
      </w:r>
      <w:r w:rsidRPr="00D773F7">
        <w:rPr>
          <w:rFonts w:asciiTheme="majorBidi" w:hAnsiTheme="majorBidi" w:cstheme="majorBidi"/>
          <w:i/>
          <w:iCs/>
          <w:lang w:val="en-US"/>
        </w:rPr>
        <w:t>than nitrocellulose.”.</w:t>
      </w:r>
    </w:p>
    <w:p w14:paraId="53187144" w14:textId="77777777" w:rsidR="00677BE9" w:rsidRPr="00D773F7" w:rsidRDefault="00677BE9" w:rsidP="009965AB">
      <w:pPr>
        <w:pStyle w:val="SingleTxtG"/>
        <w:spacing w:before="200" w:after="240" w:line="240" w:lineRule="auto"/>
        <w:jc w:val="left"/>
        <w:rPr>
          <w:rFonts w:asciiTheme="majorBidi" w:hAnsiTheme="majorBidi" w:cstheme="majorBidi"/>
        </w:rPr>
      </w:pPr>
      <w:r w:rsidRPr="00D773F7">
        <w:rPr>
          <w:rFonts w:asciiTheme="majorBidi" w:hAnsiTheme="majorBidi" w:cstheme="majorBidi"/>
        </w:rPr>
        <w:t xml:space="preserve">Current paragraph 2.17.4.2 remains unchanged. </w:t>
      </w:r>
    </w:p>
    <w:p w14:paraId="7F1F9EAC" w14:textId="1F8ECEFB" w:rsidR="00051882" w:rsidRPr="00D773F7" w:rsidRDefault="00513FB5" w:rsidP="00D06049">
      <w:pPr>
        <w:pStyle w:val="H1G"/>
        <w:rPr>
          <w:rFonts w:asciiTheme="majorBidi" w:hAnsiTheme="majorBidi" w:cstheme="majorBidi"/>
          <w:lang w:eastAsia="en-US"/>
        </w:rPr>
      </w:pPr>
      <w:r w:rsidRPr="00D773F7">
        <w:rPr>
          <w:rFonts w:asciiTheme="majorBidi" w:hAnsiTheme="majorBidi" w:cstheme="majorBidi"/>
          <w:lang w:eastAsia="en-US"/>
        </w:rPr>
        <w:lastRenderedPageBreak/>
        <w:tab/>
      </w:r>
      <w:r w:rsidRPr="00D773F7">
        <w:rPr>
          <w:rFonts w:asciiTheme="majorBidi" w:hAnsiTheme="majorBidi" w:cstheme="majorBidi"/>
          <w:lang w:eastAsia="en-US"/>
        </w:rPr>
        <w:tab/>
      </w:r>
      <w:r w:rsidR="00F10D98" w:rsidRPr="00D773F7">
        <w:rPr>
          <w:rFonts w:asciiTheme="majorBidi" w:hAnsiTheme="majorBidi" w:cstheme="majorBidi"/>
          <w:lang w:eastAsia="en-US"/>
        </w:rPr>
        <w:t>Chapter 3.1</w:t>
      </w:r>
    </w:p>
    <w:p w14:paraId="7C93E8AC" w14:textId="54629D7A" w:rsidR="008B24F2" w:rsidRPr="00D773F7" w:rsidRDefault="008B24F2" w:rsidP="008B24F2">
      <w:pPr>
        <w:pStyle w:val="SingleTxtG"/>
        <w:rPr>
          <w:rFonts w:asciiTheme="majorBidi" w:hAnsiTheme="majorBidi" w:cstheme="majorBidi"/>
        </w:rPr>
      </w:pPr>
      <w:r w:rsidRPr="00D773F7">
        <w:rPr>
          <w:rFonts w:asciiTheme="majorBidi" w:hAnsiTheme="majorBidi" w:cstheme="majorBidi"/>
        </w:rPr>
        <w:t>3.1.2.3</w:t>
      </w:r>
      <w:r w:rsidRPr="00D773F7">
        <w:rPr>
          <w:rFonts w:asciiTheme="majorBidi" w:hAnsiTheme="majorBidi" w:cstheme="majorBidi"/>
        </w:rPr>
        <w:tab/>
      </w:r>
      <w:r w:rsidRPr="00D773F7">
        <w:rPr>
          <w:rFonts w:asciiTheme="majorBidi" w:hAnsiTheme="majorBidi" w:cstheme="majorBidi"/>
        </w:rPr>
        <w:tab/>
        <w:t>Replace “approach” with “assessment” in the last sentence.</w:t>
      </w:r>
    </w:p>
    <w:p w14:paraId="034EF24F" w14:textId="77777777" w:rsidR="00F10D98" w:rsidRPr="00D773F7" w:rsidRDefault="00F10D98" w:rsidP="00F10D98">
      <w:pPr>
        <w:pStyle w:val="SingleTxtG"/>
        <w:rPr>
          <w:rFonts w:asciiTheme="majorBidi" w:hAnsiTheme="majorBidi" w:cstheme="majorBidi"/>
        </w:rPr>
      </w:pPr>
      <w:r w:rsidRPr="00D773F7">
        <w:rPr>
          <w:rFonts w:asciiTheme="majorBidi" w:hAnsiTheme="majorBidi" w:cstheme="majorBidi"/>
        </w:rPr>
        <w:t>3.1.2.6.1</w:t>
      </w:r>
      <w:r w:rsidRPr="00D773F7">
        <w:rPr>
          <w:rFonts w:asciiTheme="majorBidi" w:hAnsiTheme="majorBidi" w:cstheme="majorBidi"/>
        </w:rPr>
        <w:tab/>
        <w:t>Add the following sentence at the end of the existing paragraph:</w:t>
      </w:r>
    </w:p>
    <w:p w14:paraId="06B26A83" w14:textId="09F29AEE" w:rsidR="00F10D98" w:rsidRPr="00D773F7" w:rsidRDefault="00F10D98" w:rsidP="00F10D98">
      <w:pPr>
        <w:pStyle w:val="SingleTxtG"/>
        <w:ind w:left="2268"/>
        <w:rPr>
          <w:rFonts w:asciiTheme="majorBidi" w:hAnsiTheme="majorBidi" w:cstheme="majorBidi"/>
        </w:rPr>
      </w:pPr>
      <w:r w:rsidRPr="00D773F7">
        <w:rPr>
          <w:rFonts w:asciiTheme="majorBidi" w:hAnsiTheme="majorBidi" w:cstheme="majorBidi"/>
        </w:rPr>
        <w:t xml:space="preserve">“Guidance on the conversion of experimental values for times other than a </w:t>
      </w:r>
      <w:r w:rsidR="00A81134" w:rsidRPr="00D773F7">
        <w:rPr>
          <w:rFonts w:asciiTheme="majorBidi" w:hAnsiTheme="majorBidi" w:cstheme="majorBidi"/>
        </w:rPr>
        <w:br/>
      </w:r>
      <w:r w:rsidRPr="00D773F7">
        <w:rPr>
          <w:rFonts w:asciiTheme="majorBidi" w:hAnsiTheme="majorBidi" w:cstheme="majorBidi"/>
        </w:rPr>
        <w:t>1-hour exposure is provided in 3.1.5.3.”</w:t>
      </w:r>
      <w:r w:rsidR="00883965" w:rsidRPr="00D773F7">
        <w:rPr>
          <w:rFonts w:asciiTheme="majorBidi" w:hAnsiTheme="majorBidi" w:cstheme="majorBidi"/>
        </w:rPr>
        <w:t>.</w:t>
      </w:r>
    </w:p>
    <w:p w14:paraId="02B626DE" w14:textId="57230EBB" w:rsidR="00254BAB" w:rsidRPr="00D773F7" w:rsidRDefault="00254BAB" w:rsidP="002C53F3">
      <w:pPr>
        <w:pStyle w:val="SingleTxtG"/>
        <w:ind w:left="2268" w:hanging="1134"/>
        <w:rPr>
          <w:rFonts w:asciiTheme="majorBidi" w:hAnsiTheme="majorBidi" w:cstheme="majorBidi"/>
        </w:rPr>
      </w:pPr>
      <w:r w:rsidRPr="00D773F7">
        <w:rPr>
          <w:rFonts w:asciiTheme="majorBidi" w:hAnsiTheme="majorBidi" w:cstheme="majorBidi"/>
        </w:rPr>
        <w:t>3.1.3.5.6</w:t>
      </w:r>
      <w:r w:rsidRPr="00D773F7">
        <w:rPr>
          <w:rFonts w:asciiTheme="majorBidi" w:hAnsiTheme="majorBidi" w:cstheme="majorBidi"/>
        </w:rPr>
        <w:tab/>
      </w:r>
      <w:r w:rsidR="00D30D75" w:rsidRPr="00D773F7">
        <w:rPr>
          <w:rFonts w:asciiTheme="majorBidi" w:hAnsiTheme="majorBidi" w:cstheme="majorBidi"/>
        </w:rPr>
        <w:t>R</w:t>
      </w:r>
      <w:r w:rsidRPr="00D773F7">
        <w:rPr>
          <w:rFonts w:asciiTheme="majorBidi" w:hAnsiTheme="majorBidi" w:cstheme="majorBidi"/>
        </w:rPr>
        <w:t>eplace “assigned” with “classified in” in the last sentence.</w:t>
      </w:r>
    </w:p>
    <w:p w14:paraId="7A3D4141" w14:textId="3CF9DDF0" w:rsidR="002254A9" w:rsidRPr="00D773F7" w:rsidRDefault="002254A9" w:rsidP="002254A9">
      <w:pPr>
        <w:pStyle w:val="SingleTxtG"/>
        <w:ind w:left="2268" w:hanging="1134"/>
        <w:rPr>
          <w:rFonts w:asciiTheme="majorBidi" w:hAnsiTheme="majorBidi" w:cstheme="majorBidi"/>
        </w:rPr>
      </w:pPr>
      <w:r w:rsidRPr="00D773F7">
        <w:rPr>
          <w:rFonts w:asciiTheme="majorBidi" w:hAnsiTheme="majorBidi" w:cstheme="majorBidi"/>
        </w:rPr>
        <w:t>3.1.3.5.7</w:t>
      </w:r>
      <w:r w:rsidRPr="00D773F7">
        <w:rPr>
          <w:rFonts w:asciiTheme="majorBidi" w:hAnsiTheme="majorBidi" w:cstheme="majorBidi"/>
        </w:rPr>
        <w:tab/>
      </w:r>
      <w:r w:rsidR="00E34319" w:rsidRPr="00D773F7">
        <w:rPr>
          <w:rFonts w:asciiTheme="majorBidi" w:hAnsiTheme="majorBidi" w:cstheme="majorBidi"/>
        </w:rPr>
        <w:t>At the beginning of the sentence, r</w:t>
      </w:r>
      <w:r w:rsidR="002C53F3" w:rsidRPr="00D773F7">
        <w:rPr>
          <w:rFonts w:asciiTheme="majorBidi" w:hAnsiTheme="majorBidi" w:cstheme="majorBidi"/>
        </w:rPr>
        <w:t>eplace “aerosol” with “aerosoli</w:t>
      </w:r>
      <w:r w:rsidR="008A3EF4" w:rsidRPr="00D773F7">
        <w:rPr>
          <w:rFonts w:asciiTheme="majorBidi" w:hAnsiTheme="majorBidi" w:cstheme="majorBidi"/>
        </w:rPr>
        <w:t>z</w:t>
      </w:r>
      <w:r w:rsidR="002C53F3" w:rsidRPr="00D773F7">
        <w:rPr>
          <w:rFonts w:asciiTheme="majorBidi" w:hAnsiTheme="majorBidi" w:cstheme="majorBidi"/>
        </w:rPr>
        <w:t>ed”.</w:t>
      </w:r>
    </w:p>
    <w:p w14:paraId="06497D15" w14:textId="2DB1F953" w:rsidR="00000BE1" w:rsidRPr="00D773F7" w:rsidRDefault="00000BE1" w:rsidP="007C30E3">
      <w:pPr>
        <w:pStyle w:val="SingleTxtG"/>
        <w:ind w:left="2268" w:hanging="1134"/>
        <w:rPr>
          <w:rFonts w:asciiTheme="majorBidi" w:hAnsiTheme="majorBidi" w:cstheme="majorBidi"/>
        </w:rPr>
      </w:pPr>
      <w:r w:rsidRPr="00D773F7">
        <w:rPr>
          <w:rFonts w:asciiTheme="majorBidi" w:hAnsiTheme="majorBidi" w:cstheme="majorBidi"/>
        </w:rPr>
        <w:t>3.1.4.1</w:t>
      </w:r>
      <w:r w:rsidRPr="00D773F7">
        <w:rPr>
          <w:rFonts w:asciiTheme="majorBidi" w:hAnsiTheme="majorBidi" w:cstheme="majorBidi"/>
        </w:rPr>
        <w:tab/>
      </w:r>
      <w:r w:rsidRPr="00D773F7">
        <w:rPr>
          <w:rFonts w:asciiTheme="majorBidi" w:hAnsiTheme="majorBidi" w:cstheme="majorBidi"/>
        </w:rPr>
        <w:tab/>
      </w:r>
      <w:r w:rsidR="00876829" w:rsidRPr="00D773F7">
        <w:rPr>
          <w:rFonts w:asciiTheme="majorBidi" w:hAnsiTheme="majorBidi" w:cstheme="majorBidi"/>
        </w:rPr>
        <w:t xml:space="preserve">Amend </w:t>
      </w:r>
      <w:r w:rsidRPr="00D773F7">
        <w:rPr>
          <w:rFonts w:asciiTheme="majorBidi" w:hAnsiTheme="majorBidi" w:cstheme="majorBidi"/>
        </w:rPr>
        <w:t xml:space="preserve">the last sentence </w:t>
      </w:r>
      <w:r w:rsidR="00876829" w:rsidRPr="00D773F7">
        <w:rPr>
          <w:rFonts w:asciiTheme="majorBidi" w:hAnsiTheme="majorBidi" w:cstheme="majorBidi"/>
        </w:rPr>
        <w:t xml:space="preserve">to read as follows: </w:t>
      </w:r>
      <w:r w:rsidRPr="00D773F7">
        <w:rPr>
          <w:rFonts w:asciiTheme="majorBidi" w:hAnsiTheme="majorBidi" w:cstheme="majorBidi"/>
        </w:rPr>
        <w:t>“Table 3.1.3 presents specific label elements for substances and mixtures classified into this hazard class based on the criteria in this chapter.”</w:t>
      </w:r>
    </w:p>
    <w:p w14:paraId="05ACE4B5" w14:textId="77777777" w:rsidR="00F10D98" w:rsidRPr="00D773F7" w:rsidRDefault="00F10D98" w:rsidP="00F10D98">
      <w:pPr>
        <w:pStyle w:val="SingleTxtG"/>
        <w:rPr>
          <w:rFonts w:asciiTheme="majorBidi" w:hAnsiTheme="majorBidi" w:cstheme="majorBidi"/>
        </w:rPr>
      </w:pPr>
      <w:r w:rsidRPr="00D773F7">
        <w:rPr>
          <w:rFonts w:asciiTheme="majorBidi" w:hAnsiTheme="majorBidi" w:cstheme="majorBidi"/>
        </w:rPr>
        <w:t>3.1.5.3</w:t>
      </w:r>
      <w:r w:rsidRPr="00D773F7">
        <w:rPr>
          <w:rFonts w:asciiTheme="majorBidi" w:hAnsiTheme="majorBidi" w:cstheme="majorBidi"/>
        </w:rPr>
        <w:tab/>
      </w:r>
      <w:r w:rsidRPr="00D773F7">
        <w:rPr>
          <w:rFonts w:asciiTheme="majorBidi" w:hAnsiTheme="majorBidi" w:cstheme="majorBidi"/>
        </w:rPr>
        <w:tab/>
      </w:r>
      <w:r w:rsidRPr="00D773F7">
        <w:rPr>
          <w:rStyle w:val="SingleTxtGChar"/>
          <w:rFonts w:asciiTheme="majorBidi" w:hAnsiTheme="majorBidi" w:cstheme="majorBidi"/>
        </w:rPr>
        <w:t xml:space="preserve">Add a new section 3.1.5.3 to read as follows: </w:t>
      </w:r>
    </w:p>
    <w:p w14:paraId="54CEB84E" w14:textId="77777777" w:rsidR="00F10D98" w:rsidRPr="00D773F7" w:rsidRDefault="00F10D98" w:rsidP="00F10D98">
      <w:pPr>
        <w:pStyle w:val="SingleTxtG"/>
        <w:rPr>
          <w:rFonts w:asciiTheme="majorBidi" w:hAnsiTheme="majorBidi" w:cstheme="majorBidi"/>
        </w:rPr>
      </w:pPr>
      <w:r w:rsidRPr="00D773F7">
        <w:rPr>
          <w:rFonts w:asciiTheme="majorBidi" w:hAnsiTheme="majorBidi" w:cstheme="majorBidi"/>
          <w:b/>
          <w:bCs/>
        </w:rPr>
        <w:t>“3.1.5.3</w:t>
      </w:r>
      <w:r w:rsidRPr="00D773F7">
        <w:rPr>
          <w:rFonts w:asciiTheme="majorBidi" w:hAnsiTheme="majorBidi" w:cstheme="majorBidi"/>
          <w:b/>
          <w:bCs/>
        </w:rPr>
        <w:tab/>
      </w:r>
      <w:r w:rsidRPr="00D773F7">
        <w:rPr>
          <w:rFonts w:asciiTheme="majorBidi" w:hAnsiTheme="majorBidi" w:cstheme="majorBidi"/>
          <w:b/>
          <w:bCs/>
          <w:i/>
          <w:iCs/>
        </w:rPr>
        <w:t>Guidance</w:t>
      </w:r>
    </w:p>
    <w:p w14:paraId="19815AA3" w14:textId="48998737" w:rsidR="00F10D98" w:rsidRPr="00D773F7" w:rsidRDefault="00F10D98" w:rsidP="00F10D98">
      <w:pPr>
        <w:pStyle w:val="SingleTxtG"/>
        <w:rPr>
          <w:rFonts w:asciiTheme="majorBidi" w:hAnsiTheme="majorBidi" w:cstheme="majorBidi"/>
          <w:u w:val="single"/>
        </w:rPr>
      </w:pPr>
      <w:r w:rsidRPr="00D773F7">
        <w:rPr>
          <w:rFonts w:asciiTheme="majorBidi" w:hAnsiTheme="majorBidi" w:cstheme="majorBidi"/>
        </w:rPr>
        <w:t>3.1.5.3.1</w:t>
      </w:r>
      <w:r w:rsidRPr="00D773F7">
        <w:rPr>
          <w:rFonts w:asciiTheme="majorBidi" w:hAnsiTheme="majorBidi" w:cstheme="majorBidi"/>
        </w:rPr>
        <w:tab/>
        <w:t xml:space="preserve">The ATE values used for inhalation toxicity classification in </w:t>
      </w:r>
      <w:r w:rsidR="005136F1" w:rsidRPr="00D773F7">
        <w:rPr>
          <w:rFonts w:asciiTheme="majorBidi" w:hAnsiTheme="majorBidi" w:cstheme="majorBidi"/>
        </w:rPr>
        <w:t xml:space="preserve">table </w:t>
      </w:r>
      <w:r w:rsidRPr="00D773F7">
        <w:rPr>
          <w:rFonts w:asciiTheme="majorBidi" w:hAnsiTheme="majorBidi" w:cstheme="majorBidi"/>
        </w:rPr>
        <w:t>3.1.1 are based on a 4-hour experimental exposure in laboratory animals (3.1.2.6.1). Existing inhalation LC</w:t>
      </w:r>
      <w:r w:rsidRPr="00D773F7">
        <w:rPr>
          <w:rFonts w:asciiTheme="majorBidi" w:hAnsiTheme="majorBidi" w:cstheme="majorBidi"/>
          <w:vertAlign w:val="subscript"/>
        </w:rPr>
        <w:t>50</w:t>
      </w:r>
      <w:r w:rsidRPr="00D773F7">
        <w:rPr>
          <w:rFonts w:asciiTheme="majorBidi" w:hAnsiTheme="majorBidi" w:cstheme="majorBidi"/>
        </w:rPr>
        <w:t xml:space="preserve"> values obtained in studies using exposure times other than 1 hour (3.1.2.6.1) can be adjusted to a 4-hour exposure using the ten Berge equation (C</w:t>
      </w:r>
      <w:r w:rsidRPr="00D773F7">
        <w:rPr>
          <w:rFonts w:asciiTheme="majorBidi" w:hAnsiTheme="majorBidi" w:cstheme="majorBidi"/>
          <w:vertAlign w:val="superscript"/>
        </w:rPr>
        <w:t xml:space="preserve">n </w:t>
      </w:r>
      <w:r w:rsidRPr="00D773F7">
        <w:rPr>
          <w:rFonts w:asciiTheme="majorBidi" w:hAnsiTheme="majorBidi" w:cstheme="majorBidi"/>
        </w:rPr>
        <w:t>× t = k) for gases and vapours and Haber’s rule (C × t =</w:t>
      </w:r>
      <w:r w:rsidR="00C7082C" w:rsidRPr="00D773F7">
        <w:rPr>
          <w:rFonts w:asciiTheme="majorBidi" w:hAnsiTheme="majorBidi" w:cstheme="majorBidi"/>
        </w:rPr>
        <w:t xml:space="preserve"> </w:t>
      </w:r>
      <w:r w:rsidRPr="00D773F7">
        <w:rPr>
          <w:rFonts w:asciiTheme="majorBidi" w:hAnsiTheme="majorBidi" w:cstheme="majorBidi"/>
        </w:rPr>
        <w:t>k) for dusts and mists, as follows:</w:t>
      </w:r>
    </w:p>
    <w:p w14:paraId="127EEB0C" w14:textId="77777777" w:rsidR="00F10D98" w:rsidRPr="00D773F7" w:rsidRDefault="00F10D98" w:rsidP="00F10D98">
      <w:pPr>
        <w:pStyle w:val="SingleTxtG"/>
        <w:rPr>
          <w:rFonts w:asciiTheme="majorBidi" w:hAnsiTheme="majorBidi" w:cstheme="majorBidi"/>
          <w:u w:val="single"/>
        </w:rPr>
      </w:pPr>
      <w:r w:rsidRPr="00D773F7">
        <w:rPr>
          <w:rFonts w:asciiTheme="majorBidi" w:hAnsiTheme="majorBidi" w:cstheme="majorBidi"/>
          <w:u w:val="single"/>
        </w:rPr>
        <w:t>Formula for gases and vapours</w:t>
      </w:r>
    </w:p>
    <w:p w14:paraId="2A0BD7F2" w14:textId="77777777" w:rsidR="00F10D98" w:rsidRPr="00D773F7" w:rsidRDefault="003007E3" w:rsidP="00F10D98">
      <w:pPr>
        <w:tabs>
          <w:tab w:val="left" w:pos="1418"/>
          <w:tab w:val="center" w:pos="4819"/>
        </w:tabs>
        <w:spacing w:after="480"/>
        <w:ind w:left="630"/>
        <w:rPr>
          <w:rFonts w:asciiTheme="majorBidi" w:hAnsiTheme="majorBidi" w:cstheme="majorBidi"/>
          <w:u w:val="single"/>
        </w:rPr>
      </w:pPr>
      <m:oMathPara>
        <m:oMath>
          <m:sSub>
            <m:sSubPr>
              <m:ctrlPr>
                <w:rPr>
                  <w:rFonts w:ascii="Cambria Math" w:eastAsia="Times New Roman" w:hAnsi="Cambria Math" w:cstheme="majorBidi"/>
                  <w:bCs/>
                </w:rPr>
              </m:ctrlPr>
            </m:sSubPr>
            <m:e>
              <m:r>
                <m:rPr>
                  <m:sty m:val="p"/>
                </m:rPr>
                <w:rPr>
                  <w:rFonts w:ascii="Cambria Math" w:hAnsi="Cambria Math" w:cstheme="majorBidi"/>
                </w:rPr>
                <m:t>LC</m:t>
              </m:r>
            </m:e>
            <m:sub>
              <m:r>
                <m:rPr>
                  <m:sty m:val="p"/>
                </m:rPr>
                <w:rPr>
                  <w:rFonts w:ascii="Cambria Math" w:hAnsi="Cambria Math" w:cstheme="majorBidi"/>
                </w:rPr>
                <m:t>50</m:t>
              </m:r>
            </m:sub>
          </m:sSub>
          <m:r>
            <m:rPr>
              <m:sty m:val="p"/>
            </m:rPr>
            <w:rPr>
              <w:rFonts w:ascii="Cambria Math" w:hAnsi="Cambria Math" w:cstheme="majorBidi"/>
            </w:rPr>
            <m:t>(4 hours)</m:t>
          </m:r>
          <m:r>
            <m:rPr>
              <m:sty m:val="b"/>
            </m:rPr>
            <w:rPr>
              <w:rFonts w:ascii="Cambria Math" w:hAnsi="Cambria Math" w:cstheme="majorBidi"/>
            </w:rPr>
            <m:t xml:space="preserve">= </m:t>
          </m:r>
          <m:sSup>
            <m:sSupPr>
              <m:ctrlPr>
                <w:rPr>
                  <w:rFonts w:ascii="Cambria Math" w:eastAsia="Times New Roman" w:hAnsi="Cambria Math" w:cstheme="majorBidi"/>
                  <w:b/>
                </w:rPr>
              </m:ctrlPr>
            </m:sSupPr>
            <m:e>
              <m:d>
                <m:dPr>
                  <m:ctrlPr>
                    <w:rPr>
                      <w:rFonts w:ascii="Cambria Math" w:eastAsia="Times New Roman" w:hAnsi="Cambria Math" w:cstheme="majorBidi"/>
                      <w:b/>
                    </w:rPr>
                  </m:ctrlPr>
                </m:dPr>
                <m:e>
                  <m:f>
                    <m:fPr>
                      <m:ctrlPr>
                        <w:rPr>
                          <w:rFonts w:ascii="Cambria Math" w:eastAsia="Times New Roman" w:hAnsi="Cambria Math" w:cstheme="majorBidi"/>
                        </w:rPr>
                      </m:ctrlPr>
                    </m:fPr>
                    <m:num>
                      <m:sSup>
                        <m:sSupPr>
                          <m:ctrlPr>
                            <w:rPr>
                              <w:rFonts w:ascii="Cambria Math" w:eastAsia="Times New Roman" w:hAnsi="Cambria Math" w:cstheme="majorBidi"/>
                            </w:rPr>
                          </m:ctrlPr>
                        </m:sSupPr>
                        <m:e>
                          <m:r>
                            <m:rPr>
                              <m:sty m:val="p"/>
                            </m:rPr>
                            <w:rPr>
                              <w:rFonts w:ascii="Cambria Math" w:hAnsi="Cambria Math" w:cstheme="majorBidi"/>
                            </w:rPr>
                            <m:t>C</m:t>
                          </m:r>
                        </m:e>
                        <m:sup>
                          <m:r>
                            <m:rPr>
                              <m:sty m:val="p"/>
                            </m:rPr>
                            <w:rPr>
                              <w:rFonts w:ascii="Cambria Math" w:hAnsi="Cambria Math" w:cstheme="majorBidi"/>
                            </w:rPr>
                            <m:t>n</m:t>
                          </m:r>
                        </m:sup>
                      </m:sSup>
                      <m:r>
                        <m:rPr>
                          <m:sty m:val="p"/>
                        </m:rPr>
                        <w:rPr>
                          <w:rFonts w:ascii="Cambria Math" w:hAnsi="Cambria Math" w:cstheme="majorBidi"/>
                        </w:rPr>
                        <m:t>× t</m:t>
                      </m:r>
                    </m:num>
                    <m:den>
                      <m:r>
                        <m:rPr>
                          <m:sty m:val="p"/>
                        </m:rPr>
                        <w:rPr>
                          <w:rFonts w:ascii="Cambria Math" w:hAnsi="Cambria Math" w:cstheme="majorBidi"/>
                        </w:rPr>
                        <m:t>4</m:t>
                      </m:r>
                    </m:den>
                  </m:f>
                </m:e>
              </m:d>
            </m:e>
            <m:sup>
              <m:r>
                <m:rPr>
                  <m:sty m:val="b"/>
                </m:rPr>
                <w:rPr>
                  <w:rFonts w:ascii="Cambria Math" w:hAnsi="Cambria Math" w:cstheme="majorBidi"/>
                </w:rPr>
                <m:t>1</m:t>
              </m:r>
              <m:r>
                <m:rPr>
                  <m:sty m:val="b"/>
                </m:rPr>
                <w:rPr>
                  <w:rFonts w:ascii="Cambria Math" w:hAnsi="Cambria Math" w:cstheme="majorBidi"/>
                </w:rPr>
                <m:t>/</m:t>
              </m:r>
              <m:r>
                <m:rPr>
                  <m:sty m:val="b"/>
                </m:rPr>
                <w:rPr>
                  <w:rFonts w:ascii="Cambria Math" w:hAnsi="Cambria Math" w:cstheme="majorBidi"/>
                </w:rPr>
                <m:t>n</m:t>
              </m:r>
            </m:sup>
          </m:sSup>
        </m:oMath>
      </m:oMathPara>
    </w:p>
    <w:p w14:paraId="23681550" w14:textId="77777777" w:rsidR="00F10D98" w:rsidRPr="00D773F7" w:rsidRDefault="00F10D98" w:rsidP="00F10D98">
      <w:pPr>
        <w:pStyle w:val="BodyText3"/>
        <w:widowControl/>
        <w:tabs>
          <w:tab w:val="left" w:pos="1418"/>
        </w:tabs>
        <w:spacing w:before="120" w:after="120"/>
        <w:rPr>
          <w:rFonts w:asciiTheme="majorBidi" w:hAnsiTheme="majorBidi" w:cstheme="majorBidi"/>
          <w:sz w:val="20"/>
        </w:rPr>
      </w:pPr>
      <w:r w:rsidRPr="00D773F7">
        <w:rPr>
          <w:rFonts w:asciiTheme="majorBidi" w:hAnsiTheme="majorBidi" w:cstheme="majorBidi"/>
          <w:sz w:val="20"/>
        </w:rPr>
        <w:tab/>
      </w:r>
      <w:r w:rsidRPr="00D773F7">
        <w:rPr>
          <w:rFonts w:asciiTheme="majorBidi" w:hAnsiTheme="majorBidi" w:cstheme="majorBidi"/>
          <w:sz w:val="20"/>
        </w:rPr>
        <w:tab/>
        <w:t>where:</w:t>
      </w:r>
    </w:p>
    <w:p w14:paraId="6B0672F4" w14:textId="77777777" w:rsidR="00F10D98" w:rsidRPr="00D773F7" w:rsidRDefault="00F10D98" w:rsidP="00F10D98">
      <w:pPr>
        <w:tabs>
          <w:tab w:val="left" w:pos="1418"/>
          <w:tab w:val="left" w:pos="1985"/>
          <w:tab w:val="left" w:pos="2552"/>
          <w:tab w:val="left" w:pos="3119"/>
          <w:tab w:val="left" w:pos="3686"/>
          <w:tab w:val="left" w:pos="4275"/>
        </w:tabs>
        <w:ind w:firstLine="1418"/>
        <w:rPr>
          <w:rFonts w:asciiTheme="majorBidi" w:hAnsiTheme="majorBidi" w:cstheme="majorBidi"/>
        </w:rPr>
      </w:pPr>
      <w:r w:rsidRPr="00D773F7">
        <w:rPr>
          <w:rFonts w:asciiTheme="majorBidi" w:hAnsiTheme="majorBidi" w:cstheme="majorBidi"/>
        </w:rPr>
        <w:t>C</w:t>
      </w:r>
      <w:r w:rsidRPr="00D773F7">
        <w:rPr>
          <w:rFonts w:asciiTheme="majorBidi" w:hAnsiTheme="majorBidi" w:cstheme="majorBidi"/>
        </w:rPr>
        <w:tab/>
        <w:t>=</w:t>
      </w:r>
      <w:r w:rsidRPr="00D773F7">
        <w:rPr>
          <w:rFonts w:asciiTheme="majorBidi" w:hAnsiTheme="majorBidi" w:cstheme="majorBidi"/>
        </w:rPr>
        <w:tab/>
        <w:t>LC</w:t>
      </w:r>
      <w:r w:rsidRPr="00D773F7">
        <w:rPr>
          <w:rFonts w:asciiTheme="majorBidi" w:hAnsiTheme="majorBidi" w:cstheme="majorBidi"/>
          <w:vertAlign w:val="subscript"/>
        </w:rPr>
        <w:t>50</w:t>
      </w:r>
      <w:r w:rsidRPr="00D773F7">
        <w:rPr>
          <w:rFonts w:asciiTheme="majorBidi" w:hAnsiTheme="majorBidi" w:cstheme="majorBidi"/>
        </w:rPr>
        <w:t xml:space="preserve"> concentration for exposure duration t</w:t>
      </w:r>
    </w:p>
    <w:p w14:paraId="7174F31F" w14:textId="77777777" w:rsidR="00F10D98" w:rsidRPr="00D773F7" w:rsidRDefault="00F10D98" w:rsidP="00F10D98">
      <w:pPr>
        <w:tabs>
          <w:tab w:val="left" w:pos="1985"/>
          <w:tab w:val="left" w:pos="2552"/>
          <w:tab w:val="left" w:pos="3119"/>
          <w:tab w:val="left" w:pos="3686"/>
          <w:tab w:val="left" w:pos="4275"/>
        </w:tabs>
        <w:ind w:left="2552" w:hanging="1134"/>
        <w:rPr>
          <w:rFonts w:asciiTheme="majorBidi" w:hAnsiTheme="majorBidi" w:cstheme="majorBidi"/>
        </w:rPr>
      </w:pPr>
      <w:r w:rsidRPr="00D773F7">
        <w:rPr>
          <w:rFonts w:asciiTheme="majorBidi" w:hAnsiTheme="majorBidi" w:cstheme="majorBidi"/>
        </w:rPr>
        <w:t>n</w:t>
      </w:r>
      <w:r w:rsidRPr="00D773F7">
        <w:rPr>
          <w:rFonts w:asciiTheme="majorBidi" w:hAnsiTheme="majorBidi" w:cstheme="majorBidi"/>
        </w:rPr>
        <w:tab/>
        <w:t>=</w:t>
      </w:r>
      <w:r w:rsidRPr="00D773F7">
        <w:rPr>
          <w:rFonts w:asciiTheme="majorBidi" w:hAnsiTheme="majorBidi" w:cstheme="majorBidi"/>
        </w:rPr>
        <w:tab/>
        <w:t>chemical-specific exponent</w:t>
      </w:r>
    </w:p>
    <w:p w14:paraId="2E9FEF76" w14:textId="77777777" w:rsidR="00F10D98" w:rsidRPr="00D773F7" w:rsidRDefault="00F10D98" w:rsidP="00F10D98">
      <w:pPr>
        <w:tabs>
          <w:tab w:val="left" w:pos="1418"/>
          <w:tab w:val="left" w:pos="1985"/>
          <w:tab w:val="left" w:pos="2552"/>
          <w:tab w:val="left" w:pos="3119"/>
          <w:tab w:val="left" w:pos="3686"/>
          <w:tab w:val="left" w:pos="4275"/>
        </w:tabs>
        <w:ind w:firstLine="1418"/>
        <w:rPr>
          <w:rFonts w:asciiTheme="majorBidi" w:hAnsiTheme="majorBidi" w:cstheme="majorBidi"/>
        </w:rPr>
      </w:pPr>
      <w:r w:rsidRPr="00D773F7">
        <w:rPr>
          <w:rFonts w:asciiTheme="majorBidi" w:hAnsiTheme="majorBidi" w:cstheme="majorBidi"/>
        </w:rPr>
        <w:t>t</w:t>
      </w:r>
      <w:r w:rsidRPr="00D773F7">
        <w:rPr>
          <w:rFonts w:asciiTheme="majorBidi" w:hAnsiTheme="majorBidi" w:cstheme="majorBidi"/>
        </w:rPr>
        <w:tab/>
        <w:t>=</w:t>
      </w:r>
      <w:r w:rsidRPr="00D773F7">
        <w:rPr>
          <w:rFonts w:asciiTheme="majorBidi" w:hAnsiTheme="majorBidi" w:cstheme="majorBidi"/>
        </w:rPr>
        <w:tab/>
        <w:t>exposure duration, in hours, for C</w:t>
      </w:r>
    </w:p>
    <w:p w14:paraId="48B25DCE" w14:textId="77777777" w:rsidR="00F10D98" w:rsidRPr="00D773F7" w:rsidRDefault="00F10D98" w:rsidP="00F10D98">
      <w:pPr>
        <w:pStyle w:val="SingleTxtG"/>
        <w:spacing w:before="240"/>
        <w:rPr>
          <w:rFonts w:asciiTheme="majorBidi" w:hAnsiTheme="majorBidi" w:cstheme="majorBidi"/>
          <w:u w:val="single"/>
        </w:rPr>
      </w:pPr>
      <w:r w:rsidRPr="00D773F7">
        <w:rPr>
          <w:rFonts w:asciiTheme="majorBidi" w:hAnsiTheme="majorBidi" w:cstheme="majorBidi"/>
          <w:u w:val="single"/>
        </w:rPr>
        <w:t>Formula for dusts and mists</w:t>
      </w:r>
    </w:p>
    <w:p w14:paraId="7DC57CCD" w14:textId="77777777" w:rsidR="00F10D98" w:rsidRPr="00D773F7" w:rsidRDefault="003007E3" w:rsidP="00F10D98">
      <w:pPr>
        <w:tabs>
          <w:tab w:val="left" w:pos="1418"/>
          <w:tab w:val="center" w:pos="4819"/>
        </w:tabs>
        <w:spacing w:after="480"/>
        <w:ind w:left="630"/>
        <w:rPr>
          <w:rFonts w:asciiTheme="majorBidi" w:hAnsiTheme="majorBidi" w:cstheme="majorBidi"/>
          <w:u w:val="single"/>
        </w:rPr>
      </w:pPr>
      <m:oMathPara>
        <m:oMath>
          <m:sSub>
            <m:sSubPr>
              <m:ctrlPr>
                <w:rPr>
                  <w:rFonts w:ascii="Cambria Math" w:eastAsia="Times New Roman" w:hAnsi="Cambria Math" w:cstheme="majorBidi"/>
                  <w:bCs/>
                  <w:iCs/>
                </w:rPr>
              </m:ctrlPr>
            </m:sSubPr>
            <m:e>
              <m:r>
                <m:rPr>
                  <m:sty m:val="p"/>
                </m:rPr>
                <w:rPr>
                  <w:rFonts w:ascii="Cambria Math" w:hAnsi="Cambria Math" w:cstheme="majorBidi"/>
                </w:rPr>
                <m:t>LC</m:t>
              </m:r>
            </m:e>
            <m:sub>
              <m:r>
                <m:rPr>
                  <m:sty m:val="p"/>
                </m:rPr>
                <w:rPr>
                  <w:rFonts w:ascii="Cambria Math" w:hAnsi="Cambria Math" w:cstheme="majorBidi"/>
                </w:rPr>
                <m:t>50</m:t>
              </m:r>
            </m:sub>
          </m:sSub>
          <m:r>
            <m:rPr>
              <m:sty m:val="p"/>
            </m:rPr>
            <w:rPr>
              <w:rFonts w:ascii="Cambria Math" w:hAnsi="Cambria Math" w:cstheme="majorBidi"/>
            </w:rPr>
            <m:t>(4 hours)</m:t>
          </m:r>
          <m:r>
            <m:rPr>
              <m:sty m:val="bi"/>
            </m:rPr>
            <w:rPr>
              <w:rFonts w:ascii="Cambria Math" w:hAnsi="Cambria Math" w:cstheme="majorBidi"/>
            </w:rPr>
            <m:t xml:space="preserve">= </m:t>
          </m:r>
          <m:f>
            <m:fPr>
              <m:ctrlPr>
                <w:rPr>
                  <w:rFonts w:ascii="Cambria Math" w:eastAsia="Times New Roman" w:hAnsi="Cambria Math" w:cstheme="majorBidi"/>
                  <w:iCs/>
                </w:rPr>
              </m:ctrlPr>
            </m:fPr>
            <m:num>
              <m:r>
                <m:rPr>
                  <m:sty m:val="p"/>
                </m:rPr>
                <w:rPr>
                  <w:rFonts w:ascii="Cambria Math" w:hAnsi="Cambria Math" w:cstheme="majorBidi"/>
                </w:rPr>
                <m:t>C ×  t</m:t>
              </m:r>
            </m:num>
            <m:den>
              <m:r>
                <m:rPr>
                  <m:sty m:val="p"/>
                </m:rPr>
                <w:rPr>
                  <w:rFonts w:ascii="Cambria Math" w:hAnsi="Cambria Math" w:cstheme="majorBidi"/>
                </w:rPr>
                <m:t>4</m:t>
              </m:r>
            </m:den>
          </m:f>
        </m:oMath>
      </m:oMathPara>
    </w:p>
    <w:p w14:paraId="1C51C3EE" w14:textId="77777777" w:rsidR="00F10D98" w:rsidRPr="00D773F7" w:rsidRDefault="00F10D98" w:rsidP="00F10D98">
      <w:pPr>
        <w:pStyle w:val="BodyText3"/>
        <w:widowControl/>
        <w:tabs>
          <w:tab w:val="left" w:pos="1418"/>
        </w:tabs>
        <w:spacing w:before="120" w:after="120"/>
        <w:rPr>
          <w:rFonts w:asciiTheme="majorBidi" w:hAnsiTheme="majorBidi" w:cstheme="majorBidi"/>
          <w:sz w:val="20"/>
        </w:rPr>
      </w:pPr>
      <w:r w:rsidRPr="00D773F7">
        <w:rPr>
          <w:rFonts w:asciiTheme="majorBidi" w:hAnsiTheme="majorBidi" w:cstheme="majorBidi"/>
          <w:sz w:val="20"/>
        </w:rPr>
        <w:tab/>
      </w:r>
      <w:r w:rsidRPr="00D773F7">
        <w:rPr>
          <w:rFonts w:asciiTheme="majorBidi" w:hAnsiTheme="majorBidi" w:cstheme="majorBidi"/>
          <w:sz w:val="20"/>
        </w:rPr>
        <w:tab/>
        <w:t>where:</w:t>
      </w:r>
    </w:p>
    <w:p w14:paraId="07D633E4" w14:textId="77777777" w:rsidR="00F10D98" w:rsidRPr="00D773F7" w:rsidRDefault="00F10D98" w:rsidP="00F10D98">
      <w:pPr>
        <w:tabs>
          <w:tab w:val="left" w:pos="1418"/>
          <w:tab w:val="left" w:pos="1985"/>
          <w:tab w:val="left" w:pos="2552"/>
          <w:tab w:val="left" w:pos="3119"/>
          <w:tab w:val="left" w:pos="3686"/>
          <w:tab w:val="left" w:pos="4275"/>
        </w:tabs>
        <w:ind w:firstLine="1418"/>
        <w:rPr>
          <w:rFonts w:asciiTheme="majorBidi" w:hAnsiTheme="majorBidi" w:cstheme="majorBidi"/>
        </w:rPr>
      </w:pPr>
      <w:r w:rsidRPr="00D773F7">
        <w:rPr>
          <w:rFonts w:asciiTheme="majorBidi" w:hAnsiTheme="majorBidi" w:cstheme="majorBidi"/>
        </w:rPr>
        <w:t>C</w:t>
      </w:r>
      <w:r w:rsidRPr="00D773F7">
        <w:rPr>
          <w:rFonts w:asciiTheme="majorBidi" w:hAnsiTheme="majorBidi" w:cstheme="majorBidi"/>
        </w:rPr>
        <w:tab/>
        <w:t>=</w:t>
      </w:r>
      <w:r w:rsidRPr="00D773F7">
        <w:rPr>
          <w:rFonts w:asciiTheme="majorBidi" w:hAnsiTheme="majorBidi" w:cstheme="majorBidi"/>
        </w:rPr>
        <w:tab/>
        <w:t>LC</w:t>
      </w:r>
      <w:r w:rsidRPr="00D773F7">
        <w:rPr>
          <w:rFonts w:asciiTheme="majorBidi" w:hAnsiTheme="majorBidi" w:cstheme="majorBidi"/>
          <w:vertAlign w:val="subscript"/>
        </w:rPr>
        <w:t>50</w:t>
      </w:r>
      <w:r w:rsidRPr="00D773F7">
        <w:rPr>
          <w:rFonts w:asciiTheme="majorBidi" w:hAnsiTheme="majorBidi" w:cstheme="majorBidi"/>
        </w:rPr>
        <w:t xml:space="preserve"> concentration for exposure duration t</w:t>
      </w:r>
    </w:p>
    <w:p w14:paraId="3F916EAC" w14:textId="77777777" w:rsidR="00F10D98" w:rsidRPr="00D773F7" w:rsidRDefault="00F10D98" w:rsidP="00F10D98">
      <w:pPr>
        <w:tabs>
          <w:tab w:val="left" w:pos="1418"/>
          <w:tab w:val="left" w:pos="1985"/>
          <w:tab w:val="left" w:pos="2552"/>
          <w:tab w:val="left" w:pos="3119"/>
          <w:tab w:val="left" w:pos="3686"/>
          <w:tab w:val="left" w:pos="4275"/>
        </w:tabs>
        <w:ind w:firstLine="1418"/>
        <w:rPr>
          <w:rFonts w:asciiTheme="majorBidi" w:hAnsiTheme="majorBidi" w:cstheme="majorBidi"/>
        </w:rPr>
      </w:pPr>
      <w:r w:rsidRPr="00D773F7">
        <w:rPr>
          <w:rFonts w:asciiTheme="majorBidi" w:hAnsiTheme="majorBidi" w:cstheme="majorBidi"/>
        </w:rPr>
        <w:t>t</w:t>
      </w:r>
      <w:r w:rsidRPr="00D773F7">
        <w:rPr>
          <w:rFonts w:asciiTheme="majorBidi" w:hAnsiTheme="majorBidi" w:cstheme="majorBidi"/>
        </w:rPr>
        <w:tab/>
        <w:t>=</w:t>
      </w:r>
      <w:r w:rsidRPr="00D773F7">
        <w:rPr>
          <w:rFonts w:asciiTheme="majorBidi" w:hAnsiTheme="majorBidi" w:cstheme="majorBidi"/>
        </w:rPr>
        <w:tab/>
        <w:t>exposure duration, in hours, for C</w:t>
      </w:r>
    </w:p>
    <w:p w14:paraId="494F82D8" w14:textId="77777777" w:rsidR="00F10D98" w:rsidRPr="00D773F7" w:rsidRDefault="00F10D98" w:rsidP="00F10D98">
      <w:pPr>
        <w:pStyle w:val="SingleTxtG"/>
        <w:spacing w:before="240"/>
        <w:rPr>
          <w:rFonts w:asciiTheme="majorBidi" w:hAnsiTheme="majorBidi" w:cstheme="majorBidi"/>
        </w:rPr>
      </w:pPr>
      <w:r w:rsidRPr="00D773F7">
        <w:rPr>
          <w:rFonts w:asciiTheme="majorBidi" w:hAnsiTheme="majorBidi" w:cstheme="majorBidi"/>
        </w:rPr>
        <w:t>3.1.5.3.2</w:t>
      </w:r>
      <w:r w:rsidRPr="00D773F7">
        <w:rPr>
          <w:rFonts w:asciiTheme="majorBidi" w:hAnsiTheme="majorBidi" w:cstheme="majorBidi"/>
        </w:rPr>
        <w:tab/>
      </w:r>
      <w:r w:rsidRPr="00D773F7">
        <w:rPr>
          <w:rFonts w:asciiTheme="majorBidi" w:eastAsia="Times New Roman" w:hAnsiTheme="majorBidi" w:cstheme="majorBidi"/>
        </w:rPr>
        <w:t>A default value of 2 is used for n unless additional conclusive information is available to indicate that a different value is more appropriate. The accepted exposure times for conversion are from 30 minutes to 8-hour exposures. A competent authority may decide whether other exposure times are acceptable for conversion. Data from a long-term exposure should not be converted because this hazard class addresses acute toxicity. Guidance on the duration of short-term (i.e., acute) inhalation toxicity exposures can be found in OECD Guidance Document 39 (section 4.1: Outline of the exposure methodology).</w:t>
      </w:r>
    </w:p>
    <w:p w14:paraId="0A5B6174" w14:textId="77777777" w:rsidR="00F10D98" w:rsidRPr="00D773F7" w:rsidRDefault="00F10D98" w:rsidP="00F10D98">
      <w:pPr>
        <w:pStyle w:val="H23G"/>
        <w:rPr>
          <w:rFonts w:asciiTheme="majorBidi" w:hAnsiTheme="majorBidi" w:cstheme="majorBidi"/>
        </w:rPr>
      </w:pPr>
      <w:r w:rsidRPr="00D773F7">
        <w:rPr>
          <w:rFonts w:asciiTheme="majorBidi" w:hAnsiTheme="majorBidi" w:cstheme="majorBidi"/>
        </w:rPr>
        <w:tab/>
      </w:r>
      <w:r w:rsidRPr="00D773F7">
        <w:rPr>
          <w:rFonts w:asciiTheme="majorBidi" w:hAnsiTheme="majorBidi" w:cstheme="majorBidi"/>
        </w:rPr>
        <w:tab/>
        <w:t>Examples: classification using calculated 4-hour LC</w:t>
      </w:r>
      <w:r w:rsidRPr="00D773F7">
        <w:rPr>
          <w:rFonts w:asciiTheme="majorBidi" w:hAnsiTheme="majorBidi" w:cstheme="majorBidi"/>
          <w:vertAlign w:val="subscript"/>
        </w:rPr>
        <w:t>50</w:t>
      </w:r>
      <w:r w:rsidRPr="00D773F7">
        <w:rPr>
          <w:rFonts w:asciiTheme="majorBidi" w:hAnsiTheme="majorBidi" w:cstheme="majorBidi"/>
        </w:rPr>
        <w:t xml:space="preserve"> values</w:t>
      </w:r>
    </w:p>
    <w:p w14:paraId="6EB64F78" w14:textId="77777777" w:rsidR="00F10D98" w:rsidRPr="00D773F7" w:rsidRDefault="00F10D98" w:rsidP="00F10D98">
      <w:pPr>
        <w:pStyle w:val="SingleTxtG"/>
        <w:keepNext/>
        <w:keepLines/>
        <w:rPr>
          <w:rFonts w:asciiTheme="majorBidi" w:hAnsiTheme="majorBidi" w:cstheme="majorBidi"/>
          <w:b/>
          <w:bCs/>
          <w:i/>
          <w:iCs/>
        </w:rPr>
      </w:pPr>
      <w:r w:rsidRPr="00D773F7">
        <w:rPr>
          <w:rFonts w:asciiTheme="majorBidi" w:hAnsiTheme="majorBidi" w:cstheme="majorBidi"/>
          <w:b/>
          <w:bCs/>
          <w:i/>
          <w:iCs/>
        </w:rPr>
        <w:t>Example 1: Substance (liquid)</w:t>
      </w:r>
    </w:p>
    <w:p w14:paraId="63138E80" w14:textId="77777777" w:rsidR="00F10D98" w:rsidRPr="00D773F7" w:rsidRDefault="00F10D98" w:rsidP="00F10D98">
      <w:pPr>
        <w:pStyle w:val="SingleTxtG"/>
        <w:ind w:left="1560" w:hanging="426"/>
        <w:rPr>
          <w:rFonts w:asciiTheme="majorBidi" w:hAnsiTheme="majorBidi" w:cstheme="majorBidi"/>
        </w:rPr>
      </w:pPr>
      <w:r w:rsidRPr="00D773F7">
        <w:rPr>
          <w:rFonts w:asciiTheme="majorBidi" w:eastAsiaTheme="minorHAnsi" w:hAnsiTheme="majorBidi" w:cstheme="majorBidi"/>
          <w:szCs w:val="24"/>
          <w:lang w:val="en-US"/>
        </w:rPr>
        <w:t>1.</w:t>
      </w:r>
      <w:r w:rsidRPr="00D773F7">
        <w:rPr>
          <w:rFonts w:asciiTheme="majorBidi" w:eastAsiaTheme="minorHAnsi" w:hAnsiTheme="majorBidi" w:cstheme="majorBidi"/>
          <w:szCs w:val="24"/>
          <w:lang w:val="en-US"/>
        </w:rPr>
        <w:tab/>
      </w:r>
      <w:r w:rsidRPr="00D773F7">
        <w:rPr>
          <w:rFonts w:asciiTheme="majorBidi" w:hAnsiTheme="majorBidi" w:cstheme="majorBidi"/>
        </w:rPr>
        <w:t xml:space="preserve">For the purpose of this example the substance has an experimental 6-hour vapour </w:t>
      </w:r>
      <w:r w:rsidRPr="00D773F7">
        <w:rPr>
          <w:rFonts w:asciiTheme="majorBidi" w:hAnsiTheme="majorBidi" w:cstheme="majorBidi"/>
        </w:rPr>
        <w:br/>
        <w:t>LC</w:t>
      </w:r>
      <w:r w:rsidRPr="00D773F7">
        <w:rPr>
          <w:rFonts w:asciiTheme="majorBidi" w:hAnsiTheme="majorBidi" w:cstheme="majorBidi"/>
          <w:vertAlign w:val="subscript"/>
        </w:rPr>
        <w:t>50</w:t>
      </w:r>
      <w:r w:rsidRPr="00D773F7">
        <w:rPr>
          <w:rFonts w:asciiTheme="majorBidi" w:hAnsiTheme="majorBidi" w:cstheme="majorBidi"/>
        </w:rPr>
        <w:t xml:space="preserve"> = 13.6 mg/l</w:t>
      </w:r>
    </w:p>
    <w:p w14:paraId="004EB186" w14:textId="77777777" w:rsidR="00F10D98" w:rsidRPr="00D773F7" w:rsidRDefault="00F10D98" w:rsidP="00F10D98">
      <w:pPr>
        <w:pStyle w:val="SingleTxtG"/>
        <w:ind w:left="1560" w:hanging="426"/>
        <w:rPr>
          <w:rFonts w:asciiTheme="majorBidi" w:hAnsiTheme="majorBidi" w:cstheme="majorBidi"/>
        </w:rPr>
      </w:pPr>
      <w:r w:rsidRPr="00D773F7">
        <w:rPr>
          <w:rFonts w:asciiTheme="majorBidi" w:eastAsiaTheme="minorHAnsi" w:hAnsiTheme="majorBidi" w:cstheme="majorBidi"/>
          <w:szCs w:val="24"/>
          <w:lang w:val="en-US"/>
        </w:rPr>
        <w:t>2.</w:t>
      </w:r>
      <w:r w:rsidRPr="00D773F7">
        <w:rPr>
          <w:rFonts w:asciiTheme="majorBidi" w:eastAsiaTheme="minorHAnsi" w:hAnsiTheme="majorBidi" w:cstheme="majorBidi"/>
          <w:szCs w:val="24"/>
          <w:lang w:val="en-US"/>
        </w:rPr>
        <w:tab/>
      </w:r>
      <w:r w:rsidRPr="00D773F7">
        <w:rPr>
          <w:rFonts w:asciiTheme="majorBidi" w:hAnsiTheme="majorBidi" w:cstheme="majorBidi"/>
        </w:rPr>
        <w:t>No additional information on n is available so the default value (n = 2) will be used.</w:t>
      </w:r>
    </w:p>
    <w:p w14:paraId="65FD202B" w14:textId="77777777" w:rsidR="00F10D98" w:rsidRPr="00D773F7" w:rsidRDefault="00F10D98" w:rsidP="00F10D98">
      <w:pPr>
        <w:pStyle w:val="SingleTxtG"/>
        <w:spacing w:before="240"/>
        <w:rPr>
          <w:rFonts w:asciiTheme="majorBidi" w:hAnsiTheme="majorBidi" w:cstheme="majorBidi"/>
          <w:u w:val="single"/>
        </w:rPr>
      </w:pPr>
      <w:r w:rsidRPr="00D773F7">
        <w:rPr>
          <w:rFonts w:asciiTheme="majorBidi" w:hAnsiTheme="majorBidi" w:cstheme="majorBidi"/>
          <w:u w:val="single"/>
        </w:rPr>
        <w:lastRenderedPageBreak/>
        <w:t>Criterion:</w:t>
      </w:r>
    </w:p>
    <w:p w14:paraId="3AC7FE32" w14:textId="77777777" w:rsidR="00F10D98" w:rsidRPr="00D773F7" w:rsidRDefault="003007E3" w:rsidP="00F10D9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s>
        <w:spacing w:after="240"/>
        <w:rPr>
          <w:rFonts w:asciiTheme="majorBidi" w:hAnsiTheme="majorBidi" w:cstheme="majorBidi"/>
          <w:iCs/>
          <w:u w:val="single"/>
        </w:rPr>
      </w:pPr>
      <m:oMathPara>
        <m:oMath>
          <m:sSub>
            <m:sSubPr>
              <m:ctrlPr>
                <w:rPr>
                  <w:rFonts w:ascii="Cambria Math" w:eastAsia="Times New Roman" w:hAnsi="Cambria Math" w:cstheme="majorBidi"/>
                  <w:bCs/>
                  <w:iCs/>
                </w:rPr>
              </m:ctrlPr>
            </m:sSubPr>
            <m:e>
              <m:r>
                <m:rPr>
                  <m:sty m:val="p"/>
                </m:rPr>
                <w:rPr>
                  <w:rFonts w:ascii="Cambria Math" w:hAnsi="Cambria Math" w:cstheme="majorBidi"/>
                </w:rPr>
                <m:t>LC</m:t>
              </m:r>
            </m:e>
            <m:sub>
              <m:r>
                <m:rPr>
                  <m:sty m:val="p"/>
                </m:rPr>
                <w:rPr>
                  <w:rFonts w:ascii="Cambria Math" w:hAnsi="Cambria Math" w:cstheme="majorBidi"/>
                </w:rPr>
                <m:t>50</m:t>
              </m:r>
            </m:sub>
          </m:sSub>
          <m:r>
            <m:rPr>
              <m:sty m:val="p"/>
            </m:rPr>
            <w:rPr>
              <w:rFonts w:ascii="Cambria Math" w:hAnsi="Cambria Math" w:cstheme="majorBidi"/>
            </w:rPr>
            <m:t>(4 hours)</m:t>
          </m:r>
          <m:r>
            <m:rPr>
              <m:sty m:val="bi"/>
            </m:rPr>
            <w:rPr>
              <w:rFonts w:ascii="Cambria Math" w:hAnsi="Cambria Math" w:cstheme="majorBidi"/>
            </w:rPr>
            <m:t xml:space="preserve">= </m:t>
          </m:r>
          <m:sSup>
            <m:sSupPr>
              <m:ctrlPr>
                <w:rPr>
                  <w:rFonts w:ascii="Cambria Math" w:eastAsia="Times New Roman" w:hAnsi="Cambria Math" w:cstheme="majorBidi"/>
                  <w:b/>
                  <w:iCs/>
                </w:rPr>
              </m:ctrlPr>
            </m:sSupPr>
            <m:e>
              <m:d>
                <m:dPr>
                  <m:ctrlPr>
                    <w:rPr>
                      <w:rFonts w:ascii="Cambria Math" w:eastAsia="Times New Roman" w:hAnsi="Cambria Math" w:cstheme="majorBidi"/>
                      <w:b/>
                      <w:iCs/>
                    </w:rPr>
                  </m:ctrlPr>
                </m:dPr>
                <m:e>
                  <m:f>
                    <m:fPr>
                      <m:ctrlPr>
                        <w:rPr>
                          <w:rFonts w:ascii="Cambria Math" w:eastAsia="Times New Roman" w:hAnsi="Cambria Math" w:cstheme="majorBidi"/>
                          <w:iCs/>
                        </w:rPr>
                      </m:ctrlPr>
                    </m:fPr>
                    <m:num>
                      <m:sSup>
                        <m:sSupPr>
                          <m:ctrlPr>
                            <w:rPr>
                              <w:rFonts w:ascii="Cambria Math" w:eastAsia="Times New Roman" w:hAnsi="Cambria Math" w:cstheme="majorBidi"/>
                              <w:iCs/>
                            </w:rPr>
                          </m:ctrlPr>
                        </m:sSupPr>
                        <m:e>
                          <m:r>
                            <m:rPr>
                              <m:sty m:val="p"/>
                            </m:rPr>
                            <w:rPr>
                              <w:rFonts w:ascii="Cambria Math" w:hAnsi="Cambria Math" w:cstheme="majorBidi"/>
                            </w:rPr>
                            <m:t>C</m:t>
                          </m:r>
                        </m:e>
                        <m:sup>
                          <m:r>
                            <m:rPr>
                              <m:sty m:val="p"/>
                            </m:rPr>
                            <w:rPr>
                              <w:rFonts w:ascii="Cambria Math" w:hAnsi="Cambria Math" w:cstheme="majorBidi"/>
                            </w:rPr>
                            <m:t>n</m:t>
                          </m:r>
                        </m:sup>
                      </m:sSup>
                      <m:r>
                        <m:rPr>
                          <m:sty m:val="p"/>
                        </m:rPr>
                        <w:rPr>
                          <w:rFonts w:ascii="Cambria Math" w:hAnsi="Cambria Math" w:cstheme="majorBidi"/>
                        </w:rPr>
                        <m:t xml:space="preserve"> × t</m:t>
                      </m:r>
                    </m:num>
                    <m:den>
                      <m:r>
                        <m:rPr>
                          <m:sty m:val="p"/>
                        </m:rPr>
                        <w:rPr>
                          <w:rFonts w:ascii="Cambria Math" w:hAnsi="Cambria Math" w:cstheme="majorBidi"/>
                        </w:rPr>
                        <m:t>4</m:t>
                      </m:r>
                    </m:den>
                  </m:f>
                </m:e>
              </m:d>
            </m:e>
            <m:sup>
              <m:r>
                <m:rPr>
                  <m:sty m:val="b"/>
                </m:rPr>
                <w:rPr>
                  <w:rFonts w:ascii="Cambria Math" w:hAnsi="Cambria Math" w:cstheme="majorBidi"/>
                </w:rPr>
                <m:t>1</m:t>
              </m:r>
              <m:r>
                <m:rPr>
                  <m:sty m:val="b"/>
                </m:rPr>
                <w:rPr>
                  <w:rFonts w:ascii="Cambria Math" w:hAnsi="Cambria Math" w:cstheme="majorBidi"/>
                </w:rPr>
                <m:t>/</m:t>
              </m:r>
              <m:r>
                <m:rPr>
                  <m:sty m:val="b"/>
                </m:rPr>
                <w:rPr>
                  <w:rFonts w:ascii="Cambria Math" w:hAnsi="Cambria Math" w:cstheme="majorBidi"/>
                </w:rPr>
                <m:t>n</m:t>
              </m:r>
            </m:sup>
          </m:sSup>
        </m:oMath>
      </m:oMathPara>
    </w:p>
    <w:p w14:paraId="256F8D99" w14:textId="77777777" w:rsidR="00F10D98" w:rsidRPr="00D773F7" w:rsidRDefault="00F10D98" w:rsidP="00F10D98">
      <w:pPr>
        <w:pStyle w:val="SingleTxtG"/>
        <w:keepNext/>
        <w:keepLines/>
        <w:rPr>
          <w:rFonts w:asciiTheme="majorBidi" w:hAnsiTheme="majorBidi" w:cstheme="majorBidi"/>
          <w:u w:val="single"/>
        </w:rPr>
      </w:pPr>
      <w:r w:rsidRPr="00D773F7">
        <w:rPr>
          <w:rFonts w:asciiTheme="majorBidi" w:hAnsiTheme="majorBidi" w:cstheme="majorBidi"/>
          <w:u w:val="single"/>
        </w:rPr>
        <w:t>Calculation</w:t>
      </w:r>
    </w:p>
    <w:p w14:paraId="4397DA5C" w14:textId="77777777" w:rsidR="00F10D98" w:rsidRPr="00D773F7" w:rsidRDefault="003007E3" w:rsidP="00F10D98">
      <w:pPr>
        <w:tabs>
          <w:tab w:val="left" w:pos="567"/>
        </w:tabs>
        <w:spacing w:after="200"/>
        <w:ind w:left="920" w:hanging="560"/>
        <w:contextualSpacing/>
        <w:jc w:val="both"/>
        <w:rPr>
          <w:rFonts w:asciiTheme="majorBidi" w:hAnsiTheme="majorBidi" w:cstheme="majorBidi"/>
          <w:b/>
          <w:iCs/>
        </w:rPr>
      </w:pPr>
      <m:oMathPara>
        <m:oMath>
          <m:sSub>
            <m:sSubPr>
              <m:ctrlPr>
                <w:rPr>
                  <w:rFonts w:ascii="Cambria Math" w:eastAsia="Times New Roman" w:hAnsi="Cambria Math" w:cstheme="majorBidi"/>
                  <w:bCs/>
                  <w:iCs/>
                </w:rPr>
              </m:ctrlPr>
            </m:sSubPr>
            <m:e>
              <m:r>
                <m:rPr>
                  <m:sty m:val="p"/>
                </m:rPr>
                <w:rPr>
                  <w:rFonts w:ascii="Cambria Math" w:hAnsi="Cambria Math" w:cstheme="majorBidi"/>
                </w:rPr>
                <m:t>LC</m:t>
              </m:r>
            </m:e>
            <m:sub>
              <m:r>
                <m:rPr>
                  <m:sty m:val="p"/>
                </m:rPr>
                <w:rPr>
                  <w:rFonts w:ascii="Cambria Math" w:hAnsi="Cambria Math" w:cstheme="majorBidi"/>
                </w:rPr>
                <m:t>50</m:t>
              </m:r>
            </m:sub>
          </m:sSub>
          <m:d>
            <m:dPr>
              <m:ctrlPr>
                <w:rPr>
                  <w:rFonts w:ascii="Cambria Math" w:eastAsia="Times New Roman" w:hAnsi="Cambria Math" w:cstheme="majorBidi"/>
                </w:rPr>
              </m:ctrlPr>
            </m:dPr>
            <m:e>
              <m:r>
                <m:rPr>
                  <m:sty m:val="p"/>
                </m:rPr>
                <w:rPr>
                  <w:rFonts w:ascii="Cambria Math" w:hAnsi="Cambria Math" w:cstheme="majorBidi"/>
                </w:rPr>
                <m:t>4 hours</m:t>
              </m:r>
            </m:e>
          </m:d>
          <m:r>
            <m:rPr>
              <m:sty m:val="bi"/>
            </m:rPr>
            <w:rPr>
              <w:rFonts w:ascii="Cambria Math" w:hAnsi="Cambria Math" w:cstheme="majorBidi"/>
            </w:rPr>
            <m:t xml:space="preserve">= </m:t>
          </m:r>
          <m:sSup>
            <m:sSupPr>
              <m:ctrlPr>
                <w:rPr>
                  <w:rFonts w:ascii="Cambria Math" w:eastAsia="Times New Roman" w:hAnsi="Cambria Math" w:cstheme="majorBidi"/>
                  <w:b/>
                  <w:iCs/>
                </w:rPr>
              </m:ctrlPr>
            </m:sSupPr>
            <m:e>
              <m:d>
                <m:dPr>
                  <m:ctrlPr>
                    <w:rPr>
                      <w:rFonts w:ascii="Cambria Math" w:eastAsia="Times New Roman" w:hAnsi="Cambria Math" w:cstheme="majorBidi"/>
                      <w:b/>
                      <w:iCs/>
                    </w:rPr>
                  </m:ctrlPr>
                </m:dPr>
                <m:e>
                  <m:f>
                    <m:fPr>
                      <m:ctrlPr>
                        <w:rPr>
                          <w:rFonts w:ascii="Cambria Math" w:eastAsia="Times New Roman" w:hAnsi="Cambria Math" w:cstheme="majorBidi"/>
                          <w:iCs/>
                        </w:rPr>
                      </m:ctrlPr>
                    </m:fPr>
                    <m:num>
                      <m:sSup>
                        <m:sSupPr>
                          <m:ctrlPr>
                            <w:rPr>
                              <w:rFonts w:ascii="Cambria Math" w:eastAsia="Times New Roman" w:hAnsi="Cambria Math" w:cstheme="majorBidi"/>
                              <w:iCs/>
                            </w:rPr>
                          </m:ctrlPr>
                        </m:sSupPr>
                        <m:e>
                          <m:r>
                            <m:rPr>
                              <m:sty m:val="p"/>
                            </m:rPr>
                            <w:rPr>
                              <w:rFonts w:ascii="Cambria Math" w:hAnsi="Cambria Math" w:cstheme="majorBidi"/>
                            </w:rPr>
                            <m:t>C</m:t>
                          </m:r>
                        </m:e>
                        <m:sup>
                          <m:r>
                            <m:rPr>
                              <m:sty m:val="p"/>
                            </m:rPr>
                            <w:rPr>
                              <w:rFonts w:ascii="Cambria Math" w:hAnsi="Cambria Math" w:cstheme="majorBidi"/>
                            </w:rPr>
                            <m:t>n</m:t>
                          </m:r>
                        </m:sup>
                      </m:sSup>
                      <m:r>
                        <m:rPr>
                          <m:sty m:val="p"/>
                        </m:rPr>
                        <w:rPr>
                          <w:rFonts w:ascii="Cambria Math" w:hAnsi="Cambria Math" w:cstheme="majorBidi"/>
                        </w:rPr>
                        <m:t xml:space="preserve"> × t</m:t>
                      </m:r>
                    </m:num>
                    <m:den>
                      <m:r>
                        <m:rPr>
                          <m:sty m:val="p"/>
                        </m:rPr>
                        <w:rPr>
                          <w:rFonts w:ascii="Cambria Math" w:hAnsi="Cambria Math" w:cstheme="majorBidi"/>
                        </w:rPr>
                        <m:t>4</m:t>
                      </m:r>
                    </m:den>
                  </m:f>
                </m:e>
              </m:d>
            </m:e>
            <m:sup>
              <m:f>
                <m:fPr>
                  <m:ctrlPr>
                    <w:rPr>
                      <w:rFonts w:ascii="Cambria Math" w:eastAsia="Times New Roman" w:hAnsi="Cambria Math" w:cstheme="majorBidi"/>
                      <w:b/>
                      <w:iCs/>
                    </w:rPr>
                  </m:ctrlPr>
                </m:fPr>
                <m:num>
                  <m:r>
                    <m:rPr>
                      <m:sty m:val="b"/>
                    </m:rPr>
                    <w:rPr>
                      <w:rFonts w:ascii="Cambria Math" w:hAnsi="Cambria Math" w:cstheme="majorBidi"/>
                    </w:rPr>
                    <m:t>1</m:t>
                  </m:r>
                </m:num>
                <m:den>
                  <m:r>
                    <m:rPr>
                      <m:sty m:val="b"/>
                    </m:rPr>
                    <w:rPr>
                      <w:rFonts w:ascii="Cambria Math" w:hAnsi="Cambria Math" w:cstheme="majorBidi"/>
                    </w:rPr>
                    <m:t>n</m:t>
                  </m:r>
                </m:den>
              </m:f>
            </m:sup>
          </m:sSup>
          <m:r>
            <m:rPr>
              <m:sty m:val="b"/>
            </m:rPr>
            <w:rPr>
              <w:rFonts w:ascii="Cambria Math" w:hAnsi="Cambria Math" w:cstheme="majorBidi"/>
            </w:rPr>
            <m:t xml:space="preserve">=  </m:t>
          </m:r>
          <m:sSup>
            <m:sSupPr>
              <m:ctrlPr>
                <w:rPr>
                  <w:rFonts w:ascii="Cambria Math" w:eastAsia="Times New Roman" w:hAnsi="Cambria Math" w:cstheme="majorBidi"/>
                  <w:b/>
                  <w:iCs/>
                </w:rPr>
              </m:ctrlPr>
            </m:sSupPr>
            <m:e>
              <m:d>
                <m:dPr>
                  <m:ctrlPr>
                    <w:rPr>
                      <w:rFonts w:ascii="Cambria Math" w:eastAsia="Times New Roman" w:hAnsi="Cambria Math" w:cstheme="majorBidi"/>
                      <w:b/>
                      <w:iCs/>
                    </w:rPr>
                  </m:ctrlPr>
                </m:dPr>
                <m:e>
                  <m:f>
                    <m:fPr>
                      <m:ctrlPr>
                        <w:rPr>
                          <w:rFonts w:ascii="Cambria Math" w:eastAsia="Times New Roman" w:hAnsi="Cambria Math" w:cstheme="majorBidi"/>
                          <w:iCs/>
                        </w:rPr>
                      </m:ctrlPr>
                    </m:fPr>
                    <m:num>
                      <m:sSup>
                        <m:sSupPr>
                          <m:ctrlPr>
                            <w:rPr>
                              <w:rFonts w:ascii="Cambria Math" w:eastAsia="Times New Roman" w:hAnsi="Cambria Math" w:cstheme="majorBidi"/>
                              <w:iCs/>
                            </w:rPr>
                          </m:ctrlPr>
                        </m:sSupPr>
                        <m:e>
                          <m:r>
                            <m:rPr>
                              <m:sty m:val="p"/>
                            </m:rPr>
                            <w:rPr>
                              <w:rFonts w:ascii="Cambria Math" w:hAnsi="Cambria Math" w:cstheme="majorBidi"/>
                            </w:rPr>
                            <m:t>13.6</m:t>
                          </m:r>
                        </m:e>
                        <m:sup>
                          <m:r>
                            <m:rPr>
                              <m:sty m:val="p"/>
                            </m:rPr>
                            <w:rPr>
                              <w:rFonts w:ascii="Cambria Math" w:hAnsi="Cambria Math" w:cstheme="majorBidi"/>
                            </w:rPr>
                            <m:t>2</m:t>
                          </m:r>
                        </m:sup>
                      </m:sSup>
                      <m:r>
                        <m:rPr>
                          <m:sty m:val="p"/>
                        </m:rPr>
                        <w:rPr>
                          <w:rFonts w:ascii="Cambria Math" w:hAnsi="Cambria Math" w:cstheme="majorBidi"/>
                        </w:rPr>
                        <m:t xml:space="preserve"> × 6</m:t>
                      </m:r>
                    </m:num>
                    <m:den>
                      <m:r>
                        <m:rPr>
                          <m:sty m:val="p"/>
                        </m:rPr>
                        <w:rPr>
                          <w:rFonts w:ascii="Cambria Math" w:hAnsi="Cambria Math" w:cstheme="majorBidi"/>
                        </w:rPr>
                        <m:t>4</m:t>
                      </m:r>
                    </m:den>
                  </m:f>
                </m:e>
              </m:d>
            </m:e>
            <m:sup>
              <m:f>
                <m:fPr>
                  <m:ctrlPr>
                    <w:rPr>
                      <w:rFonts w:ascii="Cambria Math" w:eastAsia="Times New Roman" w:hAnsi="Cambria Math" w:cstheme="majorBidi"/>
                      <w:b/>
                      <w:iCs/>
                    </w:rPr>
                  </m:ctrlPr>
                </m:fPr>
                <m:num>
                  <m:r>
                    <m:rPr>
                      <m:sty m:val="b"/>
                    </m:rPr>
                    <w:rPr>
                      <w:rFonts w:ascii="Cambria Math" w:hAnsi="Cambria Math" w:cstheme="majorBidi"/>
                    </w:rPr>
                    <m:t>1</m:t>
                  </m:r>
                </m:num>
                <m:den>
                  <m:r>
                    <m:rPr>
                      <m:sty m:val="b"/>
                    </m:rPr>
                    <w:rPr>
                      <w:rFonts w:ascii="Cambria Math" w:hAnsi="Cambria Math" w:cstheme="majorBidi"/>
                    </w:rPr>
                    <m:t>2</m:t>
                  </m:r>
                  <m:r>
                    <m:rPr>
                      <m:sty m:val="b"/>
                    </m:rPr>
                    <w:rPr>
                      <w:rFonts w:ascii="Cambria Math" w:hAnsi="Cambria Math" w:cstheme="majorBidi"/>
                    </w:rPr>
                    <m:t xml:space="preserve"> </m:t>
                  </m:r>
                </m:den>
              </m:f>
            </m:sup>
          </m:sSup>
          <m:r>
            <m:rPr>
              <m:sty m:val="b"/>
            </m:rPr>
            <w:rPr>
              <w:rFonts w:ascii="Cambria Math" w:hAnsi="Cambria Math" w:cstheme="majorBidi"/>
            </w:rPr>
            <m:t>=</m:t>
          </m:r>
          <m:r>
            <m:rPr>
              <m:sty m:val="b"/>
            </m:rPr>
            <w:rPr>
              <w:rFonts w:ascii="Cambria Math" w:hAnsi="Cambria Math" w:cstheme="majorBidi"/>
            </w:rPr>
            <m:t>16</m:t>
          </m:r>
          <m:r>
            <m:rPr>
              <m:sty m:val="b"/>
            </m:rPr>
            <w:rPr>
              <w:rFonts w:ascii="Cambria Math" w:hAnsi="Cambria Math" w:cstheme="majorBidi"/>
            </w:rPr>
            <m:t>.</m:t>
          </m:r>
          <m:r>
            <m:rPr>
              <m:sty m:val="b"/>
            </m:rPr>
            <w:rPr>
              <w:rFonts w:ascii="Cambria Math" w:hAnsi="Cambria Math" w:cstheme="majorBidi"/>
            </w:rPr>
            <m:t>7</m:t>
          </m:r>
        </m:oMath>
      </m:oMathPara>
    </w:p>
    <w:p w14:paraId="33A0C29B" w14:textId="7387FB88" w:rsidR="00F10D98" w:rsidRPr="00D773F7" w:rsidRDefault="00F10D98" w:rsidP="00F10D98">
      <w:pPr>
        <w:pStyle w:val="NormalWeb"/>
        <w:ind w:left="1170" w:right="1134"/>
        <w:rPr>
          <w:rFonts w:asciiTheme="majorBidi" w:hAnsiTheme="majorBidi" w:cstheme="majorBidi"/>
          <w:sz w:val="20"/>
          <w:szCs w:val="20"/>
        </w:rPr>
      </w:pPr>
      <w:r w:rsidRPr="00D773F7">
        <w:rPr>
          <w:rFonts w:asciiTheme="majorBidi" w:hAnsiTheme="majorBidi" w:cstheme="majorBidi"/>
          <w:sz w:val="20"/>
          <w:szCs w:val="20"/>
        </w:rPr>
        <w:t>3.</w:t>
      </w:r>
      <w:r w:rsidRPr="00D773F7">
        <w:rPr>
          <w:rFonts w:asciiTheme="majorBidi" w:hAnsiTheme="majorBidi" w:cstheme="majorBidi"/>
          <w:sz w:val="20"/>
          <w:szCs w:val="20"/>
        </w:rPr>
        <w:tab/>
        <w:t xml:space="preserve">Therefore, the substance is classified into Category 4 based on the </w:t>
      </w:r>
      <w:proofErr w:type="spellStart"/>
      <w:r w:rsidRPr="00D773F7">
        <w:rPr>
          <w:rFonts w:asciiTheme="majorBidi" w:hAnsiTheme="majorBidi" w:cstheme="majorBidi"/>
          <w:sz w:val="20"/>
          <w:szCs w:val="20"/>
        </w:rPr>
        <w:t>vapours</w:t>
      </w:r>
      <w:proofErr w:type="spellEnd"/>
      <w:r w:rsidRPr="00D773F7">
        <w:rPr>
          <w:rFonts w:asciiTheme="majorBidi" w:hAnsiTheme="majorBidi" w:cstheme="majorBidi"/>
          <w:sz w:val="20"/>
          <w:szCs w:val="20"/>
        </w:rPr>
        <w:t xml:space="preserve"> Category 4 criteria (10.0 &lt; ATE ≤ 20.0) from </w:t>
      </w:r>
      <w:r w:rsidR="001806B2" w:rsidRPr="00D773F7">
        <w:rPr>
          <w:rFonts w:asciiTheme="majorBidi" w:hAnsiTheme="majorBidi" w:cstheme="majorBidi"/>
          <w:sz w:val="20"/>
          <w:szCs w:val="20"/>
        </w:rPr>
        <w:t>t</w:t>
      </w:r>
      <w:r w:rsidRPr="00D773F7">
        <w:rPr>
          <w:rFonts w:asciiTheme="majorBidi" w:hAnsiTheme="majorBidi" w:cstheme="majorBidi"/>
          <w:sz w:val="20"/>
          <w:szCs w:val="20"/>
        </w:rPr>
        <w:t>able 3.1.1.</w:t>
      </w:r>
    </w:p>
    <w:p w14:paraId="39567D37" w14:textId="77777777" w:rsidR="00F10D98" w:rsidRPr="00D773F7" w:rsidRDefault="00F10D98" w:rsidP="00F10D98">
      <w:pPr>
        <w:pStyle w:val="SingleTxtG"/>
        <w:rPr>
          <w:rFonts w:asciiTheme="majorBidi" w:hAnsiTheme="majorBidi" w:cstheme="majorBidi"/>
          <w:b/>
          <w:bCs/>
          <w:i/>
          <w:iCs/>
        </w:rPr>
      </w:pPr>
      <w:r w:rsidRPr="00D773F7">
        <w:rPr>
          <w:rFonts w:asciiTheme="majorBidi" w:hAnsiTheme="majorBidi" w:cstheme="majorBidi"/>
          <w:b/>
          <w:bCs/>
          <w:i/>
          <w:iCs/>
        </w:rPr>
        <w:t xml:space="preserve">Example 2: Substance (solid) </w:t>
      </w:r>
    </w:p>
    <w:p w14:paraId="460E76B4" w14:textId="77777777" w:rsidR="00F10D98" w:rsidRPr="00D773F7" w:rsidRDefault="00F10D98" w:rsidP="00F10D98">
      <w:pPr>
        <w:pStyle w:val="SingleTxtG"/>
        <w:rPr>
          <w:rFonts w:asciiTheme="majorBidi" w:hAnsiTheme="majorBidi" w:cstheme="majorBidi"/>
        </w:rPr>
      </w:pPr>
      <w:r w:rsidRPr="00D773F7">
        <w:rPr>
          <w:rFonts w:asciiTheme="majorBidi" w:hAnsiTheme="majorBidi" w:cstheme="majorBidi"/>
        </w:rPr>
        <w:t>4.</w:t>
      </w:r>
      <w:r w:rsidRPr="00D773F7">
        <w:rPr>
          <w:rFonts w:asciiTheme="majorBidi" w:hAnsiTheme="majorBidi" w:cstheme="majorBidi"/>
        </w:rPr>
        <w:tab/>
        <w:t>For this example, the substance has an experimental 2-hour dust LC</w:t>
      </w:r>
      <w:r w:rsidRPr="00D773F7">
        <w:rPr>
          <w:rFonts w:asciiTheme="majorBidi" w:hAnsiTheme="majorBidi" w:cstheme="majorBidi"/>
          <w:vertAlign w:val="subscript"/>
        </w:rPr>
        <w:t>50</w:t>
      </w:r>
      <w:r w:rsidRPr="00D773F7">
        <w:rPr>
          <w:rFonts w:asciiTheme="majorBidi" w:hAnsiTheme="majorBidi" w:cstheme="majorBidi"/>
        </w:rPr>
        <w:t xml:space="preserve"> = 0.26 mg/l</w:t>
      </w:r>
    </w:p>
    <w:p w14:paraId="33ECBB6C" w14:textId="77777777" w:rsidR="00F10D98" w:rsidRPr="00D773F7" w:rsidRDefault="00F10D98" w:rsidP="00F10D98">
      <w:pPr>
        <w:pStyle w:val="SingleTxtG"/>
        <w:spacing w:before="240"/>
        <w:rPr>
          <w:rFonts w:asciiTheme="majorBidi" w:hAnsiTheme="majorBidi" w:cstheme="majorBidi"/>
          <w:u w:val="single"/>
        </w:rPr>
      </w:pPr>
      <w:r w:rsidRPr="00D773F7">
        <w:rPr>
          <w:rFonts w:asciiTheme="majorBidi" w:hAnsiTheme="majorBidi" w:cstheme="majorBidi"/>
          <w:u w:val="single"/>
        </w:rPr>
        <w:t>Criterion:</w:t>
      </w:r>
    </w:p>
    <w:p w14:paraId="1BDEE485" w14:textId="77777777" w:rsidR="00F10D98" w:rsidRPr="00D773F7" w:rsidRDefault="003007E3" w:rsidP="00F10D9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s>
        <w:spacing w:after="240"/>
        <w:rPr>
          <w:rFonts w:asciiTheme="majorBidi" w:hAnsiTheme="majorBidi" w:cstheme="majorBidi"/>
          <w:u w:val="single"/>
        </w:rPr>
      </w:pPr>
      <m:oMathPara>
        <m:oMath>
          <m:sSub>
            <m:sSubPr>
              <m:ctrlPr>
                <w:rPr>
                  <w:rFonts w:ascii="Cambria Math" w:eastAsia="Times New Roman" w:hAnsi="Cambria Math" w:cstheme="majorBidi"/>
                  <w:bCs/>
                  <w:iCs/>
                </w:rPr>
              </m:ctrlPr>
            </m:sSubPr>
            <m:e>
              <m:r>
                <m:rPr>
                  <m:sty m:val="p"/>
                </m:rPr>
                <w:rPr>
                  <w:rFonts w:ascii="Cambria Math" w:hAnsi="Cambria Math" w:cstheme="majorBidi"/>
                </w:rPr>
                <m:t>LC</m:t>
              </m:r>
            </m:e>
            <m:sub>
              <m:r>
                <m:rPr>
                  <m:sty m:val="p"/>
                </m:rPr>
                <w:rPr>
                  <w:rFonts w:ascii="Cambria Math" w:hAnsi="Cambria Math" w:cstheme="majorBidi"/>
                </w:rPr>
                <m:t>50</m:t>
              </m:r>
            </m:sub>
          </m:sSub>
          <m:r>
            <m:rPr>
              <m:sty m:val="p"/>
            </m:rPr>
            <w:rPr>
              <w:rFonts w:ascii="Cambria Math" w:hAnsi="Cambria Math" w:cstheme="majorBidi"/>
            </w:rPr>
            <m:t>(4 hours)</m:t>
          </m:r>
          <m:r>
            <m:rPr>
              <m:sty m:val="bi"/>
            </m:rPr>
            <w:rPr>
              <w:rFonts w:ascii="Cambria Math" w:hAnsi="Cambria Math" w:cstheme="majorBidi"/>
            </w:rPr>
            <m:t xml:space="preserve">= </m:t>
          </m:r>
          <m:f>
            <m:fPr>
              <m:ctrlPr>
                <w:rPr>
                  <w:rFonts w:ascii="Cambria Math" w:eastAsia="Times New Roman" w:hAnsi="Cambria Math" w:cstheme="majorBidi"/>
                  <w:iCs/>
                </w:rPr>
              </m:ctrlPr>
            </m:fPr>
            <m:num>
              <m:r>
                <m:rPr>
                  <m:sty m:val="p"/>
                </m:rPr>
                <w:rPr>
                  <w:rFonts w:ascii="Cambria Math" w:hAnsi="Cambria Math" w:cstheme="majorBidi"/>
                </w:rPr>
                <m:t>C ×  t</m:t>
              </m:r>
            </m:num>
            <m:den>
              <m:r>
                <m:rPr>
                  <m:sty m:val="p"/>
                </m:rPr>
                <w:rPr>
                  <w:rFonts w:ascii="Cambria Math" w:hAnsi="Cambria Math" w:cstheme="majorBidi"/>
                </w:rPr>
                <m:t>4</m:t>
              </m:r>
            </m:den>
          </m:f>
        </m:oMath>
      </m:oMathPara>
    </w:p>
    <w:p w14:paraId="50F18454" w14:textId="77777777" w:rsidR="00F10D98" w:rsidRPr="00D773F7" w:rsidRDefault="00F10D98" w:rsidP="00F10D98">
      <w:pPr>
        <w:pStyle w:val="SingleTxtG"/>
        <w:rPr>
          <w:rFonts w:asciiTheme="majorBidi" w:hAnsiTheme="majorBidi" w:cstheme="majorBidi"/>
          <w:u w:val="single"/>
        </w:rPr>
      </w:pPr>
      <w:r w:rsidRPr="00D773F7">
        <w:rPr>
          <w:rFonts w:asciiTheme="majorBidi" w:hAnsiTheme="majorBidi" w:cstheme="majorBidi"/>
          <w:u w:val="single"/>
        </w:rPr>
        <w:t>Calculation</w:t>
      </w:r>
    </w:p>
    <w:p w14:paraId="5C6E6554" w14:textId="47ED284E" w:rsidR="00F10D98" w:rsidRPr="00D773F7" w:rsidRDefault="003007E3" w:rsidP="00F10D98">
      <w:pPr>
        <w:tabs>
          <w:tab w:val="left" w:pos="567"/>
        </w:tabs>
        <w:spacing w:after="200"/>
        <w:rPr>
          <w:rFonts w:asciiTheme="majorBidi" w:hAnsiTheme="majorBidi" w:cstheme="majorBidi"/>
        </w:rPr>
      </w:pPr>
      <m:oMathPara>
        <m:oMath>
          <m:sSub>
            <m:sSubPr>
              <m:ctrlPr>
                <w:rPr>
                  <w:rFonts w:ascii="Cambria Math" w:eastAsia="Times New Roman" w:hAnsi="Cambria Math" w:cstheme="majorBidi"/>
                  <w:bCs/>
                  <w:iCs/>
                </w:rPr>
              </m:ctrlPr>
            </m:sSubPr>
            <m:e>
              <m:r>
                <m:rPr>
                  <m:sty m:val="p"/>
                </m:rPr>
                <w:rPr>
                  <w:rFonts w:ascii="Cambria Math" w:hAnsi="Cambria Math" w:cstheme="majorBidi"/>
                </w:rPr>
                <m:t>LC</m:t>
              </m:r>
            </m:e>
            <m:sub>
              <m:r>
                <m:rPr>
                  <m:sty m:val="p"/>
                </m:rPr>
                <w:rPr>
                  <w:rFonts w:ascii="Cambria Math" w:hAnsi="Cambria Math" w:cstheme="majorBidi"/>
                </w:rPr>
                <m:t>50</m:t>
              </m:r>
            </m:sub>
          </m:sSub>
          <m:d>
            <m:dPr>
              <m:ctrlPr>
                <w:rPr>
                  <w:rFonts w:ascii="Cambria Math" w:eastAsia="Times New Roman" w:hAnsi="Cambria Math" w:cstheme="majorBidi"/>
                </w:rPr>
              </m:ctrlPr>
            </m:dPr>
            <m:e>
              <m:r>
                <m:rPr>
                  <m:sty m:val="p"/>
                </m:rPr>
                <w:rPr>
                  <w:rFonts w:ascii="Cambria Math" w:hAnsi="Cambria Math" w:cstheme="majorBidi"/>
                </w:rPr>
                <m:t>4 hours</m:t>
              </m:r>
            </m:e>
          </m:d>
          <m:r>
            <m:rPr>
              <m:sty m:val="bi"/>
            </m:rPr>
            <w:rPr>
              <w:rFonts w:ascii="Cambria Math" w:hAnsi="Cambria Math" w:cstheme="majorBidi"/>
            </w:rPr>
            <m:t xml:space="preserve">= </m:t>
          </m:r>
          <m:f>
            <m:fPr>
              <m:ctrlPr>
                <w:rPr>
                  <w:rFonts w:ascii="Cambria Math" w:eastAsia="Times New Roman" w:hAnsi="Cambria Math" w:cstheme="majorBidi"/>
                  <w:iCs/>
                </w:rPr>
              </m:ctrlPr>
            </m:fPr>
            <m:num>
              <m:r>
                <m:rPr>
                  <m:sty m:val="p"/>
                </m:rPr>
                <w:rPr>
                  <w:rFonts w:ascii="Cambria Math" w:hAnsi="Cambria Math" w:cstheme="majorBidi"/>
                </w:rPr>
                <m:t>C ×  t</m:t>
              </m:r>
            </m:num>
            <m:den>
              <m:r>
                <m:rPr>
                  <m:sty m:val="p"/>
                </m:rPr>
                <w:rPr>
                  <w:rFonts w:ascii="Cambria Math" w:hAnsi="Cambria Math" w:cstheme="majorBidi"/>
                </w:rPr>
                <m:t>4</m:t>
              </m:r>
            </m:den>
          </m:f>
          <m:r>
            <w:rPr>
              <w:rFonts w:ascii="Cambria Math" w:hAnsi="Cambria Math" w:cstheme="majorBidi"/>
            </w:rPr>
            <m:t xml:space="preserve">= </m:t>
          </m:r>
          <m:f>
            <m:fPr>
              <m:ctrlPr>
                <w:rPr>
                  <w:rFonts w:ascii="Cambria Math" w:eastAsia="Times New Roman" w:hAnsi="Cambria Math" w:cstheme="majorBidi"/>
                  <w:iCs/>
                </w:rPr>
              </m:ctrlPr>
            </m:fPr>
            <m:num>
              <m:r>
                <w:rPr>
                  <w:rFonts w:ascii="Cambria Math" w:eastAsia="Times New Roman" w:hAnsi="Cambria Math" w:cstheme="majorBidi"/>
                </w:rPr>
                <m:t>0</m:t>
              </m:r>
              <m:r>
                <m:rPr>
                  <m:sty m:val="p"/>
                </m:rPr>
                <w:rPr>
                  <w:rFonts w:ascii="Cambria Math" w:hAnsi="Cambria Math" w:cstheme="majorBidi"/>
                </w:rPr>
                <m:t>.26 ×  2</m:t>
              </m:r>
            </m:num>
            <m:den>
              <m:r>
                <m:rPr>
                  <m:sty m:val="p"/>
                </m:rPr>
                <w:rPr>
                  <w:rFonts w:ascii="Cambria Math" w:hAnsi="Cambria Math" w:cstheme="majorBidi"/>
                </w:rPr>
                <m:t>4</m:t>
              </m:r>
            </m:den>
          </m:f>
          <m:r>
            <w:rPr>
              <w:rFonts w:ascii="Cambria Math" w:hAnsi="Cambria Math" w:cstheme="majorBidi"/>
            </w:rPr>
            <m:t>=</m:t>
          </m:r>
          <m:r>
            <m:rPr>
              <m:sty m:val="bi"/>
            </m:rPr>
            <w:rPr>
              <w:rFonts w:ascii="Cambria Math" w:hAnsi="Cambria Math" w:cstheme="majorBidi"/>
            </w:rPr>
            <m:t>0</m:t>
          </m:r>
          <m:r>
            <m:rPr>
              <m:sty m:val="bi"/>
            </m:rPr>
            <w:rPr>
              <w:rFonts w:ascii="Cambria Math" w:hAnsi="Cambria Math" w:cstheme="majorBidi"/>
            </w:rPr>
            <m:t>.</m:t>
          </m:r>
          <m:r>
            <m:rPr>
              <m:sty m:val="bi"/>
            </m:rPr>
            <w:rPr>
              <w:rFonts w:ascii="Cambria Math" w:hAnsi="Cambria Math" w:cstheme="majorBidi"/>
            </w:rPr>
            <m:t>13</m:t>
          </m:r>
          <m:r>
            <w:rPr>
              <w:rFonts w:ascii="Cambria Math" w:hAnsi="Cambria Math" w:cstheme="majorBidi"/>
            </w:rPr>
            <m:t xml:space="preserve"> </m:t>
          </m:r>
        </m:oMath>
      </m:oMathPara>
    </w:p>
    <w:p w14:paraId="1232270D" w14:textId="486A51AE" w:rsidR="00F10D98" w:rsidRPr="00D773F7" w:rsidRDefault="00F10D98" w:rsidP="00F10D98">
      <w:pPr>
        <w:pStyle w:val="NormalWeb"/>
        <w:ind w:left="1170" w:right="1134"/>
        <w:rPr>
          <w:rFonts w:asciiTheme="majorBidi" w:hAnsiTheme="majorBidi" w:cstheme="majorBidi"/>
          <w:sz w:val="20"/>
        </w:rPr>
      </w:pPr>
      <w:r w:rsidRPr="00D773F7">
        <w:rPr>
          <w:rFonts w:asciiTheme="majorBidi" w:hAnsiTheme="majorBidi" w:cstheme="majorBidi"/>
          <w:sz w:val="20"/>
        </w:rPr>
        <w:t>5.</w:t>
      </w:r>
      <w:r w:rsidRPr="00D773F7">
        <w:rPr>
          <w:rFonts w:asciiTheme="majorBidi" w:hAnsiTheme="majorBidi" w:cstheme="majorBidi"/>
          <w:sz w:val="20"/>
        </w:rPr>
        <w:tab/>
        <w:t xml:space="preserve">Therefore, the substance is classified into Category 2 based on the dusts and mists Category 2 criteria (0.05 &lt; ATE ≤ 0.5) from </w:t>
      </w:r>
      <w:r w:rsidR="001806B2" w:rsidRPr="00D773F7">
        <w:rPr>
          <w:rFonts w:asciiTheme="majorBidi" w:hAnsiTheme="majorBidi" w:cstheme="majorBidi"/>
          <w:sz w:val="20"/>
        </w:rPr>
        <w:t>t</w:t>
      </w:r>
      <w:r w:rsidRPr="00D773F7">
        <w:rPr>
          <w:rFonts w:asciiTheme="majorBidi" w:hAnsiTheme="majorBidi" w:cstheme="majorBidi"/>
          <w:sz w:val="20"/>
        </w:rPr>
        <w:t>able 3.1.1.”.</w:t>
      </w:r>
    </w:p>
    <w:p w14:paraId="2910E7E7" w14:textId="77777777" w:rsidR="00F10D98" w:rsidRPr="00D773F7" w:rsidRDefault="00F10D98" w:rsidP="00F10D98">
      <w:pPr>
        <w:pStyle w:val="H1G"/>
        <w:rPr>
          <w:rFonts w:asciiTheme="majorBidi" w:hAnsiTheme="majorBidi" w:cstheme="majorBidi"/>
          <w:lang w:eastAsia="en-US"/>
        </w:rPr>
      </w:pPr>
      <w:r w:rsidRPr="00D773F7">
        <w:rPr>
          <w:rFonts w:asciiTheme="majorBidi" w:hAnsiTheme="majorBidi" w:cstheme="majorBidi"/>
          <w:lang w:eastAsia="en-US"/>
        </w:rPr>
        <w:tab/>
      </w:r>
      <w:r w:rsidRPr="00D773F7">
        <w:rPr>
          <w:rFonts w:asciiTheme="majorBidi" w:hAnsiTheme="majorBidi" w:cstheme="majorBidi"/>
          <w:lang w:eastAsia="en-US"/>
        </w:rPr>
        <w:tab/>
      </w:r>
      <w:r w:rsidRPr="00D773F7">
        <w:rPr>
          <w:rFonts w:asciiTheme="majorBidi" w:hAnsiTheme="majorBidi" w:cstheme="majorBidi"/>
          <w:lang w:eastAsia="en-US"/>
        </w:rPr>
        <w:tab/>
        <w:t>Chapter 3.2</w:t>
      </w:r>
    </w:p>
    <w:p w14:paraId="089D5C04" w14:textId="2404F4B8" w:rsidR="00F10D98" w:rsidRPr="00D773F7" w:rsidRDefault="00F10D98" w:rsidP="00C93286">
      <w:pPr>
        <w:pStyle w:val="SingleTxtG"/>
        <w:keepNext/>
        <w:rPr>
          <w:rFonts w:asciiTheme="majorBidi" w:hAnsiTheme="majorBidi" w:cstheme="majorBidi"/>
        </w:rPr>
      </w:pPr>
      <w:r w:rsidRPr="00D773F7">
        <w:rPr>
          <w:rFonts w:asciiTheme="majorBidi" w:hAnsiTheme="majorBidi" w:cstheme="majorBidi"/>
        </w:rPr>
        <w:t>3.2.1.2</w:t>
      </w:r>
      <w:r w:rsidRPr="00D773F7">
        <w:rPr>
          <w:rFonts w:asciiTheme="majorBidi" w:hAnsiTheme="majorBidi" w:cstheme="majorBidi"/>
        </w:rPr>
        <w:tab/>
      </w:r>
      <w:r w:rsidR="00FE06EE" w:rsidRPr="00D773F7">
        <w:rPr>
          <w:rFonts w:asciiTheme="majorBidi" w:hAnsiTheme="majorBidi" w:cstheme="majorBidi"/>
        </w:rPr>
        <w:tab/>
      </w:r>
      <w:r w:rsidRPr="00D773F7">
        <w:rPr>
          <w:rFonts w:asciiTheme="majorBidi" w:hAnsiTheme="majorBidi" w:cstheme="majorBidi"/>
        </w:rPr>
        <w:t>Replace the second sentence with the following:</w:t>
      </w:r>
    </w:p>
    <w:p w14:paraId="17DFC9CA" w14:textId="77777777" w:rsidR="00F10D98" w:rsidRPr="00D773F7" w:rsidRDefault="00F10D98" w:rsidP="00C93286">
      <w:pPr>
        <w:pStyle w:val="SingleTxtG"/>
        <w:keepNext/>
        <w:ind w:left="2268"/>
        <w:rPr>
          <w:rFonts w:asciiTheme="majorBidi" w:hAnsiTheme="majorBidi" w:cstheme="majorBidi"/>
        </w:rPr>
      </w:pPr>
      <w:r w:rsidRPr="00D773F7">
        <w:rPr>
          <w:rFonts w:asciiTheme="majorBidi" w:hAnsiTheme="majorBidi" w:cstheme="majorBidi"/>
        </w:rPr>
        <w:t>“Classification should be based on mutually acceptable data generated using methods that are validated according to international procedures. These include both OECD guidelines and equivalent methods (see 1.3.2.4.3).”.</w:t>
      </w:r>
    </w:p>
    <w:p w14:paraId="7F4D1708" w14:textId="1FB6C164" w:rsidR="00F10D98" w:rsidRPr="00D773F7" w:rsidRDefault="00F10D98" w:rsidP="00F10D98">
      <w:pPr>
        <w:pStyle w:val="SingleTxtG"/>
        <w:ind w:left="2268"/>
        <w:rPr>
          <w:rFonts w:asciiTheme="majorBidi" w:hAnsiTheme="majorBidi" w:cstheme="majorBidi"/>
        </w:rPr>
      </w:pPr>
      <w:r w:rsidRPr="00D773F7">
        <w:rPr>
          <w:rFonts w:asciiTheme="majorBidi" w:hAnsiTheme="majorBidi" w:cstheme="majorBidi"/>
        </w:rPr>
        <w:t>In the last sentence replace “3.2.2.6” with “3.2.2.7”.</w:t>
      </w:r>
    </w:p>
    <w:p w14:paraId="4B798724" w14:textId="4125E3CF" w:rsidR="00F10D98" w:rsidRPr="00D773F7" w:rsidRDefault="00F10D98" w:rsidP="00F10D98">
      <w:pPr>
        <w:pStyle w:val="SingleTxtG"/>
        <w:rPr>
          <w:rFonts w:asciiTheme="majorBidi" w:hAnsiTheme="majorBidi" w:cstheme="majorBidi"/>
        </w:rPr>
      </w:pPr>
      <w:r w:rsidRPr="00D773F7">
        <w:rPr>
          <w:rFonts w:asciiTheme="majorBidi" w:hAnsiTheme="majorBidi" w:cstheme="majorBidi"/>
        </w:rPr>
        <w:t>3.2.1.3</w:t>
      </w:r>
      <w:r w:rsidRPr="00D773F7">
        <w:rPr>
          <w:rFonts w:asciiTheme="majorBidi" w:hAnsiTheme="majorBidi" w:cstheme="majorBidi"/>
        </w:rPr>
        <w:tab/>
      </w:r>
      <w:r w:rsidR="00FE06EE" w:rsidRPr="00D773F7">
        <w:rPr>
          <w:rFonts w:asciiTheme="majorBidi" w:hAnsiTheme="majorBidi" w:cstheme="majorBidi"/>
        </w:rPr>
        <w:tab/>
      </w:r>
      <w:r w:rsidRPr="00D773F7">
        <w:rPr>
          <w:rFonts w:asciiTheme="majorBidi" w:hAnsiTheme="majorBidi" w:cstheme="majorBidi"/>
        </w:rPr>
        <w:t xml:space="preserve">In the first sentence replace “3.2.2.7” with “3.2.2.8”. </w:t>
      </w:r>
    </w:p>
    <w:p w14:paraId="10424606" w14:textId="0E3959E0" w:rsidR="00F10D98" w:rsidRPr="00D773F7" w:rsidRDefault="00F10D98" w:rsidP="00F10D98">
      <w:pPr>
        <w:pStyle w:val="SingleTxtG"/>
        <w:ind w:left="2268"/>
        <w:rPr>
          <w:rFonts w:asciiTheme="majorBidi" w:hAnsiTheme="majorBidi" w:cstheme="majorBidi"/>
        </w:rPr>
      </w:pPr>
      <w:r w:rsidRPr="00D773F7">
        <w:rPr>
          <w:rFonts w:asciiTheme="majorBidi" w:hAnsiTheme="majorBidi" w:cstheme="majorBidi"/>
        </w:rPr>
        <w:t>In the last sentence replace “3.2.2.7.3” with “3.2.2.8.3”</w:t>
      </w:r>
      <w:r w:rsidR="00234A64" w:rsidRPr="00D773F7">
        <w:rPr>
          <w:rFonts w:asciiTheme="majorBidi" w:hAnsiTheme="majorBidi" w:cstheme="majorBidi"/>
        </w:rPr>
        <w:t xml:space="preserve"> and</w:t>
      </w:r>
      <w:r w:rsidRPr="00D773F7">
        <w:rPr>
          <w:rFonts w:asciiTheme="majorBidi" w:hAnsiTheme="majorBidi" w:cstheme="majorBidi"/>
        </w:rPr>
        <w:t xml:space="preserve"> “weight of evidence approach” with “weight of evidence assessment”</w:t>
      </w:r>
      <w:r w:rsidR="00971B25" w:rsidRPr="00D773F7">
        <w:rPr>
          <w:rFonts w:asciiTheme="majorBidi" w:hAnsiTheme="majorBidi" w:cstheme="majorBidi"/>
        </w:rPr>
        <w:t>.</w:t>
      </w:r>
      <w:r w:rsidRPr="00D773F7">
        <w:rPr>
          <w:rFonts w:asciiTheme="majorBidi" w:hAnsiTheme="majorBidi" w:cstheme="majorBidi"/>
        </w:rPr>
        <w:t xml:space="preserve"> </w:t>
      </w:r>
      <w:r w:rsidR="00971B25" w:rsidRPr="00D773F7">
        <w:rPr>
          <w:rFonts w:asciiTheme="majorBidi" w:hAnsiTheme="majorBidi" w:cstheme="majorBidi"/>
        </w:rPr>
        <w:t>I</w:t>
      </w:r>
      <w:r w:rsidRPr="00D773F7">
        <w:rPr>
          <w:rFonts w:asciiTheme="majorBidi" w:hAnsiTheme="majorBidi" w:cstheme="majorBidi"/>
        </w:rPr>
        <w:t>nsert “, 3.2.2.7” after “1.3.2.4.9” in the references between brackets at the end of the paragraph.</w:t>
      </w:r>
    </w:p>
    <w:p w14:paraId="598514C4" w14:textId="4A2CFEA2" w:rsidR="00F10D98" w:rsidRPr="00D773F7" w:rsidRDefault="00F10D98" w:rsidP="00F10D98">
      <w:pPr>
        <w:pStyle w:val="SingleTxtG"/>
        <w:rPr>
          <w:rFonts w:asciiTheme="majorBidi" w:hAnsiTheme="majorBidi" w:cstheme="majorBidi"/>
        </w:rPr>
      </w:pPr>
      <w:r w:rsidRPr="00D773F7">
        <w:rPr>
          <w:rFonts w:asciiTheme="majorBidi" w:hAnsiTheme="majorBidi" w:cstheme="majorBidi"/>
        </w:rPr>
        <w:t>3.2.2.1</w:t>
      </w:r>
      <w:r w:rsidRPr="00D773F7">
        <w:rPr>
          <w:rFonts w:asciiTheme="majorBidi" w:hAnsiTheme="majorBidi" w:cstheme="majorBidi"/>
        </w:rPr>
        <w:tab/>
      </w:r>
      <w:r w:rsidR="00FE06EE" w:rsidRPr="00D773F7">
        <w:rPr>
          <w:rFonts w:asciiTheme="majorBidi" w:hAnsiTheme="majorBidi" w:cstheme="majorBidi"/>
        </w:rPr>
        <w:tab/>
      </w:r>
      <w:r w:rsidR="001A48F4" w:rsidRPr="00D773F7">
        <w:rPr>
          <w:rFonts w:asciiTheme="majorBidi" w:hAnsiTheme="majorBidi" w:cstheme="majorBidi"/>
        </w:rPr>
        <w:t>In the heading, a</w:t>
      </w:r>
      <w:r w:rsidRPr="00D773F7">
        <w:rPr>
          <w:rFonts w:asciiTheme="majorBidi" w:hAnsiTheme="majorBidi" w:cstheme="majorBidi"/>
        </w:rPr>
        <w:t xml:space="preserve">dd </w:t>
      </w:r>
      <w:r w:rsidRPr="00D773F7">
        <w:rPr>
          <w:rFonts w:asciiTheme="majorBidi" w:hAnsiTheme="majorBidi" w:cstheme="majorBidi"/>
          <w:b/>
          <w:bCs/>
          <w:i/>
          <w:iCs/>
        </w:rPr>
        <w:t>“(</w:t>
      </w:r>
      <w:r w:rsidR="00971333" w:rsidRPr="00D773F7">
        <w:rPr>
          <w:rFonts w:asciiTheme="majorBidi" w:hAnsiTheme="majorBidi" w:cstheme="majorBidi"/>
          <w:b/>
          <w:bCs/>
          <w:i/>
          <w:iCs/>
        </w:rPr>
        <w:t>t</w:t>
      </w:r>
      <w:r w:rsidRPr="00D773F7">
        <w:rPr>
          <w:rFonts w:asciiTheme="majorBidi" w:hAnsiTheme="majorBidi" w:cstheme="majorBidi"/>
          <w:b/>
          <w:bCs/>
          <w:i/>
          <w:iCs/>
        </w:rPr>
        <w:t xml:space="preserve">ier 1 in </w:t>
      </w:r>
      <w:r w:rsidR="0027527A" w:rsidRPr="00D773F7">
        <w:rPr>
          <w:rFonts w:asciiTheme="majorBidi" w:hAnsiTheme="majorBidi" w:cstheme="majorBidi"/>
          <w:b/>
          <w:bCs/>
          <w:i/>
          <w:iCs/>
        </w:rPr>
        <w:t>f</w:t>
      </w:r>
      <w:r w:rsidRPr="00D773F7">
        <w:rPr>
          <w:rFonts w:asciiTheme="majorBidi" w:hAnsiTheme="majorBidi" w:cstheme="majorBidi"/>
          <w:b/>
          <w:bCs/>
          <w:i/>
          <w:iCs/>
        </w:rPr>
        <w:t>igure 3.2.1)</w:t>
      </w:r>
      <w:r w:rsidRPr="00D773F7">
        <w:rPr>
          <w:rFonts w:asciiTheme="majorBidi" w:hAnsiTheme="majorBidi" w:cstheme="majorBidi"/>
        </w:rPr>
        <w:t>” at the end.</w:t>
      </w:r>
    </w:p>
    <w:p w14:paraId="617A9312" w14:textId="70884E1E" w:rsidR="00F10D98" w:rsidRPr="00D773F7" w:rsidRDefault="00F10D98" w:rsidP="00F10D98">
      <w:pPr>
        <w:pStyle w:val="SingleTxtG"/>
        <w:rPr>
          <w:rFonts w:asciiTheme="majorBidi" w:hAnsiTheme="majorBidi" w:cstheme="majorBidi"/>
        </w:rPr>
      </w:pPr>
      <w:r w:rsidRPr="00D773F7">
        <w:rPr>
          <w:rFonts w:asciiTheme="majorBidi" w:hAnsiTheme="majorBidi" w:cstheme="majorBidi"/>
          <w:iCs/>
        </w:rPr>
        <w:t>3.2.2.2</w:t>
      </w:r>
      <w:r w:rsidRPr="00D773F7">
        <w:rPr>
          <w:rFonts w:asciiTheme="majorBidi" w:hAnsiTheme="majorBidi" w:cstheme="majorBidi"/>
        </w:rPr>
        <w:tab/>
      </w:r>
      <w:r w:rsidRPr="00D773F7">
        <w:rPr>
          <w:rFonts w:asciiTheme="majorBidi" w:hAnsiTheme="majorBidi" w:cstheme="majorBidi"/>
        </w:rPr>
        <w:tab/>
        <w:t>In the heading</w:t>
      </w:r>
      <w:r w:rsidR="00E41B3F" w:rsidRPr="00D773F7">
        <w:rPr>
          <w:rFonts w:asciiTheme="majorBidi" w:hAnsiTheme="majorBidi" w:cstheme="majorBidi"/>
        </w:rPr>
        <w:t xml:space="preserve">, </w:t>
      </w:r>
      <w:r w:rsidRPr="00D773F7">
        <w:rPr>
          <w:rFonts w:asciiTheme="majorBidi" w:hAnsiTheme="majorBidi" w:cstheme="majorBidi"/>
        </w:rPr>
        <w:t xml:space="preserve">delete “test” and add </w:t>
      </w:r>
      <w:r w:rsidRPr="00D773F7">
        <w:rPr>
          <w:rFonts w:asciiTheme="majorBidi" w:hAnsiTheme="majorBidi" w:cstheme="majorBidi"/>
          <w:b/>
          <w:bCs/>
          <w:i/>
          <w:iCs/>
        </w:rPr>
        <w:t>“(</w:t>
      </w:r>
      <w:r w:rsidR="00971333" w:rsidRPr="00D773F7">
        <w:rPr>
          <w:rFonts w:asciiTheme="majorBidi" w:hAnsiTheme="majorBidi" w:cstheme="majorBidi"/>
          <w:b/>
          <w:bCs/>
          <w:i/>
          <w:iCs/>
        </w:rPr>
        <w:t>t</w:t>
      </w:r>
      <w:r w:rsidRPr="00D773F7">
        <w:rPr>
          <w:rFonts w:asciiTheme="majorBidi" w:hAnsiTheme="majorBidi" w:cstheme="majorBidi"/>
          <w:b/>
          <w:bCs/>
          <w:i/>
          <w:iCs/>
        </w:rPr>
        <w:t xml:space="preserve">ier 1 in </w:t>
      </w:r>
      <w:r w:rsidR="0027527A" w:rsidRPr="00D773F7">
        <w:rPr>
          <w:rFonts w:asciiTheme="majorBidi" w:hAnsiTheme="majorBidi" w:cstheme="majorBidi"/>
          <w:b/>
          <w:bCs/>
          <w:i/>
          <w:iCs/>
        </w:rPr>
        <w:t>f</w:t>
      </w:r>
      <w:r w:rsidRPr="00D773F7">
        <w:rPr>
          <w:rFonts w:asciiTheme="majorBidi" w:hAnsiTheme="majorBidi" w:cstheme="majorBidi"/>
          <w:b/>
          <w:bCs/>
          <w:i/>
          <w:iCs/>
        </w:rPr>
        <w:t>igure 3.2.1)”</w:t>
      </w:r>
      <w:r w:rsidRPr="00D773F7">
        <w:rPr>
          <w:rFonts w:asciiTheme="majorBidi" w:hAnsiTheme="majorBidi" w:cstheme="majorBidi"/>
        </w:rPr>
        <w:t xml:space="preserve"> at the end.</w:t>
      </w:r>
    </w:p>
    <w:p w14:paraId="3668FAA6" w14:textId="77777777" w:rsidR="00F10D98" w:rsidRPr="00D773F7" w:rsidRDefault="00F10D98" w:rsidP="00F10D98">
      <w:pPr>
        <w:pStyle w:val="SingleTxtG"/>
        <w:ind w:left="2268"/>
        <w:rPr>
          <w:rFonts w:asciiTheme="majorBidi" w:hAnsiTheme="majorBidi" w:cstheme="majorBidi"/>
        </w:rPr>
      </w:pPr>
      <w:r w:rsidRPr="00D773F7">
        <w:rPr>
          <w:rFonts w:asciiTheme="majorBidi" w:hAnsiTheme="majorBidi" w:cstheme="majorBidi"/>
        </w:rPr>
        <w:t>Amend the beginning of the first sentence to read: “OECD Test Guideline 404 is the currently available and internationally accepted animal test method…”.</w:t>
      </w:r>
    </w:p>
    <w:p w14:paraId="7464755D" w14:textId="3679C86F" w:rsidR="00F10D98" w:rsidRPr="00D773F7" w:rsidRDefault="00F10D98" w:rsidP="00F10D98">
      <w:pPr>
        <w:pStyle w:val="SingleTxtG"/>
        <w:rPr>
          <w:rFonts w:asciiTheme="majorBidi" w:hAnsiTheme="majorBidi" w:cstheme="majorBidi"/>
        </w:rPr>
      </w:pPr>
      <w:r w:rsidRPr="00D773F7">
        <w:rPr>
          <w:rFonts w:asciiTheme="majorBidi" w:hAnsiTheme="majorBidi" w:cstheme="majorBidi"/>
        </w:rPr>
        <w:t>3.2.2.3</w:t>
      </w:r>
      <w:r w:rsidRPr="00D773F7">
        <w:rPr>
          <w:rFonts w:asciiTheme="majorBidi" w:hAnsiTheme="majorBidi" w:cstheme="majorBidi"/>
        </w:rPr>
        <w:tab/>
      </w:r>
      <w:r w:rsidRPr="00D773F7">
        <w:rPr>
          <w:rFonts w:asciiTheme="majorBidi" w:hAnsiTheme="majorBidi" w:cstheme="majorBidi"/>
        </w:rPr>
        <w:tab/>
        <w:t xml:space="preserve">In the heading, add </w:t>
      </w:r>
      <w:r w:rsidRPr="00D773F7">
        <w:rPr>
          <w:rFonts w:asciiTheme="majorBidi" w:hAnsiTheme="majorBidi" w:cstheme="majorBidi"/>
          <w:b/>
          <w:bCs/>
          <w:i/>
          <w:iCs/>
        </w:rPr>
        <w:t>“(</w:t>
      </w:r>
      <w:r w:rsidR="00971333" w:rsidRPr="00D773F7">
        <w:rPr>
          <w:rFonts w:asciiTheme="majorBidi" w:hAnsiTheme="majorBidi" w:cstheme="majorBidi"/>
          <w:b/>
          <w:bCs/>
          <w:i/>
          <w:iCs/>
        </w:rPr>
        <w:t>t</w:t>
      </w:r>
      <w:r w:rsidRPr="00D773F7">
        <w:rPr>
          <w:rFonts w:asciiTheme="majorBidi" w:hAnsiTheme="majorBidi" w:cstheme="majorBidi"/>
          <w:b/>
          <w:bCs/>
          <w:i/>
          <w:iCs/>
        </w:rPr>
        <w:t xml:space="preserve">ier 2 in </w:t>
      </w:r>
      <w:r w:rsidR="0027527A" w:rsidRPr="00D773F7">
        <w:rPr>
          <w:rFonts w:asciiTheme="majorBidi" w:hAnsiTheme="majorBidi" w:cstheme="majorBidi"/>
          <w:b/>
          <w:bCs/>
          <w:i/>
          <w:iCs/>
        </w:rPr>
        <w:t>f</w:t>
      </w:r>
      <w:r w:rsidRPr="00D773F7">
        <w:rPr>
          <w:rFonts w:asciiTheme="majorBidi" w:hAnsiTheme="majorBidi" w:cstheme="majorBidi"/>
          <w:b/>
          <w:bCs/>
          <w:i/>
          <w:iCs/>
        </w:rPr>
        <w:t>igure 3.2.1)”</w:t>
      </w:r>
      <w:r w:rsidRPr="00D773F7">
        <w:rPr>
          <w:rFonts w:asciiTheme="majorBidi" w:hAnsiTheme="majorBidi" w:cstheme="majorBidi"/>
        </w:rPr>
        <w:t xml:space="preserve"> at the end.</w:t>
      </w:r>
    </w:p>
    <w:p w14:paraId="4CF7606E" w14:textId="283BC54B" w:rsidR="00F10D98" w:rsidRPr="00D773F7" w:rsidRDefault="00F10D98" w:rsidP="00F10D98">
      <w:pPr>
        <w:pStyle w:val="SingleTxtG"/>
        <w:ind w:left="2268" w:hanging="1134"/>
        <w:rPr>
          <w:rFonts w:asciiTheme="majorBidi" w:hAnsiTheme="majorBidi" w:cstheme="majorBidi"/>
        </w:rPr>
      </w:pPr>
      <w:r w:rsidRPr="00D773F7">
        <w:rPr>
          <w:rFonts w:asciiTheme="majorBidi" w:hAnsiTheme="majorBidi" w:cstheme="majorBidi"/>
        </w:rPr>
        <w:t>3.2.2.3.2</w:t>
      </w:r>
      <w:r w:rsidRPr="00D773F7">
        <w:rPr>
          <w:rFonts w:asciiTheme="majorBidi" w:hAnsiTheme="majorBidi" w:cstheme="majorBidi"/>
        </w:rPr>
        <w:tab/>
        <w:t>Replace the first sentence (</w:t>
      </w:r>
      <w:r w:rsidR="00A76A49" w:rsidRPr="00D773F7">
        <w:rPr>
          <w:rFonts w:asciiTheme="majorBidi" w:hAnsiTheme="majorBidi" w:cstheme="majorBidi"/>
        </w:rPr>
        <w:t>“</w:t>
      </w:r>
      <w:r w:rsidRPr="00D773F7">
        <w:rPr>
          <w:rFonts w:asciiTheme="majorBidi" w:hAnsiTheme="majorBidi" w:cstheme="majorBidi"/>
        </w:rPr>
        <w:t>Wherever possible … to be applied”) with the following</w:t>
      </w:r>
      <w:r w:rsidR="005D1D76" w:rsidRPr="00D773F7">
        <w:rPr>
          <w:rFonts w:asciiTheme="majorBidi" w:hAnsiTheme="majorBidi" w:cstheme="majorBidi"/>
        </w:rPr>
        <w:t xml:space="preserve"> text</w:t>
      </w:r>
      <w:r w:rsidRPr="00D773F7">
        <w:rPr>
          <w:rFonts w:asciiTheme="majorBidi" w:hAnsiTheme="majorBidi" w:cstheme="majorBidi"/>
        </w:rPr>
        <w:t>:</w:t>
      </w:r>
    </w:p>
    <w:p w14:paraId="493B2850" w14:textId="39E84133" w:rsidR="00F10D98" w:rsidRPr="00D773F7" w:rsidRDefault="00F10D98" w:rsidP="00F10D98">
      <w:pPr>
        <w:pStyle w:val="SingleTxtG"/>
        <w:ind w:left="2268"/>
        <w:rPr>
          <w:rFonts w:asciiTheme="majorBidi" w:hAnsiTheme="majorBidi" w:cstheme="majorBidi"/>
        </w:rPr>
      </w:pPr>
      <w:r w:rsidRPr="00D773F7">
        <w:rPr>
          <w:rFonts w:asciiTheme="majorBidi" w:hAnsiTheme="majorBidi" w:cstheme="majorBidi"/>
        </w:rPr>
        <w:t>“The classification criteria for the currently available in vitro</w:t>
      </w:r>
      <w:r w:rsidRPr="00D773F7">
        <w:rPr>
          <w:rFonts w:asciiTheme="majorBidi" w:hAnsiTheme="majorBidi" w:cstheme="majorBidi"/>
          <w:i/>
          <w:iCs/>
        </w:rPr>
        <w:t>/ex vivo</w:t>
      </w:r>
      <w:r w:rsidRPr="00D773F7">
        <w:rPr>
          <w:rFonts w:asciiTheme="majorBidi" w:hAnsiTheme="majorBidi" w:cstheme="majorBidi"/>
        </w:rPr>
        <w:t xml:space="preserve"> test methods adopted by the OECD in test guidelines 430, 431, 435, and 439 are described in </w:t>
      </w:r>
      <w:r w:rsidR="00D9105C" w:rsidRPr="00D773F7">
        <w:rPr>
          <w:rFonts w:asciiTheme="majorBidi" w:hAnsiTheme="majorBidi" w:cstheme="majorBidi"/>
        </w:rPr>
        <w:t>t</w:t>
      </w:r>
      <w:r w:rsidRPr="00D773F7">
        <w:rPr>
          <w:rFonts w:asciiTheme="majorBidi" w:hAnsiTheme="majorBidi" w:cstheme="majorBidi"/>
        </w:rPr>
        <w:t>ables 3.2.6 and 3.2.7 (see 3.2.5.3.4).  Other validated in vitro</w:t>
      </w:r>
      <w:r w:rsidRPr="00D773F7">
        <w:rPr>
          <w:rFonts w:asciiTheme="majorBidi" w:hAnsiTheme="majorBidi" w:cstheme="majorBidi"/>
          <w:i/>
          <w:iCs/>
        </w:rPr>
        <w:t>/ex vivo</w:t>
      </w:r>
      <w:r w:rsidRPr="00D773F7">
        <w:rPr>
          <w:rFonts w:asciiTheme="majorBidi" w:hAnsiTheme="majorBidi" w:cstheme="majorBidi"/>
        </w:rPr>
        <w:t> test methods accepted by some competent authorities may also be considered.  A competent authority may decide which classification criteria, if any, should be applied for other test methods to conclude on classification, including that a substance is not classified for effects on the skin.”.</w:t>
      </w:r>
    </w:p>
    <w:p w14:paraId="7D86626B" w14:textId="3396997B" w:rsidR="00F10D98" w:rsidRPr="00D773F7" w:rsidRDefault="00F10D98" w:rsidP="00F10D98">
      <w:pPr>
        <w:pStyle w:val="SingleTxtG"/>
        <w:ind w:left="2268" w:hanging="1134"/>
        <w:rPr>
          <w:rFonts w:asciiTheme="majorBidi" w:hAnsiTheme="majorBidi" w:cstheme="majorBidi"/>
        </w:rPr>
      </w:pPr>
      <w:r w:rsidRPr="00D773F7">
        <w:rPr>
          <w:rFonts w:asciiTheme="majorBidi" w:hAnsiTheme="majorBidi" w:cstheme="majorBidi"/>
        </w:rPr>
        <w:lastRenderedPageBreak/>
        <w:t>3.2.2.3.3 (new) Place the two last sentences of current paragraph 3.2.2.3.2 (“In vitro</w:t>
      </w:r>
      <w:r w:rsidRPr="00D773F7">
        <w:rPr>
          <w:rFonts w:asciiTheme="majorBidi" w:hAnsiTheme="majorBidi" w:cstheme="majorBidi"/>
          <w:i/>
          <w:iCs/>
        </w:rPr>
        <w:t>/ex vivo</w:t>
      </w:r>
      <w:r w:rsidRPr="00D773F7">
        <w:rPr>
          <w:rFonts w:asciiTheme="majorBidi" w:hAnsiTheme="majorBidi" w:cstheme="majorBidi"/>
        </w:rPr>
        <w:t>…into consideration”) under a new paragraph 3.2.2.3.3 and replace “test method</w:t>
      </w:r>
      <w:r w:rsidR="00440F74" w:rsidRPr="00D773F7">
        <w:rPr>
          <w:rFonts w:asciiTheme="majorBidi" w:hAnsiTheme="majorBidi" w:cstheme="majorBidi"/>
        </w:rPr>
        <w:t>s</w:t>
      </w:r>
      <w:r w:rsidRPr="00D773F7">
        <w:rPr>
          <w:rFonts w:asciiTheme="majorBidi" w:hAnsiTheme="majorBidi" w:cstheme="majorBidi"/>
        </w:rPr>
        <w:t xml:space="preserve"> used” with “test method(s) used”.</w:t>
      </w:r>
    </w:p>
    <w:p w14:paraId="277AAF83" w14:textId="0C11977F" w:rsidR="00F10D98" w:rsidRPr="00D773F7" w:rsidRDefault="00FE06EE" w:rsidP="001C0B3B">
      <w:pPr>
        <w:pStyle w:val="SingleTxtG"/>
        <w:tabs>
          <w:tab w:val="clear" w:pos="1701"/>
        </w:tabs>
        <w:ind w:left="2268" w:hanging="1134"/>
        <w:rPr>
          <w:rFonts w:asciiTheme="majorBidi" w:hAnsiTheme="majorBidi" w:cstheme="majorBidi"/>
        </w:rPr>
      </w:pPr>
      <w:r w:rsidRPr="00D773F7">
        <w:rPr>
          <w:rFonts w:asciiTheme="majorBidi" w:hAnsiTheme="majorBidi" w:cstheme="majorBidi"/>
        </w:rPr>
        <w:tab/>
      </w:r>
      <w:r w:rsidR="005D1D76" w:rsidRPr="00D773F7">
        <w:rPr>
          <w:rFonts w:asciiTheme="majorBidi" w:hAnsiTheme="majorBidi" w:cstheme="majorBidi"/>
        </w:rPr>
        <w:t>C</w:t>
      </w:r>
      <w:r w:rsidR="00F10D98" w:rsidRPr="00D773F7">
        <w:rPr>
          <w:rFonts w:asciiTheme="majorBidi" w:hAnsiTheme="majorBidi" w:cstheme="majorBidi"/>
        </w:rPr>
        <w:t>urrent paragraphs 3.2.2.2.3 to 3.2.2.3.</w:t>
      </w:r>
      <w:r w:rsidR="008B7770" w:rsidRPr="00D773F7">
        <w:rPr>
          <w:rFonts w:asciiTheme="majorBidi" w:hAnsiTheme="majorBidi" w:cstheme="majorBidi"/>
        </w:rPr>
        <w:t>4</w:t>
      </w:r>
      <w:r w:rsidR="00F10D98" w:rsidRPr="00D773F7">
        <w:rPr>
          <w:rFonts w:asciiTheme="majorBidi" w:hAnsiTheme="majorBidi" w:cstheme="majorBidi"/>
        </w:rPr>
        <w:t>.</w:t>
      </w:r>
      <w:r w:rsidR="004266A5" w:rsidRPr="00D773F7">
        <w:rPr>
          <w:rFonts w:asciiTheme="majorBidi" w:hAnsiTheme="majorBidi" w:cstheme="majorBidi"/>
        </w:rPr>
        <w:t xml:space="preserve">2 </w:t>
      </w:r>
      <w:r w:rsidR="005D1D76" w:rsidRPr="00D773F7">
        <w:rPr>
          <w:rFonts w:asciiTheme="majorBidi" w:hAnsiTheme="majorBidi" w:cstheme="majorBidi"/>
        </w:rPr>
        <w:t xml:space="preserve">become </w:t>
      </w:r>
      <w:r w:rsidR="00F10D98" w:rsidRPr="00D773F7">
        <w:rPr>
          <w:rFonts w:asciiTheme="majorBidi" w:hAnsiTheme="majorBidi" w:cstheme="majorBidi"/>
        </w:rPr>
        <w:t>3.2.2.3.4 to 3.2.2.3.</w:t>
      </w:r>
      <w:r w:rsidR="00C4128B" w:rsidRPr="00D773F7">
        <w:rPr>
          <w:rFonts w:asciiTheme="majorBidi" w:hAnsiTheme="majorBidi" w:cstheme="majorBidi"/>
        </w:rPr>
        <w:t>5</w:t>
      </w:r>
      <w:r w:rsidR="00F10D98" w:rsidRPr="00D773F7">
        <w:rPr>
          <w:rFonts w:asciiTheme="majorBidi" w:hAnsiTheme="majorBidi" w:cstheme="majorBidi"/>
        </w:rPr>
        <w:t>.</w:t>
      </w:r>
      <w:r w:rsidR="000B2FC2" w:rsidRPr="00D773F7">
        <w:rPr>
          <w:rFonts w:asciiTheme="majorBidi" w:hAnsiTheme="majorBidi" w:cstheme="majorBidi"/>
        </w:rPr>
        <w:t>2</w:t>
      </w:r>
      <w:r w:rsidR="00F10D98" w:rsidRPr="00D773F7">
        <w:rPr>
          <w:rFonts w:asciiTheme="majorBidi" w:hAnsiTheme="majorBidi" w:cstheme="majorBidi"/>
        </w:rPr>
        <w:t>.</w:t>
      </w:r>
    </w:p>
    <w:p w14:paraId="28AC0C2F" w14:textId="3FE32A75" w:rsidR="00F10D98" w:rsidRPr="00D773F7" w:rsidRDefault="00F10D98" w:rsidP="00F10D98">
      <w:pPr>
        <w:pStyle w:val="SingleTxtG"/>
        <w:ind w:left="2268" w:hanging="1134"/>
        <w:rPr>
          <w:rFonts w:asciiTheme="majorBidi" w:hAnsiTheme="majorBidi" w:cstheme="majorBidi"/>
        </w:rPr>
      </w:pPr>
      <w:r w:rsidRPr="00D773F7">
        <w:rPr>
          <w:rFonts w:asciiTheme="majorBidi" w:hAnsiTheme="majorBidi" w:cstheme="majorBidi"/>
        </w:rPr>
        <w:t>3.2.2.3.4.1 (new, former 3.2.2.3.3.1) Add “(see 3.2.5.3.4)” at the end of the paragraph after “</w:t>
      </w:r>
      <w:r w:rsidR="008924FA" w:rsidRPr="00D773F7">
        <w:rPr>
          <w:rFonts w:asciiTheme="majorBidi" w:hAnsiTheme="majorBidi" w:cstheme="majorBidi"/>
        </w:rPr>
        <w:t>t</w:t>
      </w:r>
      <w:r w:rsidRPr="00D773F7">
        <w:rPr>
          <w:rFonts w:asciiTheme="majorBidi" w:hAnsiTheme="majorBidi" w:cstheme="majorBidi"/>
        </w:rPr>
        <w:t>able 3.2.6”.</w:t>
      </w:r>
    </w:p>
    <w:p w14:paraId="4964AE85" w14:textId="2B0B0CCB" w:rsidR="00F10D98" w:rsidRPr="00D773F7" w:rsidRDefault="00F10D98" w:rsidP="00F10D98">
      <w:pPr>
        <w:pStyle w:val="SingleTxtG"/>
        <w:ind w:left="2268" w:hanging="1134"/>
        <w:rPr>
          <w:rFonts w:asciiTheme="majorBidi" w:hAnsiTheme="majorBidi" w:cstheme="majorBidi"/>
        </w:rPr>
      </w:pPr>
      <w:r w:rsidRPr="00D773F7">
        <w:rPr>
          <w:rFonts w:asciiTheme="majorBidi" w:hAnsiTheme="majorBidi" w:cstheme="majorBidi"/>
        </w:rPr>
        <w:t>3.2.2.3.5.1 (new, former 3.2.2.3.4.1) Add “(see 3.2.5.3.4)” at the end of the paragraph after “</w:t>
      </w:r>
      <w:r w:rsidR="008924FA" w:rsidRPr="00D773F7">
        <w:rPr>
          <w:rFonts w:asciiTheme="majorBidi" w:hAnsiTheme="majorBidi" w:cstheme="majorBidi"/>
        </w:rPr>
        <w:t>t</w:t>
      </w:r>
      <w:r w:rsidRPr="00D773F7">
        <w:rPr>
          <w:rFonts w:asciiTheme="majorBidi" w:hAnsiTheme="majorBidi" w:cstheme="majorBidi"/>
        </w:rPr>
        <w:t>able 3.2.7”.</w:t>
      </w:r>
    </w:p>
    <w:p w14:paraId="36880DBE" w14:textId="476AB4EC" w:rsidR="00F10D98" w:rsidRPr="00D773F7" w:rsidRDefault="00F10D98" w:rsidP="00F10D98">
      <w:pPr>
        <w:pStyle w:val="SingleTxtG"/>
        <w:ind w:left="2268" w:hanging="1134"/>
        <w:rPr>
          <w:rFonts w:asciiTheme="majorBidi" w:hAnsiTheme="majorBidi" w:cstheme="majorBidi"/>
        </w:rPr>
      </w:pPr>
      <w:r w:rsidRPr="00D773F7">
        <w:rPr>
          <w:rFonts w:asciiTheme="majorBidi" w:hAnsiTheme="majorBidi" w:cstheme="majorBidi"/>
        </w:rPr>
        <w:t>3.2.2.3.5.2(new, former 3.2.2.3.4.2) Delete the last sentence</w:t>
      </w:r>
      <w:r w:rsidR="00A2136F" w:rsidRPr="00D773F7">
        <w:rPr>
          <w:rFonts w:asciiTheme="majorBidi" w:hAnsiTheme="majorBidi" w:cstheme="majorBidi"/>
        </w:rPr>
        <w:t xml:space="preserve"> (“In this situation…no classification.”)</w:t>
      </w:r>
      <w:r w:rsidRPr="00D773F7">
        <w:rPr>
          <w:rFonts w:asciiTheme="majorBidi" w:hAnsiTheme="majorBidi" w:cstheme="majorBidi"/>
        </w:rPr>
        <w:t xml:space="preserve">. </w:t>
      </w:r>
    </w:p>
    <w:p w14:paraId="6158F8E3" w14:textId="2481A015" w:rsidR="002B646A" w:rsidRPr="00D773F7" w:rsidRDefault="00A43177">
      <w:pPr>
        <w:pStyle w:val="SingleTxtG"/>
        <w:ind w:left="2268" w:hanging="1134"/>
        <w:rPr>
          <w:rFonts w:asciiTheme="majorBidi" w:hAnsiTheme="majorBidi" w:cstheme="majorBidi"/>
        </w:rPr>
      </w:pPr>
      <w:r w:rsidRPr="00D773F7">
        <w:rPr>
          <w:rFonts w:asciiTheme="majorBidi" w:hAnsiTheme="majorBidi" w:cstheme="majorBidi"/>
        </w:rPr>
        <w:t>3.2.2.3.6 (new</w:t>
      </w:r>
      <w:r w:rsidR="003D22E8" w:rsidRPr="00D773F7">
        <w:rPr>
          <w:rFonts w:asciiTheme="majorBidi" w:hAnsiTheme="majorBidi" w:cstheme="majorBidi"/>
        </w:rPr>
        <w:t xml:space="preserve">, former </w:t>
      </w:r>
      <w:r w:rsidR="00354A1B" w:rsidRPr="00D773F7">
        <w:rPr>
          <w:rFonts w:asciiTheme="majorBidi" w:hAnsiTheme="majorBidi" w:cstheme="majorBidi"/>
        </w:rPr>
        <w:t>3.2.2.3.4.3</w:t>
      </w:r>
      <w:r w:rsidRPr="00D773F7">
        <w:rPr>
          <w:rFonts w:asciiTheme="majorBidi" w:hAnsiTheme="majorBidi" w:cstheme="majorBidi"/>
        </w:rPr>
        <w:t>)</w:t>
      </w:r>
      <w:r w:rsidR="002B20A4" w:rsidRPr="00D773F7">
        <w:rPr>
          <w:rFonts w:asciiTheme="majorBidi" w:hAnsiTheme="majorBidi" w:cstheme="majorBidi"/>
        </w:rPr>
        <w:t xml:space="preserve"> Place cu</w:t>
      </w:r>
      <w:r w:rsidR="002B646A" w:rsidRPr="00D773F7">
        <w:rPr>
          <w:rFonts w:asciiTheme="majorBidi" w:hAnsiTheme="majorBidi" w:cstheme="majorBidi"/>
        </w:rPr>
        <w:t xml:space="preserve">rrent </w:t>
      </w:r>
      <w:r w:rsidR="00CB3CAC" w:rsidRPr="00D773F7">
        <w:rPr>
          <w:rFonts w:asciiTheme="majorBidi" w:hAnsiTheme="majorBidi" w:cstheme="majorBidi"/>
        </w:rPr>
        <w:t xml:space="preserve">paragraph 3.2.2.3.4.3 </w:t>
      </w:r>
      <w:r w:rsidR="00107497" w:rsidRPr="00D773F7">
        <w:rPr>
          <w:rFonts w:asciiTheme="majorBidi" w:hAnsiTheme="majorBidi" w:cstheme="majorBidi"/>
        </w:rPr>
        <w:t xml:space="preserve">(“Where competent authorities do not adopt category 3 … as not classified for skin irritation” </w:t>
      </w:r>
      <w:r w:rsidR="002B20A4" w:rsidRPr="00D773F7">
        <w:rPr>
          <w:rFonts w:asciiTheme="majorBidi" w:hAnsiTheme="majorBidi" w:cstheme="majorBidi"/>
        </w:rPr>
        <w:t xml:space="preserve">under a new heading 3.2.2.3.6 and amend to read as follows: </w:t>
      </w:r>
    </w:p>
    <w:p w14:paraId="0E4CAB8B" w14:textId="77EEA2D5" w:rsidR="00F10D98" w:rsidRPr="00D773F7" w:rsidRDefault="00F10D98" w:rsidP="00F10D98">
      <w:pPr>
        <w:pStyle w:val="SingleTxtG"/>
        <w:ind w:left="2268"/>
        <w:rPr>
          <w:rFonts w:asciiTheme="majorBidi" w:hAnsiTheme="majorBidi" w:cstheme="majorBidi"/>
        </w:rPr>
      </w:pPr>
      <w:r w:rsidRPr="00D773F7">
        <w:rPr>
          <w:rFonts w:asciiTheme="majorBidi" w:hAnsiTheme="majorBidi" w:cstheme="majorBidi"/>
        </w:rPr>
        <w:t>“3.2.2.3.6</w:t>
      </w:r>
      <w:r w:rsidRPr="00D773F7">
        <w:rPr>
          <w:rFonts w:asciiTheme="majorBidi" w:hAnsiTheme="majorBidi" w:cstheme="majorBidi"/>
        </w:rPr>
        <w:tab/>
      </w:r>
      <w:r w:rsidRPr="00D773F7">
        <w:rPr>
          <w:rFonts w:asciiTheme="majorBidi" w:hAnsiTheme="majorBidi" w:cstheme="majorBidi"/>
          <w:i/>
          <w:iCs/>
        </w:rPr>
        <w:t>No classification for effect on the skin</w:t>
      </w:r>
    </w:p>
    <w:p w14:paraId="584BE21B" w14:textId="08BFBAE4" w:rsidR="00F10D98" w:rsidRPr="00D773F7" w:rsidRDefault="00F10D98" w:rsidP="00FF5260">
      <w:pPr>
        <w:pStyle w:val="SingleTxtG"/>
        <w:tabs>
          <w:tab w:val="left" w:pos="3402"/>
        </w:tabs>
        <w:ind w:left="2268"/>
        <w:rPr>
          <w:rFonts w:asciiTheme="majorBidi" w:hAnsiTheme="majorBidi" w:cstheme="majorBidi"/>
        </w:rPr>
      </w:pPr>
      <w:r w:rsidRPr="00D773F7">
        <w:rPr>
          <w:rFonts w:asciiTheme="majorBidi" w:hAnsiTheme="majorBidi" w:cstheme="majorBidi"/>
        </w:rPr>
        <w:tab/>
      </w:r>
      <w:r w:rsidR="00B67AFD" w:rsidRPr="00D773F7">
        <w:rPr>
          <w:rFonts w:asciiTheme="majorBidi" w:hAnsiTheme="majorBidi" w:cstheme="majorBidi"/>
        </w:rPr>
        <w:tab/>
      </w:r>
      <w:r w:rsidRPr="00D773F7">
        <w:rPr>
          <w:rFonts w:asciiTheme="majorBidi" w:hAnsiTheme="majorBidi" w:cstheme="majorBidi"/>
        </w:rPr>
        <w:t>Where competent authorities do not adopt Category 3, a negative result in an in vitro</w:t>
      </w:r>
      <w:r w:rsidRPr="00D773F7">
        <w:rPr>
          <w:rFonts w:asciiTheme="majorBidi" w:hAnsiTheme="majorBidi" w:cstheme="majorBidi"/>
          <w:i/>
          <w:iCs/>
        </w:rPr>
        <w:t>/ex vivo</w:t>
      </w:r>
      <w:r w:rsidRPr="00D773F7">
        <w:rPr>
          <w:rFonts w:asciiTheme="majorBidi" w:hAnsiTheme="majorBidi" w:cstheme="majorBidi"/>
        </w:rPr>
        <w:t xml:space="preserve"> test method for skin irritation that is validated according to international procedures, e.g. OECD Test Guideline 439, can be used to conclude as not classified for skin irritation. Where competent authorities adopt Category 3, additional information is required to differentiate between Category 3 and no classification.</w:t>
      </w:r>
      <w:r w:rsidR="004E4B2B" w:rsidRPr="00D773F7">
        <w:rPr>
          <w:rFonts w:asciiTheme="majorBidi" w:hAnsiTheme="majorBidi" w:cstheme="majorBidi"/>
        </w:rPr>
        <w:t>”.</w:t>
      </w:r>
    </w:p>
    <w:p w14:paraId="722DFC93" w14:textId="77777777" w:rsidR="00F10D98" w:rsidRPr="00D773F7" w:rsidRDefault="00F10D98" w:rsidP="00F10D98">
      <w:pPr>
        <w:pStyle w:val="SingleTxtG"/>
        <w:rPr>
          <w:rFonts w:asciiTheme="majorBidi" w:hAnsiTheme="majorBidi" w:cstheme="majorBidi"/>
        </w:rPr>
      </w:pPr>
      <w:r w:rsidRPr="00D773F7">
        <w:rPr>
          <w:rFonts w:asciiTheme="majorBidi" w:hAnsiTheme="majorBidi" w:cstheme="majorBidi"/>
        </w:rPr>
        <w:t>3.2.2.4</w:t>
      </w:r>
      <w:r w:rsidRPr="00D773F7">
        <w:rPr>
          <w:rFonts w:asciiTheme="majorBidi" w:hAnsiTheme="majorBidi" w:cstheme="majorBidi"/>
        </w:rPr>
        <w:tab/>
      </w:r>
      <w:r w:rsidRPr="00D773F7">
        <w:rPr>
          <w:rFonts w:asciiTheme="majorBidi" w:hAnsiTheme="majorBidi" w:cstheme="majorBidi"/>
        </w:rPr>
        <w:tab/>
        <w:t xml:space="preserve">Amend the heading to read as follows: </w:t>
      </w:r>
    </w:p>
    <w:p w14:paraId="693F7A47" w14:textId="3A325F8B" w:rsidR="00F10D98" w:rsidRPr="00D773F7" w:rsidRDefault="00F10D98" w:rsidP="00F10D98">
      <w:pPr>
        <w:pStyle w:val="SingleTxtG"/>
        <w:ind w:left="2268"/>
        <w:rPr>
          <w:rFonts w:asciiTheme="majorBidi" w:hAnsiTheme="majorBidi" w:cstheme="majorBidi"/>
          <w:i/>
          <w:iCs/>
        </w:rPr>
      </w:pPr>
      <w:r w:rsidRPr="00D773F7">
        <w:rPr>
          <w:rFonts w:asciiTheme="majorBidi" w:hAnsiTheme="majorBidi" w:cstheme="majorBidi"/>
          <w:i/>
          <w:iCs/>
        </w:rPr>
        <w:t>“</w:t>
      </w:r>
      <w:r w:rsidRPr="00D773F7">
        <w:rPr>
          <w:rFonts w:asciiTheme="majorBidi" w:hAnsiTheme="majorBidi" w:cstheme="majorBidi"/>
          <w:b/>
          <w:bCs/>
        </w:rPr>
        <w:t>3.2.2.4</w:t>
      </w:r>
      <w:r w:rsidRPr="00D773F7">
        <w:rPr>
          <w:rFonts w:asciiTheme="majorBidi" w:hAnsiTheme="majorBidi" w:cstheme="majorBidi"/>
          <w:b/>
          <w:bCs/>
          <w:i/>
          <w:iCs/>
        </w:rPr>
        <w:tab/>
        <w:t>Classification based on other existing animal skin data (</w:t>
      </w:r>
      <w:r w:rsidR="00971333" w:rsidRPr="00D773F7">
        <w:rPr>
          <w:rFonts w:asciiTheme="majorBidi" w:hAnsiTheme="majorBidi" w:cstheme="majorBidi"/>
          <w:b/>
          <w:bCs/>
          <w:i/>
          <w:iCs/>
        </w:rPr>
        <w:t>t</w:t>
      </w:r>
      <w:r w:rsidRPr="00D773F7">
        <w:rPr>
          <w:rFonts w:asciiTheme="majorBidi" w:hAnsiTheme="majorBidi" w:cstheme="majorBidi"/>
          <w:b/>
          <w:bCs/>
          <w:i/>
          <w:iCs/>
        </w:rPr>
        <w:t>ier</w:t>
      </w:r>
      <w:r w:rsidR="007B3D53" w:rsidRPr="00D773F7">
        <w:rPr>
          <w:rFonts w:asciiTheme="majorBidi" w:hAnsiTheme="majorBidi" w:cstheme="majorBidi"/>
          <w:b/>
          <w:bCs/>
          <w:i/>
          <w:iCs/>
        </w:rPr>
        <w:t> </w:t>
      </w:r>
      <w:r w:rsidRPr="00D773F7">
        <w:rPr>
          <w:rFonts w:asciiTheme="majorBidi" w:hAnsiTheme="majorBidi" w:cstheme="majorBidi"/>
          <w:b/>
          <w:bCs/>
          <w:i/>
          <w:iCs/>
        </w:rPr>
        <w:t xml:space="preserve">3 in </w:t>
      </w:r>
      <w:r w:rsidR="0027527A" w:rsidRPr="00D773F7">
        <w:rPr>
          <w:rFonts w:asciiTheme="majorBidi" w:hAnsiTheme="majorBidi" w:cstheme="majorBidi"/>
          <w:b/>
          <w:bCs/>
          <w:i/>
          <w:iCs/>
        </w:rPr>
        <w:t>f</w:t>
      </w:r>
      <w:r w:rsidRPr="00D773F7">
        <w:rPr>
          <w:rFonts w:asciiTheme="majorBidi" w:hAnsiTheme="majorBidi" w:cstheme="majorBidi"/>
          <w:b/>
          <w:bCs/>
          <w:i/>
          <w:iCs/>
        </w:rPr>
        <w:t>igure 3.2.1)</w:t>
      </w:r>
      <w:r w:rsidRPr="00D773F7">
        <w:rPr>
          <w:rFonts w:asciiTheme="majorBidi" w:hAnsiTheme="majorBidi" w:cstheme="majorBidi"/>
          <w:i/>
          <w:iCs/>
        </w:rPr>
        <w:t>”</w:t>
      </w:r>
    </w:p>
    <w:p w14:paraId="4342DEC5" w14:textId="77777777" w:rsidR="00F10D98" w:rsidRPr="00D773F7" w:rsidRDefault="00F10D98" w:rsidP="00F10D98">
      <w:pPr>
        <w:pStyle w:val="SingleTxtG"/>
        <w:rPr>
          <w:rFonts w:asciiTheme="majorBidi" w:hAnsiTheme="majorBidi" w:cstheme="majorBidi"/>
          <w:i/>
          <w:iCs/>
        </w:rPr>
      </w:pPr>
      <w:r w:rsidRPr="00D773F7">
        <w:rPr>
          <w:rFonts w:asciiTheme="majorBidi" w:hAnsiTheme="majorBidi" w:cstheme="majorBidi"/>
        </w:rPr>
        <w:t>3.2.2.5</w:t>
      </w:r>
      <w:r w:rsidRPr="00D773F7">
        <w:rPr>
          <w:rFonts w:asciiTheme="majorBidi" w:hAnsiTheme="majorBidi" w:cstheme="majorBidi"/>
        </w:rPr>
        <w:tab/>
      </w:r>
      <w:r w:rsidRPr="00D773F7">
        <w:rPr>
          <w:rFonts w:asciiTheme="majorBidi" w:hAnsiTheme="majorBidi" w:cstheme="majorBidi"/>
        </w:rPr>
        <w:tab/>
        <w:t>Amend to read as follows:</w:t>
      </w:r>
    </w:p>
    <w:p w14:paraId="7768F166" w14:textId="39973961" w:rsidR="00F10D98" w:rsidRPr="00D773F7" w:rsidRDefault="00F10D98" w:rsidP="00F10D98">
      <w:pPr>
        <w:pStyle w:val="SingleTxtG"/>
        <w:ind w:left="2268"/>
        <w:rPr>
          <w:rFonts w:asciiTheme="majorBidi" w:hAnsiTheme="majorBidi" w:cstheme="majorBidi"/>
          <w:b/>
          <w:bCs/>
          <w:i/>
          <w:iCs/>
        </w:rPr>
      </w:pPr>
      <w:r w:rsidRPr="00D773F7">
        <w:rPr>
          <w:rFonts w:asciiTheme="majorBidi" w:hAnsiTheme="majorBidi" w:cstheme="majorBidi"/>
          <w:i/>
          <w:iCs/>
        </w:rPr>
        <w:t>“</w:t>
      </w:r>
      <w:r w:rsidRPr="00D773F7">
        <w:rPr>
          <w:rFonts w:asciiTheme="majorBidi" w:hAnsiTheme="majorBidi" w:cstheme="majorBidi"/>
          <w:b/>
          <w:bCs/>
        </w:rPr>
        <w:t>3.2.2.5</w:t>
      </w:r>
      <w:r w:rsidRPr="00D773F7">
        <w:rPr>
          <w:rFonts w:asciiTheme="majorBidi" w:hAnsiTheme="majorBidi" w:cstheme="majorBidi"/>
          <w:b/>
          <w:bCs/>
          <w:i/>
          <w:iCs/>
        </w:rPr>
        <w:tab/>
        <w:t>Classification based on extreme pH (pH ≤ 2 or ≥ 11.5) and acid/alkaline reserve (</w:t>
      </w:r>
      <w:r w:rsidR="00971333" w:rsidRPr="00D773F7">
        <w:rPr>
          <w:rFonts w:asciiTheme="majorBidi" w:hAnsiTheme="majorBidi" w:cstheme="majorBidi"/>
          <w:b/>
          <w:bCs/>
          <w:i/>
          <w:iCs/>
        </w:rPr>
        <w:t>t</w:t>
      </w:r>
      <w:r w:rsidRPr="00D773F7">
        <w:rPr>
          <w:rFonts w:asciiTheme="majorBidi" w:hAnsiTheme="majorBidi" w:cstheme="majorBidi"/>
          <w:b/>
          <w:bCs/>
          <w:i/>
          <w:iCs/>
        </w:rPr>
        <w:t xml:space="preserve">ier 4 in </w:t>
      </w:r>
      <w:r w:rsidR="0027527A" w:rsidRPr="00D773F7">
        <w:rPr>
          <w:rFonts w:asciiTheme="majorBidi" w:hAnsiTheme="majorBidi" w:cstheme="majorBidi"/>
          <w:b/>
          <w:bCs/>
          <w:i/>
          <w:iCs/>
        </w:rPr>
        <w:t>f</w:t>
      </w:r>
      <w:r w:rsidRPr="00D773F7">
        <w:rPr>
          <w:rFonts w:asciiTheme="majorBidi" w:hAnsiTheme="majorBidi" w:cstheme="majorBidi"/>
          <w:b/>
          <w:bCs/>
          <w:i/>
          <w:iCs/>
        </w:rPr>
        <w:t>igure 3.2.1)</w:t>
      </w:r>
    </w:p>
    <w:p w14:paraId="1001BAFD" w14:textId="67F00FA9" w:rsidR="00F10D98" w:rsidRPr="00D773F7" w:rsidRDefault="00F10D98" w:rsidP="00F10D98">
      <w:pPr>
        <w:pStyle w:val="SingleTxtG"/>
        <w:ind w:left="2268" w:firstLine="567"/>
        <w:rPr>
          <w:rStyle w:val="SingleTxtGChar"/>
          <w:rFonts w:asciiTheme="majorBidi" w:hAnsiTheme="majorBidi" w:cstheme="majorBidi"/>
        </w:rPr>
      </w:pPr>
      <w:r w:rsidRPr="00D773F7">
        <w:rPr>
          <w:rFonts w:asciiTheme="majorBidi" w:hAnsiTheme="majorBidi" w:cstheme="majorBidi"/>
        </w:rPr>
        <w:tab/>
      </w:r>
      <w:r w:rsidRPr="00D773F7">
        <w:rPr>
          <w:rFonts w:asciiTheme="majorBidi" w:hAnsiTheme="majorBidi" w:cstheme="majorBidi"/>
        </w:rPr>
        <w:tab/>
        <w:t xml:space="preserve">In general, substances with an extreme pH (pH ≤ 2 or ≥ 11.5) are expected to cause significant skin effects, especially when associated with significant acid/alkaline reserve. A substance with pH ≤ 2 or ≥ 11.5 is therefore considered to cause skin corrosion (Category 1) in this tier if it has a significant acid/alkaline reserve or if no data for acid/alkaline reserve are available. However, if consideration of acid/alkaline reserve suggests the substance may </w:t>
      </w:r>
      <w:r w:rsidRPr="00D773F7">
        <w:rPr>
          <w:rStyle w:val="SingleTxtGChar"/>
          <w:rFonts w:asciiTheme="majorBidi" w:hAnsiTheme="majorBidi" w:cstheme="majorBidi"/>
        </w:rPr>
        <w:t xml:space="preserve">not be corrosive despite the extreme pH value, the result is considered inconclusive within this tier (see </w:t>
      </w:r>
      <w:r w:rsidR="0027527A" w:rsidRPr="00D773F7">
        <w:rPr>
          <w:rStyle w:val="SingleTxtGChar"/>
          <w:rFonts w:asciiTheme="majorBidi" w:hAnsiTheme="majorBidi" w:cstheme="majorBidi"/>
        </w:rPr>
        <w:t>f</w:t>
      </w:r>
      <w:r w:rsidRPr="00D773F7">
        <w:rPr>
          <w:rStyle w:val="SingleTxtGChar"/>
          <w:rFonts w:asciiTheme="majorBidi" w:hAnsiTheme="majorBidi" w:cstheme="majorBidi"/>
        </w:rPr>
        <w:t>igure 3.2.1). A pH &gt; 2 and &lt; 11.5 is considered inconclusive and cannot be used for classification purposes. Acid/alkaline reserve and pH can be determined by different methods including those described in OECD Test Guideline 122 and Young et al. (1988), acknowledging that there are some differences between these methods (see</w:t>
      </w:r>
      <w:r w:rsidR="00B67AFD" w:rsidRPr="00D773F7">
        <w:rPr>
          <w:rStyle w:val="SingleTxtGChar"/>
          <w:rFonts w:asciiTheme="majorBidi" w:hAnsiTheme="majorBidi" w:cstheme="majorBidi"/>
        </w:rPr>
        <w:t> </w:t>
      </w:r>
      <w:r w:rsidRPr="00D773F7">
        <w:rPr>
          <w:rStyle w:val="SingleTxtGChar"/>
          <w:rFonts w:asciiTheme="majorBidi" w:hAnsiTheme="majorBidi" w:cstheme="majorBidi"/>
        </w:rPr>
        <w:t>3.2.5.3.6). A competent authority may decide which criteria for significant acid/alkaline reserve can be applied.”</w:t>
      </w:r>
    </w:p>
    <w:p w14:paraId="2D6F22CD" w14:textId="2D83C931" w:rsidR="00F10D98" w:rsidRPr="00D773F7" w:rsidRDefault="00F10D98" w:rsidP="00F10D98">
      <w:pPr>
        <w:pStyle w:val="SingleTxtG"/>
        <w:rPr>
          <w:rFonts w:asciiTheme="majorBidi" w:eastAsiaTheme="minorHAnsi" w:hAnsiTheme="majorBidi" w:cstheme="majorBidi"/>
        </w:rPr>
      </w:pPr>
      <w:r w:rsidRPr="00D773F7">
        <w:rPr>
          <w:rFonts w:asciiTheme="majorBidi" w:hAnsiTheme="majorBidi" w:cstheme="majorBidi"/>
        </w:rPr>
        <w:t>3.2.2.6</w:t>
      </w:r>
      <w:r w:rsidRPr="00D773F7">
        <w:rPr>
          <w:rFonts w:asciiTheme="majorBidi" w:hAnsiTheme="majorBidi" w:cstheme="majorBidi"/>
        </w:rPr>
        <w:tab/>
      </w:r>
      <w:r w:rsidRPr="00D773F7">
        <w:rPr>
          <w:rFonts w:asciiTheme="majorBidi" w:hAnsiTheme="majorBidi" w:cstheme="majorBidi"/>
        </w:rPr>
        <w:tab/>
      </w:r>
      <w:r w:rsidR="00B67AFD" w:rsidRPr="00D773F7">
        <w:rPr>
          <w:rFonts w:asciiTheme="majorBidi" w:hAnsiTheme="majorBidi" w:cstheme="majorBidi"/>
        </w:rPr>
        <w:t>In the heading, a</w:t>
      </w:r>
      <w:r w:rsidRPr="00D773F7">
        <w:rPr>
          <w:rFonts w:asciiTheme="majorBidi" w:hAnsiTheme="majorBidi" w:cstheme="majorBidi"/>
        </w:rPr>
        <w:t xml:space="preserve">dd </w:t>
      </w:r>
      <w:r w:rsidRPr="00D773F7">
        <w:rPr>
          <w:rFonts w:asciiTheme="majorBidi" w:eastAsiaTheme="minorHAnsi" w:hAnsiTheme="majorBidi" w:cstheme="majorBidi"/>
          <w:b/>
          <w:bCs/>
          <w:i/>
          <w:iCs/>
        </w:rPr>
        <w:t>“</w:t>
      </w:r>
      <w:r w:rsidRPr="00D773F7">
        <w:rPr>
          <w:rFonts w:asciiTheme="majorBidi" w:hAnsiTheme="majorBidi" w:cstheme="majorBidi"/>
          <w:b/>
          <w:bCs/>
          <w:i/>
          <w:iCs/>
        </w:rPr>
        <w:t>(</w:t>
      </w:r>
      <w:r w:rsidR="00971333" w:rsidRPr="00D773F7">
        <w:rPr>
          <w:rFonts w:asciiTheme="majorBidi" w:hAnsiTheme="majorBidi" w:cstheme="majorBidi"/>
          <w:b/>
          <w:bCs/>
          <w:i/>
          <w:iCs/>
        </w:rPr>
        <w:t>t</w:t>
      </w:r>
      <w:r w:rsidRPr="00D773F7">
        <w:rPr>
          <w:rFonts w:asciiTheme="majorBidi" w:hAnsiTheme="majorBidi" w:cstheme="majorBidi"/>
          <w:b/>
          <w:bCs/>
          <w:i/>
          <w:iCs/>
        </w:rPr>
        <w:t xml:space="preserve">ier 5 in </w:t>
      </w:r>
      <w:r w:rsidR="0027527A" w:rsidRPr="00D773F7">
        <w:rPr>
          <w:rFonts w:asciiTheme="majorBidi" w:hAnsiTheme="majorBidi" w:cstheme="majorBidi"/>
          <w:b/>
          <w:bCs/>
          <w:i/>
          <w:iCs/>
        </w:rPr>
        <w:t>f</w:t>
      </w:r>
      <w:r w:rsidRPr="00D773F7">
        <w:rPr>
          <w:rFonts w:asciiTheme="majorBidi" w:hAnsiTheme="majorBidi" w:cstheme="majorBidi"/>
          <w:b/>
          <w:bCs/>
          <w:i/>
          <w:iCs/>
        </w:rPr>
        <w:t>igure 3.2.1)”</w:t>
      </w:r>
      <w:r w:rsidRPr="00D773F7">
        <w:rPr>
          <w:rFonts w:asciiTheme="majorBidi" w:hAnsiTheme="majorBidi" w:cstheme="majorBidi"/>
        </w:rPr>
        <w:t xml:space="preserve"> </w:t>
      </w:r>
      <w:r w:rsidRPr="00D773F7">
        <w:rPr>
          <w:rFonts w:asciiTheme="majorBidi" w:eastAsiaTheme="minorHAnsi" w:hAnsiTheme="majorBidi" w:cstheme="majorBidi"/>
        </w:rPr>
        <w:t>at the end.</w:t>
      </w:r>
    </w:p>
    <w:p w14:paraId="1B96D05E" w14:textId="165BFA4B" w:rsidR="00F10D98" w:rsidRPr="00D773F7" w:rsidRDefault="00F10D98" w:rsidP="00F10D98">
      <w:pPr>
        <w:pStyle w:val="SingleTxtG"/>
        <w:ind w:left="2268" w:hanging="1134"/>
        <w:rPr>
          <w:rFonts w:asciiTheme="majorBidi" w:hAnsiTheme="majorBidi" w:cstheme="majorBidi"/>
        </w:rPr>
      </w:pPr>
      <w:r w:rsidRPr="00D773F7">
        <w:rPr>
          <w:rFonts w:asciiTheme="majorBidi" w:hAnsiTheme="majorBidi" w:cstheme="majorBidi"/>
        </w:rPr>
        <w:t>3.2.2.6.1</w:t>
      </w:r>
      <w:r w:rsidRPr="00D773F7">
        <w:rPr>
          <w:rFonts w:asciiTheme="majorBidi" w:hAnsiTheme="majorBidi" w:cstheme="majorBidi"/>
        </w:rPr>
        <w:tab/>
        <w:t xml:space="preserve">In the last sentence, </w:t>
      </w:r>
      <w:r w:rsidR="00CA1352" w:rsidRPr="00D773F7">
        <w:rPr>
          <w:rFonts w:asciiTheme="majorBidi" w:hAnsiTheme="majorBidi" w:cstheme="majorBidi"/>
        </w:rPr>
        <w:t xml:space="preserve">replace “Such methods” with “Non-test methods” and </w:t>
      </w:r>
      <w:r w:rsidRPr="00D773F7">
        <w:rPr>
          <w:rFonts w:asciiTheme="majorBidi" w:hAnsiTheme="majorBidi" w:cstheme="majorBidi"/>
        </w:rPr>
        <w:t xml:space="preserve"> “(structural alerts, SAR); quantitative structure-activity relationships (QSARs); computer experts systems; and” with “(structural alerts, SAR) or quantitative structure-activity relationships (QSARs), computer experts systems, and”.</w:t>
      </w:r>
    </w:p>
    <w:p w14:paraId="40D4CE5D" w14:textId="34D8CAC4" w:rsidR="00FD24EF" w:rsidRPr="00D773F7" w:rsidRDefault="00FD24EF" w:rsidP="00FD24EF">
      <w:pPr>
        <w:pStyle w:val="SingleTxtG"/>
        <w:rPr>
          <w:rFonts w:asciiTheme="majorBidi" w:hAnsiTheme="majorBidi" w:cstheme="majorBidi"/>
        </w:rPr>
      </w:pPr>
      <w:r w:rsidRPr="00D773F7">
        <w:rPr>
          <w:rFonts w:asciiTheme="majorBidi" w:hAnsiTheme="majorBidi" w:cstheme="majorBidi"/>
        </w:rPr>
        <w:t>3.2.2.6.4</w:t>
      </w:r>
      <w:r w:rsidR="00F33535" w:rsidRPr="00D773F7">
        <w:rPr>
          <w:rFonts w:asciiTheme="majorBidi" w:hAnsiTheme="majorBidi" w:cstheme="majorBidi"/>
        </w:rPr>
        <w:t xml:space="preserve"> (new)</w:t>
      </w:r>
      <w:r w:rsidRPr="00D773F7">
        <w:rPr>
          <w:rFonts w:asciiTheme="majorBidi" w:hAnsiTheme="majorBidi" w:cstheme="majorBidi"/>
        </w:rPr>
        <w:tab/>
        <w:t xml:space="preserve">Insert the following new paragraph: </w:t>
      </w:r>
    </w:p>
    <w:p w14:paraId="2B12941F" w14:textId="4F0E5653" w:rsidR="00FD24EF" w:rsidRPr="00D773F7" w:rsidRDefault="00FD24EF" w:rsidP="00FD24EF">
      <w:pPr>
        <w:pStyle w:val="SingleTxtG"/>
        <w:ind w:left="2268"/>
        <w:rPr>
          <w:rFonts w:asciiTheme="majorBidi" w:hAnsiTheme="majorBidi" w:cstheme="majorBidi"/>
          <w:sz w:val="24"/>
          <w:szCs w:val="24"/>
          <w:lang w:eastAsia="en-GB"/>
        </w:rPr>
      </w:pPr>
      <w:r w:rsidRPr="00D773F7">
        <w:rPr>
          <w:rFonts w:asciiTheme="majorBidi" w:hAnsiTheme="majorBidi" w:cstheme="majorBidi"/>
        </w:rPr>
        <w:t>“3.2.2.6.4</w:t>
      </w:r>
      <w:r w:rsidRPr="00D773F7">
        <w:rPr>
          <w:rFonts w:asciiTheme="majorBidi" w:hAnsiTheme="majorBidi" w:cstheme="majorBidi"/>
        </w:rPr>
        <w:tab/>
        <w:t xml:space="preserve">For conclusions on no classification from read-across and (Q)SARs the adequacy and robustness of the scientific reasoning and of the supporting evidence should be well substantiated and normally requires multiple negative substances with good structural and physical (related to </w:t>
      </w:r>
      <w:proofErr w:type="spellStart"/>
      <w:r w:rsidRPr="00D773F7">
        <w:rPr>
          <w:rFonts w:asciiTheme="majorBidi" w:hAnsiTheme="majorBidi" w:cstheme="majorBidi"/>
        </w:rPr>
        <w:t>toxicokinetics</w:t>
      </w:r>
      <w:proofErr w:type="spellEnd"/>
      <w:r w:rsidRPr="00D773F7">
        <w:rPr>
          <w:rFonts w:asciiTheme="majorBidi" w:hAnsiTheme="majorBidi" w:cstheme="majorBidi"/>
        </w:rPr>
        <w:t xml:space="preserve">) similarity to the substance being classified, as well as a clear </w:t>
      </w:r>
      <w:r w:rsidRPr="00D773F7">
        <w:rPr>
          <w:rFonts w:asciiTheme="majorBidi" w:hAnsiTheme="majorBidi" w:cstheme="majorBidi"/>
        </w:rPr>
        <w:lastRenderedPageBreak/>
        <w:t>absence of positive substances with good structural and physical similarity to the substance being classified</w:t>
      </w:r>
      <w:r w:rsidRPr="00D773F7">
        <w:rPr>
          <w:rFonts w:asciiTheme="majorBidi" w:hAnsiTheme="majorBidi" w:cstheme="majorBidi"/>
          <w:sz w:val="24"/>
          <w:szCs w:val="24"/>
          <w:lang w:eastAsia="en-GB"/>
        </w:rPr>
        <w:t>.”.</w:t>
      </w:r>
    </w:p>
    <w:p w14:paraId="03C45AFA" w14:textId="62618B12" w:rsidR="00F10D98" w:rsidRPr="00D773F7" w:rsidRDefault="00F10D98" w:rsidP="00F10D98">
      <w:pPr>
        <w:pStyle w:val="SingleTxtG"/>
        <w:rPr>
          <w:rFonts w:asciiTheme="majorBidi" w:hAnsiTheme="majorBidi" w:cstheme="majorBidi"/>
        </w:rPr>
      </w:pPr>
      <w:r w:rsidRPr="00D773F7">
        <w:rPr>
          <w:rFonts w:asciiTheme="majorBidi" w:hAnsiTheme="majorBidi" w:cstheme="majorBidi"/>
        </w:rPr>
        <w:t>3.2.2.7 (new)</w:t>
      </w:r>
      <w:r w:rsidRPr="00D773F7">
        <w:rPr>
          <w:rFonts w:asciiTheme="majorBidi" w:hAnsiTheme="majorBidi" w:cstheme="majorBidi"/>
        </w:rPr>
        <w:tab/>
        <w:t>Insert a new section to read as follows:</w:t>
      </w:r>
    </w:p>
    <w:p w14:paraId="1EE2DE79" w14:textId="6AFEB888" w:rsidR="00F10D98" w:rsidRPr="00D773F7" w:rsidRDefault="00F10D98" w:rsidP="00F10D98">
      <w:pPr>
        <w:pStyle w:val="SingleTxtG"/>
        <w:ind w:left="2268"/>
        <w:rPr>
          <w:rFonts w:asciiTheme="majorBidi" w:hAnsiTheme="majorBidi" w:cstheme="majorBidi"/>
          <w:i/>
          <w:iCs/>
        </w:rPr>
      </w:pPr>
      <w:r w:rsidRPr="00D773F7">
        <w:rPr>
          <w:rFonts w:asciiTheme="majorBidi" w:hAnsiTheme="majorBidi" w:cstheme="majorBidi"/>
        </w:rPr>
        <w:t>“</w:t>
      </w:r>
      <w:r w:rsidRPr="00D773F7">
        <w:rPr>
          <w:rFonts w:asciiTheme="majorBidi" w:hAnsiTheme="majorBidi" w:cstheme="majorBidi"/>
          <w:b/>
          <w:bCs/>
        </w:rPr>
        <w:t>3.2.2.7</w:t>
      </w:r>
      <w:r w:rsidRPr="00D773F7">
        <w:rPr>
          <w:rFonts w:asciiTheme="majorBidi" w:hAnsiTheme="majorBidi" w:cstheme="majorBidi"/>
          <w:b/>
          <w:bCs/>
        </w:rPr>
        <w:tab/>
      </w:r>
      <w:r w:rsidRPr="00D773F7">
        <w:rPr>
          <w:rFonts w:asciiTheme="majorBidi" w:hAnsiTheme="majorBidi" w:cstheme="majorBidi"/>
          <w:b/>
          <w:bCs/>
          <w:i/>
          <w:iCs/>
        </w:rPr>
        <w:t>Classification based on an overall weight of evidence assessment (</w:t>
      </w:r>
      <w:r w:rsidR="00971333" w:rsidRPr="00D773F7">
        <w:rPr>
          <w:rFonts w:asciiTheme="majorBidi" w:hAnsiTheme="majorBidi" w:cstheme="majorBidi"/>
          <w:b/>
          <w:bCs/>
          <w:i/>
          <w:iCs/>
        </w:rPr>
        <w:t>t</w:t>
      </w:r>
      <w:r w:rsidRPr="00D773F7">
        <w:rPr>
          <w:rFonts w:asciiTheme="majorBidi" w:hAnsiTheme="majorBidi" w:cstheme="majorBidi"/>
          <w:b/>
          <w:bCs/>
          <w:i/>
          <w:iCs/>
        </w:rPr>
        <w:t xml:space="preserve">ier 6 in </w:t>
      </w:r>
      <w:r w:rsidR="0027527A" w:rsidRPr="00D773F7">
        <w:rPr>
          <w:rFonts w:asciiTheme="majorBidi" w:hAnsiTheme="majorBidi" w:cstheme="majorBidi"/>
          <w:b/>
          <w:bCs/>
          <w:i/>
          <w:iCs/>
        </w:rPr>
        <w:t>f</w:t>
      </w:r>
      <w:r w:rsidRPr="00D773F7">
        <w:rPr>
          <w:rFonts w:asciiTheme="majorBidi" w:hAnsiTheme="majorBidi" w:cstheme="majorBidi"/>
          <w:b/>
          <w:bCs/>
          <w:i/>
          <w:iCs/>
        </w:rPr>
        <w:t>igure 3.2.1)</w:t>
      </w:r>
    </w:p>
    <w:p w14:paraId="69459F5F" w14:textId="11489457" w:rsidR="00F10D98" w:rsidRPr="00D773F7" w:rsidRDefault="00F10D98">
      <w:pPr>
        <w:pStyle w:val="SingleTxtG"/>
        <w:ind w:left="2268"/>
        <w:rPr>
          <w:rFonts w:asciiTheme="majorBidi" w:hAnsiTheme="majorBidi" w:cstheme="majorBidi"/>
        </w:rPr>
      </w:pPr>
      <w:r w:rsidRPr="00D773F7">
        <w:rPr>
          <w:rFonts w:asciiTheme="majorBidi" w:hAnsiTheme="majorBidi" w:cstheme="majorBidi"/>
        </w:rPr>
        <w:t>3.2.2.7.1</w:t>
      </w:r>
      <w:r w:rsidRPr="00D773F7">
        <w:rPr>
          <w:rFonts w:asciiTheme="majorBidi" w:hAnsiTheme="majorBidi" w:cstheme="majorBidi"/>
        </w:rPr>
        <w:tab/>
        <w:t>An overall weight of evidence assessment</w:t>
      </w:r>
      <w:r w:rsidR="00B8066C" w:rsidRPr="00D773F7">
        <w:rPr>
          <w:rFonts w:asciiTheme="majorBidi" w:hAnsiTheme="majorBidi" w:cstheme="majorBidi"/>
        </w:rPr>
        <w:t xml:space="preserve"> using expert judgement</w:t>
      </w:r>
      <w:r w:rsidRPr="00D773F7">
        <w:rPr>
          <w:rFonts w:asciiTheme="majorBidi" w:hAnsiTheme="majorBidi" w:cstheme="majorBidi"/>
        </w:rPr>
        <w:t xml:space="preserve"> is indicated where none of the previous tiers resulted in a definitive conclusion on classification.</w:t>
      </w:r>
      <w:r w:rsidR="003E41FD" w:rsidRPr="00D773F7">
        <w:rPr>
          <w:rFonts w:asciiTheme="majorBidi" w:hAnsiTheme="majorBidi" w:cstheme="majorBidi"/>
        </w:rPr>
        <w:t xml:space="preserve"> </w:t>
      </w:r>
      <w:r w:rsidRPr="00D773F7">
        <w:rPr>
          <w:rFonts w:asciiTheme="majorBidi" w:hAnsiTheme="majorBidi" w:cstheme="majorBidi"/>
        </w:rPr>
        <w:t>In some cases, where the classification decision was postponed until the overall weight of evidence, but no further data are available, a classification may still be possible.</w:t>
      </w:r>
    </w:p>
    <w:p w14:paraId="2EFFFEF8" w14:textId="0ADB9839" w:rsidR="00F10D98" w:rsidRPr="00D773F7" w:rsidRDefault="00F10D98" w:rsidP="00F10D98">
      <w:pPr>
        <w:pStyle w:val="SingleTxtG"/>
        <w:keepNext/>
        <w:keepLines/>
        <w:ind w:left="2268"/>
        <w:rPr>
          <w:rFonts w:asciiTheme="majorBidi" w:hAnsiTheme="majorBidi" w:cstheme="majorBidi"/>
        </w:rPr>
      </w:pPr>
      <w:r w:rsidRPr="00D773F7">
        <w:rPr>
          <w:rFonts w:asciiTheme="majorBidi" w:hAnsiTheme="majorBidi" w:cstheme="majorBidi"/>
        </w:rPr>
        <w:t>3.2.2.7.2</w:t>
      </w:r>
      <w:r w:rsidRPr="00D773F7">
        <w:rPr>
          <w:rFonts w:asciiTheme="majorBidi" w:hAnsiTheme="majorBidi" w:cstheme="majorBidi"/>
        </w:rPr>
        <w:tab/>
        <w:t xml:space="preserve">A substance with an extreme pH (pH ≤ 2 or ≥ 11.5) and non-significant acid/alkaline reserve (result considered inconclusive in </w:t>
      </w:r>
      <w:r w:rsidR="00971333" w:rsidRPr="00D773F7">
        <w:rPr>
          <w:rFonts w:asciiTheme="majorBidi" w:hAnsiTheme="majorBidi" w:cstheme="majorBidi"/>
        </w:rPr>
        <w:t>t</w:t>
      </w:r>
      <w:r w:rsidRPr="00D773F7">
        <w:rPr>
          <w:rFonts w:asciiTheme="majorBidi" w:hAnsiTheme="majorBidi" w:cstheme="majorBidi"/>
        </w:rPr>
        <w:t>ier 4; see</w:t>
      </w:r>
      <w:r w:rsidR="00076B7F" w:rsidRPr="00D773F7">
        <w:rPr>
          <w:rFonts w:asciiTheme="majorBidi" w:hAnsiTheme="majorBidi" w:cstheme="majorBidi"/>
        </w:rPr>
        <w:t> </w:t>
      </w:r>
      <w:r w:rsidRPr="00D773F7">
        <w:rPr>
          <w:rFonts w:asciiTheme="majorBidi" w:hAnsiTheme="majorBidi" w:cstheme="majorBidi"/>
        </w:rPr>
        <w:t xml:space="preserve">3.2.2.5) and for which no other information is available, should be classified as skin corrosion Category 1 in this tier. If inconclusive information is also available from other tiers but the overall weight of evidence assessment remains inconclusive, the extreme pH (pH ≤ 2 or ≥ 11.5) result should take precedence and the substance should be classified as skin corrosion Category 1 in this tier independently of its acid/alkaline reserve. For mixtures, the approach is different and is detailed in 3.2.3.1.3.”. </w:t>
      </w:r>
    </w:p>
    <w:p w14:paraId="2DE52DE9" w14:textId="691E037E" w:rsidR="00F10D98" w:rsidRPr="00D773F7" w:rsidRDefault="00991FB1" w:rsidP="00F10D98">
      <w:pPr>
        <w:pStyle w:val="SingleTxtG"/>
        <w:rPr>
          <w:rFonts w:asciiTheme="majorBidi" w:hAnsiTheme="majorBidi" w:cstheme="majorBidi"/>
        </w:rPr>
      </w:pPr>
      <w:r w:rsidRPr="00D773F7">
        <w:rPr>
          <w:rFonts w:asciiTheme="majorBidi" w:hAnsiTheme="majorBidi" w:cstheme="majorBidi"/>
        </w:rPr>
        <w:t xml:space="preserve">Current paragraphs </w:t>
      </w:r>
      <w:r w:rsidR="00F10D98" w:rsidRPr="00D773F7">
        <w:rPr>
          <w:rFonts w:asciiTheme="majorBidi" w:hAnsiTheme="majorBidi" w:cstheme="majorBidi"/>
        </w:rPr>
        <w:t xml:space="preserve">3.2.2.7 </w:t>
      </w:r>
      <w:r w:rsidRPr="00D773F7">
        <w:rPr>
          <w:rFonts w:asciiTheme="majorBidi" w:hAnsiTheme="majorBidi" w:cstheme="majorBidi"/>
        </w:rPr>
        <w:t xml:space="preserve">to 3.2.2.7.3 become </w:t>
      </w:r>
      <w:r w:rsidR="00F10D98" w:rsidRPr="00D773F7">
        <w:rPr>
          <w:rFonts w:asciiTheme="majorBidi" w:hAnsiTheme="majorBidi" w:cstheme="majorBidi"/>
        </w:rPr>
        <w:t>3.3.2.8</w:t>
      </w:r>
      <w:r w:rsidR="00D87D3F" w:rsidRPr="00D773F7">
        <w:rPr>
          <w:rFonts w:asciiTheme="majorBidi" w:hAnsiTheme="majorBidi" w:cstheme="majorBidi"/>
        </w:rPr>
        <w:t xml:space="preserve"> </w:t>
      </w:r>
      <w:r w:rsidRPr="00D773F7">
        <w:rPr>
          <w:rFonts w:asciiTheme="majorBidi" w:hAnsiTheme="majorBidi" w:cstheme="majorBidi"/>
        </w:rPr>
        <w:t xml:space="preserve">to </w:t>
      </w:r>
      <w:r w:rsidR="00F10D98" w:rsidRPr="00D773F7">
        <w:rPr>
          <w:rFonts w:asciiTheme="majorBidi" w:hAnsiTheme="majorBidi" w:cstheme="majorBidi"/>
        </w:rPr>
        <w:t>3.2.2.8.3.</w:t>
      </w:r>
    </w:p>
    <w:p w14:paraId="7160097B" w14:textId="3E2B5957" w:rsidR="00306D65" w:rsidRPr="00D773F7" w:rsidRDefault="00306D65" w:rsidP="00D0446D">
      <w:pPr>
        <w:pStyle w:val="SingleTxtG"/>
        <w:rPr>
          <w:rFonts w:asciiTheme="majorBidi" w:hAnsiTheme="majorBidi" w:cstheme="majorBidi"/>
          <w:iCs/>
        </w:rPr>
      </w:pPr>
      <w:r w:rsidRPr="00D773F7">
        <w:rPr>
          <w:rFonts w:asciiTheme="majorBidi" w:hAnsiTheme="majorBidi" w:cstheme="majorBidi"/>
        </w:rPr>
        <w:t>3.2.2.8 (new, former 3.2.2.7)</w:t>
      </w:r>
      <w:r w:rsidRPr="00D773F7">
        <w:rPr>
          <w:rFonts w:asciiTheme="majorBidi" w:hAnsiTheme="majorBidi" w:cstheme="majorBidi"/>
        </w:rPr>
        <w:tab/>
      </w:r>
      <w:r w:rsidR="00904D71" w:rsidRPr="00D773F7">
        <w:rPr>
          <w:rFonts w:asciiTheme="majorBidi" w:hAnsiTheme="majorBidi" w:cstheme="majorBidi"/>
        </w:rPr>
        <w:t>In the heading, a</w:t>
      </w:r>
      <w:r w:rsidRPr="00D773F7">
        <w:rPr>
          <w:rFonts w:asciiTheme="majorBidi" w:hAnsiTheme="majorBidi" w:cstheme="majorBidi"/>
        </w:rPr>
        <w:t>dd “</w:t>
      </w:r>
      <w:r w:rsidRPr="00D773F7">
        <w:rPr>
          <w:rFonts w:asciiTheme="majorBidi" w:hAnsiTheme="majorBidi" w:cstheme="majorBidi"/>
          <w:b/>
          <w:bCs/>
          <w:i/>
          <w:iCs/>
        </w:rPr>
        <w:t>(</w:t>
      </w:r>
      <w:r w:rsidR="0027527A" w:rsidRPr="00D773F7">
        <w:rPr>
          <w:rFonts w:asciiTheme="majorBidi" w:hAnsiTheme="majorBidi" w:cstheme="majorBidi"/>
          <w:b/>
          <w:bCs/>
          <w:i/>
          <w:iCs/>
        </w:rPr>
        <w:t>f</w:t>
      </w:r>
      <w:r w:rsidRPr="00D773F7">
        <w:rPr>
          <w:rFonts w:asciiTheme="majorBidi" w:hAnsiTheme="majorBidi" w:cstheme="majorBidi"/>
          <w:b/>
          <w:bCs/>
          <w:i/>
          <w:iCs/>
        </w:rPr>
        <w:t>igure 3.2.1)</w:t>
      </w:r>
      <w:r w:rsidRPr="00D773F7">
        <w:rPr>
          <w:rFonts w:asciiTheme="majorBidi" w:hAnsiTheme="majorBidi" w:cstheme="majorBidi"/>
          <w:i/>
          <w:iCs/>
        </w:rPr>
        <w:t>”</w:t>
      </w:r>
      <w:r w:rsidRPr="00D773F7">
        <w:rPr>
          <w:rFonts w:asciiTheme="majorBidi" w:hAnsiTheme="majorBidi" w:cstheme="majorBidi"/>
          <w:i/>
        </w:rPr>
        <w:t xml:space="preserve"> </w:t>
      </w:r>
      <w:r w:rsidRPr="00D773F7">
        <w:rPr>
          <w:rFonts w:asciiTheme="majorBidi" w:hAnsiTheme="majorBidi" w:cstheme="majorBidi"/>
          <w:iCs/>
        </w:rPr>
        <w:t>at the end</w:t>
      </w:r>
      <w:r w:rsidR="00904D71" w:rsidRPr="00D773F7">
        <w:rPr>
          <w:rFonts w:asciiTheme="majorBidi" w:hAnsiTheme="majorBidi" w:cstheme="majorBidi"/>
          <w:iCs/>
        </w:rPr>
        <w:t>.</w:t>
      </w:r>
      <w:r w:rsidRPr="00D773F7">
        <w:rPr>
          <w:rFonts w:asciiTheme="majorBidi" w:hAnsiTheme="majorBidi" w:cstheme="majorBidi"/>
          <w:iCs/>
        </w:rPr>
        <w:t xml:space="preserve"> </w:t>
      </w:r>
    </w:p>
    <w:p w14:paraId="555C8E19" w14:textId="08A1DD02" w:rsidR="00D54120" w:rsidRPr="00D773F7" w:rsidRDefault="00D54120" w:rsidP="00246DD9">
      <w:pPr>
        <w:pStyle w:val="SingleTxtG"/>
        <w:ind w:left="2268" w:hanging="1134"/>
        <w:rPr>
          <w:rFonts w:asciiTheme="majorBidi" w:hAnsiTheme="majorBidi" w:cstheme="majorBidi"/>
        </w:rPr>
      </w:pPr>
      <w:r w:rsidRPr="00D773F7">
        <w:rPr>
          <w:rFonts w:asciiTheme="majorBidi" w:hAnsiTheme="majorBidi" w:cstheme="majorBidi"/>
        </w:rPr>
        <w:t>3.2.2.8.1 (</w:t>
      </w:r>
      <w:r w:rsidR="00AB278C" w:rsidRPr="00D773F7">
        <w:rPr>
          <w:rFonts w:asciiTheme="majorBidi" w:hAnsiTheme="majorBidi" w:cstheme="majorBidi"/>
        </w:rPr>
        <w:t>new, former 3.2.2.7.1</w:t>
      </w:r>
      <w:r w:rsidRPr="00D773F7">
        <w:rPr>
          <w:rFonts w:asciiTheme="majorBidi" w:hAnsiTheme="majorBidi" w:cstheme="majorBidi"/>
        </w:rPr>
        <w:t xml:space="preserve">)  </w:t>
      </w:r>
      <w:r w:rsidR="00881545" w:rsidRPr="00D773F7">
        <w:rPr>
          <w:rFonts w:asciiTheme="majorBidi" w:hAnsiTheme="majorBidi" w:cstheme="majorBidi"/>
        </w:rPr>
        <w:t xml:space="preserve">In the first sentence, </w:t>
      </w:r>
      <w:r w:rsidRPr="00D773F7">
        <w:rPr>
          <w:rFonts w:asciiTheme="majorBidi" w:hAnsiTheme="majorBidi" w:cstheme="majorBidi"/>
        </w:rPr>
        <w:t xml:space="preserve">delete “initial” </w:t>
      </w:r>
      <w:r w:rsidR="00246DD9" w:rsidRPr="00D773F7">
        <w:rPr>
          <w:rFonts w:asciiTheme="majorBidi" w:hAnsiTheme="majorBidi" w:cstheme="majorBidi"/>
        </w:rPr>
        <w:t>and replace “elements” with “tiers as well as information within a tier”.</w:t>
      </w:r>
      <w:r w:rsidRPr="00D773F7">
        <w:rPr>
          <w:rFonts w:asciiTheme="majorBidi" w:hAnsiTheme="majorBidi" w:cstheme="majorBidi"/>
        </w:rPr>
        <w:t xml:space="preserve"> </w:t>
      </w:r>
    </w:p>
    <w:p w14:paraId="5FE3596B" w14:textId="77777777" w:rsidR="00F10D98" w:rsidRPr="00D773F7" w:rsidRDefault="00F10D98" w:rsidP="00F10D98">
      <w:pPr>
        <w:pStyle w:val="SingleTxtG"/>
        <w:rPr>
          <w:rFonts w:asciiTheme="majorBidi" w:hAnsiTheme="majorBidi" w:cstheme="majorBidi"/>
        </w:rPr>
      </w:pPr>
      <w:r w:rsidRPr="00D773F7">
        <w:rPr>
          <w:rFonts w:asciiTheme="majorBidi" w:hAnsiTheme="majorBidi" w:cstheme="majorBidi"/>
        </w:rPr>
        <w:t>3.2.2.8.2 (new, former 3.2.2.7.2)</w:t>
      </w:r>
      <w:r w:rsidRPr="00D773F7">
        <w:rPr>
          <w:rFonts w:asciiTheme="majorBidi" w:hAnsiTheme="majorBidi" w:cstheme="majorBidi"/>
        </w:rPr>
        <w:tab/>
        <w:t>Amend the first sentence to read as follows:</w:t>
      </w:r>
    </w:p>
    <w:p w14:paraId="2FEA396F" w14:textId="00DBB746" w:rsidR="00F10D98" w:rsidRPr="00D773F7" w:rsidRDefault="00F10D98" w:rsidP="00F10D98">
      <w:pPr>
        <w:pStyle w:val="SingleTxtG"/>
        <w:ind w:left="2268"/>
        <w:rPr>
          <w:rFonts w:asciiTheme="majorBidi" w:hAnsiTheme="majorBidi" w:cstheme="majorBidi"/>
        </w:rPr>
      </w:pPr>
      <w:r w:rsidRPr="00D773F7">
        <w:rPr>
          <w:rFonts w:asciiTheme="majorBidi" w:hAnsiTheme="majorBidi" w:cstheme="majorBidi"/>
        </w:rPr>
        <w:t>“In the tiered approach (</w:t>
      </w:r>
      <w:r w:rsidR="0027527A" w:rsidRPr="00D773F7">
        <w:rPr>
          <w:rFonts w:asciiTheme="majorBidi" w:hAnsiTheme="majorBidi" w:cstheme="majorBidi"/>
        </w:rPr>
        <w:t>f</w:t>
      </w:r>
      <w:r w:rsidRPr="00D773F7">
        <w:rPr>
          <w:rFonts w:asciiTheme="majorBidi" w:hAnsiTheme="majorBidi" w:cstheme="majorBidi"/>
        </w:rPr>
        <w:t>igure 3.2.1), existing human and standard animal data form the highest tier, followed by in vitro</w:t>
      </w:r>
      <w:r w:rsidRPr="00D773F7">
        <w:rPr>
          <w:rFonts w:asciiTheme="majorBidi" w:hAnsiTheme="majorBidi" w:cstheme="majorBidi"/>
          <w:i/>
          <w:iCs/>
        </w:rPr>
        <w:t>/ex vivo</w:t>
      </w:r>
      <w:r w:rsidRPr="00D773F7">
        <w:rPr>
          <w:rFonts w:asciiTheme="majorBidi" w:hAnsiTheme="majorBidi" w:cstheme="majorBidi"/>
        </w:rPr>
        <w:t xml:space="preserve"> data, other existing animal skin data, extreme pH and acid/alkaline reserve, and finally non-test methods.”.</w:t>
      </w:r>
    </w:p>
    <w:p w14:paraId="47AA2FD0" w14:textId="77777777" w:rsidR="00F10D98" w:rsidRPr="00D773F7" w:rsidRDefault="00F10D98" w:rsidP="00F10D98">
      <w:pPr>
        <w:pStyle w:val="SingleTxtG"/>
        <w:ind w:left="2268"/>
        <w:rPr>
          <w:rFonts w:asciiTheme="majorBidi" w:hAnsiTheme="majorBidi" w:cstheme="majorBidi"/>
        </w:rPr>
      </w:pPr>
      <w:r w:rsidRPr="00D773F7">
        <w:rPr>
          <w:rFonts w:asciiTheme="majorBidi" w:hAnsiTheme="majorBidi" w:cstheme="majorBidi"/>
        </w:rPr>
        <w:t xml:space="preserve">In the second sentence, replace “weight of evidence approach” with “weight of evidence assessment”. </w:t>
      </w:r>
    </w:p>
    <w:p w14:paraId="66F92C41" w14:textId="77777777" w:rsidR="00F10D98" w:rsidRPr="00D773F7" w:rsidRDefault="00F10D98" w:rsidP="00F10D98">
      <w:pPr>
        <w:pStyle w:val="SingleTxtG"/>
        <w:ind w:left="2268" w:hanging="1134"/>
        <w:rPr>
          <w:rFonts w:asciiTheme="majorBidi" w:hAnsiTheme="majorBidi" w:cstheme="majorBidi"/>
        </w:rPr>
      </w:pPr>
      <w:r w:rsidRPr="00D773F7">
        <w:rPr>
          <w:rFonts w:asciiTheme="majorBidi" w:hAnsiTheme="majorBidi" w:cstheme="majorBidi"/>
        </w:rPr>
        <w:t xml:space="preserve">3.2.2.8.3 (new, former 3.2.2.7.3) Replace (twice) “weight of evidence approach” with “weight of evidence assessment”. </w:t>
      </w:r>
    </w:p>
    <w:p w14:paraId="594492CD" w14:textId="08940FFA" w:rsidR="00076B7F" w:rsidRPr="00D773F7" w:rsidRDefault="00F10D98" w:rsidP="00F10D98">
      <w:pPr>
        <w:pStyle w:val="SingleTxtG"/>
        <w:ind w:left="2268"/>
        <w:rPr>
          <w:rFonts w:asciiTheme="majorBidi" w:hAnsiTheme="majorBidi" w:cstheme="majorBidi"/>
        </w:rPr>
      </w:pPr>
      <w:r w:rsidRPr="00D773F7">
        <w:rPr>
          <w:rFonts w:asciiTheme="majorBidi" w:hAnsiTheme="majorBidi" w:cstheme="majorBidi"/>
        </w:rPr>
        <w:t>In the last sentence, replace “irritation” with “skin irritation”</w:t>
      </w:r>
      <w:r w:rsidR="00A14C1C" w:rsidRPr="00D773F7">
        <w:rPr>
          <w:rFonts w:asciiTheme="majorBidi" w:hAnsiTheme="majorBidi" w:cstheme="majorBidi"/>
        </w:rPr>
        <w:t xml:space="preserve"> </w:t>
      </w:r>
      <w:r w:rsidRPr="00D773F7">
        <w:rPr>
          <w:rFonts w:asciiTheme="majorBidi" w:hAnsiTheme="majorBidi" w:cstheme="majorBidi"/>
        </w:rPr>
        <w:t>and add “are also available” at the end.</w:t>
      </w:r>
    </w:p>
    <w:p w14:paraId="75295DC5" w14:textId="77777777" w:rsidR="00F10D98" w:rsidRPr="00D773F7" w:rsidRDefault="00F10D98" w:rsidP="00F10D98">
      <w:pPr>
        <w:pStyle w:val="SingleTxtG"/>
        <w:rPr>
          <w:rFonts w:asciiTheme="majorBidi" w:hAnsiTheme="majorBidi" w:cstheme="majorBidi"/>
        </w:rPr>
      </w:pPr>
      <w:r w:rsidRPr="00D773F7">
        <w:rPr>
          <w:rFonts w:asciiTheme="majorBidi" w:hAnsiTheme="majorBidi" w:cstheme="majorBidi"/>
        </w:rPr>
        <w:t>Figure 3.2.1</w:t>
      </w:r>
      <w:r w:rsidRPr="00D773F7">
        <w:rPr>
          <w:rFonts w:asciiTheme="majorBidi" w:hAnsiTheme="majorBidi" w:cstheme="majorBidi"/>
        </w:rPr>
        <w:tab/>
        <w:t>Amend as follows:</w:t>
      </w:r>
    </w:p>
    <w:p w14:paraId="4EFF3359" w14:textId="1450BF47" w:rsidR="00F10D98" w:rsidRPr="00062B38" w:rsidRDefault="00F10D98" w:rsidP="006D3F93">
      <w:pPr>
        <w:pStyle w:val="Bullet1G"/>
        <w:numPr>
          <w:ilvl w:val="0"/>
          <w:numId w:val="0"/>
        </w:numPr>
        <w:ind w:left="2268"/>
      </w:pPr>
      <w:r w:rsidRPr="00062B38">
        <w:t>Text between tier 3 and tier 4 boxes: Replace “</w:t>
      </w:r>
      <w:r w:rsidRPr="00D42100">
        <w:rPr>
          <w:i/>
          <w:iCs/>
        </w:rPr>
        <w:t>No data</w:t>
      </w:r>
      <w:r w:rsidR="000A01F9" w:rsidRPr="00D42100">
        <w:rPr>
          <w:i/>
          <w:iCs/>
        </w:rPr>
        <w:t xml:space="preserve">, </w:t>
      </w:r>
      <w:r w:rsidR="00415A20" w:rsidRPr="00D42100">
        <w:rPr>
          <w:i/>
          <w:iCs/>
        </w:rPr>
        <w:t>conclusive for no classification,</w:t>
      </w:r>
      <w:r w:rsidRPr="00D42100">
        <w:rPr>
          <w:i/>
          <w:iCs/>
        </w:rPr>
        <w:t xml:space="preserve"> or </w:t>
      </w:r>
      <w:proofErr w:type="spellStart"/>
      <w:r w:rsidRPr="00D42100">
        <w:rPr>
          <w:i/>
          <w:iCs/>
        </w:rPr>
        <w:t>inconclusive</w:t>
      </w:r>
      <w:r w:rsidRPr="00D42100">
        <w:rPr>
          <w:i/>
          <w:iCs/>
          <w:vertAlign w:val="superscript"/>
        </w:rPr>
        <w:t>b</w:t>
      </w:r>
      <w:proofErr w:type="spellEnd"/>
      <w:r w:rsidRPr="00062B38">
        <w:t>” with “</w:t>
      </w:r>
      <w:r w:rsidRPr="00D42100">
        <w:rPr>
          <w:i/>
          <w:iCs/>
        </w:rPr>
        <w:t xml:space="preserve">No data, not classified for skin corrosion/irritation or </w:t>
      </w:r>
      <w:proofErr w:type="spellStart"/>
      <w:r w:rsidRPr="00D42100">
        <w:rPr>
          <w:i/>
          <w:iCs/>
        </w:rPr>
        <w:t>inconclusive</w:t>
      </w:r>
      <w:r w:rsidRPr="00D42100">
        <w:rPr>
          <w:i/>
          <w:iCs/>
          <w:vertAlign w:val="superscript"/>
        </w:rPr>
        <w:t>b</w:t>
      </w:r>
      <w:proofErr w:type="spellEnd"/>
      <w:r w:rsidRPr="00062B38">
        <w:t>”.</w:t>
      </w:r>
    </w:p>
    <w:p w14:paraId="2F61AB09" w14:textId="7DA7FAFB" w:rsidR="00F10D98" w:rsidRPr="00062B38" w:rsidRDefault="00F10D98" w:rsidP="006D3F93">
      <w:pPr>
        <w:pStyle w:val="Bullet1G"/>
        <w:numPr>
          <w:ilvl w:val="0"/>
          <w:numId w:val="0"/>
        </w:numPr>
        <w:ind w:left="2268"/>
      </w:pPr>
      <w:r w:rsidRPr="00062B38">
        <w:t>Text between tier 4 and tier 5 boxes: Replace “</w:t>
      </w:r>
      <w:r w:rsidRPr="00D42100">
        <w:rPr>
          <w:i/>
          <w:iCs/>
        </w:rPr>
        <w:t xml:space="preserve">data showing </w:t>
      </w:r>
      <w:r w:rsidR="00593C13" w:rsidRPr="00D42100">
        <w:rPr>
          <w:i/>
          <w:iCs/>
        </w:rPr>
        <w:t>low</w:t>
      </w:r>
      <w:r w:rsidR="00E2141C" w:rsidRPr="00D42100">
        <w:rPr>
          <w:i/>
          <w:iCs/>
        </w:rPr>
        <w:t xml:space="preserve">/no </w:t>
      </w:r>
      <w:r w:rsidRPr="00D42100">
        <w:rPr>
          <w:i/>
          <w:iCs/>
        </w:rPr>
        <w:t>acid/alkaline reserve</w:t>
      </w:r>
      <w:r w:rsidRPr="00062B38">
        <w:t>” with “</w:t>
      </w:r>
      <w:r w:rsidRPr="00D42100">
        <w:rPr>
          <w:i/>
          <w:iCs/>
        </w:rPr>
        <w:t>data showing non-significant acid/alkaline reserve</w:t>
      </w:r>
      <w:r w:rsidRPr="00062B38">
        <w:t>”.</w:t>
      </w:r>
    </w:p>
    <w:p w14:paraId="50EB399B" w14:textId="2FD516A6" w:rsidR="00F10D98" w:rsidRPr="00062B38" w:rsidRDefault="00F10D98" w:rsidP="006D3F93">
      <w:pPr>
        <w:pStyle w:val="Bullet1G"/>
        <w:numPr>
          <w:ilvl w:val="0"/>
          <w:numId w:val="0"/>
        </w:numPr>
        <w:ind w:left="2268"/>
      </w:pPr>
      <w:r w:rsidRPr="00062B38">
        <w:t>Text box for tier 6: replace “(see 3.2.2.7.3)” with “(see 3.2.2.7)”.</w:t>
      </w:r>
    </w:p>
    <w:p w14:paraId="6B0DD822" w14:textId="65B15B50" w:rsidR="00F10D98" w:rsidRPr="00062B38" w:rsidRDefault="00F10D98" w:rsidP="006D3F93">
      <w:pPr>
        <w:pStyle w:val="Bullet1G"/>
        <w:numPr>
          <w:ilvl w:val="0"/>
          <w:numId w:val="0"/>
        </w:numPr>
        <w:ind w:left="2268"/>
      </w:pPr>
      <w:r w:rsidRPr="00062B38">
        <w:t>Exit box “Classification not possible”: amend the text to read: “Classification not possible for substances</w:t>
      </w:r>
      <w:r w:rsidR="00E31527">
        <w:t> </w:t>
      </w:r>
      <w:r w:rsidRPr="006D3F93">
        <w:rPr>
          <w:vertAlign w:val="superscript"/>
        </w:rPr>
        <w:t>c</w:t>
      </w:r>
      <w:r w:rsidRPr="00062B38">
        <w:t>”.</w:t>
      </w:r>
    </w:p>
    <w:p w14:paraId="0D296E9D" w14:textId="65F62B3C" w:rsidR="00F10D98" w:rsidRPr="00062B38" w:rsidRDefault="00F10D98" w:rsidP="006D3F93">
      <w:pPr>
        <w:pStyle w:val="Bullet1G"/>
        <w:numPr>
          <w:ilvl w:val="0"/>
          <w:numId w:val="0"/>
        </w:numPr>
        <w:ind w:left="2268"/>
      </w:pPr>
      <w:r w:rsidRPr="00062B38">
        <w:t>In the box on the right-hand side starting with “Assess consistency with lower tiers” replace “3.2.2.7.3” with “3.2.2.8.3”.</w:t>
      </w:r>
    </w:p>
    <w:p w14:paraId="098543FF" w14:textId="1197B64B" w:rsidR="00F10D98" w:rsidRPr="00062B38" w:rsidRDefault="00F10D98" w:rsidP="006D3F93">
      <w:pPr>
        <w:pStyle w:val="Bullet1G"/>
        <w:numPr>
          <w:ilvl w:val="0"/>
          <w:numId w:val="0"/>
        </w:numPr>
        <w:ind w:left="2268"/>
      </w:pPr>
      <w:r w:rsidRPr="00062B38">
        <w:t>In note “a”, replace “3.2.2.7” with “3.2.2.8”.</w:t>
      </w:r>
    </w:p>
    <w:p w14:paraId="588E41A3" w14:textId="538D7C61" w:rsidR="00F10D98" w:rsidRPr="00062B38" w:rsidRDefault="00F13D63" w:rsidP="006D3F93">
      <w:pPr>
        <w:pStyle w:val="Bullet1G"/>
        <w:numPr>
          <w:ilvl w:val="0"/>
          <w:numId w:val="0"/>
        </w:numPr>
        <w:ind w:left="2268"/>
      </w:pPr>
      <w:r w:rsidRPr="00062B38">
        <w:tab/>
      </w:r>
      <w:r w:rsidR="00F10D98" w:rsidRPr="00062B38">
        <w:t>Add a new note “c” to read as follows: “</w:t>
      </w:r>
      <w:r w:rsidR="00F10D98" w:rsidRPr="00B02A39">
        <w:rPr>
          <w:i/>
          <w:iCs/>
          <w:vertAlign w:val="superscript"/>
        </w:rPr>
        <w:t>c</w:t>
      </w:r>
      <w:r w:rsidR="00E31527">
        <w:rPr>
          <w:i/>
          <w:iCs/>
        </w:rPr>
        <w:t> </w:t>
      </w:r>
      <w:r w:rsidR="00F10D98" w:rsidRPr="00B02A39">
        <w:rPr>
          <w:i/>
          <w:iCs/>
        </w:rPr>
        <w:t xml:space="preserve">For mixtures, the flow chart in </w:t>
      </w:r>
      <w:r w:rsidR="00D5525A" w:rsidRPr="00B02A39">
        <w:rPr>
          <w:i/>
          <w:iCs/>
        </w:rPr>
        <w:t>f</w:t>
      </w:r>
      <w:r w:rsidR="00F10D98" w:rsidRPr="00B02A39">
        <w:rPr>
          <w:i/>
          <w:iCs/>
        </w:rPr>
        <w:t>igure</w:t>
      </w:r>
      <w:r w:rsidR="00B02A39">
        <w:rPr>
          <w:i/>
          <w:iCs/>
        </w:rPr>
        <w:t> </w:t>
      </w:r>
      <w:r w:rsidR="00F10D98" w:rsidRPr="00B02A39">
        <w:rPr>
          <w:i/>
          <w:iCs/>
        </w:rPr>
        <w:t>3.2.2 should be followed</w:t>
      </w:r>
      <w:r w:rsidR="00B02A39">
        <w:rPr>
          <w:i/>
          <w:iCs/>
        </w:rPr>
        <w:t>.</w:t>
      </w:r>
      <w:r w:rsidR="00F10D98" w:rsidRPr="00062B38">
        <w:t>”.</w:t>
      </w:r>
    </w:p>
    <w:p w14:paraId="6478E64D" w14:textId="77777777" w:rsidR="00F10D98" w:rsidRPr="00D773F7" w:rsidRDefault="00F10D98" w:rsidP="00F10D98">
      <w:pPr>
        <w:pStyle w:val="Bullet1G"/>
        <w:numPr>
          <w:ilvl w:val="0"/>
          <w:numId w:val="0"/>
        </w:numPr>
        <w:ind w:left="1531"/>
        <w:rPr>
          <w:rFonts w:asciiTheme="majorBidi" w:hAnsiTheme="majorBidi" w:cstheme="majorBidi"/>
        </w:rPr>
      </w:pPr>
      <w:r w:rsidRPr="00D773F7">
        <w:rPr>
          <w:rFonts w:asciiTheme="majorBidi" w:hAnsiTheme="majorBidi" w:cstheme="majorBidi"/>
        </w:rPr>
        <w:lastRenderedPageBreak/>
        <w:t>3.2.3</w:t>
      </w:r>
      <w:r w:rsidRPr="00D773F7">
        <w:rPr>
          <w:rFonts w:asciiTheme="majorBidi" w:hAnsiTheme="majorBidi" w:cstheme="majorBidi"/>
        </w:rPr>
        <w:tab/>
        <w:t>Insert the following new text and figure under the current heading:</w:t>
      </w:r>
    </w:p>
    <w:p w14:paraId="0D27FAE2" w14:textId="3BE1C083" w:rsidR="00F10D98" w:rsidRPr="00D773F7" w:rsidRDefault="00F10D98" w:rsidP="00F10D98">
      <w:pPr>
        <w:pStyle w:val="Bullet1G"/>
        <w:numPr>
          <w:ilvl w:val="0"/>
          <w:numId w:val="0"/>
        </w:numPr>
        <w:ind w:left="2268"/>
        <w:rPr>
          <w:rFonts w:asciiTheme="majorBidi" w:hAnsiTheme="majorBidi" w:cstheme="majorBidi"/>
        </w:rPr>
      </w:pPr>
      <w:r w:rsidRPr="00D773F7">
        <w:rPr>
          <w:rFonts w:asciiTheme="majorBidi" w:hAnsiTheme="majorBidi" w:cstheme="majorBidi"/>
        </w:rPr>
        <w:tab/>
        <w:t xml:space="preserve">“The approach to classification for skin corrosion/irritation is tiered and is dependent upon the amount of information available for the mixture itself and for its ingredients. The flow chart of </w:t>
      </w:r>
      <w:r w:rsidR="00D5525A" w:rsidRPr="00D773F7">
        <w:rPr>
          <w:rFonts w:asciiTheme="majorBidi" w:hAnsiTheme="majorBidi" w:cstheme="majorBidi"/>
        </w:rPr>
        <w:t>f</w:t>
      </w:r>
      <w:r w:rsidRPr="00D773F7">
        <w:rPr>
          <w:rFonts w:asciiTheme="majorBidi" w:hAnsiTheme="majorBidi" w:cstheme="majorBidi"/>
        </w:rPr>
        <w:t>igure 3.2.2 below outlines the process to be followed.</w:t>
      </w:r>
    </w:p>
    <w:p w14:paraId="413005F5" w14:textId="77777777" w:rsidR="00F10D98" w:rsidRPr="00D773F7" w:rsidRDefault="00F10D98" w:rsidP="00F10D98">
      <w:pPr>
        <w:pStyle w:val="Bullet1G"/>
        <w:numPr>
          <w:ilvl w:val="0"/>
          <w:numId w:val="0"/>
        </w:numPr>
        <w:ind w:left="2268"/>
        <w:jc w:val="center"/>
        <w:rPr>
          <w:rFonts w:asciiTheme="majorBidi" w:hAnsiTheme="majorBidi" w:cstheme="majorBidi"/>
          <w:b/>
          <w:bCs/>
        </w:rPr>
      </w:pPr>
      <w:r w:rsidRPr="00D773F7">
        <w:rPr>
          <w:rFonts w:asciiTheme="majorBidi" w:hAnsiTheme="majorBidi" w:cstheme="majorBidi"/>
          <w:b/>
          <w:bCs/>
        </w:rPr>
        <w:t>Figure 3.2.2:  Tiered approach to classification of mixtures for skin corrosion/irritation</w:t>
      </w:r>
    </w:p>
    <w:p w14:paraId="6A615D32" w14:textId="647AF6AE" w:rsidR="00F10D98" w:rsidRPr="00D773F7" w:rsidRDefault="00626D5A" w:rsidP="00F10D98">
      <w:pPr>
        <w:pStyle w:val="Bullet1G"/>
        <w:numPr>
          <w:ilvl w:val="0"/>
          <w:numId w:val="0"/>
        </w:numPr>
        <w:ind w:left="1701"/>
        <w:rPr>
          <w:rFonts w:asciiTheme="majorBidi" w:hAnsiTheme="majorBidi" w:cstheme="majorBidi"/>
        </w:rPr>
      </w:pPr>
      <w:r>
        <w:object w:dxaOrig="6865" w:dyaOrig="7825" w14:anchorId="54DE0537">
          <v:shape id="_x0000_i1026" type="#_x0000_t75" style="width:343.95pt;height:391.65pt" o:ole="">
            <v:imagedata r:id="rId14" o:title=""/>
          </v:shape>
          <o:OLEObject Type="Embed" ProgID="Visio.Drawing.15" ShapeID="_x0000_i1026" DrawAspect="Content" ObjectID="_1744797700" r:id="rId15"/>
        </w:object>
      </w:r>
    </w:p>
    <w:p w14:paraId="34413529" w14:textId="24504A07" w:rsidR="00F10D98" w:rsidRPr="00D773F7" w:rsidRDefault="00F10D98" w:rsidP="00F10D98">
      <w:pPr>
        <w:pStyle w:val="Bullet1G"/>
        <w:numPr>
          <w:ilvl w:val="0"/>
          <w:numId w:val="0"/>
        </w:numPr>
        <w:ind w:left="2268"/>
        <w:rPr>
          <w:rFonts w:asciiTheme="majorBidi" w:hAnsiTheme="majorBidi" w:cstheme="majorBidi"/>
          <w:shd w:val="clear" w:color="auto" w:fill="FFFFFF"/>
        </w:rPr>
      </w:pPr>
      <w:r w:rsidRPr="00D773F7">
        <w:rPr>
          <w:rFonts w:asciiTheme="majorBidi" w:hAnsiTheme="majorBidi" w:cstheme="majorBidi"/>
          <w:b/>
          <w:i/>
          <w:iCs/>
          <w:shd w:val="clear" w:color="auto" w:fill="FFFFFF"/>
          <w:vertAlign w:val="superscript"/>
        </w:rPr>
        <w:t>a</w:t>
      </w:r>
      <w:r w:rsidRPr="00D773F7">
        <w:rPr>
          <w:rFonts w:asciiTheme="majorBidi" w:hAnsiTheme="majorBidi" w:cstheme="majorBidi"/>
          <w:i/>
          <w:iCs/>
          <w:shd w:val="clear" w:color="auto" w:fill="FFFFFF"/>
        </w:rPr>
        <w:tab/>
        <w:t>The dashed boxes represent an individual tier within conclusive data on the mixture as</w:t>
      </w:r>
      <w:r w:rsidR="0078405F">
        <w:rPr>
          <w:rFonts w:asciiTheme="majorBidi" w:hAnsiTheme="majorBidi" w:cstheme="majorBidi"/>
          <w:i/>
          <w:iCs/>
          <w:shd w:val="clear" w:color="auto" w:fill="FFFFFF"/>
        </w:rPr>
        <w:t xml:space="preserve"> a </w:t>
      </w:r>
      <w:r w:rsidRPr="00D773F7">
        <w:rPr>
          <w:rFonts w:asciiTheme="majorBidi" w:hAnsiTheme="majorBidi" w:cstheme="majorBidi"/>
          <w:i/>
          <w:iCs/>
          <w:shd w:val="clear" w:color="auto" w:fill="FFFFFF"/>
        </w:rPr>
        <w:t> whole. However, in contrast to substances, mixtures having an extreme pH value (pH </w:t>
      </w:r>
      <w:r w:rsidR="007C4180" w:rsidRPr="00D773F7">
        <w:rPr>
          <w:rFonts w:asciiTheme="majorBidi" w:hAnsiTheme="majorBidi" w:cstheme="majorBidi"/>
          <w:i/>
          <w:iCs/>
          <w:shd w:val="clear" w:color="auto" w:fill="FFFFFF"/>
        </w:rPr>
        <w:t>≤</w:t>
      </w:r>
      <w:r w:rsidRPr="00D773F7">
        <w:rPr>
          <w:rFonts w:asciiTheme="majorBidi" w:hAnsiTheme="majorBidi" w:cstheme="majorBidi"/>
          <w:i/>
          <w:iCs/>
          <w:shd w:val="clear" w:color="auto" w:fill="FFFFFF"/>
        </w:rPr>
        <w:t xml:space="preserve"> 2 or </w:t>
      </w:r>
      <w:r w:rsidR="007C4180" w:rsidRPr="00D773F7">
        <w:rPr>
          <w:rFonts w:asciiTheme="majorBidi" w:hAnsiTheme="majorBidi" w:cstheme="majorBidi"/>
          <w:i/>
          <w:iCs/>
          <w:shd w:val="clear" w:color="auto" w:fill="FFFFFF"/>
        </w:rPr>
        <w:t>≥</w:t>
      </w:r>
      <w:r w:rsidRPr="00D773F7">
        <w:rPr>
          <w:rFonts w:asciiTheme="majorBidi" w:hAnsiTheme="majorBidi" w:cstheme="majorBidi"/>
          <w:i/>
          <w:iCs/>
          <w:shd w:val="clear" w:color="auto" w:fill="FFFFFF"/>
        </w:rPr>
        <w:t xml:space="preserve"> 11.5) and non-significant acid/alkaline reserve but no other conclusive data on the mixture as a whole, or no conclusive weight of evidence assessment from all available data on the mixture as </w:t>
      </w:r>
      <w:r w:rsidR="0078405F">
        <w:rPr>
          <w:rFonts w:asciiTheme="majorBidi" w:hAnsiTheme="majorBidi" w:cstheme="majorBidi"/>
          <w:i/>
          <w:iCs/>
          <w:shd w:val="clear" w:color="auto" w:fill="FFFFFF"/>
        </w:rPr>
        <w:t xml:space="preserve">a </w:t>
      </w:r>
      <w:r w:rsidRPr="00D773F7">
        <w:rPr>
          <w:rFonts w:asciiTheme="majorBidi" w:hAnsiTheme="majorBidi" w:cstheme="majorBidi"/>
          <w:i/>
          <w:iCs/>
          <w:shd w:val="clear" w:color="auto" w:fill="FFFFFF"/>
        </w:rPr>
        <w:t>whole, are not conclusive within the tiers for conclusive data on the mixture as a whole. Such mixtures should be first evaluated according to the bridging principles before the extreme pH value is considered as conclusive for classification.</w:t>
      </w:r>
      <w:r w:rsidRPr="00D773F7">
        <w:rPr>
          <w:rFonts w:asciiTheme="majorBidi" w:hAnsiTheme="majorBidi" w:cstheme="majorBidi"/>
          <w:shd w:val="clear" w:color="auto" w:fill="FFFFFF"/>
        </w:rPr>
        <w:t>”.</w:t>
      </w:r>
    </w:p>
    <w:p w14:paraId="44A1323F" w14:textId="77777777" w:rsidR="00F10D98" w:rsidRPr="00D773F7" w:rsidRDefault="00F10D98" w:rsidP="00F10D98">
      <w:pPr>
        <w:pStyle w:val="SingleTxtG"/>
        <w:ind w:left="2268" w:hanging="1134"/>
        <w:rPr>
          <w:rFonts w:asciiTheme="majorBidi" w:hAnsiTheme="majorBidi" w:cstheme="majorBidi"/>
        </w:rPr>
      </w:pPr>
      <w:r w:rsidRPr="00D773F7">
        <w:rPr>
          <w:rFonts w:asciiTheme="majorBidi" w:hAnsiTheme="majorBidi" w:cstheme="majorBidi"/>
        </w:rPr>
        <w:t>3.2.3.1.1</w:t>
      </w:r>
      <w:r w:rsidRPr="00D773F7">
        <w:rPr>
          <w:rFonts w:asciiTheme="majorBidi" w:hAnsiTheme="majorBidi" w:cstheme="majorBidi"/>
        </w:rPr>
        <w:tab/>
        <w:t>In the last sentence, replace “calculation method” with “classification based on ingredients”.</w:t>
      </w:r>
    </w:p>
    <w:p w14:paraId="7229814A" w14:textId="36A8B90B" w:rsidR="00D65777" w:rsidRPr="00D773F7" w:rsidRDefault="00F10D98" w:rsidP="00F10D98">
      <w:pPr>
        <w:pStyle w:val="SingleTxtG"/>
        <w:ind w:left="2268" w:hanging="1134"/>
        <w:rPr>
          <w:rFonts w:asciiTheme="majorBidi" w:hAnsiTheme="majorBidi" w:cstheme="majorBidi"/>
        </w:rPr>
      </w:pPr>
      <w:bookmarkStart w:id="0" w:name="_Hlk69887375"/>
      <w:r w:rsidRPr="00D773F7">
        <w:rPr>
          <w:rFonts w:asciiTheme="majorBidi" w:hAnsiTheme="majorBidi" w:cstheme="majorBidi"/>
        </w:rPr>
        <w:t>3.2.3.1.2</w:t>
      </w:r>
      <w:r w:rsidRPr="00D773F7">
        <w:rPr>
          <w:rFonts w:asciiTheme="majorBidi" w:hAnsiTheme="majorBidi" w:cstheme="majorBidi"/>
        </w:rPr>
        <w:tab/>
      </w:r>
      <w:r w:rsidR="00D65777" w:rsidRPr="00D773F7">
        <w:rPr>
          <w:rFonts w:asciiTheme="majorBidi" w:hAnsiTheme="majorBidi" w:cstheme="majorBidi"/>
        </w:rPr>
        <w:t>In the first sentence, replace with “data generated from validated test methods” with “test methods validated according to international procedures” and “test methods used” with “test method(s) used”.</w:t>
      </w:r>
    </w:p>
    <w:bookmarkEnd w:id="0"/>
    <w:p w14:paraId="2D69F5DA" w14:textId="77777777" w:rsidR="00F10D98" w:rsidRPr="00D773F7" w:rsidRDefault="00F10D98" w:rsidP="00F10D98">
      <w:pPr>
        <w:pStyle w:val="SingleTxtG"/>
        <w:keepNext/>
        <w:keepLines/>
        <w:rPr>
          <w:rFonts w:asciiTheme="majorBidi" w:hAnsiTheme="majorBidi" w:cstheme="majorBidi"/>
        </w:rPr>
      </w:pPr>
      <w:r w:rsidRPr="00D773F7">
        <w:rPr>
          <w:rFonts w:asciiTheme="majorBidi" w:hAnsiTheme="majorBidi" w:cstheme="majorBidi"/>
        </w:rPr>
        <w:lastRenderedPageBreak/>
        <w:t>3.2.3.1.3</w:t>
      </w:r>
      <w:r w:rsidRPr="00D773F7">
        <w:rPr>
          <w:rFonts w:asciiTheme="majorBidi" w:hAnsiTheme="majorBidi" w:cstheme="majorBidi"/>
        </w:rPr>
        <w:tab/>
        <w:t>Amend to read as follows:</w:t>
      </w:r>
    </w:p>
    <w:p w14:paraId="55096CB5" w14:textId="56B2ABD9" w:rsidR="00F10D98" w:rsidRPr="00D773F7" w:rsidRDefault="00F10D98" w:rsidP="00F10D98">
      <w:pPr>
        <w:pStyle w:val="SingleTxtG"/>
        <w:keepNext/>
        <w:keepLines/>
        <w:ind w:left="2268"/>
        <w:rPr>
          <w:rFonts w:asciiTheme="majorBidi" w:hAnsiTheme="majorBidi" w:cstheme="majorBidi"/>
        </w:rPr>
      </w:pPr>
      <w:r w:rsidRPr="00D773F7">
        <w:rPr>
          <w:rFonts w:asciiTheme="majorBidi" w:hAnsiTheme="majorBidi" w:cstheme="majorBidi"/>
        </w:rPr>
        <w:t xml:space="preserve">“A mixture with an extreme pH (pH </w:t>
      </w:r>
      <w:r w:rsidR="00211B17" w:rsidRPr="00D773F7">
        <w:rPr>
          <w:rFonts w:asciiTheme="majorBidi" w:hAnsiTheme="majorBidi" w:cstheme="majorBidi"/>
        </w:rPr>
        <w:t>≤</w:t>
      </w:r>
      <w:r w:rsidRPr="00D773F7">
        <w:rPr>
          <w:rFonts w:asciiTheme="majorBidi" w:hAnsiTheme="majorBidi" w:cstheme="majorBidi"/>
        </w:rPr>
        <w:t xml:space="preserve"> 2 or </w:t>
      </w:r>
      <w:r w:rsidR="00211B17" w:rsidRPr="00D773F7">
        <w:rPr>
          <w:rFonts w:asciiTheme="majorBidi" w:hAnsiTheme="majorBidi" w:cstheme="majorBidi"/>
        </w:rPr>
        <w:t>≥</w:t>
      </w:r>
      <w:r w:rsidRPr="00D773F7">
        <w:rPr>
          <w:rFonts w:asciiTheme="majorBidi" w:hAnsiTheme="majorBidi" w:cstheme="majorBidi"/>
        </w:rPr>
        <w:t xml:space="preserve"> 11.5) is considered corrosive (Category 1) in </w:t>
      </w:r>
      <w:r w:rsidR="00123673" w:rsidRPr="00D773F7">
        <w:rPr>
          <w:rFonts w:asciiTheme="majorBidi" w:hAnsiTheme="majorBidi" w:cstheme="majorBidi"/>
        </w:rPr>
        <w:t>t</w:t>
      </w:r>
      <w:r w:rsidRPr="00D773F7">
        <w:rPr>
          <w:rFonts w:asciiTheme="majorBidi" w:hAnsiTheme="majorBidi" w:cstheme="majorBidi"/>
        </w:rPr>
        <w:t xml:space="preserve">ier 4 if it has a significant acid/alkaline reserve or if no data for acid/alkaline reserve are available. However, if consideration of acid/alkaline reserve suggests the mixture may not be corrosive despite the extreme pH value, the result is considered inconclusive within </w:t>
      </w:r>
      <w:r w:rsidR="00123673" w:rsidRPr="00D773F7">
        <w:rPr>
          <w:rFonts w:asciiTheme="majorBidi" w:hAnsiTheme="majorBidi" w:cstheme="majorBidi"/>
        </w:rPr>
        <w:t>t</w:t>
      </w:r>
      <w:r w:rsidRPr="00D773F7">
        <w:rPr>
          <w:rFonts w:asciiTheme="majorBidi" w:hAnsiTheme="majorBidi" w:cstheme="majorBidi"/>
        </w:rPr>
        <w:t>ier 4 (see</w:t>
      </w:r>
      <w:r w:rsidR="00980A2C">
        <w:rPr>
          <w:rFonts w:asciiTheme="majorBidi" w:hAnsiTheme="majorBidi" w:cstheme="majorBidi"/>
        </w:rPr>
        <w:t> </w:t>
      </w:r>
      <w:r w:rsidR="00D5525A" w:rsidRPr="00D773F7">
        <w:rPr>
          <w:rFonts w:asciiTheme="majorBidi" w:hAnsiTheme="majorBidi" w:cstheme="majorBidi"/>
        </w:rPr>
        <w:t>f</w:t>
      </w:r>
      <w:r w:rsidRPr="00D773F7">
        <w:rPr>
          <w:rFonts w:asciiTheme="majorBidi" w:hAnsiTheme="majorBidi" w:cstheme="majorBidi"/>
        </w:rPr>
        <w:t>igure</w:t>
      </w:r>
      <w:r w:rsidR="00980A2C">
        <w:rPr>
          <w:rFonts w:asciiTheme="majorBidi" w:hAnsiTheme="majorBidi" w:cstheme="majorBidi"/>
        </w:rPr>
        <w:t> </w:t>
      </w:r>
      <w:r w:rsidRPr="00D773F7">
        <w:rPr>
          <w:rFonts w:asciiTheme="majorBidi" w:hAnsiTheme="majorBidi" w:cstheme="majorBidi"/>
        </w:rPr>
        <w:t xml:space="preserve">3.2.1). If the overall weight of evidence assessment remains inconclusive or no data other than pH and acid/alkaline reserve are available, mixtures with an extreme pH (pH </w:t>
      </w:r>
      <w:r w:rsidR="00211B17" w:rsidRPr="00D773F7">
        <w:rPr>
          <w:rFonts w:asciiTheme="majorBidi" w:hAnsiTheme="majorBidi" w:cstheme="majorBidi"/>
        </w:rPr>
        <w:t>≤</w:t>
      </w:r>
      <w:r w:rsidRPr="00D773F7">
        <w:rPr>
          <w:rFonts w:asciiTheme="majorBidi" w:hAnsiTheme="majorBidi" w:cstheme="majorBidi"/>
        </w:rPr>
        <w:t xml:space="preserve"> 2 or </w:t>
      </w:r>
      <w:r w:rsidR="00211B17" w:rsidRPr="00D773F7">
        <w:rPr>
          <w:rFonts w:asciiTheme="majorBidi" w:hAnsiTheme="majorBidi" w:cstheme="majorBidi"/>
        </w:rPr>
        <w:t>≥</w:t>
      </w:r>
      <w:r w:rsidRPr="00D773F7">
        <w:rPr>
          <w:rFonts w:asciiTheme="majorBidi" w:hAnsiTheme="majorBidi" w:cstheme="majorBidi"/>
        </w:rPr>
        <w:t xml:space="preserve"> 11.5) and non-significant acid/alkaline reserve should be assessed using the bridging principles described in 3.2.3.2. If the bridging principles cannot be applied, mixtures with an extreme pH (pH </w:t>
      </w:r>
      <w:r w:rsidR="00211B17" w:rsidRPr="00D773F7">
        <w:rPr>
          <w:rFonts w:asciiTheme="majorBidi" w:hAnsiTheme="majorBidi" w:cstheme="majorBidi"/>
        </w:rPr>
        <w:t>≤</w:t>
      </w:r>
      <w:r w:rsidRPr="00D773F7">
        <w:rPr>
          <w:rFonts w:asciiTheme="majorBidi" w:hAnsiTheme="majorBidi" w:cstheme="majorBidi"/>
        </w:rPr>
        <w:t xml:space="preserve"> 2 or </w:t>
      </w:r>
      <w:r w:rsidR="00211B17" w:rsidRPr="00D773F7">
        <w:rPr>
          <w:rFonts w:asciiTheme="majorBidi" w:hAnsiTheme="majorBidi" w:cstheme="majorBidi"/>
        </w:rPr>
        <w:t>≥</w:t>
      </w:r>
      <w:r w:rsidRPr="00D773F7">
        <w:rPr>
          <w:rFonts w:asciiTheme="majorBidi" w:hAnsiTheme="majorBidi" w:cstheme="majorBidi"/>
        </w:rPr>
        <w:t xml:space="preserve"> 11.5) and non-significant acid/alkaline reserve should be classified as skin Category 1 (see </w:t>
      </w:r>
      <w:r w:rsidR="00D5525A" w:rsidRPr="00D773F7">
        <w:rPr>
          <w:rFonts w:asciiTheme="majorBidi" w:hAnsiTheme="majorBidi" w:cstheme="majorBidi"/>
        </w:rPr>
        <w:t>f</w:t>
      </w:r>
      <w:r w:rsidRPr="00D773F7">
        <w:rPr>
          <w:rFonts w:asciiTheme="majorBidi" w:hAnsiTheme="majorBidi" w:cstheme="majorBidi"/>
        </w:rPr>
        <w:t>igure 3.2.2). A pH &gt; 2 and &lt; 11.5 is considered inconclusive and cannot be used for classification purposes. Acid/alkaline reserve and pH can be determined by different methods including those described in OECD Test Guideline 122 and Young et al. (1988), acknowledging that there are some differences between these methods (see</w:t>
      </w:r>
      <w:r w:rsidR="001926B9" w:rsidRPr="00D773F7">
        <w:rPr>
          <w:rFonts w:asciiTheme="majorBidi" w:hAnsiTheme="majorBidi" w:cstheme="majorBidi"/>
        </w:rPr>
        <w:t> </w:t>
      </w:r>
      <w:r w:rsidRPr="00D773F7">
        <w:rPr>
          <w:rFonts w:asciiTheme="majorBidi" w:hAnsiTheme="majorBidi" w:cstheme="majorBidi"/>
        </w:rPr>
        <w:t>3.2.5.3.6). A competent authority may decide which criteria for significant acid/alkaline reserve can be applied.”</w:t>
      </w:r>
      <w:r w:rsidR="00720DD3" w:rsidRPr="00D773F7">
        <w:rPr>
          <w:rFonts w:asciiTheme="majorBidi" w:hAnsiTheme="majorBidi" w:cstheme="majorBidi"/>
        </w:rPr>
        <w:t>.</w:t>
      </w:r>
    </w:p>
    <w:p w14:paraId="659C44A7" w14:textId="74D43E76" w:rsidR="00F10D98" w:rsidRPr="00D773F7" w:rsidRDefault="00F10D98" w:rsidP="00F10D98">
      <w:pPr>
        <w:pStyle w:val="SingleTxtG"/>
        <w:rPr>
          <w:rFonts w:asciiTheme="majorBidi" w:hAnsiTheme="majorBidi" w:cstheme="majorBidi"/>
        </w:rPr>
      </w:pPr>
      <w:r w:rsidRPr="00D773F7">
        <w:rPr>
          <w:rFonts w:asciiTheme="majorBidi" w:hAnsiTheme="majorBidi" w:cstheme="majorBidi"/>
        </w:rPr>
        <w:t>3.2.3.2.5</w:t>
      </w:r>
      <w:r w:rsidRPr="00D773F7">
        <w:rPr>
          <w:rFonts w:asciiTheme="majorBidi" w:hAnsiTheme="majorBidi" w:cstheme="majorBidi"/>
        </w:rPr>
        <w:tab/>
      </w:r>
      <w:r w:rsidR="003145B4" w:rsidRPr="00D773F7">
        <w:rPr>
          <w:rFonts w:asciiTheme="majorBidi" w:hAnsiTheme="majorBidi" w:cstheme="majorBidi"/>
        </w:rPr>
        <w:t>In the heading, a</w:t>
      </w:r>
      <w:r w:rsidRPr="00D773F7">
        <w:rPr>
          <w:rFonts w:asciiTheme="majorBidi" w:hAnsiTheme="majorBidi" w:cstheme="majorBidi"/>
        </w:rPr>
        <w:t>dd “category” at the end.</w:t>
      </w:r>
    </w:p>
    <w:p w14:paraId="010187D4" w14:textId="0D6D24D0" w:rsidR="00A236AB" w:rsidRPr="00D773F7" w:rsidRDefault="00A236AB" w:rsidP="00A236AB">
      <w:pPr>
        <w:pStyle w:val="SingleTxtG"/>
        <w:rPr>
          <w:rFonts w:asciiTheme="majorBidi" w:hAnsiTheme="majorBidi" w:cstheme="majorBidi"/>
        </w:rPr>
      </w:pPr>
      <w:r w:rsidRPr="00D773F7">
        <w:rPr>
          <w:rFonts w:asciiTheme="majorBidi" w:hAnsiTheme="majorBidi" w:cstheme="majorBidi"/>
        </w:rPr>
        <w:t>3.2.3.2.7</w:t>
      </w:r>
      <w:r w:rsidRPr="00D773F7">
        <w:rPr>
          <w:rFonts w:asciiTheme="majorBidi" w:hAnsiTheme="majorBidi" w:cstheme="majorBidi"/>
        </w:rPr>
        <w:tab/>
        <w:t>Replace “aerosol” with “aerosoli</w:t>
      </w:r>
      <w:r w:rsidR="008A3EF4" w:rsidRPr="00D773F7">
        <w:rPr>
          <w:rFonts w:asciiTheme="majorBidi" w:hAnsiTheme="majorBidi" w:cstheme="majorBidi"/>
        </w:rPr>
        <w:t>z</w:t>
      </w:r>
      <w:r w:rsidRPr="00D773F7">
        <w:rPr>
          <w:rFonts w:asciiTheme="majorBidi" w:hAnsiTheme="majorBidi" w:cstheme="majorBidi"/>
        </w:rPr>
        <w:t>ed” at the beginning of the sentence.</w:t>
      </w:r>
    </w:p>
    <w:p w14:paraId="71A90401" w14:textId="138CC8E2" w:rsidR="007C417D" w:rsidRPr="00D773F7" w:rsidRDefault="007C417D" w:rsidP="00FF5260">
      <w:pPr>
        <w:pStyle w:val="SingleTxtG"/>
        <w:ind w:left="2268" w:hanging="1134"/>
        <w:rPr>
          <w:rFonts w:asciiTheme="majorBidi" w:hAnsiTheme="majorBidi" w:cstheme="majorBidi"/>
        </w:rPr>
      </w:pPr>
      <w:r w:rsidRPr="00D773F7">
        <w:rPr>
          <w:rFonts w:asciiTheme="majorBidi" w:hAnsiTheme="majorBidi" w:cstheme="majorBidi"/>
        </w:rPr>
        <w:t>3.2.3.3.1</w:t>
      </w:r>
      <w:r w:rsidRPr="00D773F7">
        <w:rPr>
          <w:rFonts w:asciiTheme="majorBidi" w:hAnsiTheme="majorBidi" w:cstheme="majorBidi"/>
        </w:rPr>
        <w:tab/>
        <w:t>At the end of the first paragraph after “tiered approach” insert “</w:t>
      </w:r>
      <w:r w:rsidR="008B6083" w:rsidRPr="00D773F7">
        <w:rPr>
          <w:rFonts w:asciiTheme="majorBidi" w:hAnsiTheme="majorBidi" w:cstheme="majorBidi"/>
        </w:rPr>
        <w:t>for</w:t>
      </w:r>
      <w:r w:rsidRPr="00D773F7">
        <w:rPr>
          <w:rFonts w:asciiTheme="majorBidi" w:hAnsiTheme="majorBidi" w:cstheme="majorBidi"/>
        </w:rPr>
        <w:t xml:space="preserve"> mixtures (see</w:t>
      </w:r>
      <w:r w:rsidR="003145B4" w:rsidRPr="00D773F7">
        <w:rPr>
          <w:rFonts w:asciiTheme="majorBidi" w:hAnsiTheme="majorBidi" w:cstheme="majorBidi"/>
        </w:rPr>
        <w:t> </w:t>
      </w:r>
      <w:r w:rsidRPr="00D773F7">
        <w:rPr>
          <w:rFonts w:asciiTheme="majorBidi" w:hAnsiTheme="majorBidi" w:cstheme="majorBidi"/>
        </w:rPr>
        <w:t>1.3.2.3)”</w:t>
      </w:r>
    </w:p>
    <w:p w14:paraId="17193126" w14:textId="1A534FEF" w:rsidR="00C94D8B" w:rsidRPr="00D773F7" w:rsidRDefault="00C94D8B" w:rsidP="00C94D8B">
      <w:pPr>
        <w:pStyle w:val="SingleTxtG"/>
        <w:ind w:left="2268" w:hanging="1134"/>
        <w:rPr>
          <w:rFonts w:asciiTheme="majorBidi" w:hAnsiTheme="majorBidi" w:cstheme="majorBidi"/>
        </w:rPr>
      </w:pPr>
      <w:r w:rsidRPr="00D773F7">
        <w:rPr>
          <w:rFonts w:asciiTheme="majorBidi" w:hAnsiTheme="majorBidi" w:cstheme="majorBidi"/>
        </w:rPr>
        <w:t xml:space="preserve">3.2.3.3.4 </w:t>
      </w:r>
      <w:r w:rsidRPr="00D773F7">
        <w:rPr>
          <w:rFonts w:asciiTheme="majorBidi" w:hAnsiTheme="majorBidi" w:cstheme="majorBidi"/>
        </w:rPr>
        <w:tab/>
      </w:r>
      <w:r w:rsidR="00D0446D" w:rsidRPr="00D773F7">
        <w:rPr>
          <w:rFonts w:asciiTheme="majorBidi" w:hAnsiTheme="majorBidi" w:cstheme="majorBidi"/>
        </w:rPr>
        <w:t xml:space="preserve">In the first sentence, </w:t>
      </w:r>
      <w:r w:rsidR="006F6843" w:rsidRPr="00D773F7">
        <w:rPr>
          <w:rFonts w:asciiTheme="majorBidi" w:hAnsiTheme="majorBidi" w:cstheme="majorBidi"/>
        </w:rPr>
        <w:t xml:space="preserve">replace “when classifying certain types of chemicals” with </w:t>
      </w:r>
      <w:r w:rsidR="00CA27E0" w:rsidRPr="00D773F7">
        <w:rPr>
          <w:rFonts w:asciiTheme="majorBidi" w:hAnsiTheme="majorBidi" w:cstheme="majorBidi"/>
        </w:rPr>
        <w:t>“</w:t>
      </w:r>
      <w:r w:rsidR="003F5D97" w:rsidRPr="00D773F7">
        <w:rPr>
          <w:rFonts w:asciiTheme="majorBidi" w:hAnsiTheme="majorBidi" w:cstheme="majorBidi"/>
        </w:rPr>
        <w:t xml:space="preserve">when classifying </w:t>
      </w:r>
      <w:r w:rsidRPr="00D773F7">
        <w:rPr>
          <w:rFonts w:asciiTheme="majorBidi" w:hAnsiTheme="majorBidi" w:cstheme="majorBidi"/>
        </w:rPr>
        <w:t xml:space="preserve">mixtures containing </w:t>
      </w:r>
      <w:r w:rsidR="003F5D97" w:rsidRPr="00D773F7">
        <w:rPr>
          <w:rFonts w:asciiTheme="majorBidi" w:hAnsiTheme="majorBidi" w:cstheme="majorBidi"/>
        </w:rPr>
        <w:t xml:space="preserve">certain types of </w:t>
      </w:r>
      <w:r w:rsidRPr="00D773F7">
        <w:rPr>
          <w:rFonts w:asciiTheme="majorBidi" w:hAnsiTheme="majorBidi" w:cstheme="majorBidi"/>
        </w:rPr>
        <w:t xml:space="preserve">substances”.  </w:t>
      </w:r>
    </w:p>
    <w:p w14:paraId="577FCD11" w14:textId="12470970" w:rsidR="00E42C9C" w:rsidRPr="00D773F7" w:rsidRDefault="00D94409" w:rsidP="00E42C9C">
      <w:pPr>
        <w:pStyle w:val="SingleTxtG"/>
        <w:ind w:left="2268" w:hanging="1134"/>
        <w:rPr>
          <w:rFonts w:asciiTheme="majorBidi" w:hAnsiTheme="majorBidi" w:cstheme="majorBidi"/>
        </w:rPr>
      </w:pPr>
      <w:r w:rsidRPr="00D773F7">
        <w:rPr>
          <w:rFonts w:asciiTheme="majorBidi" w:hAnsiTheme="majorBidi" w:cstheme="majorBidi"/>
        </w:rPr>
        <w:tab/>
      </w:r>
      <w:r w:rsidRPr="00D773F7">
        <w:rPr>
          <w:rFonts w:asciiTheme="majorBidi" w:hAnsiTheme="majorBidi" w:cstheme="majorBidi"/>
        </w:rPr>
        <w:tab/>
      </w:r>
      <w:r w:rsidR="00E42C9C" w:rsidRPr="00D773F7">
        <w:rPr>
          <w:rFonts w:asciiTheme="majorBidi" w:hAnsiTheme="majorBidi" w:cstheme="majorBidi"/>
        </w:rPr>
        <w:t>Amend the middle of the third sentence to read “…the pH should be used as the classification criterion (see 3.2.3.1.3) since extreme pH…”.</w:t>
      </w:r>
    </w:p>
    <w:p w14:paraId="31650E5A" w14:textId="4F11BF5E" w:rsidR="00316FAF" w:rsidRPr="00D773F7" w:rsidRDefault="00817E95" w:rsidP="00DD792F">
      <w:pPr>
        <w:pStyle w:val="SingleTxtG"/>
        <w:ind w:left="2268" w:hanging="1134"/>
        <w:rPr>
          <w:rFonts w:asciiTheme="majorBidi" w:hAnsiTheme="majorBidi" w:cstheme="majorBidi"/>
        </w:rPr>
      </w:pPr>
      <w:r w:rsidRPr="00D773F7">
        <w:rPr>
          <w:rFonts w:asciiTheme="majorBidi" w:hAnsiTheme="majorBidi" w:cstheme="majorBidi"/>
        </w:rPr>
        <w:t xml:space="preserve">3.2.3.3.5 </w:t>
      </w:r>
      <w:r w:rsidRPr="00D773F7">
        <w:rPr>
          <w:rFonts w:asciiTheme="majorBidi" w:hAnsiTheme="majorBidi" w:cstheme="majorBidi"/>
        </w:rPr>
        <w:tab/>
      </w:r>
      <w:r w:rsidR="00BD7CBA" w:rsidRPr="00D773F7">
        <w:rPr>
          <w:rFonts w:asciiTheme="majorBidi" w:hAnsiTheme="majorBidi" w:cstheme="majorBidi"/>
        </w:rPr>
        <w:t>I</w:t>
      </w:r>
      <w:r w:rsidR="00E46835" w:rsidRPr="00D773F7">
        <w:rPr>
          <w:rFonts w:asciiTheme="majorBidi" w:hAnsiTheme="majorBidi" w:cstheme="majorBidi"/>
        </w:rPr>
        <w:t xml:space="preserve">n the first sentence </w:t>
      </w:r>
      <w:r w:rsidR="00F9143B" w:rsidRPr="00D773F7">
        <w:rPr>
          <w:rFonts w:asciiTheme="majorBidi" w:hAnsiTheme="majorBidi" w:cstheme="majorBidi"/>
        </w:rPr>
        <w:t>r</w:t>
      </w:r>
      <w:r w:rsidR="00316FAF" w:rsidRPr="00D773F7">
        <w:rPr>
          <w:rFonts w:asciiTheme="majorBidi" w:hAnsiTheme="majorBidi" w:cstheme="majorBidi"/>
        </w:rPr>
        <w:t>eplace “concentration limits/cut-off values” with “cut-off values/concentration limits”.</w:t>
      </w:r>
    </w:p>
    <w:p w14:paraId="30196CFB" w14:textId="20510FE2" w:rsidR="00316FAF" w:rsidRPr="00D773F7" w:rsidRDefault="00316FAF" w:rsidP="00233CA3">
      <w:pPr>
        <w:pStyle w:val="Bullet2G"/>
        <w:numPr>
          <w:ilvl w:val="0"/>
          <w:numId w:val="0"/>
        </w:numPr>
        <w:ind w:left="2268"/>
        <w:rPr>
          <w:rFonts w:asciiTheme="majorBidi" w:hAnsiTheme="majorBidi" w:cstheme="majorBidi"/>
        </w:rPr>
      </w:pPr>
      <w:r w:rsidRPr="00D773F7">
        <w:rPr>
          <w:rFonts w:asciiTheme="majorBidi" w:hAnsiTheme="majorBidi" w:cstheme="majorBidi"/>
        </w:rPr>
        <w:t>Delete “Classification of hazardous substances and mixtures – Use of cut-off values/Concentration limits” inside the parentheses in the second sentence</w:t>
      </w:r>
      <w:r w:rsidR="003112F9" w:rsidRPr="00D773F7">
        <w:rPr>
          <w:rFonts w:asciiTheme="majorBidi" w:hAnsiTheme="majorBidi" w:cstheme="majorBidi"/>
        </w:rPr>
        <w:t xml:space="preserve"> and d</w:t>
      </w:r>
      <w:r w:rsidRPr="00D773F7">
        <w:rPr>
          <w:rFonts w:asciiTheme="majorBidi" w:hAnsiTheme="majorBidi" w:cstheme="majorBidi"/>
        </w:rPr>
        <w:t>elete the parentheses around “1.3.3.2”.</w:t>
      </w:r>
    </w:p>
    <w:p w14:paraId="5A76A157" w14:textId="6FE8A585" w:rsidR="00316FAF" w:rsidRPr="00D773F7" w:rsidRDefault="00F9143B" w:rsidP="00316FAF">
      <w:pPr>
        <w:pStyle w:val="Bullet2G"/>
        <w:numPr>
          <w:ilvl w:val="0"/>
          <w:numId w:val="0"/>
        </w:numPr>
        <w:ind w:left="2268"/>
        <w:rPr>
          <w:rFonts w:asciiTheme="majorBidi" w:hAnsiTheme="majorBidi" w:cstheme="majorBidi"/>
        </w:rPr>
      </w:pPr>
      <w:r w:rsidRPr="00D773F7">
        <w:rPr>
          <w:rFonts w:asciiTheme="majorBidi" w:hAnsiTheme="majorBidi" w:cstheme="majorBidi"/>
        </w:rPr>
        <w:t>In the third sentence r</w:t>
      </w:r>
      <w:r w:rsidR="00316FAF" w:rsidRPr="00D773F7">
        <w:rPr>
          <w:rFonts w:asciiTheme="majorBidi" w:hAnsiTheme="majorBidi" w:cstheme="majorBidi"/>
        </w:rPr>
        <w:t xml:space="preserve">eplace “concentration cut-off values” with “cut-off values/concentration limits”.  </w:t>
      </w:r>
    </w:p>
    <w:p w14:paraId="5F1EF6FD" w14:textId="718A6FAA" w:rsidR="00DD792F" w:rsidRPr="00D773F7" w:rsidRDefault="00DD792F" w:rsidP="00DD792F">
      <w:pPr>
        <w:pStyle w:val="SingleTxtG"/>
        <w:ind w:left="2268" w:hanging="1134"/>
        <w:rPr>
          <w:rFonts w:asciiTheme="majorBidi" w:hAnsiTheme="majorBidi" w:cstheme="majorBidi"/>
        </w:rPr>
      </w:pPr>
      <w:r w:rsidRPr="00D773F7">
        <w:rPr>
          <w:rFonts w:asciiTheme="majorBidi" w:hAnsiTheme="majorBidi" w:cstheme="majorBidi"/>
        </w:rPr>
        <w:tab/>
      </w:r>
      <w:r w:rsidRPr="00D773F7">
        <w:rPr>
          <w:rFonts w:asciiTheme="majorBidi" w:hAnsiTheme="majorBidi" w:cstheme="majorBidi"/>
        </w:rPr>
        <w:tab/>
        <w:t>Delete the last sentence of the paragraph (“In those cases</w:t>
      </w:r>
      <w:r w:rsidR="00040D2E" w:rsidRPr="00D773F7">
        <w:rPr>
          <w:rFonts w:asciiTheme="majorBidi" w:hAnsiTheme="majorBidi" w:cstheme="majorBidi"/>
        </w:rPr>
        <w:t>…Figure 2.3.1</w:t>
      </w:r>
      <w:r w:rsidRPr="00D773F7">
        <w:rPr>
          <w:rFonts w:asciiTheme="majorBidi" w:hAnsiTheme="majorBidi" w:cstheme="majorBidi"/>
        </w:rPr>
        <w:t>”).</w:t>
      </w:r>
    </w:p>
    <w:p w14:paraId="4BDD260A" w14:textId="213344B2" w:rsidR="007B7E1D" w:rsidRPr="00D773F7" w:rsidRDefault="007B7E1D" w:rsidP="00FF5260">
      <w:pPr>
        <w:pStyle w:val="SingleTxtG"/>
        <w:ind w:left="2268" w:hanging="1134"/>
        <w:rPr>
          <w:rFonts w:asciiTheme="majorBidi" w:hAnsiTheme="majorBidi" w:cstheme="majorBidi"/>
        </w:rPr>
      </w:pPr>
      <w:r w:rsidRPr="00D773F7">
        <w:rPr>
          <w:rFonts w:asciiTheme="majorBidi" w:hAnsiTheme="majorBidi" w:cstheme="majorBidi"/>
        </w:rPr>
        <w:t>3.2.4</w:t>
      </w:r>
      <w:r w:rsidRPr="00D773F7">
        <w:rPr>
          <w:rFonts w:asciiTheme="majorBidi" w:hAnsiTheme="majorBidi" w:cstheme="majorBidi"/>
        </w:rPr>
        <w:tab/>
      </w:r>
      <w:r w:rsidRPr="00D773F7">
        <w:rPr>
          <w:rFonts w:asciiTheme="majorBidi" w:hAnsiTheme="majorBidi" w:cstheme="majorBidi"/>
        </w:rPr>
        <w:tab/>
      </w:r>
      <w:r w:rsidR="0082589A" w:rsidRPr="00D773F7">
        <w:rPr>
          <w:rFonts w:asciiTheme="majorBidi" w:hAnsiTheme="majorBidi" w:cstheme="majorBidi"/>
        </w:rPr>
        <w:t xml:space="preserve">Amend the last sentence to read </w:t>
      </w:r>
      <w:r w:rsidR="00F96130" w:rsidRPr="00D773F7">
        <w:rPr>
          <w:rFonts w:asciiTheme="majorBidi" w:hAnsiTheme="majorBidi" w:cstheme="majorBidi"/>
        </w:rPr>
        <w:t xml:space="preserve">as follows: </w:t>
      </w:r>
      <w:r w:rsidRPr="00D773F7">
        <w:rPr>
          <w:rFonts w:asciiTheme="majorBidi" w:hAnsiTheme="majorBidi" w:cstheme="majorBidi"/>
        </w:rPr>
        <w:t>“Table 3.2.5 presents specific label elements for substances and mixtures classified into this hazard class based on the criteria in this chapter.”.</w:t>
      </w:r>
    </w:p>
    <w:p w14:paraId="7ABCFD3D" w14:textId="50384512" w:rsidR="00F10D98" w:rsidRPr="00D773F7" w:rsidRDefault="00F10D98" w:rsidP="00F10D98">
      <w:pPr>
        <w:pStyle w:val="SingleTxtG"/>
        <w:ind w:left="2268" w:hanging="1134"/>
        <w:rPr>
          <w:rFonts w:asciiTheme="majorBidi" w:hAnsiTheme="majorBidi" w:cstheme="majorBidi"/>
        </w:rPr>
      </w:pPr>
      <w:r w:rsidRPr="00D773F7">
        <w:rPr>
          <w:rFonts w:asciiTheme="majorBidi" w:hAnsiTheme="majorBidi" w:cstheme="majorBidi"/>
        </w:rPr>
        <w:t>3.2.5.1</w:t>
      </w:r>
      <w:r w:rsidRPr="00D773F7">
        <w:rPr>
          <w:rFonts w:asciiTheme="majorBidi" w:hAnsiTheme="majorBidi" w:cstheme="majorBidi"/>
        </w:rPr>
        <w:tab/>
      </w:r>
      <w:r w:rsidRPr="00D773F7">
        <w:rPr>
          <w:rFonts w:asciiTheme="majorBidi" w:hAnsiTheme="majorBidi" w:cstheme="majorBidi"/>
        </w:rPr>
        <w:tab/>
        <w:t xml:space="preserve">In decision logic 3.2.1, amend the question starting with “Is the </w:t>
      </w:r>
      <w:r w:rsidRPr="00D773F7">
        <w:rPr>
          <w:rFonts w:asciiTheme="majorBidi" w:hAnsiTheme="majorBidi" w:cstheme="majorBidi"/>
          <w:b/>
          <w:bCs/>
        </w:rPr>
        <w:t>substance or mixture</w:t>
      </w:r>
      <w:r w:rsidRPr="00D773F7">
        <w:rPr>
          <w:rFonts w:asciiTheme="majorBidi" w:hAnsiTheme="majorBidi" w:cstheme="majorBidi"/>
        </w:rPr>
        <w:t>” to read as follows:</w:t>
      </w:r>
    </w:p>
    <w:p w14:paraId="3F4C0053" w14:textId="0EB8AB47" w:rsidR="00F10D98" w:rsidRPr="00D773F7" w:rsidRDefault="00F10D98" w:rsidP="00F10D98">
      <w:pPr>
        <w:pStyle w:val="SingleTxtG"/>
        <w:ind w:left="2268"/>
        <w:rPr>
          <w:rFonts w:asciiTheme="majorBidi" w:hAnsiTheme="majorBidi" w:cstheme="majorBidi"/>
        </w:rPr>
      </w:pPr>
      <w:r w:rsidRPr="00D773F7">
        <w:rPr>
          <w:rFonts w:asciiTheme="majorBidi" w:hAnsiTheme="majorBidi" w:cstheme="majorBidi"/>
        </w:rPr>
        <w:t xml:space="preserve">“Is the </w:t>
      </w:r>
      <w:r w:rsidRPr="00D773F7">
        <w:rPr>
          <w:rFonts w:asciiTheme="majorBidi" w:hAnsiTheme="majorBidi" w:cstheme="majorBidi"/>
          <w:b/>
          <w:bCs/>
        </w:rPr>
        <w:t>substance or mixture</w:t>
      </w:r>
      <w:r w:rsidRPr="00D773F7">
        <w:rPr>
          <w:rFonts w:asciiTheme="majorBidi" w:hAnsiTheme="majorBidi" w:cstheme="majorBidi"/>
        </w:rPr>
        <w:t xml:space="preserve"> </w:t>
      </w:r>
      <w:r w:rsidRPr="00D773F7">
        <w:rPr>
          <w:rFonts w:asciiTheme="majorBidi" w:hAnsiTheme="majorBidi" w:cstheme="majorBidi"/>
          <w:b/>
          <w:bCs/>
        </w:rPr>
        <w:t>corrosive</w:t>
      </w:r>
      <w:r w:rsidRPr="00D773F7">
        <w:rPr>
          <w:rFonts w:asciiTheme="majorBidi" w:hAnsiTheme="majorBidi" w:cstheme="majorBidi"/>
        </w:rPr>
        <w:t xml:space="preserve">, </w:t>
      </w:r>
      <w:r w:rsidRPr="00D773F7">
        <w:rPr>
          <w:rFonts w:asciiTheme="majorBidi" w:hAnsiTheme="majorBidi" w:cstheme="majorBidi"/>
          <w:b/>
          <w:bCs/>
        </w:rPr>
        <w:t xml:space="preserve">irritant </w:t>
      </w:r>
      <w:r w:rsidRPr="00D773F7">
        <w:rPr>
          <w:rFonts w:asciiTheme="majorBidi" w:hAnsiTheme="majorBidi" w:cstheme="majorBidi"/>
        </w:rPr>
        <w:t xml:space="preserve">or </w:t>
      </w:r>
      <w:r w:rsidRPr="00D773F7">
        <w:rPr>
          <w:rFonts w:asciiTheme="majorBidi" w:hAnsiTheme="majorBidi" w:cstheme="majorBidi"/>
          <w:b/>
          <w:bCs/>
        </w:rPr>
        <w:t>mild irritant</w:t>
      </w:r>
      <w:r w:rsidRPr="00D773F7">
        <w:rPr>
          <w:rFonts w:asciiTheme="majorBidi" w:hAnsiTheme="majorBidi" w:cstheme="majorBidi"/>
        </w:rPr>
        <w:t xml:space="preserve"> (see 3.2.2 and 3.2.3.1) in accordance with the tiered approach (see 3.2.2.8 and </w:t>
      </w:r>
      <w:r w:rsidR="00FF5E63" w:rsidRPr="00D773F7">
        <w:rPr>
          <w:rFonts w:asciiTheme="majorBidi" w:hAnsiTheme="majorBidi" w:cstheme="majorBidi"/>
        </w:rPr>
        <w:t>f</w:t>
      </w:r>
      <w:r w:rsidRPr="00D773F7">
        <w:rPr>
          <w:rFonts w:asciiTheme="majorBidi" w:hAnsiTheme="majorBidi" w:cstheme="majorBidi"/>
        </w:rPr>
        <w:t>igures 3.2.1 and 3.2.2?”.</w:t>
      </w:r>
    </w:p>
    <w:p w14:paraId="61B55108" w14:textId="77777777" w:rsidR="00F10D98" w:rsidRPr="00D773F7" w:rsidRDefault="00F10D98" w:rsidP="00F10D98">
      <w:pPr>
        <w:keepNext/>
        <w:keepLines/>
        <w:tabs>
          <w:tab w:val="left" w:pos="2268"/>
        </w:tabs>
        <w:spacing w:line="240" w:lineRule="auto"/>
        <w:ind w:left="1134"/>
        <w:rPr>
          <w:rFonts w:asciiTheme="majorBidi" w:hAnsiTheme="majorBidi" w:cstheme="majorBidi"/>
          <w:bCs/>
        </w:rPr>
      </w:pPr>
      <w:r w:rsidRPr="00D773F7">
        <w:rPr>
          <w:rFonts w:asciiTheme="majorBidi" w:hAnsiTheme="majorBidi" w:cstheme="majorBidi"/>
        </w:rPr>
        <w:lastRenderedPageBreak/>
        <w:t>3.2.5.2</w:t>
      </w:r>
      <w:r w:rsidRPr="00D773F7">
        <w:rPr>
          <w:rFonts w:asciiTheme="majorBidi" w:hAnsiTheme="majorBidi" w:cstheme="majorBidi"/>
        </w:rPr>
        <w:tab/>
      </w:r>
      <w:r w:rsidRPr="00D773F7">
        <w:rPr>
          <w:rFonts w:asciiTheme="majorBidi" w:hAnsiTheme="majorBidi" w:cstheme="majorBidi"/>
          <w:bCs/>
        </w:rPr>
        <w:t>Replace decision logic 3.2.2 with the following:</w:t>
      </w:r>
    </w:p>
    <w:p w14:paraId="7C69476D" w14:textId="77777777" w:rsidR="00927086" w:rsidRPr="00D773F7" w:rsidRDefault="00927086" w:rsidP="00F10D98">
      <w:pPr>
        <w:keepNext/>
        <w:keepLines/>
        <w:tabs>
          <w:tab w:val="left" w:pos="2268"/>
        </w:tabs>
        <w:spacing w:line="240" w:lineRule="auto"/>
        <w:ind w:left="1134"/>
        <w:rPr>
          <w:rFonts w:asciiTheme="majorBidi" w:hAnsiTheme="majorBidi" w:cstheme="majorBidi"/>
          <w:bCs/>
        </w:rPr>
      </w:pPr>
    </w:p>
    <w:p w14:paraId="125C2552" w14:textId="42ACE973" w:rsidR="00100557" w:rsidRPr="00D773F7" w:rsidRDefault="00100557" w:rsidP="00F10D98">
      <w:pPr>
        <w:keepNext/>
        <w:keepLines/>
        <w:tabs>
          <w:tab w:val="left" w:pos="2268"/>
        </w:tabs>
        <w:spacing w:line="240" w:lineRule="auto"/>
        <w:ind w:left="1134"/>
        <w:rPr>
          <w:rFonts w:asciiTheme="majorBidi" w:hAnsiTheme="majorBidi" w:cstheme="majorBidi"/>
          <w:bCs/>
        </w:rPr>
      </w:pPr>
      <w:r w:rsidRPr="00D773F7">
        <w:rPr>
          <w:rFonts w:asciiTheme="majorBidi" w:hAnsiTheme="majorBidi" w:cstheme="majorBidi"/>
          <w:bCs/>
        </w:rPr>
        <w:t>“</w:t>
      </w:r>
    </w:p>
    <w:p w14:paraId="03F29ACB" w14:textId="63275ABA" w:rsidR="00F10D98" w:rsidRPr="00D773F7" w:rsidRDefault="003007E3" w:rsidP="00927086">
      <w:pPr>
        <w:keepNext/>
        <w:keepLines/>
        <w:spacing w:line="240" w:lineRule="auto"/>
        <w:ind w:left="1134"/>
        <w:rPr>
          <w:rFonts w:asciiTheme="majorBidi" w:hAnsiTheme="majorBidi" w:cstheme="majorBidi"/>
        </w:rPr>
      </w:pPr>
      <w:r>
        <w:rPr>
          <w:rFonts w:asciiTheme="majorBidi" w:hAnsiTheme="majorBidi" w:cstheme="majorBidi"/>
          <w:noProof/>
        </w:rPr>
        <w:object w:dxaOrig="1440" w:dyaOrig="1440" w14:anchorId="3FE67389">
          <v:shape id="_x0000_s2064" type="#_x0000_t75" style="position:absolute;left:0;text-align:left;margin-left:60.95pt;margin-top:.15pt;width:384.15pt;height:570.75pt;z-index:251658240">
            <v:imagedata r:id="rId16" o:title=""/>
            <w10:wrap type="topAndBottom"/>
          </v:shape>
          <o:OLEObject Type="Embed" ProgID="Visio.Drawing.15" ShapeID="_x0000_s2064" DrawAspect="Content" ObjectID="_1744797712" r:id="rId17"/>
        </w:object>
      </w:r>
    </w:p>
    <w:p w14:paraId="606CEB5A" w14:textId="22A000CC" w:rsidR="00927086" w:rsidRPr="00D773F7" w:rsidRDefault="00100557" w:rsidP="00100557">
      <w:pPr>
        <w:tabs>
          <w:tab w:val="left" w:pos="8505"/>
        </w:tabs>
        <w:spacing w:line="240" w:lineRule="auto"/>
        <w:ind w:left="1134" w:right="1134"/>
        <w:jc w:val="right"/>
        <w:rPr>
          <w:rFonts w:asciiTheme="majorBidi" w:hAnsiTheme="majorBidi" w:cstheme="majorBidi"/>
        </w:rPr>
      </w:pPr>
      <w:r w:rsidRPr="00D773F7">
        <w:rPr>
          <w:rFonts w:asciiTheme="majorBidi" w:hAnsiTheme="majorBidi" w:cstheme="majorBidi"/>
        </w:rPr>
        <w:t>”</w:t>
      </w:r>
      <w:r w:rsidR="007F257D" w:rsidRPr="00D773F7">
        <w:rPr>
          <w:rFonts w:asciiTheme="majorBidi" w:hAnsiTheme="majorBidi" w:cstheme="majorBidi"/>
        </w:rPr>
        <w:t>.</w:t>
      </w:r>
    </w:p>
    <w:p w14:paraId="5099B905" w14:textId="77777777" w:rsidR="00927086" w:rsidRPr="00D773F7" w:rsidRDefault="00927086" w:rsidP="00F10D98">
      <w:pPr>
        <w:spacing w:line="240" w:lineRule="auto"/>
        <w:ind w:left="1134"/>
        <w:jc w:val="both"/>
        <w:rPr>
          <w:rFonts w:asciiTheme="majorBidi" w:hAnsiTheme="majorBidi" w:cstheme="majorBidi"/>
        </w:rPr>
      </w:pPr>
    </w:p>
    <w:p w14:paraId="7AE5909E" w14:textId="4D8DB65C" w:rsidR="00F10D98" w:rsidRPr="00D773F7" w:rsidRDefault="00F10D98" w:rsidP="00F10D98">
      <w:pPr>
        <w:spacing w:line="240" w:lineRule="auto"/>
        <w:ind w:left="1134"/>
        <w:jc w:val="both"/>
        <w:rPr>
          <w:rFonts w:asciiTheme="majorBidi" w:hAnsiTheme="majorBidi" w:cstheme="majorBidi"/>
          <w:i/>
        </w:rPr>
      </w:pPr>
      <w:r w:rsidRPr="00D773F7">
        <w:rPr>
          <w:rFonts w:asciiTheme="majorBidi" w:hAnsiTheme="majorBidi" w:cstheme="majorBidi"/>
        </w:rPr>
        <w:t>In footnote 2, replace “</w:t>
      </w:r>
      <w:r w:rsidRPr="00D773F7">
        <w:rPr>
          <w:rFonts w:asciiTheme="majorBidi" w:hAnsiTheme="majorBidi" w:cstheme="majorBidi"/>
          <w:i/>
          <w:iCs/>
        </w:rPr>
        <w:t>see 3.2.3.3.6</w:t>
      </w:r>
      <w:r w:rsidRPr="00D773F7">
        <w:rPr>
          <w:rFonts w:asciiTheme="majorBidi" w:hAnsiTheme="majorBidi" w:cstheme="majorBidi"/>
        </w:rPr>
        <w:t>” with “</w:t>
      </w:r>
      <w:r w:rsidRPr="00D773F7">
        <w:rPr>
          <w:rFonts w:asciiTheme="majorBidi" w:hAnsiTheme="majorBidi" w:cstheme="majorBidi"/>
          <w:i/>
        </w:rPr>
        <w:t>see 3.2.3.3.5 and 3.2.3.3.6”.</w:t>
      </w:r>
    </w:p>
    <w:p w14:paraId="53E9FDC0" w14:textId="77777777" w:rsidR="00F10D98" w:rsidRPr="00D773F7" w:rsidRDefault="00F10D98" w:rsidP="00F10D98">
      <w:pPr>
        <w:pStyle w:val="SingleTxtG"/>
        <w:spacing w:before="240"/>
        <w:ind w:left="2268" w:hanging="1134"/>
        <w:rPr>
          <w:rFonts w:asciiTheme="majorBidi" w:hAnsiTheme="majorBidi" w:cstheme="majorBidi"/>
        </w:rPr>
      </w:pPr>
      <w:r w:rsidRPr="00D773F7">
        <w:rPr>
          <w:rFonts w:asciiTheme="majorBidi" w:hAnsiTheme="majorBidi" w:cstheme="majorBidi"/>
        </w:rPr>
        <w:t>3.2.5.3.1</w:t>
      </w:r>
      <w:r w:rsidRPr="00D773F7">
        <w:rPr>
          <w:rFonts w:asciiTheme="majorBidi" w:hAnsiTheme="majorBidi" w:cstheme="majorBidi"/>
        </w:rPr>
        <w:tab/>
        <w:t xml:space="preserve">Replace “weight of evidence approach” with “weight of evidence assessment”. </w:t>
      </w:r>
    </w:p>
    <w:p w14:paraId="52B88E6F" w14:textId="2A2FAEDB" w:rsidR="00F10D98" w:rsidRPr="00D773F7" w:rsidRDefault="00F10D98" w:rsidP="00F10D98">
      <w:pPr>
        <w:pStyle w:val="SingleTxtG"/>
        <w:ind w:left="2268" w:hanging="1134"/>
        <w:rPr>
          <w:rFonts w:asciiTheme="majorBidi" w:hAnsiTheme="majorBidi" w:cstheme="majorBidi"/>
          <w:lang w:val="it-IT"/>
        </w:rPr>
      </w:pPr>
      <w:r w:rsidRPr="00D773F7">
        <w:rPr>
          <w:rFonts w:asciiTheme="majorBidi" w:hAnsiTheme="majorBidi" w:cstheme="majorBidi"/>
          <w:lang w:val="it-IT"/>
        </w:rPr>
        <w:t>3.2.5.3.4</w:t>
      </w:r>
      <w:r w:rsidRPr="00D773F7">
        <w:rPr>
          <w:rFonts w:asciiTheme="majorBidi" w:hAnsiTheme="majorBidi" w:cstheme="majorBidi"/>
          <w:lang w:val="it-IT"/>
        </w:rPr>
        <w:tab/>
        <w:t>In the heading, replace “</w:t>
      </w:r>
      <w:r w:rsidR="0083580A" w:rsidRPr="00D773F7">
        <w:rPr>
          <w:rFonts w:asciiTheme="majorBidi" w:hAnsiTheme="majorBidi" w:cstheme="majorBidi"/>
          <w:i/>
          <w:iCs/>
          <w:lang w:val="it-IT"/>
        </w:rPr>
        <w:t>in-vitro</w:t>
      </w:r>
      <w:r w:rsidRPr="00D773F7">
        <w:rPr>
          <w:rFonts w:asciiTheme="majorBidi" w:hAnsiTheme="majorBidi" w:cstheme="majorBidi"/>
          <w:lang w:val="it-IT"/>
        </w:rPr>
        <w:t>” with “in</w:t>
      </w:r>
      <w:r w:rsidRPr="00D773F7">
        <w:rPr>
          <w:rFonts w:asciiTheme="majorBidi" w:hAnsiTheme="majorBidi" w:cstheme="majorBidi"/>
          <w:i/>
          <w:iCs/>
          <w:lang w:val="it-IT"/>
        </w:rPr>
        <w:t xml:space="preserve"> </w:t>
      </w:r>
      <w:r w:rsidRPr="00D773F7">
        <w:rPr>
          <w:rFonts w:asciiTheme="majorBidi" w:hAnsiTheme="majorBidi" w:cstheme="majorBidi"/>
          <w:lang w:val="it-IT"/>
        </w:rPr>
        <w:t>vitro</w:t>
      </w:r>
      <w:r w:rsidR="0083580A" w:rsidRPr="00D773F7">
        <w:rPr>
          <w:rFonts w:asciiTheme="majorBidi" w:hAnsiTheme="majorBidi" w:cstheme="majorBidi"/>
          <w:i/>
          <w:iCs/>
          <w:lang w:val="it-IT"/>
        </w:rPr>
        <w:t>”</w:t>
      </w:r>
      <w:r w:rsidR="0083580A" w:rsidRPr="00D773F7" w:rsidDel="0083580A">
        <w:rPr>
          <w:rFonts w:asciiTheme="majorBidi" w:hAnsiTheme="majorBidi" w:cstheme="majorBidi"/>
          <w:i/>
          <w:iCs/>
          <w:lang w:val="it-IT"/>
        </w:rPr>
        <w:t xml:space="preserve"> </w:t>
      </w:r>
      <w:r w:rsidRPr="00D773F7">
        <w:rPr>
          <w:rFonts w:asciiTheme="majorBidi" w:hAnsiTheme="majorBidi" w:cstheme="majorBidi"/>
          <w:lang w:val="it-IT"/>
        </w:rPr>
        <w:t xml:space="preserve">and in the first sentence replace “or 439” with “and/or 439”. </w:t>
      </w:r>
    </w:p>
    <w:p w14:paraId="40BA874A" w14:textId="66D29989" w:rsidR="003417D4" w:rsidRPr="00D773F7" w:rsidRDefault="003417D4" w:rsidP="003417D4">
      <w:pPr>
        <w:pStyle w:val="SingleTxtG"/>
        <w:rPr>
          <w:rFonts w:asciiTheme="majorBidi" w:hAnsiTheme="majorBidi" w:cstheme="majorBidi"/>
        </w:rPr>
      </w:pPr>
      <w:r w:rsidRPr="00D773F7">
        <w:rPr>
          <w:rFonts w:asciiTheme="majorBidi" w:hAnsiTheme="majorBidi" w:cstheme="majorBidi"/>
        </w:rPr>
        <w:lastRenderedPageBreak/>
        <w:t>3.2.5.3.5.2.6</w:t>
      </w:r>
      <w:r w:rsidRPr="00D773F7">
        <w:rPr>
          <w:rFonts w:asciiTheme="majorBidi" w:hAnsiTheme="majorBidi" w:cstheme="majorBidi"/>
        </w:rPr>
        <w:tab/>
      </w:r>
      <w:r w:rsidR="00333310" w:rsidRPr="00D773F7">
        <w:rPr>
          <w:rFonts w:asciiTheme="majorBidi" w:hAnsiTheme="majorBidi" w:cstheme="majorBidi"/>
        </w:rPr>
        <w:t>In the second sentence r</w:t>
      </w:r>
      <w:r w:rsidRPr="00D773F7">
        <w:rPr>
          <w:rFonts w:asciiTheme="majorBidi" w:hAnsiTheme="majorBidi" w:cstheme="majorBidi"/>
        </w:rPr>
        <w:t>eplace “approach” with “assessment”.</w:t>
      </w:r>
    </w:p>
    <w:p w14:paraId="0D3D1071" w14:textId="77777777" w:rsidR="00F10D98" w:rsidRPr="00D773F7" w:rsidRDefault="00F10D98" w:rsidP="00F10D98">
      <w:pPr>
        <w:pStyle w:val="SingleTxtG"/>
        <w:keepNext/>
        <w:keepLines/>
        <w:ind w:left="2268" w:hanging="1134"/>
        <w:rPr>
          <w:rFonts w:asciiTheme="majorBidi" w:hAnsiTheme="majorBidi" w:cstheme="majorBidi"/>
        </w:rPr>
      </w:pPr>
      <w:r w:rsidRPr="00D773F7">
        <w:rPr>
          <w:rFonts w:asciiTheme="majorBidi" w:hAnsiTheme="majorBidi" w:cstheme="majorBidi"/>
        </w:rPr>
        <w:t>3.2.5.3.6</w:t>
      </w:r>
      <w:r w:rsidRPr="00D773F7">
        <w:rPr>
          <w:rFonts w:asciiTheme="majorBidi" w:hAnsiTheme="majorBidi" w:cstheme="majorBidi"/>
        </w:rPr>
        <w:tab/>
        <w:t>Insert the following new paragraphs:</w:t>
      </w:r>
    </w:p>
    <w:p w14:paraId="7AAC89E7" w14:textId="77777777" w:rsidR="00F10D98" w:rsidRPr="00D773F7" w:rsidRDefault="00F10D98" w:rsidP="00F10D98">
      <w:pPr>
        <w:pStyle w:val="SingleTxtG"/>
        <w:keepNext/>
        <w:keepLines/>
        <w:ind w:left="2268"/>
        <w:rPr>
          <w:rFonts w:asciiTheme="majorBidi" w:hAnsiTheme="majorBidi" w:cstheme="majorBidi"/>
          <w:i/>
          <w:iCs/>
        </w:rPr>
      </w:pPr>
      <w:r w:rsidRPr="00D773F7">
        <w:rPr>
          <w:rFonts w:asciiTheme="majorBidi" w:hAnsiTheme="majorBidi" w:cstheme="majorBidi"/>
        </w:rPr>
        <w:t>“3.2.5.3.6</w:t>
      </w:r>
      <w:r w:rsidRPr="00D773F7">
        <w:rPr>
          <w:rFonts w:asciiTheme="majorBidi" w:hAnsiTheme="majorBidi" w:cstheme="majorBidi"/>
        </w:rPr>
        <w:tab/>
      </w:r>
      <w:r w:rsidRPr="00D773F7">
        <w:rPr>
          <w:rFonts w:asciiTheme="majorBidi" w:hAnsiTheme="majorBidi" w:cstheme="majorBidi"/>
          <w:i/>
          <w:iCs/>
        </w:rPr>
        <w:t>Guidance on the use of pH and acid/alkaline reserve for classification as skin corrosion/irritation</w:t>
      </w:r>
    </w:p>
    <w:p w14:paraId="48334E5D" w14:textId="77777777" w:rsidR="00F10D98" w:rsidRPr="00D773F7" w:rsidRDefault="00F10D98" w:rsidP="00F10D98">
      <w:pPr>
        <w:pStyle w:val="SingleTxtG"/>
        <w:keepNext/>
        <w:keepLines/>
        <w:ind w:left="2268"/>
        <w:rPr>
          <w:rFonts w:asciiTheme="majorBidi" w:hAnsiTheme="majorBidi" w:cstheme="majorBidi"/>
        </w:rPr>
      </w:pPr>
      <w:r w:rsidRPr="00D773F7">
        <w:rPr>
          <w:rFonts w:asciiTheme="majorBidi" w:hAnsiTheme="majorBidi" w:cstheme="majorBidi"/>
        </w:rPr>
        <w:t>3.2.5.3.6.1</w:t>
      </w:r>
      <w:r w:rsidRPr="00D773F7">
        <w:rPr>
          <w:rFonts w:asciiTheme="majorBidi" w:hAnsiTheme="majorBidi" w:cstheme="majorBidi"/>
        </w:rPr>
        <w:tab/>
        <w:t>Methods to determine the pH value such as OECD Test Guideline 122 and the method described by Young et al. (1988) differ in the concentration of the substance or mixture for which the pH is determined and include values of 1%, 10% and 100%. These methods also differ in the way the acid/alkaline reserve is determined, namely up to a pH of 7 for both acids and bases (OECD Test Guideline 122) or up to a pH of 4 for acids and a pH of 10 for bases (Young et al., 1988). Furthermore, there are differences between OECD Test Guideline 122 and Young et al. (1988) in the units used to express the acid/alkaline reserve.</w:t>
      </w:r>
    </w:p>
    <w:p w14:paraId="735231E7" w14:textId="77777777" w:rsidR="00F10D98" w:rsidRPr="00D773F7" w:rsidRDefault="00F10D98" w:rsidP="00F10D98">
      <w:pPr>
        <w:pStyle w:val="SingleTxtG"/>
        <w:ind w:left="2268"/>
        <w:rPr>
          <w:rFonts w:asciiTheme="majorBidi" w:hAnsiTheme="majorBidi" w:cstheme="majorBidi"/>
        </w:rPr>
      </w:pPr>
      <w:r w:rsidRPr="00D773F7">
        <w:rPr>
          <w:rFonts w:asciiTheme="majorBidi" w:hAnsiTheme="majorBidi" w:cstheme="majorBidi"/>
        </w:rPr>
        <w:t>3.2.5.3.6.2</w:t>
      </w:r>
      <w:r w:rsidRPr="00D773F7">
        <w:rPr>
          <w:rFonts w:asciiTheme="majorBidi" w:hAnsiTheme="majorBidi" w:cstheme="majorBidi"/>
        </w:rPr>
        <w:tab/>
        <w:t>Criteria to identify substances and mixtures requiring classification in Category 1 based on pH and acid/alkaline reserve have been developed for effects on the skin (Young et al., 1988). These criteria were developed using a combination of pH and acid/alkaline reserve values that were determined in a specific way (Young et al., 1988). Therefore, these criteria may not be directly applicable when other test concentrations or methods are used to measure pH and acid/alkaline reserve. Furthermore, the calibration and validation of these criteria was based on a limited dataset for effects on the skin. Thus, the predictive value of the combination of pH and acid/alkaline reserve for classification in Category 1 for effects on the skin is limited, especially for substances and mixtures with an extreme pH but a non-significant acid/alkaline reserve. The criteria developed by Young et al. (1988) for classification in Category 1 may be used as a starting point for determining whether a substance or a mixture has a significant acid/alkaline reserve or a non-significant acid/alkaline reserve. A competent authority may decide which criteria for significant acid/alkaline reserve can be applied.</w:t>
      </w:r>
    </w:p>
    <w:p w14:paraId="33516F3E" w14:textId="77777777" w:rsidR="00F10D98" w:rsidRPr="00D773F7" w:rsidRDefault="00F10D98" w:rsidP="00F10D98">
      <w:pPr>
        <w:pStyle w:val="SingleTxtG"/>
        <w:ind w:left="2268"/>
        <w:jc w:val="left"/>
        <w:rPr>
          <w:rFonts w:asciiTheme="majorBidi" w:hAnsiTheme="majorBidi" w:cstheme="majorBidi"/>
        </w:rPr>
      </w:pPr>
      <w:r w:rsidRPr="00D773F7">
        <w:rPr>
          <w:rFonts w:asciiTheme="majorBidi" w:hAnsiTheme="majorBidi" w:cstheme="majorBidi"/>
        </w:rPr>
        <w:t>______________</w:t>
      </w:r>
    </w:p>
    <w:p w14:paraId="56256EF8" w14:textId="77777777" w:rsidR="00F10D98" w:rsidRPr="00D773F7" w:rsidRDefault="00F10D98" w:rsidP="000327F8">
      <w:pPr>
        <w:pStyle w:val="GHSHeading3"/>
        <w:keepNext w:val="0"/>
        <w:tabs>
          <w:tab w:val="clear" w:pos="1418"/>
        </w:tabs>
        <w:spacing w:before="240" w:after="160"/>
        <w:ind w:left="2268"/>
        <w:rPr>
          <w:rFonts w:asciiTheme="majorBidi" w:hAnsiTheme="majorBidi" w:cstheme="majorBidi"/>
          <w:b w:val="0"/>
          <w:i/>
          <w:color w:val="auto"/>
          <w:sz w:val="20"/>
          <w:szCs w:val="20"/>
        </w:rPr>
      </w:pPr>
      <w:r w:rsidRPr="00D773F7">
        <w:rPr>
          <w:rFonts w:asciiTheme="majorBidi" w:hAnsiTheme="majorBidi" w:cstheme="majorBidi"/>
          <w:b w:val="0"/>
          <w:color w:val="auto"/>
          <w:sz w:val="20"/>
          <w:szCs w:val="20"/>
        </w:rPr>
        <w:t>*</w:t>
      </w:r>
      <w:r w:rsidRPr="00D773F7">
        <w:rPr>
          <w:rFonts w:asciiTheme="majorBidi" w:hAnsiTheme="majorBidi" w:cstheme="majorBidi"/>
          <w:b w:val="0"/>
          <w:color w:val="auto"/>
          <w:sz w:val="20"/>
          <w:szCs w:val="20"/>
        </w:rPr>
        <w:tab/>
      </w:r>
      <w:r w:rsidRPr="00D773F7">
        <w:rPr>
          <w:rFonts w:asciiTheme="majorBidi" w:hAnsiTheme="majorBidi" w:cstheme="majorBidi"/>
          <w:b w:val="0"/>
          <w:i/>
          <w:color w:val="auto"/>
          <w:sz w:val="20"/>
          <w:szCs w:val="20"/>
        </w:rPr>
        <w:t>References:</w:t>
      </w:r>
    </w:p>
    <w:p w14:paraId="751F0AF0" w14:textId="3859097E" w:rsidR="00F10D98" w:rsidRPr="00D773F7" w:rsidRDefault="00F10D98" w:rsidP="00F10D98">
      <w:pPr>
        <w:pStyle w:val="SingleTxtG"/>
        <w:ind w:left="2268"/>
        <w:rPr>
          <w:rFonts w:asciiTheme="majorBidi" w:hAnsiTheme="majorBidi" w:cstheme="majorBidi"/>
          <w:i/>
          <w:iCs/>
        </w:rPr>
      </w:pPr>
      <w:r w:rsidRPr="00D773F7">
        <w:rPr>
          <w:rFonts w:asciiTheme="majorBidi" w:hAnsiTheme="majorBidi" w:cstheme="majorBidi"/>
          <w:i/>
          <w:iCs/>
        </w:rPr>
        <w:t xml:space="preserve">Young, J.R., M.J. How, A.P. Walker, and W.M. Worth. 1988. Classification as corrosive or irritant to skin of preparations containing acidic or alkaline substances, without testing on animals. </w:t>
      </w:r>
      <w:proofErr w:type="spellStart"/>
      <w:r w:rsidRPr="00D773F7">
        <w:rPr>
          <w:rFonts w:asciiTheme="majorBidi" w:hAnsiTheme="majorBidi" w:cstheme="majorBidi"/>
          <w:i/>
          <w:iCs/>
        </w:rPr>
        <w:t>Toxicol</w:t>
      </w:r>
      <w:proofErr w:type="spellEnd"/>
      <w:r w:rsidRPr="00D773F7">
        <w:rPr>
          <w:rFonts w:asciiTheme="majorBidi" w:hAnsiTheme="majorBidi" w:cstheme="majorBidi"/>
          <w:i/>
          <w:iCs/>
        </w:rPr>
        <w:t xml:space="preserve">. In Vitro, 2(1): 19-26. </w:t>
      </w:r>
      <w:r w:rsidR="00144B9A" w:rsidRPr="00D773F7">
        <w:rPr>
          <w:rFonts w:asciiTheme="majorBidi" w:hAnsiTheme="majorBidi" w:cstheme="majorBidi"/>
          <w:i/>
          <w:iCs/>
        </w:rPr>
        <w:t>Doi</w:t>
      </w:r>
      <w:r w:rsidRPr="00D773F7">
        <w:rPr>
          <w:rFonts w:asciiTheme="majorBidi" w:hAnsiTheme="majorBidi" w:cstheme="majorBidi"/>
          <w:i/>
          <w:iCs/>
        </w:rPr>
        <w:t>: 10.1016/0887-2333(88)90032-x.”.</w:t>
      </w:r>
    </w:p>
    <w:p w14:paraId="42F39A24" w14:textId="77777777" w:rsidR="00F10D98" w:rsidRPr="00D773F7" w:rsidRDefault="00F10D98" w:rsidP="00F10D98">
      <w:pPr>
        <w:pStyle w:val="H1G"/>
        <w:rPr>
          <w:rFonts w:asciiTheme="majorBidi" w:hAnsiTheme="majorBidi" w:cstheme="majorBidi"/>
          <w:lang w:eastAsia="en-US"/>
        </w:rPr>
      </w:pPr>
      <w:r w:rsidRPr="00D773F7">
        <w:rPr>
          <w:rFonts w:asciiTheme="majorBidi" w:hAnsiTheme="majorBidi" w:cstheme="majorBidi"/>
          <w:lang w:eastAsia="en-US"/>
        </w:rPr>
        <w:tab/>
      </w:r>
      <w:r w:rsidRPr="00D773F7">
        <w:rPr>
          <w:rFonts w:asciiTheme="majorBidi" w:hAnsiTheme="majorBidi" w:cstheme="majorBidi"/>
          <w:lang w:eastAsia="en-US"/>
        </w:rPr>
        <w:tab/>
        <w:t>Chapter 3.3</w:t>
      </w:r>
    </w:p>
    <w:p w14:paraId="166D21C9" w14:textId="692BFC05" w:rsidR="00F10D98" w:rsidRPr="00D773F7" w:rsidRDefault="00F10D98" w:rsidP="00F10D98">
      <w:pPr>
        <w:pStyle w:val="SingleTxtG"/>
        <w:rPr>
          <w:rFonts w:asciiTheme="majorBidi" w:hAnsiTheme="majorBidi" w:cstheme="majorBidi"/>
        </w:rPr>
      </w:pPr>
      <w:r w:rsidRPr="00D773F7">
        <w:rPr>
          <w:rFonts w:asciiTheme="majorBidi" w:hAnsiTheme="majorBidi" w:cstheme="majorBidi"/>
        </w:rPr>
        <w:t>3.3.1.2</w:t>
      </w:r>
      <w:r w:rsidRPr="00D773F7">
        <w:rPr>
          <w:rFonts w:asciiTheme="majorBidi" w:hAnsiTheme="majorBidi" w:cstheme="majorBidi"/>
        </w:rPr>
        <w:tab/>
      </w:r>
      <w:r w:rsidR="00720DD3" w:rsidRPr="00D773F7">
        <w:rPr>
          <w:rFonts w:asciiTheme="majorBidi" w:hAnsiTheme="majorBidi" w:cstheme="majorBidi"/>
        </w:rPr>
        <w:tab/>
      </w:r>
      <w:r w:rsidRPr="00D773F7">
        <w:rPr>
          <w:rFonts w:asciiTheme="majorBidi" w:hAnsiTheme="majorBidi" w:cstheme="majorBidi"/>
        </w:rPr>
        <w:t>Replace with the following:</w:t>
      </w:r>
    </w:p>
    <w:p w14:paraId="73B5D32A" w14:textId="77777777" w:rsidR="00F10D98" w:rsidRPr="00D773F7" w:rsidRDefault="00F10D98" w:rsidP="00F10D98">
      <w:pPr>
        <w:pStyle w:val="SingleTxtG"/>
        <w:ind w:left="2268"/>
        <w:rPr>
          <w:rFonts w:asciiTheme="majorBidi" w:hAnsiTheme="majorBidi" w:cstheme="majorBidi"/>
        </w:rPr>
      </w:pPr>
      <w:r w:rsidRPr="00D773F7">
        <w:rPr>
          <w:rFonts w:asciiTheme="majorBidi" w:hAnsiTheme="majorBidi" w:cstheme="majorBidi"/>
        </w:rPr>
        <w:t>“3.3.1.2</w:t>
      </w:r>
      <w:r w:rsidRPr="00D773F7">
        <w:rPr>
          <w:rFonts w:asciiTheme="majorBidi" w:hAnsiTheme="majorBidi" w:cstheme="majorBidi"/>
        </w:rPr>
        <w:tab/>
        <w:t>To classify, all available and relevant information on serious eye damage/eye irritation is collected and its quality in terms of adequacy and reliability is assessed. Classification should be based on mutually acceptable data/results generated using methods and/or defined approaches</w:t>
      </w:r>
      <w:r w:rsidRPr="00D773F7">
        <w:rPr>
          <w:rFonts w:asciiTheme="majorBidi" w:hAnsiTheme="majorBidi" w:cstheme="majorBidi"/>
          <w:vertAlign w:val="superscript"/>
        </w:rPr>
        <w:t>1</w:t>
      </w:r>
      <w:r w:rsidRPr="00D773F7">
        <w:rPr>
          <w:rFonts w:asciiTheme="majorBidi" w:hAnsiTheme="majorBidi" w:cstheme="majorBidi"/>
        </w:rPr>
        <w:t xml:space="preserve"> that are validated according to international procedures. These include both OECD guidelines and equivalent methods/defined approaches (see 1.3.2.4.3). Sections 3.3.2.1 to 3.3.2.8 provide classification criteria for the different types of information that may be available.”.</w:t>
      </w:r>
    </w:p>
    <w:p w14:paraId="2172E679" w14:textId="77777777" w:rsidR="00F10D98" w:rsidRPr="00D773F7" w:rsidRDefault="00F10D98" w:rsidP="00F10D98">
      <w:pPr>
        <w:pStyle w:val="SingleTxtG"/>
        <w:ind w:left="2268"/>
        <w:rPr>
          <w:rFonts w:asciiTheme="majorBidi" w:hAnsiTheme="majorBidi" w:cstheme="majorBidi"/>
        </w:rPr>
      </w:pPr>
      <w:r w:rsidRPr="00D773F7">
        <w:rPr>
          <w:rFonts w:asciiTheme="majorBidi" w:hAnsiTheme="majorBidi" w:cstheme="majorBidi"/>
        </w:rPr>
        <w:t xml:space="preserve">Insert a new footnote 1 to read as follows: </w:t>
      </w:r>
    </w:p>
    <w:p w14:paraId="50007F4E" w14:textId="77777777" w:rsidR="00F10D98" w:rsidRPr="00D773F7" w:rsidRDefault="00F10D98" w:rsidP="00F10D98">
      <w:pPr>
        <w:pStyle w:val="SingleTxtG"/>
        <w:ind w:left="2268"/>
        <w:rPr>
          <w:rFonts w:asciiTheme="majorBidi" w:hAnsiTheme="majorBidi" w:cstheme="majorBidi"/>
          <w:i/>
          <w:iCs/>
        </w:rPr>
      </w:pPr>
      <w:r w:rsidRPr="00D773F7">
        <w:rPr>
          <w:rFonts w:asciiTheme="majorBidi" w:hAnsiTheme="majorBidi" w:cstheme="majorBidi"/>
          <w:i/>
          <w:iCs/>
        </w:rPr>
        <w:t>“</w:t>
      </w:r>
      <w:r w:rsidRPr="00D773F7">
        <w:rPr>
          <w:rFonts w:asciiTheme="majorBidi" w:hAnsiTheme="majorBidi" w:cstheme="majorBidi"/>
          <w:vertAlign w:val="superscript"/>
        </w:rPr>
        <w:t>1</w:t>
      </w:r>
      <w:r w:rsidRPr="00D773F7">
        <w:rPr>
          <w:rFonts w:asciiTheme="majorBidi" w:hAnsiTheme="majorBidi" w:cstheme="majorBidi"/>
          <w:i/>
          <w:iCs/>
        </w:rPr>
        <w:tab/>
      </w:r>
      <w:bookmarkStart w:id="1" w:name="_Hlk69397713"/>
      <w:r w:rsidRPr="00D773F7">
        <w:rPr>
          <w:rFonts w:asciiTheme="majorBidi" w:hAnsiTheme="majorBidi" w:cstheme="majorBidi"/>
          <w:i/>
          <w:iCs/>
        </w:rPr>
        <w:t xml:space="preserve">According to OECD Guidance Document 255 on the reporting of defined approaches to be used within integrated approaches to testing and assessment, a defined approach to testing and assessment consists of a fixed data interpretation procedure (DIP) applied to data generated with a defined set of information sources to derive a result that can either be used on its own, </w:t>
      </w:r>
      <w:r w:rsidRPr="00D773F7">
        <w:rPr>
          <w:rFonts w:asciiTheme="majorBidi" w:hAnsiTheme="majorBidi" w:cstheme="majorBidi"/>
          <w:i/>
          <w:iCs/>
        </w:rPr>
        <w:lastRenderedPageBreak/>
        <w:t>or together with other information sources within an overall weight of evidence assessment, to satisfy a specific regulatory need.</w:t>
      </w:r>
      <w:bookmarkEnd w:id="1"/>
      <w:r w:rsidRPr="00D773F7">
        <w:rPr>
          <w:rFonts w:asciiTheme="majorBidi" w:hAnsiTheme="majorBidi" w:cstheme="majorBidi"/>
          <w:i/>
          <w:iCs/>
        </w:rPr>
        <w:t>”.</w:t>
      </w:r>
    </w:p>
    <w:p w14:paraId="3E20BAE3" w14:textId="77777777" w:rsidR="00F10D98" w:rsidRPr="00D773F7" w:rsidRDefault="00F10D98" w:rsidP="00F10D98">
      <w:pPr>
        <w:pStyle w:val="SingleTxtG"/>
        <w:rPr>
          <w:rFonts w:asciiTheme="majorBidi" w:hAnsiTheme="majorBidi" w:cstheme="majorBidi"/>
        </w:rPr>
      </w:pPr>
      <w:r w:rsidRPr="00D773F7">
        <w:rPr>
          <w:rFonts w:asciiTheme="majorBidi" w:hAnsiTheme="majorBidi" w:cstheme="majorBidi"/>
        </w:rPr>
        <w:t>3.3.1.3 and 3.3.1.4</w:t>
      </w:r>
      <w:r w:rsidRPr="00D773F7">
        <w:rPr>
          <w:rFonts w:asciiTheme="majorBidi" w:hAnsiTheme="majorBidi" w:cstheme="majorBidi"/>
        </w:rPr>
        <w:tab/>
        <w:t>Insert the following two new paragraphs:</w:t>
      </w:r>
    </w:p>
    <w:p w14:paraId="08AE715B" w14:textId="1079BCB7" w:rsidR="00F10D98" w:rsidRPr="00D773F7" w:rsidRDefault="00F10D98" w:rsidP="00F10D98">
      <w:pPr>
        <w:pStyle w:val="SingleTxtG"/>
        <w:ind w:left="2268"/>
        <w:rPr>
          <w:rFonts w:asciiTheme="majorBidi" w:hAnsiTheme="majorBidi" w:cstheme="majorBidi"/>
        </w:rPr>
      </w:pPr>
      <w:bookmarkStart w:id="2" w:name="_Hlk69397739"/>
      <w:r w:rsidRPr="00D773F7">
        <w:rPr>
          <w:rFonts w:asciiTheme="majorBidi" w:eastAsiaTheme="minorHAnsi" w:hAnsiTheme="majorBidi" w:cstheme="majorBidi"/>
        </w:rPr>
        <w:t>“</w:t>
      </w:r>
      <w:r w:rsidRPr="00D773F7">
        <w:rPr>
          <w:rFonts w:asciiTheme="majorBidi" w:hAnsiTheme="majorBidi" w:cstheme="majorBidi"/>
        </w:rPr>
        <w:t>3.3.1.3</w:t>
      </w:r>
      <w:r w:rsidRPr="00D773F7">
        <w:rPr>
          <w:rFonts w:asciiTheme="majorBidi" w:hAnsiTheme="majorBidi" w:cstheme="majorBidi"/>
        </w:rPr>
        <w:tab/>
        <w:t xml:space="preserve">A </w:t>
      </w:r>
      <w:r w:rsidRPr="00BC42F9">
        <w:rPr>
          <w:rFonts w:asciiTheme="majorBidi" w:hAnsiTheme="majorBidi" w:cstheme="majorBidi"/>
          <w:iCs/>
        </w:rPr>
        <w:t>tiered approach</w:t>
      </w:r>
      <w:r w:rsidRPr="00D773F7">
        <w:rPr>
          <w:rFonts w:asciiTheme="majorBidi" w:hAnsiTheme="majorBidi" w:cstheme="majorBidi"/>
        </w:rPr>
        <w:t xml:space="preserve"> (see 3.3.2.10) organizes the available information into levels/tiers and provides for decision-making in a structured and sequential manner. Classification results directly when the information consistently satisfies the criteria. However, where the available information gives inconsistent and/or conflicting results within a tier, classification of a substance or a mixture is made on the basis of the weight of evidence within that tier. In some cases when information from different tiers gives inconsistent and/or conflicting results (see 3.3.2.10.3) or where data individually are insufficient to conclude on the classification, an overall weight of evidence assessment is used (see 1.3.2.4.9, 3.3.2.9 and 3.3.5.3.1).</w:t>
      </w:r>
    </w:p>
    <w:p w14:paraId="273F7033" w14:textId="0B74BAB6" w:rsidR="00F10D98" w:rsidRPr="00D773F7" w:rsidRDefault="00F10D98" w:rsidP="00F10D98">
      <w:pPr>
        <w:pStyle w:val="SingleTxtG"/>
        <w:ind w:left="2268"/>
        <w:rPr>
          <w:rFonts w:asciiTheme="majorBidi" w:hAnsiTheme="majorBidi" w:cstheme="majorBidi"/>
        </w:rPr>
      </w:pPr>
      <w:r w:rsidRPr="00D773F7">
        <w:rPr>
          <w:rFonts w:asciiTheme="majorBidi" w:hAnsiTheme="majorBidi" w:cstheme="majorBidi"/>
        </w:rPr>
        <w:t>3.3.1.4</w:t>
      </w:r>
      <w:r w:rsidRPr="00D773F7">
        <w:rPr>
          <w:rFonts w:asciiTheme="majorBidi" w:hAnsiTheme="majorBidi" w:cstheme="majorBidi"/>
        </w:rPr>
        <w:tab/>
      </w:r>
      <w:r w:rsidRPr="00D773F7">
        <w:rPr>
          <w:rFonts w:asciiTheme="majorBidi" w:hAnsiTheme="majorBidi" w:cstheme="majorBidi"/>
        </w:rPr>
        <w:tab/>
      </w:r>
      <w:r w:rsidR="00477D71" w:rsidRPr="00D773F7">
        <w:rPr>
          <w:rFonts w:asciiTheme="majorBidi" w:hAnsiTheme="majorBidi" w:cstheme="majorBidi"/>
        </w:rPr>
        <w:tab/>
      </w:r>
      <w:r w:rsidRPr="00D773F7">
        <w:rPr>
          <w:rFonts w:asciiTheme="majorBidi" w:hAnsiTheme="majorBidi" w:cstheme="majorBidi"/>
        </w:rPr>
        <w:t>Guidance on the interpretation of criteria and references to relevant guidance documents are provided in 3.3.5.3.”.</w:t>
      </w:r>
    </w:p>
    <w:bookmarkEnd w:id="2"/>
    <w:p w14:paraId="736ABB07" w14:textId="45AF65D6" w:rsidR="00477D71" w:rsidRPr="00D773F7" w:rsidRDefault="00F10D98" w:rsidP="00F10D98">
      <w:pPr>
        <w:pStyle w:val="SingleTxtG"/>
        <w:ind w:left="2268" w:hanging="1134"/>
        <w:rPr>
          <w:rFonts w:asciiTheme="majorBidi" w:hAnsiTheme="majorBidi" w:cstheme="majorBidi"/>
        </w:rPr>
      </w:pPr>
      <w:r w:rsidRPr="00D773F7">
        <w:rPr>
          <w:rFonts w:asciiTheme="majorBidi" w:hAnsiTheme="majorBidi" w:cstheme="majorBidi"/>
        </w:rPr>
        <w:t>3.3.2</w:t>
      </w:r>
      <w:r w:rsidRPr="00D773F7">
        <w:rPr>
          <w:rFonts w:asciiTheme="majorBidi" w:hAnsiTheme="majorBidi" w:cstheme="majorBidi"/>
        </w:rPr>
        <w:tab/>
      </w:r>
      <w:r w:rsidRPr="00D773F7">
        <w:rPr>
          <w:rFonts w:asciiTheme="majorBidi" w:hAnsiTheme="majorBidi" w:cstheme="majorBidi"/>
        </w:rPr>
        <w:tab/>
      </w:r>
      <w:r w:rsidR="00B7772A" w:rsidRPr="00D773F7">
        <w:rPr>
          <w:rFonts w:asciiTheme="majorBidi" w:hAnsiTheme="majorBidi" w:cstheme="majorBidi"/>
        </w:rPr>
        <w:t>D</w:t>
      </w:r>
      <w:r w:rsidR="006045BD" w:rsidRPr="00D773F7">
        <w:rPr>
          <w:rFonts w:asciiTheme="majorBidi" w:hAnsiTheme="majorBidi" w:cstheme="majorBidi"/>
        </w:rPr>
        <w:t xml:space="preserve">elete </w:t>
      </w:r>
      <w:r w:rsidRPr="00D773F7">
        <w:rPr>
          <w:rFonts w:asciiTheme="majorBidi" w:hAnsiTheme="majorBidi" w:cstheme="majorBidi"/>
        </w:rPr>
        <w:t xml:space="preserve">“(see </w:t>
      </w:r>
      <w:r w:rsidR="001806B2" w:rsidRPr="00D773F7">
        <w:rPr>
          <w:rFonts w:asciiTheme="majorBidi" w:hAnsiTheme="majorBidi" w:cstheme="majorBidi"/>
        </w:rPr>
        <w:t>t</w:t>
      </w:r>
      <w:r w:rsidRPr="00D773F7">
        <w:rPr>
          <w:rFonts w:asciiTheme="majorBidi" w:hAnsiTheme="majorBidi" w:cstheme="majorBidi"/>
        </w:rPr>
        <w:t>able 3.3.1)”</w:t>
      </w:r>
      <w:r w:rsidR="00153FBA" w:rsidRPr="00D773F7">
        <w:rPr>
          <w:rFonts w:asciiTheme="majorBidi" w:hAnsiTheme="majorBidi" w:cstheme="majorBidi"/>
        </w:rPr>
        <w:t xml:space="preserve"> in sub-paragraph (a)</w:t>
      </w:r>
      <w:r w:rsidRPr="00D773F7">
        <w:rPr>
          <w:rFonts w:asciiTheme="majorBidi" w:hAnsiTheme="majorBidi" w:cstheme="majorBidi"/>
        </w:rPr>
        <w:t xml:space="preserve"> </w:t>
      </w:r>
      <w:r w:rsidR="00527E52" w:rsidRPr="00D773F7">
        <w:rPr>
          <w:rFonts w:asciiTheme="majorBidi" w:hAnsiTheme="majorBidi" w:cstheme="majorBidi"/>
        </w:rPr>
        <w:t xml:space="preserve">and </w:t>
      </w:r>
      <w:r w:rsidR="00B7772A" w:rsidRPr="00D773F7">
        <w:rPr>
          <w:rFonts w:asciiTheme="majorBidi" w:hAnsiTheme="majorBidi" w:cstheme="majorBidi"/>
        </w:rPr>
        <w:t xml:space="preserve">“(see </w:t>
      </w:r>
      <w:r w:rsidR="001806B2" w:rsidRPr="00D773F7">
        <w:rPr>
          <w:rFonts w:asciiTheme="majorBidi" w:hAnsiTheme="majorBidi" w:cstheme="majorBidi"/>
        </w:rPr>
        <w:t>t</w:t>
      </w:r>
      <w:r w:rsidR="00B7772A" w:rsidRPr="00D773F7">
        <w:rPr>
          <w:rFonts w:asciiTheme="majorBidi" w:hAnsiTheme="majorBidi" w:cstheme="majorBidi"/>
        </w:rPr>
        <w:t xml:space="preserve">able 3.3.2)” </w:t>
      </w:r>
      <w:r w:rsidRPr="00D773F7">
        <w:rPr>
          <w:rFonts w:asciiTheme="majorBidi" w:hAnsiTheme="majorBidi" w:cstheme="majorBidi"/>
        </w:rPr>
        <w:t>in sub-paragraph (b) and in the last sentence.</w:t>
      </w:r>
    </w:p>
    <w:p w14:paraId="7B320570" w14:textId="1F15CD72" w:rsidR="00396239" w:rsidRPr="00D773F7" w:rsidRDefault="00396239" w:rsidP="007C30E3">
      <w:pPr>
        <w:pStyle w:val="SingleTxtG"/>
        <w:ind w:left="2268" w:hanging="1134"/>
        <w:rPr>
          <w:rFonts w:asciiTheme="majorBidi" w:hAnsiTheme="majorBidi" w:cstheme="majorBidi"/>
        </w:rPr>
      </w:pPr>
      <w:r w:rsidRPr="00D773F7">
        <w:rPr>
          <w:rFonts w:asciiTheme="majorBidi" w:hAnsiTheme="majorBidi" w:cstheme="majorBidi"/>
        </w:rPr>
        <w:t>3.3.2.1</w:t>
      </w:r>
      <w:r w:rsidRPr="00D773F7">
        <w:rPr>
          <w:rFonts w:asciiTheme="majorBidi" w:hAnsiTheme="majorBidi" w:cstheme="majorBidi"/>
        </w:rPr>
        <w:tab/>
      </w:r>
      <w:r w:rsidRPr="00D773F7">
        <w:rPr>
          <w:rFonts w:asciiTheme="majorBidi" w:hAnsiTheme="majorBidi" w:cstheme="majorBidi"/>
        </w:rPr>
        <w:tab/>
      </w:r>
      <w:r w:rsidR="009966DF" w:rsidRPr="00D773F7">
        <w:rPr>
          <w:rFonts w:asciiTheme="majorBidi" w:hAnsiTheme="majorBidi" w:cstheme="majorBidi"/>
        </w:rPr>
        <w:t>Delete the heading “</w:t>
      </w:r>
      <w:r w:rsidR="00AD7E41" w:rsidRPr="00D773F7">
        <w:rPr>
          <w:rFonts w:asciiTheme="majorBidi" w:hAnsiTheme="majorBidi" w:cstheme="majorBidi"/>
          <w:i/>
        </w:rPr>
        <w:t>Classification based on standard animal test data”</w:t>
      </w:r>
    </w:p>
    <w:p w14:paraId="2FC8BFF7" w14:textId="3660705B" w:rsidR="00F10D98" w:rsidRPr="00D773F7" w:rsidRDefault="00F10D98" w:rsidP="00F10D98">
      <w:pPr>
        <w:pStyle w:val="SingleTxtG"/>
        <w:ind w:left="2268" w:hanging="1134"/>
        <w:rPr>
          <w:rFonts w:asciiTheme="majorBidi" w:hAnsiTheme="majorBidi" w:cstheme="majorBidi"/>
        </w:rPr>
      </w:pPr>
      <w:r w:rsidRPr="00D773F7">
        <w:rPr>
          <w:rFonts w:asciiTheme="majorBidi" w:hAnsiTheme="majorBidi" w:cstheme="majorBidi"/>
        </w:rPr>
        <w:t>3.3.2.1 and 3.3.2.2 (new)</w:t>
      </w:r>
      <w:r w:rsidRPr="00D773F7">
        <w:rPr>
          <w:rFonts w:asciiTheme="majorBidi" w:hAnsiTheme="majorBidi" w:cstheme="majorBidi"/>
        </w:rPr>
        <w:tab/>
        <w:t>Insert the following new paragraphs:</w:t>
      </w:r>
    </w:p>
    <w:p w14:paraId="4379278B" w14:textId="6B0D0B86" w:rsidR="00F10D98" w:rsidRPr="00D773F7" w:rsidRDefault="00F10D98" w:rsidP="00F10D98">
      <w:pPr>
        <w:pStyle w:val="SingleTxtG"/>
        <w:tabs>
          <w:tab w:val="left" w:pos="3402"/>
        </w:tabs>
        <w:ind w:left="2268"/>
        <w:rPr>
          <w:rFonts w:asciiTheme="majorBidi" w:hAnsiTheme="majorBidi" w:cstheme="majorBidi"/>
          <w:b/>
          <w:bCs/>
          <w:i/>
          <w:iCs/>
        </w:rPr>
      </w:pPr>
      <w:r w:rsidRPr="00D773F7">
        <w:rPr>
          <w:rFonts w:asciiTheme="majorBidi" w:hAnsiTheme="majorBidi" w:cstheme="majorBidi"/>
        </w:rPr>
        <w:t>“</w:t>
      </w:r>
      <w:r w:rsidRPr="00D773F7">
        <w:rPr>
          <w:rFonts w:asciiTheme="majorBidi" w:hAnsiTheme="majorBidi" w:cstheme="majorBidi"/>
          <w:b/>
          <w:bCs/>
        </w:rPr>
        <w:t>3.3.2.1</w:t>
      </w:r>
      <w:r w:rsidRPr="00D773F7">
        <w:rPr>
          <w:rFonts w:asciiTheme="majorBidi" w:hAnsiTheme="majorBidi" w:cstheme="majorBidi"/>
        </w:rPr>
        <w:tab/>
      </w:r>
      <w:r w:rsidRPr="00D773F7">
        <w:rPr>
          <w:rFonts w:asciiTheme="majorBidi" w:hAnsiTheme="majorBidi" w:cstheme="majorBidi"/>
          <w:b/>
          <w:bCs/>
          <w:i/>
          <w:iCs/>
        </w:rPr>
        <w:t>Classification based on human data (</w:t>
      </w:r>
      <w:r w:rsidR="00123673" w:rsidRPr="00D773F7">
        <w:rPr>
          <w:rFonts w:asciiTheme="majorBidi" w:hAnsiTheme="majorBidi" w:cstheme="majorBidi"/>
          <w:b/>
          <w:bCs/>
          <w:i/>
          <w:iCs/>
        </w:rPr>
        <w:t>t</w:t>
      </w:r>
      <w:r w:rsidRPr="00D773F7">
        <w:rPr>
          <w:rFonts w:asciiTheme="majorBidi" w:hAnsiTheme="majorBidi" w:cstheme="majorBidi"/>
          <w:b/>
          <w:bCs/>
          <w:i/>
          <w:iCs/>
        </w:rPr>
        <w:t xml:space="preserve">ier 1 in </w:t>
      </w:r>
      <w:r w:rsidR="00D5525A" w:rsidRPr="00D773F7">
        <w:rPr>
          <w:rFonts w:asciiTheme="majorBidi" w:hAnsiTheme="majorBidi" w:cstheme="majorBidi"/>
          <w:b/>
          <w:bCs/>
          <w:i/>
          <w:iCs/>
        </w:rPr>
        <w:t>f</w:t>
      </w:r>
      <w:r w:rsidRPr="00D773F7">
        <w:rPr>
          <w:rFonts w:asciiTheme="majorBidi" w:hAnsiTheme="majorBidi" w:cstheme="majorBidi"/>
          <w:b/>
          <w:bCs/>
          <w:i/>
          <w:iCs/>
        </w:rPr>
        <w:t>igure 3.3.1)</w:t>
      </w:r>
    </w:p>
    <w:p w14:paraId="19EEDDE9" w14:textId="77777777" w:rsidR="00F10D98" w:rsidRPr="00D773F7" w:rsidRDefault="00F10D98" w:rsidP="001A0284">
      <w:pPr>
        <w:pStyle w:val="SingleTxtG"/>
        <w:tabs>
          <w:tab w:val="clear" w:pos="2268"/>
          <w:tab w:val="clear" w:pos="2835"/>
          <w:tab w:val="left" w:pos="3402"/>
        </w:tabs>
        <w:ind w:left="2268"/>
        <w:rPr>
          <w:rFonts w:asciiTheme="majorBidi" w:hAnsiTheme="majorBidi" w:cstheme="majorBidi"/>
        </w:rPr>
      </w:pPr>
      <w:r w:rsidRPr="00D773F7">
        <w:rPr>
          <w:rFonts w:asciiTheme="majorBidi" w:hAnsiTheme="majorBidi" w:cstheme="majorBidi"/>
        </w:rPr>
        <w:tab/>
        <w:t>Existing reliable and good quality human data on serious eye damage/eye irritation should be given high weight where relevant for classification (see 3.3.5.3.2) and should be the first line of evaluation, as this gives information directly relevant to effects on the eye. Existing human data could be derived from single or repeated exposure(s), for example in occupational, consumer, transport or emergency response scenarios and epidemiological and clinical studies in well-documented case reports and observations (see 1.1.2.5 (c), 1.3.2.4.7 and 1.3.2.4.9). Although human data from accident or poison centre databases can provide evidence for classification, absence of incidents is not itself evidence for no classification, as exposures are generally unknown or uncertain.</w:t>
      </w:r>
    </w:p>
    <w:p w14:paraId="7BC3E206" w14:textId="408ACDD0" w:rsidR="00F10D98" w:rsidRPr="00D773F7" w:rsidRDefault="00F10D98" w:rsidP="00F10D98">
      <w:pPr>
        <w:pStyle w:val="SingleTxtG"/>
        <w:tabs>
          <w:tab w:val="left" w:pos="3402"/>
        </w:tabs>
        <w:ind w:left="2268"/>
        <w:rPr>
          <w:rFonts w:asciiTheme="majorBidi" w:hAnsiTheme="majorBidi" w:cstheme="majorBidi"/>
          <w:b/>
          <w:i/>
          <w:iCs/>
        </w:rPr>
      </w:pPr>
      <w:r w:rsidRPr="00D773F7">
        <w:rPr>
          <w:rFonts w:asciiTheme="majorBidi" w:hAnsiTheme="majorBidi" w:cstheme="majorBidi"/>
          <w:b/>
        </w:rPr>
        <w:t>3.3.2.2</w:t>
      </w:r>
      <w:r w:rsidRPr="00D773F7">
        <w:rPr>
          <w:rFonts w:asciiTheme="majorBidi" w:hAnsiTheme="majorBidi" w:cstheme="majorBidi"/>
          <w:b/>
        </w:rPr>
        <w:tab/>
      </w:r>
      <w:r w:rsidR="00477D71" w:rsidRPr="00D773F7">
        <w:rPr>
          <w:rFonts w:asciiTheme="majorBidi" w:hAnsiTheme="majorBidi" w:cstheme="majorBidi"/>
          <w:b/>
        </w:rPr>
        <w:tab/>
      </w:r>
      <w:r w:rsidRPr="00D773F7">
        <w:rPr>
          <w:rFonts w:asciiTheme="majorBidi" w:hAnsiTheme="majorBidi" w:cstheme="majorBidi"/>
          <w:b/>
          <w:i/>
          <w:iCs/>
        </w:rPr>
        <w:t>Classification based on standard animal data (</w:t>
      </w:r>
      <w:r w:rsidR="00123673" w:rsidRPr="00D773F7">
        <w:rPr>
          <w:rFonts w:asciiTheme="majorBidi" w:hAnsiTheme="majorBidi" w:cstheme="majorBidi"/>
          <w:b/>
          <w:i/>
          <w:iCs/>
        </w:rPr>
        <w:t>t</w:t>
      </w:r>
      <w:r w:rsidRPr="00D773F7">
        <w:rPr>
          <w:rFonts w:asciiTheme="majorBidi" w:hAnsiTheme="majorBidi" w:cstheme="majorBidi"/>
          <w:b/>
          <w:i/>
          <w:iCs/>
        </w:rPr>
        <w:t xml:space="preserve">ier 1 in </w:t>
      </w:r>
      <w:r w:rsidR="00D5525A" w:rsidRPr="00D773F7">
        <w:rPr>
          <w:rFonts w:asciiTheme="majorBidi" w:hAnsiTheme="majorBidi" w:cstheme="majorBidi"/>
          <w:b/>
          <w:i/>
          <w:iCs/>
        </w:rPr>
        <w:t>f</w:t>
      </w:r>
      <w:r w:rsidRPr="00D773F7">
        <w:rPr>
          <w:rFonts w:asciiTheme="majorBidi" w:hAnsiTheme="majorBidi" w:cstheme="majorBidi"/>
          <w:b/>
          <w:i/>
          <w:iCs/>
        </w:rPr>
        <w:t>igure 3.3.1)</w:t>
      </w:r>
    </w:p>
    <w:p w14:paraId="24C2EABB" w14:textId="5D1EA969" w:rsidR="00F10D98" w:rsidRPr="00D773F7" w:rsidRDefault="00F10D98" w:rsidP="00F10D98">
      <w:pPr>
        <w:pStyle w:val="SingleTxtG"/>
        <w:tabs>
          <w:tab w:val="left" w:pos="3402"/>
        </w:tabs>
        <w:ind w:left="2268"/>
        <w:rPr>
          <w:rFonts w:asciiTheme="majorBidi" w:hAnsiTheme="majorBidi" w:cstheme="majorBidi"/>
        </w:rPr>
      </w:pPr>
      <w:r w:rsidRPr="00D773F7">
        <w:rPr>
          <w:rFonts w:asciiTheme="majorBidi" w:hAnsiTheme="majorBidi" w:cstheme="majorBidi"/>
        </w:rPr>
        <w:tab/>
      </w:r>
      <w:r w:rsidR="00477D71" w:rsidRPr="00D773F7">
        <w:rPr>
          <w:rFonts w:asciiTheme="majorBidi" w:hAnsiTheme="majorBidi" w:cstheme="majorBidi"/>
        </w:rPr>
        <w:tab/>
      </w:r>
      <w:r w:rsidRPr="00D773F7">
        <w:rPr>
          <w:rFonts w:asciiTheme="majorBidi" w:hAnsiTheme="majorBidi" w:cstheme="majorBidi"/>
        </w:rPr>
        <w:t xml:space="preserve">OECD Test Guideline 405 is the currently available and internationally accepted animal test method for classification as serious eye damage or eye irritant (see </w:t>
      </w:r>
      <w:r w:rsidR="00936C52" w:rsidRPr="00D773F7">
        <w:rPr>
          <w:rFonts w:asciiTheme="majorBidi" w:hAnsiTheme="majorBidi" w:cstheme="majorBidi"/>
        </w:rPr>
        <w:t>t</w:t>
      </w:r>
      <w:r w:rsidRPr="00D773F7">
        <w:rPr>
          <w:rFonts w:asciiTheme="majorBidi" w:hAnsiTheme="majorBidi" w:cstheme="majorBidi"/>
        </w:rPr>
        <w:t xml:space="preserve">ables 3.3.1 and 3.3.2, respectively) and is the standard animal test. The current version of OECD Test Guideline 405 uses a maximum of </w:t>
      </w:r>
      <w:r w:rsidR="008221F7" w:rsidRPr="00D773F7">
        <w:rPr>
          <w:rFonts w:asciiTheme="majorBidi" w:hAnsiTheme="majorBidi" w:cstheme="majorBidi"/>
        </w:rPr>
        <w:t>three</w:t>
      </w:r>
      <w:r w:rsidRPr="00D773F7">
        <w:rPr>
          <w:rFonts w:asciiTheme="majorBidi" w:hAnsiTheme="majorBidi" w:cstheme="majorBidi"/>
        </w:rPr>
        <w:t xml:space="preserve"> animals. Results from animal studies conducted under previous versions of OECD Test Guideline 405 that used more than </w:t>
      </w:r>
      <w:r w:rsidR="004F4D59" w:rsidRPr="00D773F7">
        <w:rPr>
          <w:rFonts w:asciiTheme="majorBidi" w:hAnsiTheme="majorBidi" w:cstheme="majorBidi"/>
        </w:rPr>
        <w:t>three</w:t>
      </w:r>
      <w:r w:rsidRPr="00D773F7">
        <w:rPr>
          <w:rFonts w:asciiTheme="majorBidi" w:hAnsiTheme="majorBidi" w:cstheme="majorBidi"/>
        </w:rPr>
        <w:t xml:space="preserve"> animals are also considered standard animal tests when interpreted in accordance with 3.3.5.3.3.”.</w:t>
      </w:r>
    </w:p>
    <w:p w14:paraId="64B3C6CC" w14:textId="3E917C78" w:rsidR="00F10D98" w:rsidRPr="00D773F7" w:rsidRDefault="00F10D98" w:rsidP="00F10D98">
      <w:pPr>
        <w:pStyle w:val="SingleTxtG"/>
        <w:ind w:left="2268" w:hanging="1134"/>
        <w:rPr>
          <w:rFonts w:asciiTheme="majorBidi" w:hAnsiTheme="majorBidi" w:cstheme="majorBidi"/>
        </w:rPr>
      </w:pPr>
      <w:r w:rsidRPr="00D773F7">
        <w:rPr>
          <w:rFonts w:asciiTheme="majorBidi" w:hAnsiTheme="majorBidi" w:cstheme="majorBidi"/>
        </w:rPr>
        <w:t>3.3.2.1.1 to 3.3.2.1.2.3</w:t>
      </w:r>
      <w:r w:rsidRPr="00D773F7">
        <w:rPr>
          <w:rFonts w:asciiTheme="majorBidi" w:hAnsiTheme="majorBidi" w:cstheme="majorBidi"/>
        </w:rPr>
        <w:tab/>
        <w:t>Current paragraphs 3.3.2.1.1 to 3.3.2.1.2.3 become new paragraphs 3.3.2.2.1 to 3.3.2.2.2.3.</w:t>
      </w:r>
    </w:p>
    <w:p w14:paraId="5FDE6928" w14:textId="77777777" w:rsidR="00F10D98" w:rsidRPr="00D773F7" w:rsidRDefault="00F10D98" w:rsidP="00F10D98">
      <w:pPr>
        <w:pStyle w:val="SingleTxtG"/>
        <w:ind w:left="2268" w:hanging="1134"/>
        <w:rPr>
          <w:rFonts w:asciiTheme="majorBidi" w:hAnsiTheme="majorBidi" w:cstheme="majorBidi"/>
        </w:rPr>
      </w:pPr>
      <w:r w:rsidRPr="00D773F7">
        <w:rPr>
          <w:rFonts w:asciiTheme="majorBidi" w:hAnsiTheme="majorBidi" w:cstheme="majorBidi"/>
        </w:rPr>
        <w:t>Table 3.3.1</w:t>
      </w:r>
      <w:r w:rsidRPr="00D773F7">
        <w:rPr>
          <w:rFonts w:asciiTheme="majorBidi" w:hAnsiTheme="majorBidi" w:cstheme="majorBidi"/>
        </w:rPr>
        <w:tab/>
        <w:t xml:space="preserve">Delete note “a”. Current notes “b” and “c” become “a” and “b” respectively. </w:t>
      </w:r>
    </w:p>
    <w:p w14:paraId="727516B1" w14:textId="2CC31F43" w:rsidR="00F10D98" w:rsidRPr="00D773F7" w:rsidRDefault="00F10D98" w:rsidP="00F10D98">
      <w:pPr>
        <w:pStyle w:val="SingleTxtG"/>
        <w:ind w:left="2268"/>
        <w:rPr>
          <w:rFonts w:asciiTheme="majorBidi" w:hAnsiTheme="majorBidi" w:cstheme="majorBidi"/>
        </w:rPr>
      </w:pPr>
      <w:r w:rsidRPr="00D773F7">
        <w:rPr>
          <w:rFonts w:asciiTheme="majorBidi" w:hAnsiTheme="majorBidi" w:cstheme="majorBidi"/>
        </w:rPr>
        <w:t>In note “b” replace “3.3.5.3” with “3.3.5.3.3”.</w:t>
      </w:r>
    </w:p>
    <w:p w14:paraId="10F48B7A" w14:textId="54931CC3" w:rsidR="00F10D98" w:rsidRPr="00D773F7" w:rsidRDefault="00F10D98" w:rsidP="00F10D98">
      <w:pPr>
        <w:pStyle w:val="SingleTxtG"/>
        <w:tabs>
          <w:tab w:val="left" w:pos="4253"/>
        </w:tabs>
        <w:ind w:left="2268" w:hanging="1134"/>
        <w:rPr>
          <w:rFonts w:asciiTheme="majorBidi" w:hAnsiTheme="majorBidi" w:cstheme="majorBidi"/>
        </w:rPr>
      </w:pPr>
      <w:r w:rsidRPr="00D773F7">
        <w:rPr>
          <w:rFonts w:asciiTheme="majorBidi" w:hAnsiTheme="majorBidi" w:cstheme="majorBidi"/>
        </w:rPr>
        <w:t>3.3.2.2.2.1 (new, former 3.3.2.1.2.1)</w:t>
      </w:r>
      <w:r w:rsidRPr="00D773F7">
        <w:rPr>
          <w:rFonts w:asciiTheme="majorBidi" w:hAnsiTheme="majorBidi" w:cstheme="majorBidi"/>
        </w:rPr>
        <w:tab/>
        <w:t xml:space="preserve"> In the last sentence replace “chemical” with “substance”.</w:t>
      </w:r>
    </w:p>
    <w:p w14:paraId="10976E83" w14:textId="78FBCA27" w:rsidR="00F10D98" w:rsidRPr="00D773F7" w:rsidRDefault="00F10D98" w:rsidP="00F10D98">
      <w:pPr>
        <w:pStyle w:val="SingleTxtG"/>
        <w:tabs>
          <w:tab w:val="left" w:pos="4253"/>
        </w:tabs>
        <w:ind w:left="2268" w:hanging="1134"/>
        <w:rPr>
          <w:rFonts w:asciiTheme="majorBidi" w:hAnsiTheme="majorBidi" w:cstheme="majorBidi"/>
        </w:rPr>
      </w:pPr>
      <w:r w:rsidRPr="00D773F7">
        <w:rPr>
          <w:rFonts w:asciiTheme="majorBidi" w:hAnsiTheme="majorBidi" w:cstheme="majorBidi"/>
        </w:rPr>
        <w:t>3.3.2.</w:t>
      </w:r>
      <w:r w:rsidR="00C313E8" w:rsidRPr="00D773F7">
        <w:rPr>
          <w:rFonts w:asciiTheme="majorBidi" w:hAnsiTheme="majorBidi" w:cstheme="majorBidi"/>
        </w:rPr>
        <w:t>2</w:t>
      </w:r>
      <w:r w:rsidRPr="00D773F7">
        <w:rPr>
          <w:rFonts w:asciiTheme="majorBidi" w:hAnsiTheme="majorBidi" w:cstheme="majorBidi"/>
        </w:rPr>
        <w:t xml:space="preserve">.2.2 (new, former 3.3.2.1.2.2) </w:t>
      </w:r>
      <w:r w:rsidRPr="00D773F7">
        <w:rPr>
          <w:rFonts w:asciiTheme="majorBidi" w:hAnsiTheme="majorBidi" w:cstheme="majorBidi"/>
        </w:rPr>
        <w:tab/>
        <w:t>Replace “categories 2A and 2B” with “Category 2A and Category 2B”.</w:t>
      </w:r>
    </w:p>
    <w:p w14:paraId="1C774AFE" w14:textId="597A22B9" w:rsidR="00F10D98" w:rsidRPr="00D773F7" w:rsidRDefault="00F10D98" w:rsidP="00F10D98">
      <w:pPr>
        <w:pStyle w:val="SingleTxtG"/>
        <w:ind w:left="2268" w:hanging="1134"/>
        <w:rPr>
          <w:rFonts w:asciiTheme="majorBidi" w:hAnsiTheme="majorBidi" w:cstheme="majorBidi"/>
        </w:rPr>
      </w:pPr>
      <w:r w:rsidRPr="00D773F7">
        <w:rPr>
          <w:rFonts w:asciiTheme="majorBidi" w:hAnsiTheme="majorBidi" w:cstheme="majorBidi"/>
        </w:rPr>
        <w:t>Table 3.3.2</w:t>
      </w:r>
      <w:r w:rsidRPr="00D773F7">
        <w:rPr>
          <w:rFonts w:asciiTheme="majorBidi" w:hAnsiTheme="majorBidi" w:cstheme="majorBidi"/>
        </w:rPr>
        <w:tab/>
        <w:t xml:space="preserve">Delete note “a”. Current notes “b” and “c” become “a” and “b” respectively. </w:t>
      </w:r>
    </w:p>
    <w:p w14:paraId="2784BCFB" w14:textId="77777777" w:rsidR="00F10D98" w:rsidRPr="00D773F7" w:rsidRDefault="00F10D98" w:rsidP="00F10D98">
      <w:pPr>
        <w:pStyle w:val="SingleTxtG"/>
        <w:ind w:left="2268"/>
        <w:rPr>
          <w:rFonts w:asciiTheme="majorBidi" w:hAnsiTheme="majorBidi" w:cstheme="majorBidi"/>
        </w:rPr>
      </w:pPr>
      <w:r w:rsidRPr="00D773F7">
        <w:rPr>
          <w:rFonts w:asciiTheme="majorBidi" w:hAnsiTheme="majorBidi" w:cstheme="majorBidi"/>
        </w:rPr>
        <w:t>In note “b”, replace “3.3.5.3” with “3.3.5.3.3.”.</w:t>
      </w:r>
    </w:p>
    <w:p w14:paraId="58EB9735" w14:textId="6B59F127" w:rsidR="00F10D98" w:rsidRPr="00D773F7" w:rsidRDefault="00F10D98" w:rsidP="00F10D98">
      <w:pPr>
        <w:pStyle w:val="SingleTxtG"/>
        <w:tabs>
          <w:tab w:val="left" w:pos="5670"/>
        </w:tabs>
        <w:rPr>
          <w:rFonts w:asciiTheme="majorBidi" w:hAnsiTheme="majorBidi" w:cstheme="majorBidi"/>
        </w:rPr>
      </w:pPr>
      <w:r w:rsidRPr="00D773F7">
        <w:rPr>
          <w:rFonts w:asciiTheme="majorBidi" w:hAnsiTheme="majorBidi" w:cstheme="majorBidi"/>
        </w:rPr>
        <w:lastRenderedPageBreak/>
        <w:t>3.3.2.3 to 3.3.2.9</w:t>
      </w:r>
      <w:r w:rsidR="00B95853" w:rsidRPr="00D773F7">
        <w:rPr>
          <w:rFonts w:asciiTheme="majorBidi" w:hAnsiTheme="majorBidi" w:cstheme="majorBidi"/>
        </w:rPr>
        <w:t xml:space="preserve"> (new) </w:t>
      </w:r>
      <w:r w:rsidRPr="00D773F7">
        <w:rPr>
          <w:rFonts w:asciiTheme="majorBidi" w:hAnsiTheme="majorBidi" w:cstheme="majorBidi"/>
        </w:rPr>
        <w:t xml:space="preserve">Insert the following new paragraphs </w:t>
      </w:r>
      <w:r w:rsidR="00DD6083" w:rsidRPr="00D773F7">
        <w:rPr>
          <w:rFonts w:asciiTheme="majorBidi" w:hAnsiTheme="majorBidi" w:cstheme="majorBidi"/>
        </w:rPr>
        <w:t>(</w:t>
      </w:r>
      <w:r w:rsidRPr="00D773F7">
        <w:rPr>
          <w:rFonts w:asciiTheme="majorBidi" w:hAnsiTheme="majorBidi" w:cstheme="majorBidi"/>
        </w:rPr>
        <w:t>and related footnotes 2 and 3)</w:t>
      </w:r>
      <w:r w:rsidR="0093658E" w:rsidRPr="00D773F7">
        <w:rPr>
          <w:rFonts w:asciiTheme="majorBidi" w:hAnsiTheme="majorBidi" w:cstheme="majorBidi"/>
        </w:rPr>
        <w:t>, after table 3.3.2</w:t>
      </w:r>
      <w:r w:rsidRPr="00D773F7">
        <w:rPr>
          <w:rFonts w:asciiTheme="majorBidi" w:hAnsiTheme="majorBidi" w:cstheme="majorBidi"/>
        </w:rPr>
        <w:t xml:space="preserve">: </w:t>
      </w:r>
    </w:p>
    <w:p w14:paraId="6114ACD6" w14:textId="1E486EC7" w:rsidR="00F10D98" w:rsidRPr="00D773F7" w:rsidRDefault="00F10D98" w:rsidP="00F10D98">
      <w:pPr>
        <w:pStyle w:val="SingleTxtG"/>
        <w:ind w:left="2268"/>
        <w:rPr>
          <w:rFonts w:asciiTheme="majorBidi" w:hAnsiTheme="majorBidi" w:cstheme="majorBidi"/>
          <w:b/>
          <w:i/>
        </w:rPr>
      </w:pPr>
      <w:r w:rsidRPr="00D773F7">
        <w:rPr>
          <w:rFonts w:asciiTheme="majorBidi" w:hAnsiTheme="majorBidi" w:cstheme="majorBidi"/>
          <w:b/>
        </w:rPr>
        <w:t>“3.3.2.3</w:t>
      </w:r>
      <w:r w:rsidRPr="00D773F7">
        <w:rPr>
          <w:rFonts w:asciiTheme="majorBidi" w:hAnsiTheme="majorBidi" w:cstheme="majorBidi"/>
          <w:b/>
        </w:rPr>
        <w:tab/>
      </w:r>
      <w:r w:rsidRPr="00D773F7">
        <w:rPr>
          <w:rFonts w:asciiTheme="majorBidi" w:hAnsiTheme="majorBidi" w:cstheme="majorBidi"/>
          <w:b/>
          <w:i/>
        </w:rPr>
        <w:t>Classification based on defined approaches (</w:t>
      </w:r>
      <w:r w:rsidR="00123673" w:rsidRPr="00D773F7">
        <w:rPr>
          <w:rFonts w:asciiTheme="majorBidi" w:hAnsiTheme="majorBidi" w:cstheme="majorBidi"/>
          <w:b/>
          <w:i/>
        </w:rPr>
        <w:t>t</w:t>
      </w:r>
      <w:r w:rsidRPr="00D773F7">
        <w:rPr>
          <w:rFonts w:asciiTheme="majorBidi" w:hAnsiTheme="majorBidi" w:cstheme="majorBidi"/>
          <w:b/>
          <w:i/>
        </w:rPr>
        <w:t xml:space="preserve">ier 2 in </w:t>
      </w:r>
      <w:r w:rsidR="00D5525A" w:rsidRPr="00D773F7">
        <w:rPr>
          <w:rFonts w:asciiTheme="majorBidi" w:hAnsiTheme="majorBidi" w:cstheme="majorBidi"/>
          <w:b/>
          <w:i/>
        </w:rPr>
        <w:t>f</w:t>
      </w:r>
      <w:r w:rsidRPr="00D773F7">
        <w:rPr>
          <w:rFonts w:asciiTheme="majorBidi" w:hAnsiTheme="majorBidi" w:cstheme="majorBidi"/>
          <w:b/>
          <w:i/>
        </w:rPr>
        <w:t>igure 3.3.1)</w:t>
      </w:r>
    </w:p>
    <w:p w14:paraId="71376CC0" w14:textId="451949E0" w:rsidR="00F10D98" w:rsidRPr="00D773F7" w:rsidRDefault="001C628A" w:rsidP="00F10D98">
      <w:pPr>
        <w:pStyle w:val="SingleTxtG"/>
        <w:tabs>
          <w:tab w:val="left" w:pos="3402"/>
        </w:tabs>
        <w:ind w:left="2268"/>
        <w:rPr>
          <w:rFonts w:asciiTheme="majorBidi" w:hAnsiTheme="majorBidi" w:cstheme="majorBidi"/>
        </w:rPr>
      </w:pPr>
      <w:r w:rsidRPr="00D773F7">
        <w:rPr>
          <w:rFonts w:asciiTheme="majorBidi" w:hAnsiTheme="majorBidi" w:cstheme="majorBidi"/>
        </w:rPr>
        <w:t>3.3.2.3.1</w:t>
      </w:r>
      <w:r w:rsidR="00F10D98" w:rsidRPr="00D773F7">
        <w:rPr>
          <w:rFonts w:asciiTheme="majorBidi" w:hAnsiTheme="majorBidi" w:cstheme="majorBidi"/>
        </w:rPr>
        <w:tab/>
      </w:r>
      <w:r w:rsidR="00477D71" w:rsidRPr="00D773F7">
        <w:rPr>
          <w:rFonts w:asciiTheme="majorBidi" w:hAnsiTheme="majorBidi" w:cstheme="majorBidi"/>
        </w:rPr>
        <w:tab/>
      </w:r>
      <w:r w:rsidR="00F10D98" w:rsidRPr="00D773F7">
        <w:rPr>
          <w:rFonts w:asciiTheme="majorBidi" w:hAnsiTheme="majorBidi" w:cstheme="majorBidi"/>
        </w:rPr>
        <w:t xml:space="preserve">Defined approaches consist of a rule-based combination of data obtained from a predefined set of different information sources (e.g. </w:t>
      </w:r>
      <w:r w:rsidR="00F10D98" w:rsidRPr="00D773F7">
        <w:rPr>
          <w:rFonts w:asciiTheme="majorBidi" w:hAnsiTheme="majorBidi" w:cstheme="majorBidi"/>
          <w:iCs/>
        </w:rPr>
        <w:t>in vitro</w:t>
      </w:r>
      <w:r w:rsidR="00F10D98" w:rsidRPr="00D773F7">
        <w:rPr>
          <w:rFonts w:asciiTheme="majorBidi" w:hAnsiTheme="majorBidi" w:cstheme="majorBidi"/>
          <w:i/>
        </w:rPr>
        <w:t xml:space="preserve"> </w:t>
      </w:r>
      <w:r w:rsidR="00F10D98" w:rsidRPr="00D773F7">
        <w:rPr>
          <w:rFonts w:asciiTheme="majorBidi" w:hAnsiTheme="majorBidi" w:cstheme="majorBidi"/>
        </w:rPr>
        <w:t xml:space="preserve">methods, </w:t>
      </w:r>
      <w:r w:rsidR="00F10D98" w:rsidRPr="00D773F7">
        <w:rPr>
          <w:rFonts w:asciiTheme="majorBidi" w:hAnsiTheme="majorBidi" w:cstheme="majorBidi"/>
          <w:i/>
        </w:rPr>
        <w:t>ex vivo</w:t>
      </w:r>
      <w:r w:rsidR="00F10D98" w:rsidRPr="00D773F7">
        <w:rPr>
          <w:rFonts w:asciiTheme="majorBidi" w:hAnsiTheme="majorBidi" w:cstheme="majorBidi"/>
        </w:rPr>
        <w:t xml:space="preserve"> methods, </w:t>
      </w:r>
      <w:proofErr w:type="spellStart"/>
      <w:r w:rsidR="00F10D98" w:rsidRPr="00D773F7">
        <w:rPr>
          <w:rFonts w:asciiTheme="majorBidi" w:hAnsiTheme="majorBidi" w:cstheme="majorBidi"/>
        </w:rPr>
        <w:t>physico</w:t>
      </w:r>
      <w:proofErr w:type="spellEnd"/>
      <w:r w:rsidR="00F10D98" w:rsidRPr="00D773F7">
        <w:rPr>
          <w:rFonts w:asciiTheme="majorBidi" w:hAnsiTheme="majorBidi" w:cstheme="majorBidi"/>
        </w:rPr>
        <w:t xml:space="preserve">-chemical properties, non-test methods). It is recognized that most single </w:t>
      </w:r>
      <w:r w:rsidR="00F10D98" w:rsidRPr="00D773F7">
        <w:rPr>
          <w:rFonts w:asciiTheme="majorBidi" w:hAnsiTheme="majorBidi" w:cstheme="majorBidi"/>
          <w:iCs/>
        </w:rPr>
        <w:t>in vitro</w:t>
      </w:r>
      <w:r w:rsidR="00F10D98" w:rsidRPr="00D773F7">
        <w:rPr>
          <w:rFonts w:asciiTheme="majorBidi" w:hAnsiTheme="majorBidi" w:cstheme="majorBidi"/>
        </w:rPr>
        <w:t>/</w:t>
      </w:r>
      <w:r w:rsidR="00F10D98" w:rsidRPr="00D773F7">
        <w:rPr>
          <w:rFonts w:asciiTheme="majorBidi" w:hAnsiTheme="majorBidi" w:cstheme="majorBidi"/>
          <w:i/>
        </w:rPr>
        <w:t>ex vivo</w:t>
      </w:r>
      <w:r w:rsidR="00F10D98" w:rsidRPr="00D773F7">
        <w:rPr>
          <w:rFonts w:asciiTheme="majorBidi" w:hAnsiTheme="majorBidi" w:cstheme="majorBidi"/>
        </w:rPr>
        <w:t xml:space="preserve"> methods are not able to replace </w:t>
      </w:r>
      <w:r w:rsidR="00F10D98" w:rsidRPr="00D773F7">
        <w:rPr>
          <w:rFonts w:asciiTheme="majorBidi" w:hAnsiTheme="majorBidi" w:cstheme="majorBidi"/>
          <w:iCs/>
        </w:rPr>
        <w:t>in vivo</w:t>
      </w:r>
      <w:r w:rsidR="00F10D98" w:rsidRPr="00D773F7">
        <w:rPr>
          <w:rFonts w:asciiTheme="majorBidi" w:hAnsiTheme="majorBidi" w:cstheme="majorBidi"/>
        </w:rPr>
        <w:t xml:space="preserve"> methods fully for most regulatory endpoints. Thus, defined approaches can be useful strategies of combining data for classifying substances and mixtures. Results obtained with a defined approach validated according to international procedures, such as an OECD defined approach guideline or an equivalent approach, is conclusive for classification for serious eye damage/eye irritation if the criteria of the defined approach are fulfilled (see 3.3.5.3.4)</w:t>
      </w:r>
      <w:r w:rsidR="00F10D98" w:rsidRPr="00D773F7">
        <w:rPr>
          <w:rFonts w:asciiTheme="majorBidi" w:hAnsiTheme="majorBidi" w:cstheme="majorBidi"/>
          <w:vertAlign w:val="superscript"/>
        </w:rPr>
        <w:t>2</w:t>
      </w:r>
      <w:r w:rsidR="00F10D98" w:rsidRPr="00D773F7">
        <w:rPr>
          <w:rFonts w:asciiTheme="majorBidi" w:hAnsiTheme="majorBidi" w:cstheme="majorBidi"/>
        </w:rPr>
        <w:t xml:space="preserve">.  </w:t>
      </w:r>
      <w:r w:rsidR="00F10D98" w:rsidRPr="00D773F7">
        <w:rPr>
          <w:rFonts w:asciiTheme="majorBidi" w:hAnsiTheme="majorBidi" w:cstheme="majorBidi"/>
          <w:iCs/>
        </w:rPr>
        <w:t>D</w:t>
      </w:r>
      <w:r w:rsidR="00F10D98" w:rsidRPr="00D773F7">
        <w:rPr>
          <w:rFonts w:asciiTheme="majorBidi" w:hAnsiTheme="majorBidi" w:cstheme="majorBidi"/>
        </w:rPr>
        <w:t>ata from a defined approach can only be used for classification when the tested substance is within the applicability domain of the defined approach used. Additional limitations described in the published literature should also be taken into consideration.</w:t>
      </w:r>
    </w:p>
    <w:p w14:paraId="3F78FD46" w14:textId="12159208" w:rsidR="00056ADE" w:rsidRPr="00D773F7" w:rsidRDefault="00056ADE" w:rsidP="00056ADE">
      <w:pPr>
        <w:pStyle w:val="SingleTxtG"/>
        <w:tabs>
          <w:tab w:val="clear" w:pos="1701"/>
        </w:tabs>
        <w:ind w:left="2268"/>
        <w:rPr>
          <w:rFonts w:asciiTheme="majorBidi" w:hAnsiTheme="majorBidi" w:cstheme="majorBidi"/>
        </w:rPr>
      </w:pPr>
      <w:r w:rsidRPr="00D773F7">
        <w:rPr>
          <w:rFonts w:asciiTheme="majorBidi" w:hAnsiTheme="majorBidi" w:cstheme="majorBidi"/>
        </w:rPr>
        <w:t>3.3.2.3.2</w:t>
      </w:r>
      <w:r w:rsidRPr="00D773F7">
        <w:rPr>
          <w:rFonts w:asciiTheme="majorBidi" w:hAnsiTheme="majorBidi" w:cstheme="majorBidi"/>
        </w:rPr>
        <w:tab/>
        <w:t>Where the results from defined approaches are assigned a level of confidence, a low confidence outcome of a defined approach cannot be used on its own to classify but may be considered in combination with other data.</w:t>
      </w:r>
    </w:p>
    <w:p w14:paraId="74A0547A" w14:textId="28C16189" w:rsidR="00056ADE" w:rsidRPr="00D773F7" w:rsidRDefault="00056ADE" w:rsidP="00BA78B1">
      <w:pPr>
        <w:pStyle w:val="SingleTxtG"/>
        <w:tabs>
          <w:tab w:val="clear" w:pos="1701"/>
        </w:tabs>
        <w:ind w:left="2268"/>
        <w:rPr>
          <w:rFonts w:asciiTheme="majorBidi" w:hAnsiTheme="majorBidi" w:cstheme="majorBidi"/>
          <w:i/>
          <w:iCs/>
        </w:rPr>
      </w:pPr>
      <w:r w:rsidRPr="00D773F7">
        <w:rPr>
          <w:rFonts w:asciiTheme="majorBidi" w:hAnsiTheme="majorBidi" w:cstheme="majorBidi"/>
        </w:rPr>
        <w:t>3.3.2.3.3</w:t>
      </w:r>
      <w:r w:rsidRPr="00D773F7">
        <w:rPr>
          <w:rFonts w:asciiTheme="majorBidi" w:hAnsiTheme="majorBidi" w:cstheme="majorBidi"/>
        </w:rPr>
        <w:tab/>
      </w:r>
      <w:r w:rsidR="00BA78B1" w:rsidRPr="00D773F7">
        <w:rPr>
          <w:rFonts w:asciiTheme="majorBidi" w:hAnsiTheme="majorBidi" w:cstheme="majorBidi"/>
        </w:rPr>
        <w:t>Individual evidence used within a defined approach should not also be used outside of that defined approach.</w:t>
      </w:r>
    </w:p>
    <w:p w14:paraId="7653E7E0" w14:textId="1FFE11BC" w:rsidR="00F10D98" w:rsidRPr="00D773F7" w:rsidRDefault="00F10D98" w:rsidP="00F10D98">
      <w:pPr>
        <w:pStyle w:val="SingleTxtG"/>
        <w:tabs>
          <w:tab w:val="left" w:pos="3402"/>
        </w:tabs>
        <w:ind w:left="2268"/>
        <w:rPr>
          <w:rFonts w:asciiTheme="majorBidi" w:hAnsiTheme="majorBidi" w:cstheme="majorBidi"/>
          <w:b/>
          <w:i/>
        </w:rPr>
      </w:pPr>
      <w:r w:rsidRPr="00D773F7">
        <w:rPr>
          <w:rFonts w:asciiTheme="majorBidi" w:hAnsiTheme="majorBidi" w:cstheme="majorBidi"/>
          <w:b/>
        </w:rPr>
        <w:t>3.3.2.4</w:t>
      </w:r>
      <w:r w:rsidRPr="00D773F7">
        <w:rPr>
          <w:rFonts w:asciiTheme="majorBidi" w:hAnsiTheme="majorBidi" w:cstheme="majorBidi"/>
          <w:b/>
        </w:rPr>
        <w:tab/>
      </w:r>
      <w:r w:rsidR="00477D71" w:rsidRPr="00D773F7">
        <w:rPr>
          <w:rFonts w:asciiTheme="majorBidi" w:hAnsiTheme="majorBidi" w:cstheme="majorBidi"/>
          <w:b/>
        </w:rPr>
        <w:tab/>
      </w:r>
      <w:r w:rsidRPr="00D773F7">
        <w:rPr>
          <w:rFonts w:asciiTheme="majorBidi" w:hAnsiTheme="majorBidi" w:cstheme="majorBidi"/>
          <w:b/>
          <w:i/>
        </w:rPr>
        <w:t>Classification based on in vitro/ex vivo data (</w:t>
      </w:r>
      <w:r w:rsidR="00123673" w:rsidRPr="00D773F7">
        <w:rPr>
          <w:rFonts w:asciiTheme="majorBidi" w:hAnsiTheme="majorBidi" w:cstheme="majorBidi"/>
          <w:b/>
          <w:i/>
        </w:rPr>
        <w:t>t</w:t>
      </w:r>
      <w:r w:rsidRPr="00D773F7">
        <w:rPr>
          <w:rFonts w:asciiTheme="majorBidi" w:hAnsiTheme="majorBidi" w:cstheme="majorBidi"/>
          <w:b/>
          <w:i/>
        </w:rPr>
        <w:t xml:space="preserve">ier 2 in </w:t>
      </w:r>
      <w:r w:rsidR="00D5525A" w:rsidRPr="00D773F7">
        <w:rPr>
          <w:rFonts w:asciiTheme="majorBidi" w:hAnsiTheme="majorBidi" w:cstheme="majorBidi"/>
          <w:b/>
          <w:i/>
        </w:rPr>
        <w:t>f</w:t>
      </w:r>
      <w:r w:rsidRPr="00D773F7">
        <w:rPr>
          <w:rFonts w:asciiTheme="majorBidi" w:hAnsiTheme="majorBidi" w:cstheme="majorBidi"/>
          <w:b/>
          <w:i/>
        </w:rPr>
        <w:t>igure 3.3.1)</w:t>
      </w:r>
    </w:p>
    <w:p w14:paraId="0BF36C65" w14:textId="7AEA77F5" w:rsidR="00F10D98" w:rsidRPr="00D773F7" w:rsidRDefault="00F10D98" w:rsidP="00F10D98">
      <w:pPr>
        <w:pStyle w:val="SingleTxtG"/>
        <w:tabs>
          <w:tab w:val="left" w:pos="3402"/>
        </w:tabs>
        <w:ind w:left="2268"/>
        <w:rPr>
          <w:rFonts w:asciiTheme="majorBidi" w:hAnsiTheme="majorBidi" w:cstheme="majorBidi"/>
        </w:rPr>
      </w:pPr>
      <w:r w:rsidRPr="00D773F7">
        <w:rPr>
          <w:rFonts w:asciiTheme="majorBidi" w:hAnsiTheme="majorBidi" w:cstheme="majorBidi"/>
        </w:rPr>
        <w:t>3.3.2.4.1</w:t>
      </w:r>
      <w:r w:rsidRPr="00D773F7">
        <w:rPr>
          <w:rFonts w:asciiTheme="majorBidi" w:hAnsiTheme="majorBidi" w:cstheme="majorBidi"/>
        </w:rPr>
        <w:tab/>
        <w:t xml:space="preserve">The classification criteria for the currently available </w:t>
      </w:r>
      <w:r w:rsidRPr="00D773F7">
        <w:rPr>
          <w:rFonts w:asciiTheme="majorBidi" w:hAnsiTheme="majorBidi" w:cstheme="majorBidi"/>
          <w:iCs/>
        </w:rPr>
        <w:t>in vitro</w:t>
      </w:r>
      <w:r w:rsidRPr="00D773F7">
        <w:rPr>
          <w:rFonts w:asciiTheme="majorBidi" w:hAnsiTheme="majorBidi" w:cstheme="majorBidi"/>
        </w:rPr>
        <w:t>/</w:t>
      </w:r>
      <w:r w:rsidRPr="00D773F7">
        <w:rPr>
          <w:rFonts w:asciiTheme="majorBidi" w:hAnsiTheme="majorBidi" w:cstheme="majorBidi"/>
          <w:i/>
        </w:rPr>
        <w:t>ex vivo</w:t>
      </w:r>
      <w:r w:rsidRPr="00D773F7">
        <w:rPr>
          <w:rFonts w:asciiTheme="majorBidi" w:hAnsiTheme="majorBidi" w:cstheme="majorBidi"/>
        </w:rPr>
        <w:t xml:space="preserve"> test methods adopted by OECD in test guidelines 437, 438, 460, 491, 492, 494 and 496 are described in </w:t>
      </w:r>
      <w:r w:rsidR="001806B2" w:rsidRPr="00D773F7">
        <w:rPr>
          <w:rFonts w:asciiTheme="majorBidi" w:hAnsiTheme="majorBidi" w:cstheme="majorBidi"/>
        </w:rPr>
        <w:t>t</w:t>
      </w:r>
      <w:r w:rsidRPr="00D773F7">
        <w:rPr>
          <w:rFonts w:asciiTheme="majorBidi" w:hAnsiTheme="majorBidi" w:cstheme="majorBidi"/>
        </w:rPr>
        <w:t xml:space="preserve">able 3.3.6 (see 3.3.5.3.5.1). When considered individually, these </w:t>
      </w:r>
      <w:r w:rsidR="00E12303" w:rsidRPr="00D773F7">
        <w:rPr>
          <w:rFonts w:asciiTheme="majorBidi" w:hAnsiTheme="majorBidi" w:cstheme="majorBidi"/>
          <w:iCs/>
        </w:rPr>
        <w:t>in vitro</w:t>
      </w:r>
      <w:r w:rsidRPr="00D773F7">
        <w:rPr>
          <w:rFonts w:asciiTheme="majorBidi" w:hAnsiTheme="majorBidi" w:cstheme="majorBidi"/>
          <w:i/>
          <w:iCs/>
        </w:rPr>
        <w:t xml:space="preserve">/ex vivo </w:t>
      </w:r>
      <w:r w:rsidRPr="00D773F7">
        <w:rPr>
          <w:rFonts w:asciiTheme="majorBidi" w:hAnsiTheme="majorBidi" w:cstheme="majorBidi"/>
        </w:rPr>
        <w:t xml:space="preserve">OECD test guidelines address serious eye damage and/or no classification for eye hazard, but do not address eye irritation. Therefore, data from a single </w:t>
      </w:r>
      <w:r w:rsidR="00E12303" w:rsidRPr="00D773F7">
        <w:rPr>
          <w:rFonts w:asciiTheme="majorBidi" w:hAnsiTheme="majorBidi" w:cstheme="majorBidi"/>
          <w:iCs/>
        </w:rPr>
        <w:t>in vitro</w:t>
      </w:r>
      <w:r w:rsidRPr="00D773F7">
        <w:rPr>
          <w:rFonts w:asciiTheme="majorBidi" w:hAnsiTheme="majorBidi" w:cstheme="majorBidi"/>
          <w:i/>
          <w:iCs/>
        </w:rPr>
        <w:t xml:space="preserve">/ex vivo </w:t>
      </w:r>
      <w:r w:rsidRPr="00D773F7">
        <w:rPr>
          <w:rFonts w:asciiTheme="majorBidi" w:hAnsiTheme="majorBidi" w:cstheme="majorBidi"/>
          <w:iCs/>
        </w:rPr>
        <w:t>OECD test guideline</w:t>
      </w:r>
      <w:r w:rsidRPr="00D773F7">
        <w:rPr>
          <w:rFonts w:asciiTheme="majorBidi" w:hAnsiTheme="majorBidi" w:cstheme="majorBidi"/>
        </w:rPr>
        <w:t xml:space="preserve"> can only be used to conclude on either classification in Category 1 or no classification and cannot be used to conclude on classification in Category 2. When the result of a single </w:t>
      </w:r>
      <w:r w:rsidRPr="00D773F7">
        <w:rPr>
          <w:rFonts w:asciiTheme="majorBidi" w:hAnsiTheme="majorBidi" w:cstheme="majorBidi"/>
          <w:iCs/>
        </w:rPr>
        <w:t>in vitro</w:t>
      </w:r>
      <w:r w:rsidRPr="00D773F7">
        <w:rPr>
          <w:rFonts w:asciiTheme="majorBidi" w:hAnsiTheme="majorBidi" w:cstheme="majorBidi"/>
        </w:rPr>
        <w:t>/</w:t>
      </w:r>
      <w:r w:rsidRPr="00D773F7">
        <w:rPr>
          <w:rFonts w:asciiTheme="majorBidi" w:hAnsiTheme="majorBidi" w:cstheme="majorBidi"/>
          <w:i/>
        </w:rPr>
        <w:t>ex vivo</w:t>
      </w:r>
      <w:r w:rsidRPr="00D773F7">
        <w:rPr>
          <w:rFonts w:asciiTheme="majorBidi" w:hAnsiTheme="majorBidi" w:cstheme="majorBidi"/>
        </w:rPr>
        <w:t xml:space="preserve"> method is “no stand-alone prediction can be made” (e.g. see </w:t>
      </w:r>
      <w:r w:rsidR="001806B2" w:rsidRPr="00D773F7">
        <w:rPr>
          <w:rFonts w:asciiTheme="majorBidi" w:hAnsiTheme="majorBidi" w:cstheme="majorBidi"/>
        </w:rPr>
        <w:t>t</w:t>
      </w:r>
      <w:r w:rsidRPr="00D773F7">
        <w:rPr>
          <w:rFonts w:asciiTheme="majorBidi" w:hAnsiTheme="majorBidi" w:cstheme="majorBidi"/>
        </w:rPr>
        <w:t>able 3.3.6), a conclusion cannot be drawn on the basis of that single result and further data are necessary for classification (see 3.3.5.3.4.3 and 3.3.5.3.4.4).</w:t>
      </w:r>
    </w:p>
    <w:p w14:paraId="0F0BAEE8" w14:textId="5D3E640A" w:rsidR="00CC2D2F" w:rsidRPr="00D773F7" w:rsidRDefault="00CC2D2F" w:rsidP="00CC2D2F">
      <w:pPr>
        <w:pStyle w:val="SingleTxtG"/>
        <w:tabs>
          <w:tab w:val="clear" w:pos="1701"/>
        </w:tabs>
        <w:ind w:left="2268"/>
        <w:rPr>
          <w:rFonts w:asciiTheme="majorBidi" w:hAnsiTheme="majorBidi" w:cstheme="majorBidi"/>
          <w:lang w:val="en-CA"/>
        </w:rPr>
      </w:pPr>
      <w:bookmarkStart w:id="3" w:name="_Hlk113622132"/>
      <w:r w:rsidRPr="00D773F7">
        <w:rPr>
          <w:rFonts w:asciiTheme="majorBidi" w:hAnsiTheme="majorBidi" w:cstheme="majorBidi"/>
        </w:rPr>
        <w:t>3.3.2.4.2</w:t>
      </w:r>
      <w:r w:rsidRPr="00D773F7">
        <w:rPr>
          <w:rFonts w:asciiTheme="majorBidi" w:hAnsiTheme="majorBidi" w:cstheme="majorBidi"/>
        </w:rPr>
        <w:tab/>
      </w:r>
      <w:r w:rsidR="00E12303" w:rsidRPr="00D773F7">
        <w:rPr>
          <w:rFonts w:asciiTheme="majorBidi" w:hAnsiTheme="majorBidi" w:cstheme="majorBidi"/>
          <w:iCs/>
        </w:rPr>
        <w:t>In vitro</w:t>
      </w:r>
      <w:r w:rsidRPr="00D773F7">
        <w:rPr>
          <w:rFonts w:asciiTheme="majorBidi" w:hAnsiTheme="majorBidi" w:cstheme="majorBidi"/>
          <w:i/>
          <w:iCs/>
        </w:rPr>
        <w:t>/ex vivo</w:t>
      </w:r>
      <w:r w:rsidRPr="00D773F7">
        <w:rPr>
          <w:rFonts w:asciiTheme="majorBidi" w:hAnsiTheme="majorBidi" w:cstheme="majorBidi"/>
        </w:rPr>
        <w:t xml:space="preserve"> methods in 3.3.2.4.1 with the result “no stand-alone prediction can be made” should within </w:t>
      </w:r>
      <w:r w:rsidR="00123673" w:rsidRPr="00D773F7">
        <w:rPr>
          <w:rFonts w:asciiTheme="majorBidi" w:hAnsiTheme="majorBidi" w:cstheme="majorBidi"/>
        </w:rPr>
        <w:t>t</w:t>
      </w:r>
      <w:r w:rsidRPr="00D773F7">
        <w:rPr>
          <w:rFonts w:asciiTheme="majorBidi" w:hAnsiTheme="majorBidi" w:cstheme="majorBidi"/>
        </w:rPr>
        <w:t xml:space="preserve">ier 2 only be used in combination with other types of data in defined approaches. </w:t>
      </w:r>
      <w:bookmarkEnd w:id="3"/>
    </w:p>
    <w:p w14:paraId="14922773" w14:textId="72366E4F" w:rsidR="00F10D98" w:rsidRPr="00D773F7" w:rsidRDefault="00F10D98" w:rsidP="00F10D98">
      <w:pPr>
        <w:pStyle w:val="SingleTxtG"/>
        <w:ind w:left="2268"/>
        <w:rPr>
          <w:rFonts w:asciiTheme="majorBidi" w:hAnsiTheme="majorBidi" w:cstheme="majorBidi"/>
        </w:rPr>
      </w:pPr>
      <w:r w:rsidRPr="00D773F7">
        <w:rPr>
          <w:rFonts w:asciiTheme="majorBidi" w:hAnsiTheme="majorBidi" w:cstheme="majorBidi"/>
        </w:rPr>
        <w:t>3.3.2.4.</w:t>
      </w:r>
      <w:r w:rsidR="00CC2D2F" w:rsidRPr="00D773F7">
        <w:rPr>
          <w:rFonts w:asciiTheme="majorBidi" w:hAnsiTheme="majorBidi" w:cstheme="majorBidi"/>
        </w:rPr>
        <w:t>3</w:t>
      </w:r>
      <w:r w:rsidRPr="00D773F7">
        <w:rPr>
          <w:rFonts w:asciiTheme="majorBidi" w:hAnsiTheme="majorBidi" w:cstheme="majorBidi"/>
        </w:rPr>
        <w:tab/>
        <w:t xml:space="preserve">Other validated </w:t>
      </w:r>
      <w:r w:rsidR="00E12303" w:rsidRPr="00D773F7">
        <w:rPr>
          <w:rFonts w:asciiTheme="majorBidi" w:hAnsiTheme="majorBidi" w:cstheme="majorBidi"/>
          <w:iCs/>
        </w:rPr>
        <w:t>in vitro</w:t>
      </w:r>
      <w:r w:rsidRPr="00D773F7">
        <w:rPr>
          <w:rFonts w:asciiTheme="majorBidi" w:hAnsiTheme="majorBidi" w:cstheme="majorBidi"/>
          <w:i/>
          <w:iCs/>
        </w:rPr>
        <w:t xml:space="preserve">/ex vivo </w:t>
      </w:r>
      <w:r w:rsidRPr="00D773F7">
        <w:rPr>
          <w:rFonts w:asciiTheme="majorBidi" w:hAnsiTheme="majorBidi" w:cstheme="majorBidi"/>
        </w:rPr>
        <w:t>test methods accepted by some competent authorities are described in 3.3.5.3.5.2. Some of these in vitro</w:t>
      </w:r>
      <w:r w:rsidRPr="00D773F7">
        <w:rPr>
          <w:rFonts w:asciiTheme="majorBidi" w:hAnsiTheme="majorBidi" w:cstheme="majorBidi"/>
          <w:i/>
          <w:iCs/>
        </w:rPr>
        <w:t xml:space="preserve">/ex vivo </w:t>
      </w:r>
      <w:r w:rsidRPr="00D773F7">
        <w:rPr>
          <w:rFonts w:asciiTheme="majorBidi" w:hAnsiTheme="majorBidi" w:cstheme="majorBidi"/>
        </w:rPr>
        <w:t>test methods may be useful to classify in Category 2. A competent authority may decide which classification criteria, if any, should be applied for these test methods to conclude on classification, including that a substance is not classified for effects on the eye.</w:t>
      </w:r>
    </w:p>
    <w:p w14:paraId="46002890" w14:textId="20F96069" w:rsidR="00F10D98" w:rsidRPr="00D773F7" w:rsidRDefault="00F10D98" w:rsidP="00F10D98">
      <w:pPr>
        <w:pStyle w:val="SingleTxtG"/>
        <w:ind w:left="2268"/>
        <w:rPr>
          <w:rFonts w:asciiTheme="majorBidi" w:hAnsiTheme="majorBidi" w:cstheme="majorBidi"/>
        </w:rPr>
      </w:pPr>
      <w:r w:rsidRPr="00D773F7">
        <w:rPr>
          <w:rFonts w:asciiTheme="majorBidi" w:hAnsiTheme="majorBidi" w:cstheme="majorBidi"/>
        </w:rPr>
        <w:t>3.3.2.4.</w:t>
      </w:r>
      <w:r w:rsidR="004C6813" w:rsidRPr="00D773F7">
        <w:rPr>
          <w:rFonts w:asciiTheme="majorBidi" w:hAnsiTheme="majorBidi" w:cstheme="majorBidi"/>
        </w:rPr>
        <w:t>4</w:t>
      </w:r>
      <w:r w:rsidRPr="00D773F7">
        <w:rPr>
          <w:rFonts w:asciiTheme="majorBidi" w:hAnsiTheme="majorBidi" w:cstheme="majorBidi"/>
        </w:rPr>
        <w:tab/>
        <w:t>In vitro</w:t>
      </w:r>
      <w:r w:rsidRPr="00D773F7">
        <w:rPr>
          <w:rFonts w:asciiTheme="majorBidi" w:hAnsiTheme="majorBidi" w:cstheme="majorBidi"/>
          <w:i/>
          <w:iCs/>
        </w:rPr>
        <w:t xml:space="preserve">/ex vivo </w:t>
      </w:r>
      <w:r w:rsidRPr="00D773F7">
        <w:rPr>
          <w:rFonts w:asciiTheme="majorBidi" w:hAnsiTheme="majorBidi" w:cstheme="majorBidi"/>
        </w:rPr>
        <w:t>data can only be used for classification when the tested substance is within the applicability domain of the test method(s) used. Additional limitations described in the published literature should also be taken into consideration.</w:t>
      </w:r>
    </w:p>
    <w:p w14:paraId="0F210896" w14:textId="19F4644E" w:rsidR="00F10D98" w:rsidRPr="00D773F7" w:rsidRDefault="00F10D98" w:rsidP="00F10D98">
      <w:pPr>
        <w:pStyle w:val="SingleTxtG"/>
        <w:keepNext/>
        <w:keepLines/>
        <w:ind w:left="2268"/>
        <w:rPr>
          <w:rFonts w:asciiTheme="majorBidi" w:hAnsiTheme="majorBidi" w:cstheme="majorBidi"/>
        </w:rPr>
      </w:pPr>
      <w:r w:rsidRPr="00D773F7">
        <w:rPr>
          <w:rFonts w:asciiTheme="majorBidi" w:hAnsiTheme="majorBidi" w:cstheme="majorBidi"/>
        </w:rPr>
        <w:lastRenderedPageBreak/>
        <w:t>3.3.2.4.</w:t>
      </w:r>
      <w:r w:rsidR="0092379F" w:rsidRPr="00D773F7">
        <w:rPr>
          <w:rFonts w:asciiTheme="majorBidi" w:hAnsiTheme="majorBidi" w:cstheme="majorBidi"/>
        </w:rPr>
        <w:t>5</w:t>
      </w:r>
      <w:r w:rsidRPr="00D773F7">
        <w:rPr>
          <w:rFonts w:asciiTheme="majorBidi" w:hAnsiTheme="majorBidi" w:cstheme="majorBidi"/>
        </w:rPr>
        <w:tab/>
      </w:r>
      <w:r w:rsidRPr="00D773F7">
        <w:rPr>
          <w:rFonts w:asciiTheme="majorBidi" w:hAnsiTheme="majorBidi" w:cstheme="majorBidi"/>
          <w:i/>
          <w:iCs/>
        </w:rPr>
        <w:t>Serious eye damage (Category 1)/Irreversible effects on the eye</w:t>
      </w:r>
    </w:p>
    <w:p w14:paraId="01532808" w14:textId="14253BBF" w:rsidR="00F10D98" w:rsidRPr="00D773F7" w:rsidRDefault="00F10D98" w:rsidP="00F10D98">
      <w:pPr>
        <w:pStyle w:val="SingleTxtG"/>
        <w:keepNext/>
        <w:keepLines/>
        <w:ind w:left="2268"/>
        <w:rPr>
          <w:rFonts w:asciiTheme="majorBidi" w:hAnsiTheme="majorBidi" w:cstheme="majorBidi"/>
        </w:rPr>
      </w:pPr>
      <w:r w:rsidRPr="00D773F7">
        <w:rPr>
          <w:rFonts w:asciiTheme="majorBidi" w:hAnsiTheme="majorBidi" w:cstheme="majorBidi"/>
        </w:rPr>
        <w:t>3.3.2.4.</w:t>
      </w:r>
      <w:r w:rsidR="0092379F" w:rsidRPr="00D773F7">
        <w:rPr>
          <w:rFonts w:asciiTheme="majorBidi" w:hAnsiTheme="majorBidi" w:cstheme="majorBidi"/>
        </w:rPr>
        <w:t>5</w:t>
      </w:r>
      <w:r w:rsidRPr="00D773F7">
        <w:rPr>
          <w:rFonts w:asciiTheme="majorBidi" w:hAnsiTheme="majorBidi" w:cstheme="majorBidi"/>
        </w:rPr>
        <w:t>.1</w:t>
      </w:r>
      <w:r w:rsidRPr="00D773F7">
        <w:rPr>
          <w:rFonts w:asciiTheme="majorBidi" w:hAnsiTheme="majorBidi" w:cstheme="majorBidi"/>
        </w:rPr>
        <w:tab/>
        <w:t xml:space="preserve">Where tests have been undertaken in accordance with OECD test guidelines 437, 438, 460, 491 and/or 496, a substance is classified for serious eye damage in Category 1 based on the criteria in </w:t>
      </w:r>
      <w:r w:rsidR="001806B2" w:rsidRPr="00D773F7">
        <w:rPr>
          <w:rFonts w:asciiTheme="majorBidi" w:hAnsiTheme="majorBidi" w:cstheme="majorBidi"/>
        </w:rPr>
        <w:t>t</w:t>
      </w:r>
      <w:r w:rsidRPr="00D773F7">
        <w:rPr>
          <w:rFonts w:asciiTheme="majorBidi" w:hAnsiTheme="majorBidi" w:cstheme="majorBidi"/>
        </w:rPr>
        <w:t>able 3.3.6 (see 3.3.5.3.5.1).</w:t>
      </w:r>
    </w:p>
    <w:p w14:paraId="6E335D98" w14:textId="7BFA9D89" w:rsidR="00F10D98" w:rsidRPr="00D773F7" w:rsidRDefault="00F10D98" w:rsidP="00F10D98">
      <w:pPr>
        <w:pStyle w:val="SingleTxtG"/>
        <w:ind w:left="2268"/>
        <w:rPr>
          <w:rFonts w:asciiTheme="majorBidi" w:hAnsiTheme="majorBidi" w:cstheme="majorBidi"/>
        </w:rPr>
      </w:pPr>
      <w:r w:rsidRPr="00D773F7">
        <w:rPr>
          <w:rFonts w:asciiTheme="majorBidi" w:hAnsiTheme="majorBidi" w:cstheme="majorBidi"/>
        </w:rPr>
        <w:t>3.3.2.4.</w:t>
      </w:r>
      <w:r w:rsidR="0092379F" w:rsidRPr="00D773F7">
        <w:rPr>
          <w:rFonts w:asciiTheme="majorBidi" w:hAnsiTheme="majorBidi" w:cstheme="majorBidi"/>
        </w:rPr>
        <w:t>5</w:t>
      </w:r>
      <w:r w:rsidRPr="00D773F7">
        <w:rPr>
          <w:rFonts w:asciiTheme="majorBidi" w:hAnsiTheme="majorBidi" w:cstheme="majorBidi"/>
        </w:rPr>
        <w:t>.2</w:t>
      </w:r>
      <w:r w:rsidRPr="00D773F7">
        <w:rPr>
          <w:rFonts w:asciiTheme="majorBidi" w:hAnsiTheme="majorBidi" w:cstheme="majorBidi"/>
        </w:rPr>
        <w:tab/>
        <w:t xml:space="preserve">Although the currently available OECD </w:t>
      </w:r>
      <w:r w:rsidRPr="00D773F7">
        <w:rPr>
          <w:rFonts w:asciiTheme="majorBidi" w:hAnsiTheme="majorBidi" w:cstheme="majorBidi"/>
          <w:iCs/>
        </w:rPr>
        <w:t>in vitro/</w:t>
      </w:r>
      <w:r w:rsidRPr="00D773F7">
        <w:rPr>
          <w:rFonts w:asciiTheme="majorBidi" w:hAnsiTheme="majorBidi" w:cstheme="majorBidi"/>
          <w:i/>
        </w:rPr>
        <w:t>ex vivo</w:t>
      </w:r>
      <w:r w:rsidRPr="00D773F7">
        <w:rPr>
          <w:rFonts w:asciiTheme="majorBidi" w:hAnsiTheme="majorBidi" w:cstheme="majorBidi"/>
        </w:rPr>
        <w:t xml:space="preserve"> test guidelines and equivalent methods have not been developed to identify substances inducing discolouration of the eye, some comparable effects may be observed in these tests. Therefore, where, after washing, discolouration of the cornea or of the tested cells compared to the control is observed in OECD Test Guideline 437, 438, 492 or 494, or in other equivalent methods, suggesting a permanent effect, a competent authority may require classification of a substance for serious eye damage in Category 1.</w:t>
      </w:r>
    </w:p>
    <w:p w14:paraId="439A943E" w14:textId="587A79AB" w:rsidR="00F10D98" w:rsidRPr="00D773F7" w:rsidRDefault="00F10D98" w:rsidP="00F10D98">
      <w:pPr>
        <w:pStyle w:val="SingleTxtG"/>
        <w:ind w:left="2268"/>
        <w:rPr>
          <w:rFonts w:asciiTheme="majorBidi" w:hAnsiTheme="majorBidi" w:cstheme="majorBidi"/>
          <w:bCs/>
        </w:rPr>
      </w:pPr>
      <w:r w:rsidRPr="00D773F7">
        <w:rPr>
          <w:rFonts w:asciiTheme="majorBidi" w:hAnsiTheme="majorBidi" w:cstheme="majorBidi"/>
          <w:bCs/>
        </w:rPr>
        <w:t>3.3.2.4.</w:t>
      </w:r>
      <w:r w:rsidR="0092379F" w:rsidRPr="00D773F7">
        <w:rPr>
          <w:rFonts w:asciiTheme="majorBidi" w:hAnsiTheme="majorBidi" w:cstheme="majorBidi"/>
          <w:bCs/>
        </w:rPr>
        <w:t>6</w:t>
      </w:r>
      <w:r w:rsidRPr="00D773F7">
        <w:rPr>
          <w:rFonts w:asciiTheme="majorBidi" w:hAnsiTheme="majorBidi" w:cstheme="majorBidi"/>
          <w:bCs/>
        </w:rPr>
        <w:tab/>
      </w:r>
      <w:r w:rsidRPr="00D773F7">
        <w:rPr>
          <w:rFonts w:asciiTheme="majorBidi" w:hAnsiTheme="majorBidi" w:cstheme="majorBidi"/>
          <w:bCs/>
          <w:i/>
        </w:rPr>
        <w:t>Eye irritation (Category 2)/Reversible effects on the eye</w:t>
      </w:r>
      <w:r w:rsidRPr="00D773F7">
        <w:rPr>
          <w:rFonts w:asciiTheme="majorBidi" w:hAnsiTheme="majorBidi" w:cstheme="majorBidi"/>
          <w:bCs/>
        </w:rPr>
        <w:t xml:space="preserve"> </w:t>
      </w:r>
    </w:p>
    <w:p w14:paraId="1C35F5DA" w14:textId="6D9A7A59" w:rsidR="00F10D98" w:rsidRPr="00D773F7" w:rsidRDefault="00F10D98" w:rsidP="00F10D98">
      <w:pPr>
        <w:pStyle w:val="SingleTxtG"/>
        <w:ind w:left="2268"/>
        <w:rPr>
          <w:rFonts w:asciiTheme="majorBidi" w:hAnsiTheme="majorBidi" w:cstheme="majorBidi"/>
        </w:rPr>
      </w:pPr>
      <w:bookmarkStart w:id="4" w:name="_Hlk25673670"/>
      <w:r w:rsidRPr="00D773F7">
        <w:rPr>
          <w:rFonts w:asciiTheme="majorBidi" w:hAnsiTheme="majorBidi" w:cstheme="majorBidi"/>
        </w:rPr>
        <w:t>3.3.2.4.</w:t>
      </w:r>
      <w:r w:rsidR="0092379F" w:rsidRPr="00D773F7">
        <w:rPr>
          <w:rFonts w:asciiTheme="majorBidi" w:hAnsiTheme="majorBidi" w:cstheme="majorBidi"/>
        </w:rPr>
        <w:t>6</w:t>
      </w:r>
      <w:r w:rsidRPr="00D773F7">
        <w:rPr>
          <w:rFonts w:asciiTheme="majorBidi" w:hAnsiTheme="majorBidi" w:cstheme="majorBidi"/>
        </w:rPr>
        <w:t>.1</w:t>
      </w:r>
      <w:bookmarkEnd w:id="4"/>
      <w:r w:rsidRPr="00D773F7">
        <w:rPr>
          <w:rFonts w:asciiTheme="majorBidi" w:hAnsiTheme="majorBidi" w:cstheme="majorBidi"/>
        </w:rPr>
        <w:tab/>
        <w:t xml:space="preserve">A positive result in an </w:t>
      </w:r>
      <w:r w:rsidRPr="00D773F7">
        <w:rPr>
          <w:rFonts w:asciiTheme="majorBidi" w:hAnsiTheme="majorBidi" w:cstheme="majorBidi"/>
          <w:iCs/>
        </w:rPr>
        <w:t>in vitro/</w:t>
      </w:r>
      <w:r w:rsidRPr="00D773F7">
        <w:rPr>
          <w:rFonts w:asciiTheme="majorBidi" w:hAnsiTheme="majorBidi" w:cstheme="majorBidi"/>
          <w:i/>
        </w:rPr>
        <w:t>ex vivo</w:t>
      </w:r>
      <w:r w:rsidRPr="00D773F7">
        <w:rPr>
          <w:rFonts w:asciiTheme="majorBidi" w:hAnsiTheme="majorBidi" w:cstheme="majorBidi"/>
        </w:rPr>
        <w:t xml:space="preserve"> test method that is validated according to international procedures for identification of substances inducing eye irritation can be used to classify for eye irritation in Category 2/2A</w:t>
      </w:r>
      <w:r w:rsidRPr="00D773F7">
        <w:rPr>
          <w:rFonts w:asciiTheme="majorBidi" w:hAnsiTheme="majorBidi" w:cstheme="majorBidi"/>
          <w:vertAlign w:val="superscript"/>
        </w:rPr>
        <w:t>3</w:t>
      </w:r>
      <w:r w:rsidRPr="00D773F7">
        <w:rPr>
          <w:rFonts w:asciiTheme="majorBidi" w:hAnsiTheme="majorBidi" w:cstheme="majorBidi"/>
        </w:rPr>
        <w:t>.</w:t>
      </w:r>
    </w:p>
    <w:p w14:paraId="5D25722D" w14:textId="31E399BF" w:rsidR="00F10D98" w:rsidRPr="00D773F7" w:rsidRDefault="00F10D98" w:rsidP="00F10D98">
      <w:pPr>
        <w:pStyle w:val="SingleTxtG"/>
        <w:ind w:left="2268"/>
        <w:rPr>
          <w:rFonts w:asciiTheme="majorBidi" w:hAnsiTheme="majorBidi" w:cstheme="majorBidi"/>
        </w:rPr>
      </w:pPr>
      <w:r w:rsidRPr="00D773F7">
        <w:rPr>
          <w:rFonts w:asciiTheme="majorBidi" w:hAnsiTheme="majorBidi" w:cstheme="majorBidi"/>
        </w:rPr>
        <w:t>3.3.2.4.</w:t>
      </w:r>
      <w:r w:rsidR="0092379F" w:rsidRPr="00D773F7">
        <w:rPr>
          <w:rFonts w:asciiTheme="majorBidi" w:hAnsiTheme="majorBidi" w:cstheme="majorBidi"/>
        </w:rPr>
        <w:t>6</w:t>
      </w:r>
      <w:r w:rsidRPr="00D773F7">
        <w:rPr>
          <w:rFonts w:asciiTheme="majorBidi" w:hAnsiTheme="majorBidi" w:cstheme="majorBidi"/>
        </w:rPr>
        <w:t>.2</w:t>
      </w:r>
      <w:r w:rsidRPr="00D773F7">
        <w:rPr>
          <w:rFonts w:asciiTheme="majorBidi" w:hAnsiTheme="majorBidi" w:cstheme="majorBidi"/>
        </w:rPr>
        <w:tab/>
        <w:t xml:space="preserve">Where competent authorities adopt </w:t>
      </w:r>
      <w:r w:rsidR="000F2658" w:rsidRPr="00D773F7">
        <w:rPr>
          <w:rFonts w:asciiTheme="majorBidi" w:hAnsiTheme="majorBidi" w:cstheme="majorBidi"/>
        </w:rPr>
        <w:t>c</w:t>
      </w:r>
      <w:r w:rsidRPr="00D773F7">
        <w:rPr>
          <w:rFonts w:asciiTheme="majorBidi" w:hAnsiTheme="majorBidi" w:cstheme="majorBidi"/>
        </w:rPr>
        <w:t xml:space="preserve">ategory 2A and </w:t>
      </w:r>
      <w:r w:rsidR="000F2658" w:rsidRPr="00D773F7">
        <w:rPr>
          <w:rFonts w:asciiTheme="majorBidi" w:hAnsiTheme="majorBidi" w:cstheme="majorBidi"/>
        </w:rPr>
        <w:t>c</w:t>
      </w:r>
      <w:r w:rsidRPr="00D773F7">
        <w:rPr>
          <w:rFonts w:asciiTheme="majorBidi" w:hAnsiTheme="majorBidi" w:cstheme="majorBidi"/>
        </w:rPr>
        <w:t>ategory 2B, it is important to note that the currently validated in vitro</w:t>
      </w:r>
      <w:r w:rsidRPr="00D773F7">
        <w:rPr>
          <w:rFonts w:asciiTheme="majorBidi" w:hAnsiTheme="majorBidi" w:cstheme="majorBidi"/>
          <w:i/>
          <w:iCs/>
        </w:rPr>
        <w:t xml:space="preserve">/ex vivo </w:t>
      </w:r>
      <w:r w:rsidRPr="00D773F7">
        <w:rPr>
          <w:rFonts w:asciiTheme="majorBidi" w:hAnsiTheme="majorBidi" w:cstheme="majorBidi"/>
        </w:rPr>
        <w:t>test methods for effects on the eye do not allow discrimination between these two categories. In this situation, if the criteria for classification in Category 2 have been considered fulfilled, and no other relevant information is available, classification in Category 2/2A should be applied.</w:t>
      </w:r>
    </w:p>
    <w:p w14:paraId="009A1B38" w14:textId="795A298D" w:rsidR="00F10D98" w:rsidRPr="00D773F7" w:rsidRDefault="00F10D98" w:rsidP="00F10D98">
      <w:pPr>
        <w:pStyle w:val="SingleTxtG"/>
        <w:ind w:left="2268"/>
        <w:rPr>
          <w:rFonts w:asciiTheme="majorBidi" w:hAnsiTheme="majorBidi" w:cstheme="majorBidi"/>
        </w:rPr>
      </w:pPr>
      <w:r w:rsidRPr="00D773F7">
        <w:rPr>
          <w:rFonts w:asciiTheme="majorBidi" w:hAnsiTheme="majorBidi" w:cstheme="majorBidi"/>
        </w:rPr>
        <w:t>3.3.2.4.</w:t>
      </w:r>
      <w:r w:rsidR="0092379F" w:rsidRPr="00D773F7">
        <w:rPr>
          <w:rFonts w:asciiTheme="majorBidi" w:hAnsiTheme="majorBidi" w:cstheme="majorBidi"/>
        </w:rPr>
        <w:t>7</w:t>
      </w:r>
      <w:r w:rsidRPr="00D773F7">
        <w:rPr>
          <w:rFonts w:asciiTheme="majorBidi" w:hAnsiTheme="majorBidi" w:cstheme="majorBidi"/>
        </w:rPr>
        <w:tab/>
      </w:r>
      <w:r w:rsidRPr="00D773F7">
        <w:rPr>
          <w:rFonts w:asciiTheme="majorBidi" w:hAnsiTheme="majorBidi" w:cstheme="majorBidi"/>
          <w:bCs/>
          <w:i/>
          <w:lang w:eastAsia="fr-FR"/>
        </w:rPr>
        <w:t>No classification for effects on the eye</w:t>
      </w:r>
    </w:p>
    <w:p w14:paraId="3312D1EA" w14:textId="706BB2D5" w:rsidR="00F10D98" w:rsidRPr="00D773F7" w:rsidRDefault="00F10D98" w:rsidP="00F10D98">
      <w:pPr>
        <w:pStyle w:val="SingleTxtG"/>
        <w:tabs>
          <w:tab w:val="left" w:pos="3402"/>
        </w:tabs>
        <w:ind w:left="2268"/>
        <w:rPr>
          <w:rFonts w:asciiTheme="majorBidi" w:hAnsiTheme="majorBidi" w:cstheme="majorBidi"/>
        </w:rPr>
      </w:pPr>
      <w:r w:rsidRPr="00D773F7">
        <w:rPr>
          <w:rFonts w:asciiTheme="majorBidi" w:hAnsiTheme="majorBidi" w:cstheme="majorBidi"/>
        </w:rPr>
        <w:tab/>
        <w:t xml:space="preserve">OECD test guidelines 437, 438, 491, 492, 494 and 496 (see </w:t>
      </w:r>
      <w:r w:rsidR="001806B2" w:rsidRPr="00D773F7">
        <w:rPr>
          <w:rFonts w:asciiTheme="majorBidi" w:hAnsiTheme="majorBidi" w:cstheme="majorBidi"/>
        </w:rPr>
        <w:t>t</w:t>
      </w:r>
      <w:r w:rsidRPr="00D773F7">
        <w:rPr>
          <w:rFonts w:asciiTheme="majorBidi" w:hAnsiTheme="majorBidi" w:cstheme="majorBidi"/>
        </w:rPr>
        <w:t>able 3.3.6 in 3.3.5.3.5.1) can be used to conclude that a substance is not classified for effects on the eye.</w:t>
      </w:r>
    </w:p>
    <w:p w14:paraId="740BDC0B" w14:textId="6C4DC0C5" w:rsidR="00F10D98" w:rsidRPr="00D773F7" w:rsidRDefault="00F10D98" w:rsidP="00F10D98">
      <w:pPr>
        <w:pStyle w:val="SingleTxtG"/>
        <w:ind w:left="2268"/>
        <w:rPr>
          <w:rFonts w:asciiTheme="majorBidi" w:hAnsiTheme="majorBidi" w:cstheme="majorBidi"/>
        </w:rPr>
      </w:pPr>
      <w:r w:rsidRPr="00D773F7">
        <w:rPr>
          <w:rFonts w:asciiTheme="majorBidi" w:hAnsiTheme="majorBidi" w:cstheme="majorBidi"/>
          <w:b/>
          <w:bCs/>
        </w:rPr>
        <w:t>3.3.2.5</w:t>
      </w:r>
      <w:r w:rsidRPr="00D773F7">
        <w:rPr>
          <w:rFonts w:asciiTheme="majorBidi" w:hAnsiTheme="majorBidi" w:cstheme="majorBidi"/>
          <w:b/>
          <w:bCs/>
        </w:rPr>
        <w:tab/>
      </w:r>
      <w:r w:rsidRPr="00D773F7">
        <w:rPr>
          <w:rFonts w:asciiTheme="majorBidi" w:hAnsiTheme="majorBidi" w:cstheme="majorBidi"/>
          <w:b/>
          <w:bCs/>
        </w:rPr>
        <w:tab/>
      </w:r>
      <w:r w:rsidR="00477D71" w:rsidRPr="00D773F7">
        <w:rPr>
          <w:rFonts w:asciiTheme="majorBidi" w:hAnsiTheme="majorBidi" w:cstheme="majorBidi"/>
          <w:b/>
          <w:bCs/>
        </w:rPr>
        <w:tab/>
      </w:r>
      <w:r w:rsidRPr="00D773F7">
        <w:rPr>
          <w:rFonts w:asciiTheme="majorBidi" w:hAnsiTheme="majorBidi" w:cstheme="majorBidi"/>
          <w:b/>
          <w:bCs/>
          <w:i/>
          <w:iCs/>
        </w:rPr>
        <w:t>Classification based on conclusive human data, standard animal data or in vitro/ex vivo data for skin corrosion (</w:t>
      </w:r>
      <w:r w:rsidR="00123673" w:rsidRPr="00D773F7">
        <w:rPr>
          <w:rFonts w:asciiTheme="majorBidi" w:hAnsiTheme="majorBidi" w:cstheme="majorBidi"/>
          <w:b/>
          <w:bCs/>
          <w:i/>
          <w:iCs/>
        </w:rPr>
        <w:t>t</w:t>
      </w:r>
      <w:r w:rsidRPr="00D773F7">
        <w:rPr>
          <w:rFonts w:asciiTheme="majorBidi" w:hAnsiTheme="majorBidi" w:cstheme="majorBidi"/>
          <w:b/>
          <w:bCs/>
          <w:i/>
          <w:iCs/>
        </w:rPr>
        <w:t xml:space="preserve">ier 3 in </w:t>
      </w:r>
      <w:r w:rsidR="00D5525A" w:rsidRPr="00D773F7">
        <w:rPr>
          <w:rFonts w:asciiTheme="majorBidi" w:hAnsiTheme="majorBidi" w:cstheme="majorBidi"/>
          <w:b/>
          <w:bCs/>
          <w:i/>
          <w:iCs/>
        </w:rPr>
        <w:t>f</w:t>
      </w:r>
      <w:r w:rsidRPr="00D773F7">
        <w:rPr>
          <w:rFonts w:asciiTheme="majorBidi" w:hAnsiTheme="majorBidi" w:cstheme="majorBidi"/>
          <w:b/>
          <w:bCs/>
          <w:i/>
          <w:iCs/>
        </w:rPr>
        <w:t>igure 3.3.1)</w:t>
      </w:r>
    </w:p>
    <w:p w14:paraId="060575C4" w14:textId="085A4EE2" w:rsidR="00F10D98" w:rsidRPr="00D773F7" w:rsidRDefault="00F10D98" w:rsidP="00F10D98">
      <w:pPr>
        <w:pStyle w:val="SingleTxtG"/>
        <w:tabs>
          <w:tab w:val="left" w:pos="3402"/>
        </w:tabs>
        <w:ind w:left="2268"/>
        <w:rPr>
          <w:rFonts w:asciiTheme="majorBidi" w:hAnsiTheme="majorBidi" w:cstheme="majorBidi"/>
        </w:rPr>
      </w:pPr>
      <w:r w:rsidRPr="00D773F7">
        <w:rPr>
          <w:rFonts w:asciiTheme="majorBidi" w:hAnsiTheme="majorBidi" w:cstheme="majorBidi"/>
        </w:rPr>
        <w:tab/>
      </w:r>
      <w:r w:rsidR="00477D71" w:rsidRPr="00D773F7">
        <w:rPr>
          <w:rFonts w:asciiTheme="majorBidi" w:hAnsiTheme="majorBidi" w:cstheme="majorBidi"/>
        </w:rPr>
        <w:tab/>
      </w:r>
      <w:r w:rsidRPr="00D773F7">
        <w:rPr>
          <w:rFonts w:asciiTheme="majorBidi" w:hAnsiTheme="majorBidi" w:cstheme="majorBidi"/>
        </w:rPr>
        <w:t xml:space="preserve">Substances classified as corrosive to skin (skin Category 1) based on conclusive human data, standard animal data or </w:t>
      </w:r>
      <w:r w:rsidRPr="00D773F7">
        <w:rPr>
          <w:rFonts w:asciiTheme="majorBidi" w:hAnsiTheme="majorBidi" w:cstheme="majorBidi"/>
          <w:iCs/>
        </w:rPr>
        <w:t>in vitro</w:t>
      </w:r>
      <w:r w:rsidRPr="00D773F7">
        <w:rPr>
          <w:rFonts w:asciiTheme="majorBidi" w:hAnsiTheme="majorBidi" w:cstheme="majorBidi"/>
        </w:rPr>
        <w:t>/</w:t>
      </w:r>
      <w:r w:rsidRPr="00D773F7">
        <w:rPr>
          <w:rFonts w:asciiTheme="majorBidi" w:hAnsiTheme="majorBidi" w:cstheme="majorBidi"/>
          <w:i/>
        </w:rPr>
        <w:t>ex vivo</w:t>
      </w:r>
      <w:r w:rsidRPr="00D773F7">
        <w:rPr>
          <w:rFonts w:asciiTheme="majorBidi" w:hAnsiTheme="majorBidi" w:cstheme="majorBidi"/>
        </w:rPr>
        <w:t xml:space="preserve"> data for skin corrosion according to the criteria in </w:t>
      </w:r>
      <w:r w:rsidR="00170498" w:rsidRPr="00D773F7">
        <w:rPr>
          <w:rFonts w:asciiTheme="majorBidi" w:hAnsiTheme="majorBidi" w:cstheme="majorBidi"/>
        </w:rPr>
        <w:t>c</w:t>
      </w:r>
      <w:r w:rsidRPr="00D773F7">
        <w:rPr>
          <w:rFonts w:asciiTheme="majorBidi" w:hAnsiTheme="majorBidi" w:cstheme="majorBidi"/>
        </w:rPr>
        <w:t xml:space="preserve">hapter 3.2 are also deemed as inducing serious eye damage (eye Category 1). </w:t>
      </w:r>
      <w:r w:rsidRPr="00D773F7" w:rsidDel="00FE1441">
        <w:rPr>
          <w:rFonts w:asciiTheme="majorBidi" w:hAnsiTheme="majorBidi" w:cstheme="majorBidi"/>
        </w:rPr>
        <w:t>Skin irritation (</w:t>
      </w:r>
      <w:r w:rsidRPr="00D773F7">
        <w:rPr>
          <w:rFonts w:asciiTheme="majorBidi" w:hAnsiTheme="majorBidi" w:cstheme="majorBidi"/>
        </w:rPr>
        <w:t xml:space="preserve">skin </w:t>
      </w:r>
      <w:r w:rsidRPr="00D773F7" w:rsidDel="00FE1441">
        <w:rPr>
          <w:rFonts w:asciiTheme="majorBidi" w:hAnsiTheme="majorBidi" w:cstheme="majorBidi"/>
        </w:rPr>
        <w:t>Category</w:t>
      </w:r>
      <w:r w:rsidR="00F11F64">
        <w:rPr>
          <w:rFonts w:asciiTheme="majorBidi" w:hAnsiTheme="majorBidi" w:cstheme="majorBidi"/>
        </w:rPr>
        <w:t> </w:t>
      </w:r>
      <w:r w:rsidRPr="00D773F7" w:rsidDel="00FE1441">
        <w:rPr>
          <w:rFonts w:asciiTheme="majorBidi" w:hAnsiTheme="majorBidi" w:cstheme="majorBidi"/>
        </w:rPr>
        <w:t>2), mild skin irritation (</w:t>
      </w:r>
      <w:r w:rsidRPr="00D773F7">
        <w:rPr>
          <w:rFonts w:asciiTheme="majorBidi" w:hAnsiTheme="majorBidi" w:cstheme="majorBidi"/>
        </w:rPr>
        <w:t xml:space="preserve">skin </w:t>
      </w:r>
      <w:r w:rsidRPr="00D773F7" w:rsidDel="00FE1441">
        <w:rPr>
          <w:rFonts w:asciiTheme="majorBidi" w:hAnsiTheme="majorBidi" w:cstheme="majorBidi"/>
        </w:rPr>
        <w:t xml:space="preserve">Category 3) and no classification for skin irritation, as well as human patch data (as described in </w:t>
      </w:r>
      <w:r w:rsidR="00170498" w:rsidRPr="00D773F7">
        <w:rPr>
          <w:rFonts w:asciiTheme="majorBidi" w:hAnsiTheme="majorBidi" w:cstheme="majorBidi"/>
        </w:rPr>
        <w:t>c</w:t>
      </w:r>
      <w:r w:rsidRPr="00D773F7" w:rsidDel="00FE1441">
        <w:rPr>
          <w:rFonts w:asciiTheme="majorBidi" w:hAnsiTheme="majorBidi" w:cstheme="majorBidi"/>
        </w:rPr>
        <w:t>hapter 3.2), cannot be used alone</w:t>
      </w:r>
      <w:r w:rsidRPr="00D773F7">
        <w:rPr>
          <w:rFonts w:asciiTheme="majorBidi" w:hAnsiTheme="majorBidi" w:cstheme="majorBidi"/>
        </w:rPr>
        <w:t xml:space="preserve"> </w:t>
      </w:r>
      <w:r w:rsidRPr="00D773F7" w:rsidDel="00FE1441">
        <w:rPr>
          <w:rFonts w:asciiTheme="majorBidi" w:hAnsiTheme="majorBidi" w:cstheme="majorBidi"/>
        </w:rPr>
        <w:t xml:space="preserve">to conclude </w:t>
      </w:r>
      <w:r w:rsidRPr="00D773F7">
        <w:rPr>
          <w:rFonts w:asciiTheme="majorBidi" w:hAnsiTheme="majorBidi" w:cstheme="majorBidi"/>
        </w:rPr>
        <w:t xml:space="preserve">on </w:t>
      </w:r>
      <w:r w:rsidRPr="00D773F7" w:rsidDel="00FE1441">
        <w:rPr>
          <w:rFonts w:asciiTheme="majorBidi" w:hAnsiTheme="majorBidi" w:cstheme="majorBidi"/>
        </w:rPr>
        <w:t xml:space="preserve">eye irritation or no classification for effects on the eye, but may be considered in an overall weight of evidence </w:t>
      </w:r>
      <w:r w:rsidRPr="00D773F7">
        <w:rPr>
          <w:rFonts w:asciiTheme="majorBidi" w:hAnsiTheme="majorBidi" w:cstheme="majorBidi"/>
        </w:rPr>
        <w:t xml:space="preserve">assessment. </w:t>
      </w:r>
    </w:p>
    <w:p w14:paraId="1A83A152" w14:textId="75831236" w:rsidR="00F10D98" w:rsidRPr="00D773F7" w:rsidRDefault="00F10D98" w:rsidP="00F10D98">
      <w:pPr>
        <w:pStyle w:val="SingleTxtG"/>
        <w:tabs>
          <w:tab w:val="left" w:pos="3402"/>
        </w:tabs>
        <w:ind w:left="2268"/>
        <w:rPr>
          <w:rFonts w:asciiTheme="majorBidi" w:hAnsiTheme="majorBidi" w:cstheme="majorBidi"/>
        </w:rPr>
      </w:pPr>
      <w:r w:rsidRPr="00D773F7">
        <w:rPr>
          <w:rFonts w:asciiTheme="majorBidi" w:hAnsiTheme="majorBidi" w:cstheme="majorBidi"/>
          <w:b/>
          <w:bCs/>
        </w:rPr>
        <w:t>3.3.2.6</w:t>
      </w:r>
      <w:r w:rsidRPr="00D773F7">
        <w:rPr>
          <w:rFonts w:asciiTheme="majorBidi" w:hAnsiTheme="majorBidi" w:cstheme="majorBidi"/>
          <w:b/>
          <w:bCs/>
        </w:rPr>
        <w:tab/>
      </w:r>
      <w:r w:rsidR="00477D71" w:rsidRPr="00D773F7">
        <w:rPr>
          <w:rFonts w:asciiTheme="majorBidi" w:hAnsiTheme="majorBidi" w:cstheme="majorBidi"/>
          <w:b/>
          <w:bCs/>
        </w:rPr>
        <w:tab/>
      </w:r>
      <w:r w:rsidRPr="00D773F7">
        <w:rPr>
          <w:rFonts w:asciiTheme="majorBidi" w:hAnsiTheme="majorBidi" w:cstheme="majorBidi"/>
          <w:b/>
          <w:bCs/>
          <w:i/>
          <w:iCs/>
        </w:rPr>
        <w:t>Classification based on other existing animal skin or eye data (</w:t>
      </w:r>
      <w:r w:rsidR="00123673" w:rsidRPr="00D773F7">
        <w:rPr>
          <w:rFonts w:asciiTheme="majorBidi" w:hAnsiTheme="majorBidi" w:cstheme="majorBidi"/>
          <w:b/>
          <w:bCs/>
          <w:i/>
          <w:iCs/>
        </w:rPr>
        <w:t>t</w:t>
      </w:r>
      <w:r w:rsidRPr="00D773F7">
        <w:rPr>
          <w:rFonts w:asciiTheme="majorBidi" w:hAnsiTheme="majorBidi" w:cstheme="majorBidi"/>
          <w:b/>
          <w:bCs/>
          <w:i/>
          <w:iCs/>
        </w:rPr>
        <w:t xml:space="preserve">ier 4 in </w:t>
      </w:r>
      <w:r w:rsidR="00D5525A" w:rsidRPr="00D773F7">
        <w:rPr>
          <w:rFonts w:asciiTheme="majorBidi" w:hAnsiTheme="majorBidi" w:cstheme="majorBidi"/>
          <w:b/>
          <w:bCs/>
          <w:i/>
          <w:iCs/>
        </w:rPr>
        <w:t>f</w:t>
      </w:r>
      <w:r w:rsidRPr="00D773F7">
        <w:rPr>
          <w:rFonts w:asciiTheme="majorBidi" w:hAnsiTheme="majorBidi" w:cstheme="majorBidi"/>
          <w:b/>
          <w:bCs/>
          <w:i/>
          <w:iCs/>
        </w:rPr>
        <w:t>igure 3.3.1)</w:t>
      </w:r>
    </w:p>
    <w:p w14:paraId="46D07458" w14:textId="45D10D4E" w:rsidR="00F10D98" w:rsidRPr="00D773F7" w:rsidRDefault="00F10D98" w:rsidP="00F10D98">
      <w:pPr>
        <w:pStyle w:val="SingleTxtG"/>
        <w:tabs>
          <w:tab w:val="left" w:pos="3402"/>
        </w:tabs>
        <w:ind w:left="2268"/>
        <w:rPr>
          <w:rFonts w:asciiTheme="majorBidi" w:hAnsiTheme="majorBidi" w:cstheme="majorBidi"/>
        </w:rPr>
      </w:pPr>
      <w:r w:rsidRPr="00D773F7">
        <w:rPr>
          <w:rFonts w:asciiTheme="majorBidi" w:hAnsiTheme="majorBidi" w:cstheme="majorBidi"/>
        </w:rPr>
        <w:tab/>
      </w:r>
      <w:r w:rsidR="00477D71" w:rsidRPr="00D773F7">
        <w:rPr>
          <w:rFonts w:asciiTheme="majorBidi" w:hAnsiTheme="majorBidi" w:cstheme="majorBidi"/>
        </w:rPr>
        <w:tab/>
      </w:r>
      <w:r w:rsidRPr="00D773F7">
        <w:rPr>
          <w:rFonts w:asciiTheme="majorBidi" w:hAnsiTheme="majorBidi" w:cstheme="majorBidi"/>
        </w:rPr>
        <w:t xml:space="preserve">Other existing skin or eye data in animals may be used for classification, but there may be limitations regarding the conclusions that can be drawn (see 3.3.5.3.6). Substances classified as corrosive to skin (skin Category 1) based on other existing skin data according to the criteria in </w:t>
      </w:r>
      <w:r w:rsidR="00170498" w:rsidRPr="00D773F7">
        <w:rPr>
          <w:rFonts w:asciiTheme="majorBidi" w:hAnsiTheme="majorBidi" w:cstheme="majorBidi"/>
        </w:rPr>
        <w:t>c</w:t>
      </w:r>
      <w:r w:rsidRPr="00D773F7">
        <w:rPr>
          <w:rFonts w:asciiTheme="majorBidi" w:hAnsiTheme="majorBidi" w:cstheme="majorBidi"/>
        </w:rPr>
        <w:t>hapter 3.2 are also deemed as inducing serious eye damage (eye Category 1). Other existing skin data leading to classification in skin Category 2, 3 or no classification, cannot be used alone to conclude on eye irritation or no classification for effects on the eye, but may be considered in an overall weight of evidence assessment.”</w:t>
      </w:r>
    </w:p>
    <w:p w14:paraId="460C3E97" w14:textId="09504897" w:rsidR="00F10D98" w:rsidRPr="00D773F7" w:rsidRDefault="00F10D98" w:rsidP="00F10D98">
      <w:pPr>
        <w:pStyle w:val="SingleTxtG"/>
        <w:tabs>
          <w:tab w:val="left" w:pos="3402"/>
        </w:tabs>
        <w:ind w:left="2268"/>
        <w:rPr>
          <w:rFonts w:asciiTheme="majorBidi" w:hAnsiTheme="majorBidi" w:cstheme="majorBidi"/>
        </w:rPr>
      </w:pPr>
      <w:r w:rsidRPr="00D773F7">
        <w:rPr>
          <w:rFonts w:asciiTheme="majorBidi" w:hAnsiTheme="majorBidi" w:cstheme="majorBidi"/>
          <w:b/>
          <w:bCs/>
        </w:rPr>
        <w:t>3.3.2.7</w:t>
      </w:r>
      <w:r w:rsidRPr="00D773F7">
        <w:rPr>
          <w:rFonts w:asciiTheme="majorBidi" w:hAnsiTheme="majorBidi" w:cstheme="majorBidi"/>
          <w:b/>
          <w:bCs/>
        </w:rPr>
        <w:tab/>
      </w:r>
      <w:r w:rsidR="00477D71" w:rsidRPr="00D773F7">
        <w:rPr>
          <w:rFonts w:asciiTheme="majorBidi" w:hAnsiTheme="majorBidi" w:cstheme="majorBidi"/>
          <w:b/>
          <w:bCs/>
        </w:rPr>
        <w:tab/>
      </w:r>
      <w:r w:rsidRPr="00D773F7">
        <w:rPr>
          <w:rFonts w:asciiTheme="majorBidi" w:hAnsiTheme="majorBidi" w:cstheme="majorBidi"/>
          <w:b/>
          <w:bCs/>
          <w:i/>
          <w:iCs/>
        </w:rPr>
        <w:t xml:space="preserve">Classification based on extreme pH (pH </w:t>
      </w:r>
      <w:r w:rsidR="00613ACE" w:rsidRPr="00D773F7">
        <w:rPr>
          <w:rFonts w:asciiTheme="majorBidi" w:hAnsiTheme="majorBidi" w:cstheme="majorBidi"/>
          <w:b/>
          <w:bCs/>
          <w:i/>
          <w:iCs/>
        </w:rPr>
        <w:t>≤</w:t>
      </w:r>
      <w:r w:rsidRPr="00D773F7">
        <w:rPr>
          <w:rFonts w:asciiTheme="majorBidi" w:hAnsiTheme="majorBidi" w:cstheme="majorBidi"/>
          <w:b/>
          <w:bCs/>
          <w:i/>
          <w:iCs/>
        </w:rPr>
        <w:t xml:space="preserve"> 2 or </w:t>
      </w:r>
      <w:r w:rsidR="00613ACE" w:rsidRPr="00D773F7">
        <w:rPr>
          <w:rFonts w:asciiTheme="majorBidi" w:hAnsiTheme="majorBidi" w:cstheme="majorBidi"/>
          <w:b/>
          <w:bCs/>
          <w:i/>
          <w:iCs/>
        </w:rPr>
        <w:t>≥</w:t>
      </w:r>
      <w:r w:rsidRPr="00D773F7">
        <w:rPr>
          <w:rFonts w:asciiTheme="majorBidi" w:hAnsiTheme="majorBidi" w:cstheme="majorBidi"/>
          <w:b/>
          <w:bCs/>
          <w:i/>
          <w:iCs/>
        </w:rPr>
        <w:t xml:space="preserve"> 11.5) and acid/alkaline reserve (</w:t>
      </w:r>
      <w:r w:rsidR="00123673" w:rsidRPr="00D773F7">
        <w:rPr>
          <w:rFonts w:asciiTheme="majorBidi" w:hAnsiTheme="majorBidi" w:cstheme="majorBidi"/>
          <w:b/>
          <w:bCs/>
          <w:i/>
          <w:iCs/>
        </w:rPr>
        <w:t>t</w:t>
      </w:r>
      <w:r w:rsidRPr="00D773F7">
        <w:rPr>
          <w:rFonts w:asciiTheme="majorBidi" w:hAnsiTheme="majorBidi" w:cstheme="majorBidi"/>
          <w:b/>
          <w:bCs/>
          <w:i/>
          <w:iCs/>
        </w:rPr>
        <w:t xml:space="preserve">ier 5 in </w:t>
      </w:r>
      <w:r w:rsidR="00D5525A" w:rsidRPr="00D773F7">
        <w:rPr>
          <w:rFonts w:asciiTheme="majorBidi" w:hAnsiTheme="majorBidi" w:cstheme="majorBidi"/>
          <w:b/>
          <w:bCs/>
          <w:i/>
          <w:iCs/>
        </w:rPr>
        <w:t>f</w:t>
      </w:r>
      <w:r w:rsidRPr="00D773F7">
        <w:rPr>
          <w:rFonts w:asciiTheme="majorBidi" w:hAnsiTheme="majorBidi" w:cstheme="majorBidi"/>
          <w:b/>
          <w:bCs/>
          <w:i/>
          <w:iCs/>
        </w:rPr>
        <w:t>igure 3.3.1)</w:t>
      </w:r>
    </w:p>
    <w:p w14:paraId="5ECA12E7" w14:textId="053B1C2A" w:rsidR="00F10D98" w:rsidRPr="00D773F7" w:rsidRDefault="00F10D98" w:rsidP="00F10D98">
      <w:pPr>
        <w:pStyle w:val="SingleTxtG"/>
        <w:tabs>
          <w:tab w:val="left" w:pos="3402"/>
        </w:tabs>
        <w:ind w:left="2268"/>
        <w:rPr>
          <w:rFonts w:asciiTheme="majorBidi" w:hAnsiTheme="majorBidi" w:cstheme="majorBidi"/>
        </w:rPr>
      </w:pPr>
      <w:r w:rsidRPr="00D773F7">
        <w:rPr>
          <w:rFonts w:asciiTheme="majorBidi" w:hAnsiTheme="majorBidi" w:cstheme="majorBidi"/>
        </w:rPr>
        <w:tab/>
      </w:r>
      <w:r w:rsidR="00477D71" w:rsidRPr="00D773F7">
        <w:rPr>
          <w:rFonts w:asciiTheme="majorBidi" w:hAnsiTheme="majorBidi" w:cstheme="majorBidi"/>
        </w:rPr>
        <w:tab/>
      </w:r>
      <w:r w:rsidRPr="00D773F7">
        <w:rPr>
          <w:rFonts w:asciiTheme="majorBidi" w:hAnsiTheme="majorBidi" w:cstheme="majorBidi"/>
        </w:rPr>
        <w:t xml:space="preserve">In general, substances with an extreme pH (pH </w:t>
      </w:r>
      <w:r w:rsidR="00613ACE" w:rsidRPr="00D773F7">
        <w:rPr>
          <w:rFonts w:asciiTheme="majorBidi" w:hAnsiTheme="majorBidi" w:cstheme="majorBidi"/>
        </w:rPr>
        <w:t>≤</w:t>
      </w:r>
      <w:r w:rsidRPr="00D773F7">
        <w:rPr>
          <w:rFonts w:asciiTheme="majorBidi" w:hAnsiTheme="majorBidi" w:cstheme="majorBidi"/>
        </w:rPr>
        <w:t xml:space="preserve"> 2 or </w:t>
      </w:r>
      <w:r w:rsidR="00613ACE" w:rsidRPr="00D773F7">
        <w:rPr>
          <w:rFonts w:asciiTheme="majorBidi" w:hAnsiTheme="majorBidi" w:cstheme="majorBidi"/>
        </w:rPr>
        <w:t>≥</w:t>
      </w:r>
      <w:r w:rsidRPr="00D773F7">
        <w:rPr>
          <w:rFonts w:asciiTheme="majorBidi" w:hAnsiTheme="majorBidi" w:cstheme="majorBidi"/>
        </w:rPr>
        <w:t xml:space="preserve"> 11.5) are expected to cause significant eye effects, especially when associated with significant acid/alkaline reserve. </w:t>
      </w:r>
      <w:r w:rsidRPr="00D773F7">
        <w:rPr>
          <w:rFonts w:asciiTheme="majorBidi" w:hAnsiTheme="majorBidi" w:cstheme="majorBidi"/>
          <w:iCs/>
        </w:rPr>
        <w:t xml:space="preserve">A </w:t>
      </w:r>
      <w:r w:rsidRPr="00D773F7">
        <w:rPr>
          <w:rFonts w:asciiTheme="majorBidi" w:hAnsiTheme="majorBidi" w:cstheme="majorBidi"/>
        </w:rPr>
        <w:t xml:space="preserve">substance with pH </w:t>
      </w:r>
      <w:r w:rsidR="00613ACE" w:rsidRPr="00D773F7">
        <w:rPr>
          <w:rFonts w:asciiTheme="majorBidi" w:hAnsiTheme="majorBidi" w:cstheme="majorBidi"/>
        </w:rPr>
        <w:t>≤</w:t>
      </w:r>
      <w:r w:rsidRPr="00D773F7">
        <w:rPr>
          <w:rFonts w:asciiTheme="majorBidi" w:hAnsiTheme="majorBidi" w:cstheme="majorBidi"/>
        </w:rPr>
        <w:t xml:space="preserve"> 2 or </w:t>
      </w:r>
      <w:r w:rsidR="00613ACE" w:rsidRPr="00D773F7">
        <w:rPr>
          <w:rFonts w:asciiTheme="majorBidi" w:hAnsiTheme="majorBidi" w:cstheme="majorBidi"/>
        </w:rPr>
        <w:t>≥</w:t>
      </w:r>
      <w:r w:rsidRPr="00D773F7">
        <w:rPr>
          <w:rFonts w:asciiTheme="majorBidi" w:hAnsiTheme="majorBidi" w:cstheme="majorBidi"/>
        </w:rPr>
        <w:t xml:space="preserve"> 11.5 is therefore </w:t>
      </w:r>
      <w:r w:rsidRPr="00D773F7">
        <w:rPr>
          <w:rFonts w:asciiTheme="majorBidi" w:hAnsiTheme="majorBidi" w:cstheme="majorBidi"/>
        </w:rPr>
        <w:lastRenderedPageBreak/>
        <w:t xml:space="preserve">considered to cause serious eye damage (Category 1) in this tier if it has a significant acid/alkaline reserve or if no data for acid/alkaline reserve are available. However, if consideration of acid/alkaline reserve suggests the substance may not cause serious eye damage despite the extreme pH value, the result is considered inconclusive within this tier (see </w:t>
      </w:r>
      <w:r w:rsidR="00D5525A" w:rsidRPr="00D773F7">
        <w:rPr>
          <w:rFonts w:asciiTheme="majorBidi" w:hAnsiTheme="majorBidi" w:cstheme="majorBidi"/>
        </w:rPr>
        <w:t>f</w:t>
      </w:r>
      <w:r w:rsidRPr="00D773F7">
        <w:rPr>
          <w:rFonts w:asciiTheme="majorBidi" w:hAnsiTheme="majorBidi" w:cstheme="majorBidi"/>
        </w:rPr>
        <w:t>igure 3.3.1). A pH &gt; 2 and &lt; 11.5 is considered inconclusive and cannot be used for classification purposes. Acid/alkaline reserve and pH can be determined by different methods including those described in OECD Test Guideline 122 and Young et al. (1988), acknowledging that there are some differences between these methods (see 3.3.5.3.7). A competent authority may decide which criteria for significant acid/alkaline reserve can be applied.</w:t>
      </w:r>
    </w:p>
    <w:p w14:paraId="0943FEEA" w14:textId="645FB0E9" w:rsidR="00F10D98" w:rsidRPr="00D773F7" w:rsidRDefault="00F10D98" w:rsidP="00F10D98">
      <w:pPr>
        <w:pStyle w:val="SingleTxtG"/>
        <w:tabs>
          <w:tab w:val="left" w:pos="3402"/>
        </w:tabs>
        <w:ind w:left="2268"/>
        <w:rPr>
          <w:rFonts w:asciiTheme="majorBidi" w:hAnsiTheme="majorBidi" w:cstheme="majorBidi"/>
          <w:b/>
          <w:bCs/>
          <w:i/>
          <w:iCs/>
        </w:rPr>
      </w:pPr>
      <w:r w:rsidRPr="00D773F7">
        <w:rPr>
          <w:rFonts w:asciiTheme="majorBidi" w:hAnsiTheme="majorBidi" w:cstheme="majorBidi"/>
          <w:b/>
          <w:bCs/>
        </w:rPr>
        <w:t>3.3.2.8</w:t>
      </w:r>
      <w:r w:rsidRPr="00D773F7">
        <w:rPr>
          <w:rFonts w:asciiTheme="majorBidi" w:hAnsiTheme="majorBidi" w:cstheme="majorBidi"/>
          <w:b/>
          <w:bCs/>
        </w:rPr>
        <w:tab/>
      </w:r>
      <w:r w:rsidR="00477D71" w:rsidRPr="00D773F7">
        <w:rPr>
          <w:rFonts w:asciiTheme="majorBidi" w:hAnsiTheme="majorBidi" w:cstheme="majorBidi"/>
          <w:b/>
          <w:bCs/>
        </w:rPr>
        <w:tab/>
      </w:r>
      <w:r w:rsidRPr="00D773F7">
        <w:rPr>
          <w:rFonts w:asciiTheme="majorBidi" w:hAnsiTheme="majorBidi" w:cstheme="majorBidi"/>
          <w:b/>
          <w:bCs/>
          <w:i/>
          <w:iCs/>
        </w:rPr>
        <w:t>Classification based on non-test methods for serious eye damage/eye irritation or for skin corrosion (</w:t>
      </w:r>
      <w:r w:rsidR="00123673" w:rsidRPr="00D773F7">
        <w:rPr>
          <w:rFonts w:asciiTheme="majorBidi" w:hAnsiTheme="majorBidi" w:cstheme="majorBidi"/>
          <w:b/>
          <w:bCs/>
          <w:i/>
          <w:iCs/>
        </w:rPr>
        <w:t>t</w:t>
      </w:r>
      <w:r w:rsidRPr="00D773F7">
        <w:rPr>
          <w:rFonts w:asciiTheme="majorBidi" w:hAnsiTheme="majorBidi" w:cstheme="majorBidi"/>
          <w:b/>
          <w:bCs/>
          <w:i/>
          <w:iCs/>
        </w:rPr>
        <w:t xml:space="preserve">ier 6 in </w:t>
      </w:r>
      <w:r w:rsidR="00D5525A" w:rsidRPr="00D773F7">
        <w:rPr>
          <w:rFonts w:asciiTheme="majorBidi" w:hAnsiTheme="majorBidi" w:cstheme="majorBidi"/>
          <w:b/>
          <w:bCs/>
          <w:i/>
          <w:iCs/>
        </w:rPr>
        <w:t>f</w:t>
      </w:r>
      <w:r w:rsidRPr="00D773F7">
        <w:rPr>
          <w:rFonts w:asciiTheme="majorBidi" w:hAnsiTheme="majorBidi" w:cstheme="majorBidi"/>
          <w:b/>
          <w:bCs/>
          <w:i/>
          <w:iCs/>
        </w:rPr>
        <w:t>igure 3.3.1)</w:t>
      </w:r>
    </w:p>
    <w:p w14:paraId="7901952C" w14:textId="71B354E8" w:rsidR="00884F94" w:rsidRPr="00D773F7" w:rsidRDefault="00884F94" w:rsidP="00FF5260">
      <w:pPr>
        <w:pStyle w:val="SingleTxtG"/>
        <w:tabs>
          <w:tab w:val="clear" w:pos="1701"/>
        </w:tabs>
        <w:ind w:left="2268"/>
        <w:rPr>
          <w:rFonts w:asciiTheme="majorBidi" w:hAnsiTheme="majorBidi" w:cstheme="majorBidi"/>
        </w:rPr>
      </w:pPr>
      <w:r w:rsidRPr="00D773F7">
        <w:rPr>
          <w:rFonts w:asciiTheme="majorBidi" w:hAnsiTheme="majorBidi" w:cstheme="majorBidi"/>
        </w:rPr>
        <w:t>3.3.2.8.1</w:t>
      </w:r>
      <w:r w:rsidRPr="00D773F7">
        <w:rPr>
          <w:rFonts w:asciiTheme="majorBidi" w:hAnsiTheme="majorBidi" w:cstheme="majorBidi"/>
        </w:rPr>
        <w:tab/>
        <w:t>Classification, including the conclusion not classified, can be based on non-test methods, with due consideration of reliability and applicability, on a case-by-case basis. Non-test methods include computer models predicting qualitative structure-activity relationships (structural alerts, SAR) or quantitative structure-activity relationships (QSARs), computer expert systems, and read-across using analogue and category approaches.</w:t>
      </w:r>
    </w:p>
    <w:p w14:paraId="0CD0705A" w14:textId="77777777" w:rsidR="00F10D98" w:rsidRPr="00D773F7" w:rsidRDefault="00F10D98" w:rsidP="00F10D98">
      <w:pPr>
        <w:pStyle w:val="SingleTxtG"/>
        <w:tabs>
          <w:tab w:val="left" w:pos="3402"/>
        </w:tabs>
        <w:ind w:left="2268"/>
        <w:rPr>
          <w:rFonts w:asciiTheme="majorBidi" w:hAnsiTheme="majorBidi" w:cstheme="majorBidi"/>
        </w:rPr>
      </w:pPr>
      <w:r w:rsidRPr="00D773F7">
        <w:rPr>
          <w:rFonts w:asciiTheme="majorBidi" w:hAnsiTheme="majorBidi" w:cstheme="majorBidi"/>
        </w:rPr>
        <w:t>3.3.2.8.2</w:t>
      </w:r>
      <w:r w:rsidRPr="00D773F7">
        <w:rPr>
          <w:rFonts w:asciiTheme="majorBidi" w:hAnsiTheme="majorBidi" w:cstheme="majorBidi"/>
        </w:rPr>
        <w:tab/>
        <w:t xml:space="preserve">Read-across using analogue or category approaches requires sufficiently reliable test data on similar substance(s) and justification of the similarity of the tested substance(s) with the substance(s) to be classified. Where adequate justification of the read-across approach is provided, it has in general higher weight than (Q)SARs. </w:t>
      </w:r>
    </w:p>
    <w:p w14:paraId="3372ECAF" w14:textId="77777777" w:rsidR="00F10D98" w:rsidRPr="00D773F7" w:rsidRDefault="00F10D98" w:rsidP="00F10D98">
      <w:pPr>
        <w:pStyle w:val="SingleTxtG"/>
        <w:tabs>
          <w:tab w:val="left" w:pos="3402"/>
        </w:tabs>
        <w:ind w:left="2268"/>
        <w:rPr>
          <w:rFonts w:asciiTheme="majorBidi" w:hAnsiTheme="majorBidi" w:cstheme="majorBidi"/>
        </w:rPr>
      </w:pPr>
      <w:r w:rsidRPr="00D773F7">
        <w:rPr>
          <w:rFonts w:asciiTheme="majorBidi" w:hAnsiTheme="majorBidi" w:cstheme="majorBidi"/>
        </w:rPr>
        <w:t>3.3.2.8.3</w:t>
      </w:r>
      <w:r w:rsidRPr="00D773F7">
        <w:rPr>
          <w:rFonts w:asciiTheme="majorBidi" w:hAnsiTheme="majorBidi" w:cstheme="majorBidi"/>
        </w:rPr>
        <w:tab/>
        <w:t>Classification based on (Q)SARs requires sufficient data and validation of the model. The validity of the computer models and the prediction should be assessed using internationally recognized principles for the validation of (Q)SARs. With respect to reliability, lack of alerts in a SAR or expert system is not sufficient evidence for no classification.</w:t>
      </w:r>
    </w:p>
    <w:p w14:paraId="5AEED40F" w14:textId="2F942244" w:rsidR="00F10D98" w:rsidRPr="00D773F7" w:rsidRDefault="00F10D98" w:rsidP="00F10D98">
      <w:pPr>
        <w:pStyle w:val="SingleTxtG"/>
        <w:tabs>
          <w:tab w:val="left" w:pos="3402"/>
        </w:tabs>
        <w:ind w:left="2268"/>
        <w:rPr>
          <w:rFonts w:asciiTheme="majorBidi" w:hAnsiTheme="majorBidi" w:cstheme="majorBidi"/>
        </w:rPr>
      </w:pPr>
      <w:r w:rsidRPr="00D773F7">
        <w:rPr>
          <w:rFonts w:asciiTheme="majorBidi" w:hAnsiTheme="majorBidi" w:cstheme="majorBidi"/>
        </w:rPr>
        <w:t>3.3.2.8.4</w:t>
      </w:r>
      <w:r w:rsidRPr="00D773F7">
        <w:rPr>
          <w:rFonts w:asciiTheme="majorBidi" w:hAnsiTheme="majorBidi" w:cstheme="majorBidi"/>
        </w:rPr>
        <w:tab/>
        <w:t xml:space="preserve">Conclusive non-test data for skin corrosion may be used for classification for effects on the eye. Thus, substances classified as corrosive to skin (skin Category 1) according to the criteria in </w:t>
      </w:r>
      <w:r w:rsidR="00170498" w:rsidRPr="00D773F7">
        <w:rPr>
          <w:rFonts w:asciiTheme="majorBidi" w:hAnsiTheme="majorBidi" w:cstheme="majorBidi"/>
        </w:rPr>
        <w:t>c</w:t>
      </w:r>
      <w:r w:rsidRPr="00D773F7">
        <w:rPr>
          <w:rFonts w:asciiTheme="majorBidi" w:hAnsiTheme="majorBidi" w:cstheme="majorBidi"/>
        </w:rPr>
        <w:t xml:space="preserve">hapter 3.2 are also deemed as inducing serious eye damage (eye Category 1). Skin irritation (skin Category 2), mild skin irritation (skin Category 3) and no classification for skin irritation according to </w:t>
      </w:r>
      <w:r w:rsidR="00170498" w:rsidRPr="00D773F7">
        <w:rPr>
          <w:rFonts w:asciiTheme="majorBidi" w:hAnsiTheme="majorBidi" w:cstheme="majorBidi"/>
        </w:rPr>
        <w:t>c</w:t>
      </w:r>
      <w:r w:rsidRPr="00D773F7">
        <w:rPr>
          <w:rFonts w:asciiTheme="majorBidi" w:hAnsiTheme="majorBidi" w:cstheme="majorBidi"/>
        </w:rPr>
        <w:t>hapter 3.2 cannot be used alone to conclude eye irritation or no classification for effects on the eye, but may be considered in an overall weight of evidence assessment.</w:t>
      </w:r>
    </w:p>
    <w:p w14:paraId="6B1789D1" w14:textId="182DB307" w:rsidR="00D56CE7" w:rsidRPr="00D773F7" w:rsidRDefault="00B90CA5" w:rsidP="00F10D98">
      <w:pPr>
        <w:pStyle w:val="SingleTxtG"/>
        <w:tabs>
          <w:tab w:val="left" w:pos="3402"/>
        </w:tabs>
        <w:ind w:left="2268"/>
        <w:rPr>
          <w:rFonts w:asciiTheme="majorBidi" w:hAnsiTheme="majorBidi" w:cstheme="majorBidi"/>
        </w:rPr>
      </w:pPr>
      <w:r w:rsidRPr="00D773F7">
        <w:rPr>
          <w:rFonts w:asciiTheme="majorBidi" w:hAnsiTheme="majorBidi" w:cstheme="majorBidi"/>
        </w:rPr>
        <w:t>3.3.2.8.5</w:t>
      </w:r>
      <w:r w:rsidRPr="00D773F7">
        <w:rPr>
          <w:rFonts w:asciiTheme="majorBidi" w:hAnsiTheme="majorBidi" w:cstheme="majorBidi"/>
        </w:rPr>
        <w:tab/>
        <w:t xml:space="preserve">For conclusions on no classification from read-across and (Q)SARs the adequacy and robustness of the scientific reasoning and of the supporting evidence should be well substantiated and normally requires multiple negative substances with good structural and physical (related to </w:t>
      </w:r>
      <w:proofErr w:type="spellStart"/>
      <w:r w:rsidRPr="00D773F7">
        <w:rPr>
          <w:rFonts w:asciiTheme="majorBidi" w:hAnsiTheme="majorBidi" w:cstheme="majorBidi"/>
        </w:rPr>
        <w:t>toxicokinetics</w:t>
      </w:r>
      <w:proofErr w:type="spellEnd"/>
      <w:r w:rsidRPr="00D773F7">
        <w:rPr>
          <w:rFonts w:asciiTheme="majorBidi" w:hAnsiTheme="majorBidi" w:cstheme="majorBidi"/>
        </w:rPr>
        <w:t>) similarity to the substance being classified, as well as a clear absence of positive substances with good structural and physical similarity to the substance being classified.</w:t>
      </w:r>
    </w:p>
    <w:p w14:paraId="174A1F2A" w14:textId="56FBE6B5" w:rsidR="00F10D98" w:rsidRPr="00D773F7" w:rsidRDefault="00F10D98" w:rsidP="00F10D98">
      <w:pPr>
        <w:pStyle w:val="SingleTxtG"/>
        <w:tabs>
          <w:tab w:val="left" w:pos="3402"/>
        </w:tabs>
        <w:ind w:left="2268"/>
        <w:rPr>
          <w:rFonts w:asciiTheme="majorBidi" w:hAnsiTheme="majorBidi" w:cstheme="majorBidi"/>
          <w:b/>
          <w:bCs/>
          <w:i/>
          <w:iCs/>
        </w:rPr>
      </w:pPr>
      <w:r w:rsidRPr="00D773F7">
        <w:rPr>
          <w:rFonts w:asciiTheme="majorBidi" w:hAnsiTheme="majorBidi" w:cstheme="majorBidi"/>
          <w:b/>
        </w:rPr>
        <w:t>3.3.2.9</w:t>
      </w:r>
      <w:r w:rsidRPr="00D773F7">
        <w:rPr>
          <w:rFonts w:asciiTheme="majorBidi" w:hAnsiTheme="majorBidi" w:cstheme="majorBidi"/>
          <w:b/>
        </w:rPr>
        <w:tab/>
      </w:r>
      <w:r w:rsidR="00477D71" w:rsidRPr="00D773F7">
        <w:rPr>
          <w:rFonts w:asciiTheme="majorBidi" w:hAnsiTheme="majorBidi" w:cstheme="majorBidi"/>
          <w:b/>
        </w:rPr>
        <w:tab/>
      </w:r>
      <w:r w:rsidRPr="00D773F7">
        <w:rPr>
          <w:rFonts w:asciiTheme="majorBidi" w:hAnsiTheme="majorBidi" w:cstheme="majorBidi"/>
          <w:b/>
          <w:i/>
        </w:rPr>
        <w:t xml:space="preserve">Classification based on an overall weight of evidence assessment </w:t>
      </w:r>
      <w:r w:rsidRPr="00D773F7">
        <w:rPr>
          <w:rFonts w:asciiTheme="majorBidi" w:hAnsiTheme="majorBidi" w:cstheme="majorBidi"/>
          <w:b/>
          <w:bCs/>
          <w:i/>
          <w:iCs/>
        </w:rPr>
        <w:t>(</w:t>
      </w:r>
      <w:r w:rsidR="00123673" w:rsidRPr="00D773F7">
        <w:rPr>
          <w:rFonts w:asciiTheme="majorBidi" w:hAnsiTheme="majorBidi" w:cstheme="majorBidi"/>
          <w:b/>
          <w:bCs/>
          <w:i/>
          <w:iCs/>
        </w:rPr>
        <w:t>t</w:t>
      </w:r>
      <w:r w:rsidRPr="00D773F7">
        <w:rPr>
          <w:rFonts w:asciiTheme="majorBidi" w:hAnsiTheme="majorBidi" w:cstheme="majorBidi"/>
          <w:b/>
          <w:bCs/>
          <w:i/>
          <w:iCs/>
        </w:rPr>
        <w:t xml:space="preserve">ier 7 in </w:t>
      </w:r>
      <w:r w:rsidR="00D5525A" w:rsidRPr="00D773F7">
        <w:rPr>
          <w:rFonts w:asciiTheme="majorBidi" w:hAnsiTheme="majorBidi" w:cstheme="majorBidi"/>
          <w:b/>
          <w:bCs/>
          <w:i/>
          <w:iCs/>
        </w:rPr>
        <w:t>f</w:t>
      </w:r>
      <w:r w:rsidRPr="00D773F7">
        <w:rPr>
          <w:rFonts w:asciiTheme="majorBidi" w:hAnsiTheme="majorBidi" w:cstheme="majorBidi"/>
          <w:b/>
          <w:bCs/>
          <w:i/>
          <w:iCs/>
        </w:rPr>
        <w:t>igure 3.3.1)</w:t>
      </w:r>
    </w:p>
    <w:p w14:paraId="119A4E53" w14:textId="77777777" w:rsidR="00F10D98" w:rsidRPr="00D773F7" w:rsidRDefault="00F10D98" w:rsidP="00F10D98">
      <w:pPr>
        <w:pStyle w:val="SingleTxtG"/>
        <w:tabs>
          <w:tab w:val="left" w:pos="3402"/>
        </w:tabs>
        <w:ind w:left="2268"/>
        <w:rPr>
          <w:rFonts w:asciiTheme="majorBidi" w:hAnsiTheme="majorBidi" w:cstheme="majorBidi"/>
        </w:rPr>
      </w:pPr>
      <w:r w:rsidRPr="00D773F7">
        <w:rPr>
          <w:rFonts w:asciiTheme="majorBidi" w:hAnsiTheme="majorBidi" w:cstheme="majorBidi"/>
        </w:rPr>
        <w:t>3.3.2.9.1</w:t>
      </w:r>
      <w:r w:rsidRPr="00D773F7">
        <w:rPr>
          <w:rFonts w:asciiTheme="majorBidi" w:hAnsiTheme="majorBidi" w:cstheme="majorBidi"/>
        </w:rPr>
        <w:tab/>
        <w:t>An overall weight of evidence assessment using expert judgement is indicated where none of the previous tiers resulted in a definitive conclusion on classification. In some cases, where the classification decision was postponed until the overall weight of evidence, but no further data are available, a classification may still be possible.</w:t>
      </w:r>
    </w:p>
    <w:p w14:paraId="67BB853D" w14:textId="08CEA351" w:rsidR="00F10D98" w:rsidRPr="00D773F7" w:rsidRDefault="00F10D98" w:rsidP="00F10D98">
      <w:pPr>
        <w:pStyle w:val="SingleTxtG"/>
        <w:tabs>
          <w:tab w:val="left" w:pos="3402"/>
        </w:tabs>
        <w:ind w:left="2268"/>
        <w:rPr>
          <w:rFonts w:asciiTheme="majorBidi" w:hAnsiTheme="majorBidi" w:cstheme="majorBidi"/>
        </w:rPr>
      </w:pPr>
      <w:r w:rsidRPr="00D773F7">
        <w:rPr>
          <w:rFonts w:asciiTheme="majorBidi" w:hAnsiTheme="majorBidi" w:cstheme="majorBidi"/>
        </w:rPr>
        <w:t>3.3.2.9.2</w:t>
      </w:r>
      <w:r w:rsidRPr="00D773F7">
        <w:rPr>
          <w:rFonts w:asciiTheme="majorBidi" w:hAnsiTheme="majorBidi" w:cstheme="majorBidi"/>
        </w:rPr>
        <w:tab/>
        <w:t xml:space="preserve">A substance with an extreme pH (pH </w:t>
      </w:r>
      <w:r w:rsidR="00613ACE" w:rsidRPr="00D773F7">
        <w:rPr>
          <w:rFonts w:asciiTheme="majorBidi" w:hAnsiTheme="majorBidi" w:cstheme="majorBidi"/>
        </w:rPr>
        <w:t>≤</w:t>
      </w:r>
      <w:r w:rsidRPr="00D773F7">
        <w:rPr>
          <w:rFonts w:asciiTheme="majorBidi" w:hAnsiTheme="majorBidi" w:cstheme="majorBidi"/>
        </w:rPr>
        <w:t xml:space="preserve"> 2 or </w:t>
      </w:r>
      <w:r w:rsidR="00613ACE" w:rsidRPr="00D773F7">
        <w:rPr>
          <w:rFonts w:asciiTheme="majorBidi" w:hAnsiTheme="majorBidi" w:cstheme="majorBidi"/>
        </w:rPr>
        <w:t>≥</w:t>
      </w:r>
      <w:r w:rsidRPr="00D773F7">
        <w:rPr>
          <w:rFonts w:asciiTheme="majorBidi" w:hAnsiTheme="majorBidi" w:cstheme="majorBidi"/>
        </w:rPr>
        <w:t xml:space="preserve"> 11.5) and non-significant acid/alkaline reserve (result considered inconclusive in </w:t>
      </w:r>
      <w:r w:rsidR="00123673" w:rsidRPr="00D773F7">
        <w:rPr>
          <w:rFonts w:asciiTheme="majorBidi" w:hAnsiTheme="majorBidi" w:cstheme="majorBidi"/>
        </w:rPr>
        <w:t>t</w:t>
      </w:r>
      <w:r w:rsidRPr="00D773F7">
        <w:rPr>
          <w:rFonts w:asciiTheme="majorBidi" w:hAnsiTheme="majorBidi" w:cstheme="majorBidi"/>
        </w:rPr>
        <w:t xml:space="preserve">ier 5; see 3.3.2.7) and for which no other information is available, should be classified as serious eye damage Category 1 in this tier. If inconclusive </w:t>
      </w:r>
      <w:r w:rsidRPr="00D773F7">
        <w:rPr>
          <w:rFonts w:asciiTheme="majorBidi" w:hAnsiTheme="majorBidi" w:cstheme="majorBidi"/>
        </w:rPr>
        <w:lastRenderedPageBreak/>
        <w:t xml:space="preserve">information is also available from other tiers but the overall weight of evidence assessment remains inconclusive, the extreme pH (pH </w:t>
      </w:r>
      <w:r w:rsidR="00613ACE" w:rsidRPr="00D773F7">
        <w:rPr>
          <w:rFonts w:asciiTheme="majorBidi" w:hAnsiTheme="majorBidi" w:cstheme="majorBidi"/>
        </w:rPr>
        <w:t>≤</w:t>
      </w:r>
      <w:r w:rsidR="0065015E">
        <w:rPr>
          <w:rFonts w:asciiTheme="majorBidi" w:hAnsiTheme="majorBidi" w:cstheme="majorBidi"/>
        </w:rPr>
        <w:t> </w:t>
      </w:r>
      <w:r w:rsidRPr="00D773F7">
        <w:rPr>
          <w:rFonts w:asciiTheme="majorBidi" w:hAnsiTheme="majorBidi" w:cstheme="majorBidi"/>
        </w:rPr>
        <w:t xml:space="preserve">2 or </w:t>
      </w:r>
      <w:r w:rsidR="00613ACE" w:rsidRPr="00D773F7">
        <w:rPr>
          <w:rFonts w:asciiTheme="majorBidi" w:hAnsiTheme="majorBidi" w:cstheme="majorBidi"/>
        </w:rPr>
        <w:t>≥</w:t>
      </w:r>
      <w:r w:rsidR="0065015E">
        <w:rPr>
          <w:rFonts w:asciiTheme="majorBidi" w:hAnsiTheme="majorBidi" w:cstheme="majorBidi"/>
        </w:rPr>
        <w:t> </w:t>
      </w:r>
      <w:r w:rsidRPr="00D773F7">
        <w:rPr>
          <w:rFonts w:asciiTheme="majorBidi" w:hAnsiTheme="majorBidi" w:cstheme="majorBidi"/>
        </w:rPr>
        <w:t>11.5) result should take precedence and the substance should be classified as serious eye damage Category 1 in this tier independently of its acid/alkaline reserve. For mixtures, the approach is different and is detailed in 3.3.3.1.3.”.</w:t>
      </w:r>
    </w:p>
    <w:p w14:paraId="1FF3731E" w14:textId="23930E09" w:rsidR="00F10D98" w:rsidRPr="00D773F7" w:rsidRDefault="00F10D98" w:rsidP="00F10D98">
      <w:pPr>
        <w:pStyle w:val="SingleTxtG"/>
        <w:ind w:left="2268" w:hanging="1275"/>
        <w:rPr>
          <w:rFonts w:asciiTheme="majorBidi" w:hAnsiTheme="majorBidi" w:cstheme="majorBidi"/>
        </w:rPr>
      </w:pPr>
      <w:r w:rsidRPr="00D773F7">
        <w:rPr>
          <w:rFonts w:asciiTheme="majorBidi" w:hAnsiTheme="majorBidi" w:cstheme="majorBidi"/>
        </w:rPr>
        <w:t>Footnotes</w:t>
      </w:r>
      <w:r w:rsidRPr="00D773F7">
        <w:rPr>
          <w:rFonts w:asciiTheme="majorBidi" w:hAnsiTheme="majorBidi" w:cstheme="majorBidi"/>
        </w:rPr>
        <w:tab/>
        <w:t>Insert the following new footnotes 2 and 3 at the bottom of the page in relation to paragraphs</w:t>
      </w:r>
      <w:r w:rsidRPr="00D773F7">
        <w:rPr>
          <w:rStyle w:val="Funotenzeichen2"/>
          <w:rFonts w:asciiTheme="majorBidi" w:hAnsiTheme="majorBidi" w:cstheme="majorBidi"/>
        </w:rPr>
        <w:t xml:space="preserve"> </w:t>
      </w:r>
      <w:r w:rsidRPr="00D773F7">
        <w:rPr>
          <w:rFonts w:asciiTheme="majorBidi" w:hAnsiTheme="majorBidi" w:cstheme="majorBidi"/>
        </w:rPr>
        <w:t>3.3.2.3 (for footnote 2) and 3.3.2.4.</w:t>
      </w:r>
      <w:r w:rsidR="008F351C" w:rsidRPr="00D773F7">
        <w:rPr>
          <w:rFonts w:asciiTheme="majorBidi" w:hAnsiTheme="majorBidi" w:cstheme="majorBidi"/>
        </w:rPr>
        <w:t>6</w:t>
      </w:r>
      <w:r w:rsidRPr="00D773F7">
        <w:rPr>
          <w:rFonts w:asciiTheme="majorBidi" w:hAnsiTheme="majorBidi" w:cstheme="majorBidi"/>
        </w:rPr>
        <w:t>.1 (for footnote 3)</w:t>
      </w:r>
      <w:r w:rsidRPr="00D773F7">
        <w:rPr>
          <w:rStyle w:val="Funotenzeichen2"/>
          <w:rFonts w:asciiTheme="majorBidi" w:hAnsiTheme="majorBidi" w:cstheme="majorBidi"/>
        </w:rPr>
        <w:t>:</w:t>
      </w:r>
    </w:p>
    <w:p w14:paraId="59940656" w14:textId="77777777" w:rsidR="00F10D98" w:rsidRPr="00D773F7" w:rsidRDefault="00F10D98" w:rsidP="00F10D98">
      <w:pPr>
        <w:pStyle w:val="SingleTxtG"/>
        <w:tabs>
          <w:tab w:val="left" w:pos="1560"/>
          <w:tab w:val="left" w:pos="2410"/>
        </w:tabs>
        <w:ind w:left="2268"/>
        <w:rPr>
          <w:rFonts w:asciiTheme="majorBidi" w:hAnsiTheme="majorBidi" w:cstheme="majorBidi"/>
          <w:i/>
        </w:rPr>
      </w:pPr>
      <w:r w:rsidRPr="00D773F7">
        <w:rPr>
          <w:rFonts w:asciiTheme="majorBidi" w:hAnsiTheme="majorBidi" w:cstheme="majorBidi"/>
        </w:rPr>
        <w:t>“</w:t>
      </w:r>
      <w:r w:rsidRPr="00D773F7">
        <w:rPr>
          <w:rFonts w:asciiTheme="majorBidi" w:hAnsiTheme="majorBidi" w:cstheme="majorBidi"/>
          <w:b/>
          <w:bCs/>
          <w:vertAlign w:val="superscript"/>
        </w:rPr>
        <w:t>2</w:t>
      </w:r>
      <w:r w:rsidRPr="00D773F7">
        <w:rPr>
          <w:rFonts w:asciiTheme="majorBidi" w:hAnsiTheme="majorBidi" w:cstheme="majorBidi"/>
        </w:rPr>
        <w:tab/>
      </w:r>
      <w:r w:rsidRPr="00D773F7">
        <w:rPr>
          <w:rFonts w:asciiTheme="majorBidi" w:hAnsiTheme="majorBidi" w:cstheme="majorBidi"/>
          <w:i/>
        </w:rPr>
        <w:t>Some defined approaches have been proposed for serious eye damage/eye irritation (</w:t>
      </w:r>
      <w:proofErr w:type="spellStart"/>
      <w:r w:rsidRPr="00D773F7">
        <w:rPr>
          <w:rFonts w:asciiTheme="majorBidi" w:hAnsiTheme="majorBidi" w:cstheme="majorBidi"/>
          <w:i/>
        </w:rPr>
        <w:t>Alépée</w:t>
      </w:r>
      <w:proofErr w:type="spellEnd"/>
      <w:r w:rsidRPr="00D773F7">
        <w:rPr>
          <w:rFonts w:asciiTheme="majorBidi" w:hAnsiTheme="majorBidi" w:cstheme="majorBidi"/>
          <w:i/>
        </w:rPr>
        <w:t xml:space="preserve"> et al., 2019a, b) but no classification criteria have yet been agreed internationally.”.</w:t>
      </w:r>
    </w:p>
    <w:p w14:paraId="1EC3F32D" w14:textId="77777777" w:rsidR="00F10D98" w:rsidRPr="00D773F7" w:rsidRDefault="00F10D98" w:rsidP="00F10D98">
      <w:pPr>
        <w:pStyle w:val="FootnoteText"/>
        <w:tabs>
          <w:tab w:val="clear" w:pos="1021"/>
          <w:tab w:val="left" w:pos="1560"/>
        </w:tabs>
        <w:spacing w:after="240"/>
        <w:ind w:left="2268" w:firstLine="0"/>
        <w:jc w:val="both"/>
        <w:rPr>
          <w:rFonts w:asciiTheme="majorBidi" w:hAnsiTheme="majorBidi" w:cstheme="majorBidi"/>
          <w:i/>
        </w:rPr>
      </w:pPr>
      <w:r w:rsidRPr="00D773F7">
        <w:rPr>
          <w:rFonts w:asciiTheme="majorBidi" w:hAnsiTheme="majorBidi" w:cstheme="majorBidi"/>
          <w:b/>
        </w:rPr>
        <w:t>“</w:t>
      </w:r>
      <w:r w:rsidRPr="00D773F7">
        <w:rPr>
          <w:rStyle w:val="FootnoteReference"/>
          <w:rFonts w:asciiTheme="majorBidi" w:hAnsiTheme="majorBidi" w:cstheme="majorBidi"/>
          <w:b/>
        </w:rPr>
        <w:t>3</w:t>
      </w:r>
      <w:r w:rsidRPr="00D773F7">
        <w:rPr>
          <w:rFonts w:asciiTheme="majorBidi" w:hAnsiTheme="majorBidi" w:cstheme="majorBidi"/>
        </w:rPr>
        <w:tab/>
      </w:r>
      <w:r w:rsidRPr="00D773F7">
        <w:rPr>
          <w:rFonts w:asciiTheme="majorBidi" w:hAnsiTheme="majorBidi" w:cstheme="majorBidi"/>
          <w:i/>
          <w:sz w:val="20"/>
        </w:rPr>
        <w:t>Although no classification criteria have yet been agreed internationally for some validated and/or accepted in vitro/ex vivo test methods proposed for identifying substances inducing eye irritation, these test methods may still be accepted by some competent authorities (see 3.3.2.4.2). If a defined approach (see 3.3.2.3) is not available or is not adequate for classification, data from these methods may be considered in a weight of evidence assessment within this tier</w:t>
      </w:r>
      <w:r w:rsidRPr="00D773F7">
        <w:rPr>
          <w:rFonts w:asciiTheme="majorBidi" w:hAnsiTheme="majorBidi" w:cstheme="majorBidi"/>
          <w:i/>
        </w:rPr>
        <w:t>.”.</w:t>
      </w:r>
    </w:p>
    <w:p w14:paraId="45401E24" w14:textId="7C18DBFC" w:rsidR="00934DED" w:rsidRPr="00D773F7" w:rsidRDefault="00934DED" w:rsidP="00934DED">
      <w:pPr>
        <w:pStyle w:val="SingleTxtG"/>
        <w:ind w:left="2268" w:hanging="1134"/>
        <w:rPr>
          <w:rFonts w:asciiTheme="majorBidi" w:hAnsiTheme="majorBidi" w:cstheme="majorBidi"/>
        </w:rPr>
      </w:pPr>
      <w:r w:rsidRPr="00D773F7">
        <w:rPr>
          <w:rFonts w:asciiTheme="majorBidi" w:hAnsiTheme="majorBidi" w:cstheme="majorBidi"/>
        </w:rPr>
        <w:t xml:space="preserve">3.3.2.2 and 3.3.2.2.1 </w:t>
      </w:r>
      <w:r w:rsidRPr="00D773F7">
        <w:rPr>
          <w:rFonts w:asciiTheme="majorBidi" w:hAnsiTheme="majorBidi" w:cstheme="majorBidi"/>
        </w:rPr>
        <w:tab/>
      </w:r>
      <w:r w:rsidRPr="00D773F7">
        <w:rPr>
          <w:rFonts w:asciiTheme="majorBidi" w:hAnsiTheme="majorBidi" w:cstheme="majorBidi"/>
        </w:rPr>
        <w:tab/>
        <w:t>Current paragraphs 3.3.2.2 and 3.3.2.2.1 become new paragraphs 3.3.2.10 and 3.3.2.10.1</w:t>
      </w:r>
      <w:r w:rsidR="008B7E61" w:rsidRPr="00D773F7">
        <w:rPr>
          <w:rFonts w:asciiTheme="majorBidi" w:hAnsiTheme="majorBidi" w:cstheme="majorBidi"/>
        </w:rPr>
        <w:t>.</w:t>
      </w:r>
    </w:p>
    <w:p w14:paraId="47D11DE0" w14:textId="458D4F44" w:rsidR="00934DED" w:rsidRPr="00D773F7" w:rsidRDefault="00934DED" w:rsidP="00934DED">
      <w:pPr>
        <w:pStyle w:val="SingleTxtG"/>
        <w:tabs>
          <w:tab w:val="left" w:pos="5670"/>
        </w:tabs>
        <w:ind w:left="2268"/>
        <w:rPr>
          <w:rFonts w:asciiTheme="majorBidi" w:hAnsiTheme="majorBidi" w:cstheme="majorBidi"/>
        </w:rPr>
      </w:pPr>
      <w:r w:rsidRPr="00D773F7">
        <w:rPr>
          <w:rFonts w:asciiTheme="majorBidi" w:hAnsiTheme="majorBidi" w:cstheme="majorBidi"/>
        </w:rPr>
        <w:t xml:space="preserve">Delete </w:t>
      </w:r>
      <w:r w:rsidR="008B7E61" w:rsidRPr="00D773F7">
        <w:rPr>
          <w:rFonts w:asciiTheme="majorBidi" w:hAnsiTheme="majorBidi" w:cstheme="majorBidi"/>
        </w:rPr>
        <w:t xml:space="preserve">existing </w:t>
      </w:r>
      <w:r w:rsidRPr="00D773F7">
        <w:rPr>
          <w:rFonts w:asciiTheme="majorBidi" w:hAnsiTheme="majorBidi" w:cstheme="majorBidi"/>
        </w:rPr>
        <w:t>paragraphs 3.3.2.2.2; 3.3.2.2.3, 3.3.2.2.4, 3.3.2.2.5 and 3.3.2.2.6.</w:t>
      </w:r>
    </w:p>
    <w:p w14:paraId="5E54C855" w14:textId="7C5F8A64" w:rsidR="00F10D98" w:rsidRPr="00D773F7" w:rsidRDefault="00F10D98" w:rsidP="00F10D98">
      <w:pPr>
        <w:pStyle w:val="SingleTxtG"/>
        <w:keepNext/>
        <w:keepLines/>
        <w:rPr>
          <w:rFonts w:asciiTheme="majorBidi" w:hAnsiTheme="majorBidi" w:cstheme="majorBidi"/>
        </w:rPr>
      </w:pPr>
      <w:r w:rsidRPr="00D773F7">
        <w:rPr>
          <w:rFonts w:asciiTheme="majorBidi" w:hAnsiTheme="majorBidi" w:cstheme="majorBidi"/>
        </w:rPr>
        <w:t>3.3.2.10 and 3.3.2.10.1 (new, former 3.3.2.2 and 3.3.2.2.1)</w:t>
      </w:r>
      <w:r w:rsidRPr="00D773F7">
        <w:rPr>
          <w:rFonts w:asciiTheme="majorBidi" w:hAnsiTheme="majorBidi" w:cstheme="majorBidi"/>
        </w:rPr>
        <w:tab/>
        <w:t>Amend to read as follows:</w:t>
      </w:r>
    </w:p>
    <w:p w14:paraId="75964D8D" w14:textId="49FD584F" w:rsidR="00F10D98" w:rsidRPr="00D773F7" w:rsidRDefault="00F10D98" w:rsidP="00F10D98">
      <w:pPr>
        <w:pStyle w:val="SingleTxtG"/>
        <w:keepNext/>
        <w:keepLines/>
        <w:ind w:left="2268"/>
        <w:rPr>
          <w:rFonts w:asciiTheme="majorBidi" w:hAnsiTheme="majorBidi" w:cstheme="majorBidi"/>
          <w:b/>
          <w:i/>
        </w:rPr>
      </w:pPr>
      <w:r w:rsidRPr="00D773F7">
        <w:rPr>
          <w:rFonts w:asciiTheme="majorBidi" w:hAnsiTheme="majorBidi" w:cstheme="majorBidi"/>
          <w:b/>
        </w:rPr>
        <w:t>“3.3.2.10</w:t>
      </w:r>
      <w:r w:rsidRPr="00D773F7">
        <w:rPr>
          <w:rFonts w:asciiTheme="majorBidi" w:hAnsiTheme="majorBidi" w:cstheme="majorBidi"/>
          <w:b/>
        </w:rPr>
        <w:tab/>
      </w:r>
      <w:r w:rsidRPr="00D773F7">
        <w:rPr>
          <w:rFonts w:asciiTheme="majorBidi" w:hAnsiTheme="majorBidi" w:cstheme="majorBidi"/>
          <w:b/>
          <w:i/>
        </w:rPr>
        <w:t>Classification in a tiered approach (</w:t>
      </w:r>
      <w:r w:rsidR="00D5525A" w:rsidRPr="00D773F7">
        <w:rPr>
          <w:rFonts w:asciiTheme="majorBidi" w:hAnsiTheme="majorBidi" w:cstheme="majorBidi"/>
          <w:b/>
          <w:i/>
        </w:rPr>
        <w:t>f</w:t>
      </w:r>
      <w:r w:rsidRPr="00D773F7">
        <w:rPr>
          <w:rFonts w:asciiTheme="majorBidi" w:hAnsiTheme="majorBidi" w:cstheme="majorBidi"/>
          <w:b/>
          <w:i/>
        </w:rPr>
        <w:t>igure 3.3.1)”</w:t>
      </w:r>
    </w:p>
    <w:p w14:paraId="222A10E9" w14:textId="65E235E6" w:rsidR="00F10D98" w:rsidRPr="00D773F7" w:rsidRDefault="00F10D98" w:rsidP="00F10D98">
      <w:pPr>
        <w:pStyle w:val="SingleTxtG"/>
        <w:ind w:left="2268"/>
        <w:rPr>
          <w:rFonts w:asciiTheme="majorBidi" w:hAnsiTheme="majorBidi" w:cstheme="majorBidi"/>
        </w:rPr>
      </w:pPr>
      <w:r w:rsidRPr="00D773F7">
        <w:rPr>
          <w:rFonts w:asciiTheme="majorBidi" w:hAnsiTheme="majorBidi" w:cstheme="majorBidi"/>
        </w:rPr>
        <w:t xml:space="preserve">3.3.2.10.1 </w:t>
      </w:r>
      <w:r w:rsidRPr="00D773F7">
        <w:rPr>
          <w:rFonts w:asciiTheme="majorBidi" w:hAnsiTheme="majorBidi" w:cstheme="majorBidi"/>
        </w:rPr>
        <w:tab/>
        <w:t>A tiered approach to the evaluation of information should be considered, where applicable (</w:t>
      </w:r>
      <w:r w:rsidR="00D5525A" w:rsidRPr="00D773F7">
        <w:rPr>
          <w:rFonts w:asciiTheme="majorBidi" w:hAnsiTheme="majorBidi" w:cstheme="majorBidi"/>
        </w:rPr>
        <w:t>f</w:t>
      </w:r>
      <w:r w:rsidRPr="00D773F7">
        <w:rPr>
          <w:rFonts w:asciiTheme="majorBidi" w:hAnsiTheme="majorBidi" w:cstheme="majorBidi"/>
        </w:rPr>
        <w:t xml:space="preserve">igure 3.3.1), recognizing that not all </w:t>
      </w:r>
      <w:r w:rsidR="00D371E3" w:rsidRPr="00D773F7">
        <w:rPr>
          <w:rFonts w:asciiTheme="majorBidi" w:hAnsiTheme="majorBidi" w:cstheme="majorBidi"/>
        </w:rPr>
        <w:t>tiers as well as information within a tier</w:t>
      </w:r>
      <w:r w:rsidRPr="00D773F7">
        <w:rPr>
          <w:rFonts w:asciiTheme="majorBidi" w:hAnsiTheme="majorBidi" w:cstheme="majorBidi"/>
        </w:rPr>
        <w:t xml:space="preserve"> may be relevant. However, all available and relevant information of sufficient quality needs to be examined for consistency with respect to the resulting classification.”.</w:t>
      </w:r>
    </w:p>
    <w:p w14:paraId="42D789B2" w14:textId="13BBB917" w:rsidR="00F10D98" w:rsidRPr="00D773F7" w:rsidRDefault="00F10D98" w:rsidP="00F10D98">
      <w:pPr>
        <w:pStyle w:val="SingleTxtG"/>
        <w:rPr>
          <w:rFonts w:asciiTheme="majorBidi" w:hAnsiTheme="majorBidi" w:cstheme="majorBidi"/>
        </w:rPr>
      </w:pPr>
      <w:r w:rsidRPr="00D773F7">
        <w:rPr>
          <w:rFonts w:asciiTheme="majorBidi" w:hAnsiTheme="majorBidi" w:cstheme="majorBidi"/>
        </w:rPr>
        <w:t>3.3.2.10.2 and 3.3.2.10.3</w:t>
      </w:r>
      <w:r w:rsidR="007E4B82" w:rsidRPr="00D773F7">
        <w:rPr>
          <w:rFonts w:asciiTheme="majorBidi" w:hAnsiTheme="majorBidi" w:cstheme="majorBidi"/>
        </w:rPr>
        <w:t xml:space="preserve"> (new)</w:t>
      </w:r>
      <w:r w:rsidRPr="00D773F7">
        <w:rPr>
          <w:rFonts w:asciiTheme="majorBidi" w:hAnsiTheme="majorBidi" w:cstheme="majorBidi"/>
        </w:rPr>
        <w:tab/>
        <w:t>Insert the following two new paragraphs:</w:t>
      </w:r>
    </w:p>
    <w:p w14:paraId="61CA3D57" w14:textId="4C8FE26A" w:rsidR="00F10D98" w:rsidRPr="00D773F7" w:rsidRDefault="00F10D98" w:rsidP="00F10D98">
      <w:pPr>
        <w:pStyle w:val="SingleTxtG"/>
        <w:ind w:left="2268"/>
        <w:rPr>
          <w:rFonts w:asciiTheme="majorBidi" w:hAnsiTheme="majorBidi" w:cstheme="majorBidi"/>
        </w:rPr>
      </w:pPr>
      <w:r w:rsidRPr="00D773F7">
        <w:rPr>
          <w:rFonts w:asciiTheme="majorBidi" w:hAnsiTheme="majorBidi" w:cstheme="majorBidi"/>
        </w:rPr>
        <w:t>“3.3.2.10.2</w:t>
      </w:r>
      <w:r w:rsidRPr="00D773F7">
        <w:rPr>
          <w:rFonts w:asciiTheme="majorBidi" w:hAnsiTheme="majorBidi" w:cstheme="majorBidi"/>
        </w:rPr>
        <w:tab/>
      </w:r>
      <w:r w:rsidR="007E4B82" w:rsidRPr="00D773F7">
        <w:rPr>
          <w:rFonts w:asciiTheme="majorBidi" w:hAnsiTheme="majorBidi" w:cstheme="majorBidi"/>
        </w:rPr>
        <w:t xml:space="preserve"> </w:t>
      </w:r>
      <w:r w:rsidRPr="00D773F7">
        <w:rPr>
          <w:rFonts w:asciiTheme="majorBidi" w:hAnsiTheme="majorBidi" w:cstheme="majorBidi"/>
        </w:rPr>
        <w:t>In the tiered approach (</w:t>
      </w:r>
      <w:r w:rsidR="00D5525A" w:rsidRPr="00D773F7">
        <w:rPr>
          <w:rFonts w:asciiTheme="majorBidi" w:hAnsiTheme="majorBidi" w:cstheme="majorBidi"/>
        </w:rPr>
        <w:t>f</w:t>
      </w:r>
      <w:r w:rsidRPr="00D773F7">
        <w:rPr>
          <w:rFonts w:asciiTheme="majorBidi" w:hAnsiTheme="majorBidi" w:cstheme="majorBidi"/>
        </w:rPr>
        <w:t>igure 3.3.1), existing human and standard animal data for eye effects form the highest tier, followed by defined approaches and in vitro</w:t>
      </w:r>
      <w:r w:rsidRPr="00D773F7">
        <w:rPr>
          <w:rFonts w:asciiTheme="majorBidi" w:hAnsiTheme="majorBidi" w:cstheme="majorBidi"/>
          <w:i/>
          <w:iCs/>
        </w:rPr>
        <w:t xml:space="preserve">/ex vivo </w:t>
      </w:r>
      <w:r w:rsidRPr="00D773F7">
        <w:rPr>
          <w:rFonts w:asciiTheme="majorBidi" w:hAnsiTheme="majorBidi" w:cstheme="majorBidi"/>
        </w:rPr>
        <w:t>data for eye effects, existing human/standard animal/</w:t>
      </w:r>
      <w:r w:rsidRPr="00D773F7">
        <w:rPr>
          <w:rFonts w:asciiTheme="majorBidi" w:hAnsiTheme="majorBidi" w:cstheme="majorBidi"/>
          <w:iCs/>
        </w:rPr>
        <w:t>in vitro</w:t>
      </w:r>
      <w:r w:rsidRPr="00D773F7">
        <w:rPr>
          <w:rFonts w:asciiTheme="majorBidi" w:hAnsiTheme="majorBidi" w:cstheme="majorBidi"/>
        </w:rPr>
        <w:t>/</w:t>
      </w:r>
      <w:r w:rsidRPr="00D773F7">
        <w:rPr>
          <w:rFonts w:asciiTheme="majorBidi" w:hAnsiTheme="majorBidi" w:cstheme="majorBidi"/>
          <w:i/>
        </w:rPr>
        <w:t>ex vivo</w:t>
      </w:r>
      <w:r w:rsidRPr="00D773F7" w:rsidDel="00DB2A3C">
        <w:rPr>
          <w:rFonts w:asciiTheme="majorBidi" w:hAnsiTheme="majorBidi" w:cstheme="majorBidi"/>
        </w:rPr>
        <w:t xml:space="preserve"> </w:t>
      </w:r>
      <w:r w:rsidRPr="00D773F7">
        <w:rPr>
          <w:rFonts w:asciiTheme="majorBidi" w:hAnsiTheme="majorBidi" w:cstheme="majorBidi"/>
        </w:rPr>
        <w:t>data for skin corrosion, other existing animal skin or eye data, extreme pH and acid/alkaline reserve, and finally non-test methods. Where information from data within the same tier is inconsistent and/or conflicting, the conclusion from that tier is determined by a weight of evidence assessment.</w:t>
      </w:r>
    </w:p>
    <w:p w14:paraId="26A01DFB" w14:textId="77777777" w:rsidR="00F10D98" w:rsidRPr="00D773F7" w:rsidRDefault="00F10D98" w:rsidP="00F10D98">
      <w:pPr>
        <w:pStyle w:val="SingleTxtG"/>
        <w:ind w:left="2268"/>
        <w:rPr>
          <w:rFonts w:asciiTheme="majorBidi" w:hAnsiTheme="majorBidi" w:cstheme="majorBidi"/>
        </w:rPr>
      </w:pPr>
      <w:r w:rsidRPr="00D773F7">
        <w:rPr>
          <w:rFonts w:asciiTheme="majorBidi" w:hAnsiTheme="majorBidi" w:cstheme="majorBidi"/>
        </w:rPr>
        <w:t>3.3.2.10.3</w:t>
      </w:r>
      <w:r w:rsidRPr="00D773F7">
        <w:rPr>
          <w:rFonts w:asciiTheme="majorBidi" w:hAnsiTheme="majorBidi" w:cstheme="majorBidi"/>
        </w:rPr>
        <w:tab/>
        <w:t>Where information from several tiers is inconsistent and/or conflicting with respect to the resulting classification, information of sufficient quality from a higher tier is generally given a higher weight than information from a lower tier. However, when information from a lower tier would result in a stricter classification than information from a higher tier and there is concern for misclassification, then classification is determined by an overall weight of evidence assessment. For example, having consulted the guidance in 3.3.5.3 as appropriate, classifiers concerned with a negative result for serious eye damage in an in vitro</w:t>
      </w:r>
      <w:r w:rsidRPr="00D773F7">
        <w:rPr>
          <w:rFonts w:asciiTheme="majorBidi" w:hAnsiTheme="majorBidi" w:cstheme="majorBidi"/>
          <w:i/>
          <w:iCs/>
        </w:rPr>
        <w:t xml:space="preserve">/ex vivo </w:t>
      </w:r>
      <w:r w:rsidRPr="00D773F7">
        <w:rPr>
          <w:rFonts w:asciiTheme="majorBidi" w:hAnsiTheme="majorBidi" w:cstheme="majorBidi"/>
        </w:rPr>
        <w:t>study when there is a positive result for serious eye damage in other existing eye data in animals would utilise an overall weight of evidence assessment. The same would apply in the case where there is human data indicating eye irritation but positive results from an in vitro/</w:t>
      </w:r>
      <w:r w:rsidRPr="00D773F7">
        <w:rPr>
          <w:rFonts w:asciiTheme="majorBidi" w:hAnsiTheme="majorBidi" w:cstheme="majorBidi"/>
          <w:i/>
          <w:iCs/>
        </w:rPr>
        <w:t xml:space="preserve">ex vivo </w:t>
      </w:r>
      <w:r w:rsidRPr="00D773F7">
        <w:rPr>
          <w:rFonts w:asciiTheme="majorBidi" w:hAnsiTheme="majorBidi" w:cstheme="majorBidi"/>
        </w:rPr>
        <w:t>test for serious eye damage are also available.”</w:t>
      </w:r>
    </w:p>
    <w:p w14:paraId="221946CD" w14:textId="77777777" w:rsidR="00F10D98" w:rsidRPr="00D773F7" w:rsidRDefault="00F10D98" w:rsidP="008C2774">
      <w:pPr>
        <w:pStyle w:val="SingleTxtG"/>
        <w:keepNext/>
        <w:keepLines/>
        <w:rPr>
          <w:rFonts w:asciiTheme="majorBidi" w:hAnsiTheme="majorBidi" w:cstheme="majorBidi"/>
        </w:rPr>
      </w:pPr>
      <w:r w:rsidRPr="00D773F7">
        <w:rPr>
          <w:rFonts w:asciiTheme="majorBidi" w:hAnsiTheme="majorBidi" w:cstheme="majorBidi"/>
        </w:rPr>
        <w:lastRenderedPageBreak/>
        <w:t xml:space="preserve">Figure 3.3.1: </w:t>
      </w:r>
      <w:r w:rsidRPr="00D773F7">
        <w:rPr>
          <w:rFonts w:asciiTheme="majorBidi" w:hAnsiTheme="majorBidi" w:cstheme="majorBidi"/>
        </w:rPr>
        <w:tab/>
        <w:t xml:space="preserve">Replace with the following: </w:t>
      </w:r>
    </w:p>
    <w:p w14:paraId="3EBDD946" w14:textId="50AF42CA" w:rsidR="00F10D98" w:rsidRPr="00D773F7" w:rsidRDefault="00F10D98" w:rsidP="008C2774">
      <w:pPr>
        <w:pStyle w:val="SingleTxtG"/>
        <w:keepNext/>
        <w:keepLines/>
        <w:jc w:val="center"/>
        <w:rPr>
          <w:rFonts w:asciiTheme="majorBidi" w:hAnsiTheme="majorBidi" w:cstheme="majorBidi"/>
        </w:rPr>
      </w:pPr>
      <w:r w:rsidRPr="00D773F7">
        <w:rPr>
          <w:rFonts w:asciiTheme="majorBidi" w:hAnsiTheme="majorBidi" w:cstheme="majorBidi"/>
        </w:rPr>
        <w:t>“</w:t>
      </w:r>
      <w:r w:rsidRPr="00D773F7">
        <w:rPr>
          <w:rFonts w:asciiTheme="majorBidi" w:hAnsiTheme="majorBidi" w:cstheme="majorBidi"/>
          <w:b/>
        </w:rPr>
        <w:t xml:space="preserve">Figure 3.3.1:  </w:t>
      </w:r>
      <w:r w:rsidRPr="00D773F7">
        <w:rPr>
          <w:rFonts w:asciiTheme="majorBidi" w:hAnsiTheme="majorBidi" w:cstheme="majorBidi"/>
          <w:b/>
          <w:bCs/>
        </w:rPr>
        <w:t xml:space="preserve">Application of the tiered approach for </w:t>
      </w:r>
      <w:r w:rsidR="00BC4E8F" w:rsidRPr="00D773F7">
        <w:rPr>
          <w:rFonts w:asciiTheme="majorBidi" w:hAnsiTheme="majorBidi" w:cstheme="majorBidi"/>
          <w:b/>
          <w:bCs/>
        </w:rPr>
        <w:br/>
      </w:r>
      <w:r w:rsidRPr="00D773F7">
        <w:rPr>
          <w:rFonts w:asciiTheme="majorBidi" w:hAnsiTheme="majorBidi" w:cstheme="majorBidi"/>
          <w:b/>
        </w:rPr>
        <w:t xml:space="preserve">serious eye damage/eye </w:t>
      </w:r>
      <w:proofErr w:type="spellStart"/>
      <w:r w:rsidRPr="00D773F7">
        <w:rPr>
          <w:rFonts w:asciiTheme="majorBidi" w:hAnsiTheme="majorBidi" w:cstheme="majorBidi"/>
          <w:b/>
        </w:rPr>
        <w:t>irritation</w:t>
      </w:r>
      <w:r w:rsidRPr="00D773F7">
        <w:rPr>
          <w:rFonts w:asciiTheme="majorBidi" w:hAnsiTheme="majorBidi" w:cstheme="majorBidi"/>
          <w:b/>
          <w:vertAlign w:val="superscript"/>
        </w:rPr>
        <w:t>a</w:t>
      </w:r>
      <w:proofErr w:type="spellEnd"/>
      <w:r w:rsidRPr="00D773F7">
        <w:rPr>
          <w:rFonts w:asciiTheme="majorBidi" w:hAnsiTheme="majorBidi" w:cstheme="majorBidi"/>
        </w:rPr>
        <w:t>”</w:t>
      </w:r>
    </w:p>
    <w:p w14:paraId="1445321E" w14:textId="1FA4027E" w:rsidR="00F10D98" w:rsidRPr="00D773F7" w:rsidRDefault="00110D13" w:rsidP="00F10D98">
      <w:pPr>
        <w:tabs>
          <w:tab w:val="left" w:pos="2268"/>
        </w:tabs>
        <w:spacing w:after="200" w:line="276" w:lineRule="auto"/>
        <w:ind w:left="1134"/>
        <w:jc w:val="center"/>
        <w:rPr>
          <w:rFonts w:asciiTheme="majorBidi" w:hAnsiTheme="majorBidi" w:cstheme="majorBidi"/>
        </w:rPr>
      </w:pPr>
      <w:r w:rsidRPr="00D773F7">
        <w:rPr>
          <w:rFonts w:asciiTheme="majorBidi" w:hAnsiTheme="majorBidi" w:cstheme="majorBidi"/>
        </w:rPr>
        <w:object w:dxaOrig="7153" w:dyaOrig="11017" w14:anchorId="5ED4AAA9">
          <v:shape id="_x0000_i1028" type="#_x0000_t75" style="width:358pt;height:550.85pt" o:ole="">
            <v:imagedata r:id="rId18" o:title=""/>
          </v:shape>
          <o:OLEObject Type="Embed" ProgID="Visio.Drawing.15" ShapeID="_x0000_i1028" DrawAspect="Content" ObjectID="_1744797701" r:id="rId19"/>
        </w:object>
      </w:r>
    </w:p>
    <w:p w14:paraId="3DA05AA7" w14:textId="57BBCBCC" w:rsidR="00F10D98" w:rsidRPr="00D773F7" w:rsidRDefault="00F10D98" w:rsidP="00F10D98">
      <w:pPr>
        <w:spacing w:after="200" w:line="276" w:lineRule="auto"/>
        <w:ind w:left="567"/>
        <w:jc w:val="right"/>
        <w:rPr>
          <w:rFonts w:asciiTheme="majorBidi" w:hAnsiTheme="majorBidi" w:cstheme="majorBidi"/>
        </w:rPr>
      </w:pPr>
      <w:r w:rsidRPr="00D773F7">
        <w:rPr>
          <w:rFonts w:asciiTheme="majorBidi" w:hAnsiTheme="majorBidi" w:cstheme="majorBidi"/>
        </w:rPr>
        <w:t>”</w:t>
      </w:r>
    </w:p>
    <w:p w14:paraId="4BC28385" w14:textId="32905E6F" w:rsidR="00F10D98" w:rsidRPr="00D773F7" w:rsidRDefault="00F10D98" w:rsidP="00F11F64">
      <w:pPr>
        <w:pStyle w:val="SingleTxtG"/>
        <w:keepNext/>
        <w:keepLines/>
        <w:rPr>
          <w:rFonts w:asciiTheme="majorBidi" w:hAnsiTheme="majorBidi" w:cstheme="majorBidi"/>
        </w:rPr>
      </w:pPr>
      <w:bookmarkStart w:id="5" w:name="_Hlk69885616"/>
      <w:r w:rsidRPr="00D773F7">
        <w:rPr>
          <w:rFonts w:asciiTheme="majorBidi" w:hAnsiTheme="majorBidi" w:cstheme="majorBidi"/>
        </w:rPr>
        <w:lastRenderedPageBreak/>
        <w:t xml:space="preserve">Replace current notes “a”, “b”, “c” and “d” to </w:t>
      </w:r>
      <w:r w:rsidR="00D5525A" w:rsidRPr="00D773F7">
        <w:rPr>
          <w:rFonts w:asciiTheme="majorBidi" w:hAnsiTheme="majorBidi" w:cstheme="majorBidi"/>
        </w:rPr>
        <w:t>f</w:t>
      </w:r>
      <w:r w:rsidRPr="00D773F7">
        <w:rPr>
          <w:rFonts w:asciiTheme="majorBidi" w:hAnsiTheme="majorBidi" w:cstheme="majorBidi"/>
        </w:rPr>
        <w:t xml:space="preserve">igure 3.3.1 </w:t>
      </w:r>
      <w:bookmarkEnd w:id="5"/>
      <w:r w:rsidRPr="00D773F7">
        <w:rPr>
          <w:rFonts w:asciiTheme="majorBidi" w:hAnsiTheme="majorBidi" w:cstheme="majorBidi"/>
        </w:rPr>
        <w:t>with the following</w:t>
      </w:r>
      <w:r w:rsidR="00F11F64">
        <w:rPr>
          <w:rFonts w:asciiTheme="majorBidi" w:hAnsiTheme="majorBidi" w:cstheme="majorBidi"/>
        </w:rPr>
        <w:t xml:space="preserve"> and d</w:t>
      </w:r>
      <w:r w:rsidR="00F11F64" w:rsidRPr="00D773F7">
        <w:rPr>
          <w:rFonts w:asciiTheme="majorBidi" w:hAnsiTheme="majorBidi" w:cstheme="majorBidi"/>
          <w:iCs/>
        </w:rPr>
        <w:t>elete notes “e” and “f”</w:t>
      </w:r>
      <w:r w:rsidR="00F11F64">
        <w:rPr>
          <w:rFonts w:asciiTheme="majorBidi" w:hAnsiTheme="majorBidi" w:cstheme="majorBidi"/>
          <w:iCs/>
        </w:rPr>
        <w:t>:</w:t>
      </w:r>
      <w:r w:rsidRPr="00D773F7">
        <w:rPr>
          <w:rFonts w:asciiTheme="majorBidi" w:hAnsiTheme="majorBidi" w:cstheme="majorBidi"/>
        </w:rPr>
        <w:t xml:space="preserve"> </w:t>
      </w:r>
    </w:p>
    <w:p w14:paraId="003C70C5" w14:textId="77777777" w:rsidR="00F10D98" w:rsidRPr="00D773F7" w:rsidRDefault="00F10D98" w:rsidP="00F11F64">
      <w:pPr>
        <w:pStyle w:val="SingleTxtG"/>
        <w:keepNext/>
        <w:keepLines/>
        <w:tabs>
          <w:tab w:val="left" w:pos="1985"/>
        </w:tabs>
        <w:ind w:left="1701"/>
        <w:rPr>
          <w:rFonts w:asciiTheme="majorBidi" w:hAnsiTheme="majorBidi" w:cstheme="majorBidi"/>
          <w:i/>
          <w:iCs/>
        </w:rPr>
      </w:pPr>
      <w:r w:rsidRPr="00D773F7">
        <w:rPr>
          <w:rFonts w:asciiTheme="majorBidi" w:hAnsiTheme="majorBidi" w:cstheme="majorBidi"/>
        </w:rPr>
        <w:t>“</w:t>
      </w:r>
      <w:r w:rsidRPr="00D773F7">
        <w:rPr>
          <w:rFonts w:asciiTheme="majorBidi" w:hAnsiTheme="majorBidi" w:cstheme="majorBidi"/>
          <w:vertAlign w:val="superscript"/>
        </w:rPr>
        <w:t>a</w:t>
      </w:r>
      <w:r w:rsidRPr="00D773F7">
        <w:rPr>
          <w:rFonts w:asciiTheme="majorBidi" w:hAnsiTheme="majorBidi" w:cstheme="majorBidi"/>
        </w:rPr>
        <w:tab/>
      </w:r>
      <w:r w:rsidRPr="00D773F7">
        <w:rPr>
          <w:rFonts w:asciiTheme="majorBidi" w:hAnsiTheme="majorBidi" w:cstheme="majorBidi"/>
          <w:i/>
          <w:iCs/>
        </w:rPr>
        <w:t>Before applying the approach, the explanatory text in 3.3.2.10 as well as the guidance in 3.3.5.3 should be consulted. Only adequate and reliable data of sufficient quality should be included in applying the tiered approach.</w:t>
      </w:r>
    </w:p>
    <w:p w14:paraId="29BED4D0" w14:textId="77777777" w:rsidR="00F10D98" w:rsidRPr="00D773F7" w:rsidRDefault="00F10D98" w:rsidP="00FF5260">
      <w:pPr>
        <w:keepNext/>
        <w:keepLines/>
        <w:tabs>
          <w:tab w:val="left" w:pos="1985"/>
        </w:tabs>
        <w:spacing w:line="240" w:lineRule="auto"/>
        <w:ind w:left="1701"/>
        <w:rPr>
          <w:rFonts w:asciiTheme="majorBidi" w:hAnsiTheme="majorBidi" w:cstheme="majorBidi"/>
          <w:i/>
          <w:iCs/>
        </w:rPr>
      </w:pPr>
      <w:r w:rsidRPr="00D773F7">
        <w:rPr>
          <w:rFonts w:asciiTheme="majorBidi" w:hAnsiTheme="majorBidi" w:cstheme="majorBidi"/>
          <w:i/>
          <w:iCs/>
          <w:vertAlign w:val="superscript"/>
        </w:rPr>
        <w:t>b</w:t>
      </w:r>
      <w:r w:rsidRPr="00D773F7">
        <w:rPr>
          <w:rFonts w:asciiTheme="majorBidi" w:hAnsiTheme="majorBidi" w:cstheme="majorBidi"/>
        </w:rPr>
        <w:tab/>
      </w:r>
      <w:r w:rsidRPr="00D773F7">
        <w:rPr>
          <w:rFonts w:asciiTheme="majorBidi" w:hAnsiTheme="majorBidi" w:cstheme="majorBidi"/>
          <w:i/>
          <w:iCs/>
        </w:rPr>
        <w:t>Information may be inconclusive for various reasons, e.g.:</w:t>
      </w:r>
    </w:p>
    <w:p w14:paraId="18F6FF97" w14:textId="77777777" w:rsidR="00F10D98" w:rsidRPr="00D773F7" w:rsidRDefault="00F10D98" w:rsidP="00F10D98">
      <w:pPr>
        <w:pStyle w:val="SingleTxtG"/>
        <w:tabs>
          <w:tab w:val="left" w:pos="1985"/>
        </w:tabs>
        <w:spacing w:before="240"/>
        <w:ind w:left="2268" w:hanging="283"/>
        <w:rPr>
          <w:rFonts w:asciiTheme="majorBidi" w:hAnsiTheme="majorBidi" w:cstheme="majorBidi"/>
          <w:i/>
          <w:iCs/>
        </w:rPr>
      </w:pPr>
      <w:r w:rsidRPr="00D773F7">
        <w:rPr>
          <w:rFonts w:asciiTheme="majorBidi" w:hAnsiTheme="majorBidi" w:cstheme="majorBidi"/>
          <w:i/>
          <w:iCs/>
        </w:rPr>
        <w:t>-</w:t>
      </w:r>
      <w:r w:rsidRPr="00D773F7">
        <w:rPr>
          <w:rFonts w:asciiTheme="majorBidi" w:hAnsiTheme="majorBidi" w:cstheme="majorBidi"/>
          <w:i/>
          <w:iCs/>
        </w:rPr>
        <w:tab/>
        <w:t>The available data may be of insufficient quality, or otherwise insufficient/inadequate for the purpose of classification, e.g. due to quality issues related to experimental design and/or reporting;</w:t>
      </w:r>
    </w:p>
    <w:p w14:paraId="56B8056B" w14:textId="77777777" w:rsidR="00F10D98" w:rsidRPr="00D773F7" w:rsidRDefault="00F10D98" w:rsidP="00F10D98">
      <w:pPr>
        <w:pStyle w:val="SingleTxtG"/>
        <w:ind w:left="2268" w:hanging="283"/>
        <w:rPr>
          <w:rFonts w:asciiTheme="majorBidi" w:hAnsiTheme="majorBidi" w:cstheme="majorBidi"/>
          <w:i/>
          <w:iCs/>
        </w:rPr>
      </w:pPr>
      <w:r w:rsidRPr="00D773F7">
        <w:rPr>
          <w:rFonts w:asciiTheme="majorBidi" w:hAnsiTheme="majorBidi" w:cstheme="majorBidi"/>
          <w:i/>
          <w:iCs/>
        </w:rPr>
        <w:t>-</w:t>
      </w:r>
      <w:r w:rsidRPr="00D773F7">
        <w:rPr>
          <w:rFonts w:asciiTheme="majorBidi" w:hAnsiTheme="majorBidi" w:cstheme="majorBidi"/>
          <w:i/>
          <w:iCs/>
        </w:rPr>
        <w:tab/>
        <w:t xml:space="preserve">The available data may be insufficient to conclude on the classification, e.g. they might be indicative for absence of </w:t>
      </w:r>
      <w:r w:rsidRPr="00D773F7">
        <w:rPr>
          <w:rFonts w:asciiTheme="majorBidi" w:hAnsiTheme="majorBidi" w:cstheme="majorBidi"/>
          <w:i/>
          <w:iCs/>
          <w:kern w:val="24"/>
          <w:lang w:val="en-US"/>
        </w:rPr>
        <w:t>serious eye damage</w:t>
      </w:r>
      <w:r w:rsidRPr="00D773F7">
        <w:rPr>
          <w:rFonts w:asciiTheme="majorBidi" w:hAnsiTheme="majorBidi" w:cstheme="majorBidi"/>
          <w:i/>
          <w:iCs/>
        </w:rPr>
        <w:t>, but inadequate to demonstrate eye irritation;</w:t>
      </w:r>
    </w:p>
    <w:p w14:paraId="6CB4B13C" w14:textId="57872E2D" w:rsidR="00F10D98" w:rsidRPr="00D773F7" w:rsidRDefault="00F10D98" w:rsidP="00F10D98">
      <w:pPr>
        <w:pStyle w:val="SingleTxtG"/>
        <w:ind w:left="2268" w:hanging="283"/>
        <w:rPr>
          <w:rFonts w:asciiTheme="majorBidi" w:hAnsiTheme="majorBidi" w:cstheme="majorBidi"/>
          <w:i/>
          <w:iCs/>
        </w:rPr>
      </w:pPr>
      <w:r w:rsidRPr="00D773F7">
        <w:rPr>
          <w:rFonts w:asciiTheme="majorBidi" w:hAnsiTheme="majorBidi" w:cstheme="majorBidi"/>
          <w:i/>
          <w:iCs/>
        </w:rPr>
        <w:t>-</w:t>
      </w:r>
      <w:r w:rsidRPr="00D773F7">
        <w:rPr>
          <w:rFonts w:asciiTheme="majorBidi" w:hAnsiTheme="majorBidi" w:cstheme="majorBidi"/>
          <w:i/>
          <w:iCs/>
        </w:rPr>
        <w:tab/>
        <w:t xml:space="preserve">Where competent authorities make use of the eye irritation categories 2A and 2B, the available data may not be capable of distinguishing between </w:t>
      </w:r>
      <w:r w:rsidR="00863AE7" w:rsidRPr="00D773F7">
        <w:rPr>
          <w:rFonts w:asciiTheme="majorBidi" w:hAnsiTheme="majorBidi" w:cstheme="majorBidi"/>
          <w:i/>
          <w:iCs/>
        </w:rPr>
        <w:t>c</w:t>
      </w:r>
      <w:r w:rsidRPr="00D773F7">
        <w:rPr>
          <w:rFonts w:asciiTheme="majorBidi" w:hAnsiTheme="majorBidi" w:cstheme="majorBidi"/>
          <w:i/>
          <w:iCs/>
        </w:rPr>
        <w:t xml:space="preserve">ategory 2A and </w:t>
      </w:r>
      <w:r w:rsidR="00863AE7" w:rsidRPr="00D773F7">
        <w:rPr>
          <w:rFonts w:asciiTheme="majorBidi" w:hAnsiTheme="majorBidi" w:cstheme="majorBidi"/>
          <w:i/>
          <w:iCs/>
        </w:rPr>
        <w:t>c</w:t>
      </w:r>
      <w:r w:rsidRPr="00D773F7">
        <w:rPr>
          <w:rFonts w:asciiTheme="majorBidi" w:hAnsiTheme="majorBidi" w:cstheme="majorBidi"/>
          <w:i/>
          <w:iCs/>
        </w:rPr>
        <w:t>ategory 2B.</w:t>
      </w:r>
    </w:p>
    <w:p w14:paraId="6B00430E" w14:textId="78035261" w:rsidR="00F10D98" w:rsidRPr="00D773F7" w:rsidRDefault="00F10D98" w:rsidP="00F10D98">
      <w:pPr>
        <w:pStyle w:val="SingleTxtG"/>
        <w:ind w:left="1985" w:hanging="284"/>
        <w:rPr>
          <w:rFonts w:asciiTheme="majorBidi" w:hAnsiTheme="majorBidi" w:cstheme="majorBidi"/>
          <w:i/>
          <w:iCs/>
        </w:rPr>
      </w:pPr>
      <w:r w:rsidRPr="00D773F7">
        <w:rPr>
          <w:rFonts w:asciiTheme="majorBidi" w:hAnsiTheme="majorBidi" w:cstheme="majorBidi"/>
          <w:i/>
          <w:iCs/>
          <w:vertAlign w:val="superscript"/>
        </w:rPr>
        <w:t>c</w:t>
      </w:r>
      <w:r w:rsidRPr="00D773F7">
        <w:rPr>
          <w:rFonts w:asciiTheme="majorBidi" w:hAnsiTheme="majorBidi" w:cstheme="majorBidi"/>
          <w:i/>
          <w:iCs/>
        </w:rPr>
        <w:tab/>
        <w:t>It is recognized that not all skin irritants are eye irritants and that not all substances that are non-irritant to skin are non-irritant to the eye (see 3.3.2.5, 3.3.2.6, 3.3.2.8.4 and 3.3.2.9.1).</w:t>
      </w:r>
    </w:p>
    <w:p w14:paraId="04195E76" w14:textId="7D5BD5FA" w:rsidR="00F10D98" w:rsidRPr="00D773F7" w:rsidRDefault="00F10D98" w:rsidP="00F10D98">
      <w:pPr>
        <w:pStyle w:val="SingleTxtG"/>
        <w:ind w:left="1985" w:hanging="284"/>
        <w:rPr>
          <w:rFonts w:asciiTheme="majorBidi" w:hAnsiTheme="majorBidi" w:cstheme="majorBidi"/>
          <w:i/>
          <w:iCs/>
        </w:rPr>
      </w:pPr>
      <w:r w:rsidRPr="00D773F7">
        <w:rPr>
          <w:rFonts w:asciiTheme="majorBidi" w:hAnsiTheme="majorBidi" w:cstheme="majorBidi"/>
          <w:i/>
          <w:iCs/>
          <w:vertAlign w:val="superscript"/>
        </w:rPr>
        <w:t>d</w:t>
      </w:r>
      <w:r w:rsidRPr="00D773F7">
        <w:rPr>
          <w:rFonts w:asciiTheme="majorBidi" w:hAnsiTheme="majorBidi" w:cstheme="majorBidi"/>
          <w:i/>
          <w:iCs/>
        </w:rPr>
        <w:tab/>
        <w:t xml:space="preserve">For mixtures, the flow chart in </w:t>
      </w:r>
      <w:r w:rsidR="00D5525A" w:rsidRPr="00D773F7">
        <w:rPr>
          <w:rFonts w:asciiTheme="majorBidi" w:hAnsiTheme="majorBidi" w:cstheme="majorBidi"/>
          <w:i/>
          <w:iCs/>
        </w:rPr>
        <w:t>f</w:t>
      </w:r>
      <w:r w:rsidRPr="00D773F7">
        <w:rPr>
          <w:rFonts w:asciiTheme="majorBidi" w:hAnsiTheme="majorBidi" w:cstheme="majorBidi"/>
          <w:i/>
          <w:iCs/>
        </w:rPr>
        <w:t>igure 3.3.2 should be followed.”.</w:t>
      </w:r>
    </w:p>
    <w:p w14:paraId="0976C6DF" w14:textId="7161D906" w:rsidR="00F10D98" w:rsidRPr="00D773F7" w:rsidRDefault="00F10D98" w:rsidP="00F10D98">
      <w:pPr>
        <w:pStyle w:val="SingleTxtG"/>
        <w:rPr>
          <w:rFonts w:asciiTheme="majorBidi" w:hAnsiTheme="majorBidi" w:cstheme="majorBidi"/>
        </w:rPr>
      </w:pPr>
      <w:r w:rsidRPr="00D773F7">
        <w:rPr>
          <w:rFonts w:asciiTheme="majorBidi" w:hAnsiTheme="majorBidi" w:cstheme="majorBidi"/>
        </w:rPr>
        <w:t>3.3.3</w:t>
      </w:r>
      <w:r w:rsidRPr="00D773F7">
        <w:rPr>
          <w:rFonts w:asciiTheme="majorBidi" w:hAnsiTheme="majorBidi" w:cstheme="majorBidi"/>
        </w:rPr>
        <w:tab/>
      </w:r>
      <w:r w:rsidR="00477D71" w:rsidRPr="00D773F7">
        <w:rPr>
          <w:rFonts w:asciiTheme="majorBidi" w:hAnsiTheme="majorBidi" w:cstheme="majorBidi"/>
        </w:rPr>
        <w:tab/>
      </w:r>
      <w:r w:rsidRPr="00D773F7">
        <w:rPr>
          <w:rFonts w:asciiTheme="majorBidi" w:hAnsiTheme="majorBidi" w:cstheme="majorBidi"/>
        </w:rPr>
        <w:t>Amend to read as follows:</w:t>
      </w:r>
    </w:p>
    <w:p w14:paraId="2CB816AE" w14:textId="11965CD9" w:rsidR="00F10D98" w:rsidRPr="00D773F7" w:rsidRDefault="00F10D98" w:rsidP="00F10D98">
      <w:pPr>
        <w:pStyle w:val="SingleTxtG"/>
        <w:ind w:left="2268"/>
        <w:rPr>
          <w:rFonts w:asciiTheme="majorBidi" w:hAnsiTheme="majorBidi" w:cstheme="majorBidi"/>
          <w:b/>
          <w:bCs/>
        </w:rPr>
      </w:pPr>
      <w:bookmarkStart w:id="6" w:name="_Hlk69885708"/>
      <w:r w:rsidRPr="00D773F7">
        <w:rPr>
          <w:rFonts w:asciiTheme="majorBidi" w:hAnsiTheme="majorBidi" w:cstheme="majorBidi"/>
          <w:b/>
          <w:bCs/>
        </w:rPr>
        <w:t>“3.3.3</w:t>
      </w:r>
      <w:r w:rsidRPr="00D773F7">
        <w:rPr>
          <w:rFonts w:asciiTheme="majorBidi" w:hAnsiTheme="majorBidi" w:cstheme="majorBidi"/>
          <w:b/>
          <w:bCs/>
        </w:rPr>
        <w:tab/>
      </w:r>
      <w:r w:rsidRPr="00D773F7">
        <w:rPr>
          <w:rFonts w:asciiTheme="majorBidi" w:hAnsiTheme="majorBidi" w:cstheme="majorBidi"/>
          <w:b/>
          <w:bCs/>
        </w:rPr>
        <w:tab/>
      </w:r>
      <w:r w:rsidR="00A37832" w:rsidRPr="00D773F7">
        <w:rPr>
          <w:rFonts w:asciiTheme="majorBidi" w:hAnsiTheme="majorBidi" w:cstheme="majorBidi"/>
          <w:b/>
          <w:bCs/>
        </w:rPr>
        <w:tab/>
      </w:r>
      <w:r w:rsidRPr="00D773F7">
        <w:rPr>
          <w:rFonts w:asciiTheme="majorBidi" w:hAnsiTheme="majorBidi" w:cstheme="majorBidi"/>
          <w:b/>
          <w:bCs/>
        </w:rPr>
        <w:t>Classification criteria for mixtures</w:t>
      </w:r>
    </w:p>
    <w:p w14:paraId="2D4AD77F" w14:textId="38184DE5" w:rsidR="00F10D98" w:rsidRPr="00D773F7" w:rsidRDefault="00F10D98" w:rsidP="00F10D98">
      <w:pPr>
        <w:pStyle w:val="SingleTxtG"/>
        <w:tabs>
          <w:tab w:val="left" w:pos="3402"/>
        </w:tabs>
        <w:ind w:left="2268"/>
        <w:rPr>
          <w:rFonts w:asciiTheme="majorBidi" w:hAnsiTheme="majorBidi" w:cstheme="majorBidi"/>
        </w:rPr>
      </w:pPr>
      <w:r w:rsidRPr="00D773F7">
        <w:rPr>
          <w:rFonts w:asciiTheme="majorBidi" w:hAnsiTheme="majorBidi" w:cstheme="majorBidi"/>
        </w:rPr>
        <w:tab/>
      </w:r>
      <w:bookmarkEnd w:id="6"/>
      <w:r w:rsidR="00A37832" w:rsidRPr="00D773F7">
        <w:rPr>
          <w:rFonts w:asciiTheme="majorBidi" w:hAnsiTheme="majorBidi" w:cstheme="majorBidi"/>
        </w:rPr>
        <w:tab/>
      </w:r>
      <w:r w:rsidRPr="00D773F7">
        <w:rPr>
          <w:rFonts w:asciiTheme="majorBidi" w:hAnsiTheme="majorBidi" w:cstheme="majorBidi"/>
        </w:rPr>
        <w:t xml:space="preserve">The approach to classification for serious eye damage/eye irritation is tiered and is dependent upon the amount of information available for the mixture itself and for its ingredients. The flow chart of </w:t>
      </w:r>
      <w:r w:rsidR="00D5525A" w:rsidRPr="00D773F7">
        <w:rPr>
          <w:rFonts w:asciiTheme="majorBidi" w:hAnsiTheme="majorBidi" w:cstheme="majorBidi"/>
        </w:rPr>
        <w:t>f</w:t>
      </w:r>
      <w:r w:rsidRPr="00D773F7">
        <w:rPr>
          <w:rFonts w:asciiTheme="majorBidi" w:hAnsiTheme="majorBidi" w:cstheme="majorBidi"/>
        </w:rPr>
        <w:t>igure</w:t>
      </w:r>
      <w:r w:rsidR="0065015E">
        <w:rPr>
          <w:rFonts w:asciiTheme="majorBidi" w:hAnsiTheme="majorBidi" w:cstheme="majorBidi"/>
        </w:rPr>
        <w:t> </w:t>
      </w:r>
      <w:r w:rsidRPr="00D773F7">
        <w:rPr>
          <w:rFonts w:asciiTheme="majorBidi" w:hAnsiTheme="majorBidi" w:cstheme="majorBidi"/>
        </w:rPr>
        <w:t>3.3.2 below outlines the process to be followed.</w:t>
      </w:r>
    </w:p>
    <w:p w14:paraId="2B39E526" w14:textId="77777777" w:rsidR="00F10D98" w:rsidRPr="00D773F7" w:rsidRDefault="00F10D98" w:rsidP="00F10D98">
      <w:pPr>
        <w:pStyle w:val="StyleGHSHeading410pt"/>
        <w:ind w:left="2127" w:right="567"/>
        <w:jc w:val="center"/>
        <w:rPr>
          <w:rFonts w:asciiTheme="majorBidi" w:hAnsiTheme="majorBidi" w:cstheme="majorBidi"/>
          <w:color w:val="auto"/>
        </w:rPr>
      </w:pPr>
      <w:r w:rsidRPr="00D773F7">
        <w:rPr>
          <w:rFonts w:asciiTheme="majorBidi" w:hAnsiTheme="majorBidi" w:cstheme="majorBidi"/>
          <w:color w:val="auto"/>
        </w:rPr>
        <w:lastRenderedPageBreak/>
        <w:t>Figure 3.3.2:  Tiered approach to classification of mixtures for serious eye damage/eye irritation</w:t>
      </w:r>
    </w:p>
    <w:p w14:paraId="75680064" w14:textId="2BF2D921" w:rsidR="00527A9E" w:rsidRPr="00D773F7" w:rsidRDefault="00527A9E" w:rsidP="0062134A">
      <w:pPr>
        <w:pStyle w:val="SingleTxtG"/>
        <w:tabs>
          <w:tab w:val="left" w:pos="1418"/>
        </w:tabs>
        <w:jc w:val="center"/>
        <w:rPr>
          <w:rFonts w:asciiTheme="majorBidi" w:hAnsiTheme="majorBidi" w:cstheme="majorBidi"/>
          <w:b/>
          <w:i/>
          <w:iCs/>
          <w:shd w:val="clear" w:color="auto" w:fill="FFFFFF"/>
          <w:vertAlign w:val="superscript"/>
        </w:rPr>
      </w:pPr>
      <w:r w:rsidRPr="00D773F7">
        <w:rPr>
          <w:rFonts w:asciiTheme="majorBidi" w:hAnsiTheme="majorBidi" w:cstheme="majorBidi"/>
        </w:rPr>
        <w:object w:dxaOrig="6865" w:dyaOrig="7825" w14:anchorId="6ABA9908">
          <v:shape id="_x0000_i1029" type="#_x0000_t75" style="width:343.95pt;height:391.65pt" o:ole="">
            <v:imagedata r:id="rId20" o:title=""/>
          </v:shape>
          <o:OLEObject Type="Embed" ProgID="Visio.Drawing.15" ShapeID="_x0000_i1029" DrawAspect="Content" ObjectID="_1744797702" r:id="rId21"/>
        </w:object>
      </w:r>
    </w:p>
    <w:p w14:paraId="3B2F35EF" w14:textId="45295BC3" w:rsidR="00F10D98" w:rsidRPr="00D773F7" w:rsidRDefault="00F10D98" w:rsidP="00F10D98">
      <w:pPr>
        <w:pStyle w:val="SingleTxtG"/>
        <w:tabs>
          <w:tab w:val="left" w:pos="1418"/>
        </w:tabs>
        <w:rPr>
          <w:rFonts w:asciiTheme="majorBidi" w:hAnsiTheme="majorBidi" w:cstheme="majorBidi"/>
          <w:i/>
          <w:iCs/>
          <w:shd w:val="clear" w:color="auto" w:fill="FFFFFF"/>
        </w:rPr>
      </w:pPr>
      <w:r w:rsidRPr="00D773F7">
        <w:rPr>
          <w:rFonts w:asciiTheme="majorBidi" w:hAnsiTheme="majorBidi" w:cstheme="majorBidi"/>
          <w:b/>
          <w:i/>
          <w:iCs/>
          <w:shd w:val="clear" w:color="auto" w:fill="FFFFFF"/>
          <w:vertAlign w:val="superscript"/>
        </w:rPr>
        <w:t>a</w:t>
      </w:r>
      <w:r w:rsidRPr="00D773F7">
        <w:rPr>
          <w:rFonts w:asciiTheme="majorBidi" w:hAnsiTheme="majorBidi" w:cstheme="majorBidi"/>
          <w:i/>
          <w:iCs/>
          <w:shd w:val="clear" w:color="auto" w:fill="FFFFFF"/>
        </w:rPr>
        <w:tab/>
        <w:t>The dashed boxes represent an individual tier within conclusive data on the mixture as</w:t>
      </w:r>
      <w:r w:rsidR="0078405F">
        <w:rPr>
          <w:rFonts w:asciiTheme="majorBidi" w:hAnsiTheme="majorBidi" w:cstheme="majorBidi"/>
          <w:i/>
          <w:iCs/>
          <w:shd w:val="clear" w:color="auto" w:fill="FFFFFF"/>
        </w:rPr>
        <w:t xml:space="preserve"> a</w:t>
      </w:r>
      <w:r w:rsidRPr="00D773F7">
        <w:rPr>
          <w:rFonts w:asciiTheme="majorBidi" w:hAnsiTheme="majorBidi" w:cstheme="majorBidi"/>
          <w:i/>
          <w:iCs/>
          <w:shd w:val="clear" w:color="auto" w:fill="FFFFFF"/>
        </w:rPr>
        <w:t> whole. However, in contrast to substances, mixtures having an extreme pH value (pH </w:t>
      </w:r>
      <w:r w:rsidR="007B5622" w:rsidRPr="00D773F7">
        <w:rPr>
          <w:rFonts w:asciiTheme="majorBidi" w:hAnsiTheme="majorBidi" w:cstheme="majorBidi"/>
          <w:i/>
          <w:iCs/>
          <w:shd w:val="clear" w:color="auto" w:fill="FFFFFF"/>
        </w:rPr>
        <w:t>≤</w:t>
      </w:r>
      <w:r w:rsidRPr="00D773F7">
        <w:rPr>
          <w:rFonts w:asciiTheme="majorBidi" w:hAnsiTheme="majorBidi" w:cstheme="majorBidi"/>
          <w:i/>
          <w:iCs/>
          <w:shd w:val="clear" w:color="auto" w:fill="FFFFFF"/>
        </w:rPr>
        <w:t xml:space="preserve"> 2 or </w:t>
      </w:r>
      <w:r w:rsidR="00552606" w:rsidRPr="00D773F7">
        <w:rPr>
          <w:rFonts w:asciiTheme="majorBidi" w:hAnsiTheme="majorBidi" w:cstheme="majorBidi"/>
          <w:i/>
          <w:iCs/>
          <w:shd w:val="clear" w:color="auto" w:fill="FFFFFF"/>
        </w:rPr>
        <w:t>≥</w:t>
      </w:r>
      <w:r w:rsidR="00D1292B">
        <w:rPr>
          <w:rFonts w:asciiTheme="majorBidi" w:hAnsiTheme="majorBidi" w:cstheme="majorBidi"/>
          <w:i/>
          <w:iCs/>
          <w:shd w:val="clear" w:color="auto" w:fill="FFFFFF"/>
        </w:rPr>
        <w:t> </w:t>
      </w:r>
      <w:r w:rsidRPr="00D773F7">
        <w:rPr>
          <w:rFonts w:asciiTheme="majorBidi" w:hAnsiTheme="majorBidi" w:cstheme="majorBidi"/>
          <w:i/>
          <w:iCs/>
          <w:shd w:val="clear" w:color="auto" w:fill="FFFFFF"/>
        </w:rPr>
        <w:t xml:space="preserve">11.5) and non-significant acid/alkaline reserve but no other conclusive data on the mixture as a whole, or no conclusive weight of evidence assessment from all available data on the mixture as </w:t>
      </w:r>
      <w:r w:rsidR="0078405F">
        <w:rPr>
          <w:rFonts w:asciiTheme="majorBidi" w:hAnsiTheme="majorBidi" w:cstheme="majorBidi"/>
          <w:i/>
          <w:iCs/>
          <w:shd w:val="clear" w:color="auto" w:fill="FFFFFF"/>
        </w:rPr>
        <w:t xml:space="preserve">a </w:t>
      </w:r>
      <w:r w:rsidRPr="00D773F7">
        <w:rPr>
          <w:rFonts w:asciiTheme="majorBidi" w:hAnsiTheme="majorBidi" w:cstheme="majorBidi"/>
          <w:i/>
          <w:iCs/>
          <w:shd w:val="clear" w:color="auto" w:fill="FFFFFF"/>
        </w:rPr>
        <w:t>whole, are not conclusive within the tiers for conclusive data on the mixture as a whole. Such mixtures should be first evaluated according to the bridging principles before the extreme pH value is considered as conclusive for classification.”.</w:t>
      </w:r>
    </w:p>
    <w:p w14:paraId="1D34DC01" w14:textId="77777777" w:rsidR="00F10D98" w:rsidRPr="00D773F7" w:rsidRDefault="00F10D98" w:rsidP="00F10D98">
      <w:pPr>
        <w:pStyle w:val="SingleTxtG"/>
        <w:rPr>
          <w:rFonts w:asciiTheme="majorBidi" w:hAnsiTheme="majorBidi" w:cstheme="majorBidi"/>
        </w:rPr>
      </w:pPr>
      <w:r w:rsidRPr="00D773F7">
        <w:rPr>
          <w:rFonts w:asciiTheme="majorBidi" w:hAnsiTheme="majorBidi" w:cstheme="majorBidi"/>
        </w:rPr>
        <w:t>3.3.3.1.1 and 3.3.3.1.2</w:t>
      </w:r>
      <w:r w:rsidRPr="00D773F7">
        <w:rPr>
          <w:rFonts w:asciiTheme="majorBidi" w:hAnsiTheme="majorBidi" w:cstheme="majorBidi"/>
        </w:rPr>
        <w:tab/>
        <w:t xml:space="preserve">Amend to read as follows: </w:t>
      </w:r>
    </w:p>
    <w:p w14:paraId="0FE8E576" w14:textId="4C8F5581" w:rsidR="00F10D98" w:rsidRPr="00D773F7" w:rsidRDefault="00F10D98" w:rsidP="00F10D98">
      <w:pPr>
        <w:pStyle w:val="SingleTxtG"/>
        <w:ind w:left="2268"/>
        <w:rPr>
          <w:rFonts w:asciiTheme="majorBidi" w:hAnsiTheme="majorBidi" w:cstheme="majorBidi"/>
        </w:rPr>
      </w:pPr>
      <w:bookmarkStart w:id="7" w:name="_Hlk69885839"/>
      <w:r w:rsidRPr="00D773F7">
        <w:rPr>
          <w:rFonts w:asciiTheme="majorBidi" w:hAnsiTheme="majorBidi" w:cstheme="majorBidi"/>
        </w:rPr>
        <w:t>“3.3.3.1.1</w:t>
      </w:r>
      <w:bookmarkEnd w:id="7"/>
      <w:r w:rsidRPr="00D773F7">
        <w:rPr>
          <w:rFonts w:asciiTheme="majorBidi" w:hAnsiTheme="majorBidi" w:cstheme="majorBidi"/>
        </w:rPr>
        <w:tab/>
        <w:t xml:space="preserve">In general, the mixture should be classified using the criteria for substances, taking into account the tiered approach to evaluate data for this hazard class (as illustrated in </w:t>
      </w:r>
      <w:r w:rsidR="00D5525A" w:rsidRPr="00D773F7">
        <w:rPr>
          <w:rFonts w:asciiTheme="majorBidi" w:hAnsiTheme="majorBidi" w:cstheme="majorBidi"/>
        </w:rPr>
        <w:t>f</w:t>
      </w:r>
      <w:r w:rsidRPr="00D773F7">
        <w:rPr>
          <w:rFonts w:asciiTheme="majorBidi" w:hAnsiTheme="majorBidi" w:cstheme="majorBidi"/>
        </w:rPr>
        <w:t xml:space="preserve">igure 3.3.1) and 3.3.3.1.2 and 3.3.3.1.3 below. </w:t>
      </w:r>
      <w:bookmarkStart w:id="8" w:name="_Hlk69885903"/>
      <w:r w:rsidRPr="00D773F7">
        <w:rPr>
          <w:rFonts w:asciiTheme="majorBidi" w:hAnsiTheme="majorBidi" w:cstheme="majorBidi"/>
        </w:rPr>
        <w:t>If classification is not possible using the tiered approach, then the approach described in 3.3.3.2 (bridging principles), or, if that is not applicable, 3.3.3.3 (classification based on ingredients) should be followed</w:t>
      </w:r>
      <w:bookmarkEnd w:id="8"/>
      <w:r w:rsidRPr="00D773F7">
        <w:rPr>
          <w:rFonts w:asciiTheme="majorBidi" w:hAnsiTheme="majorBidi" w:cstheme="majorBidi"/>
        </w:rPr>
        <w:t>.</w:t>
      </w:r>
    </w:p>
    <w:p w14:paraId="74B7A433" w14:textId="77777777" w:rsidR="00F10D98" w:rsidRPr="00D773F7" w:rsidRDefault="00F10D98" w:rsidP="00F10D98">
      <w:pPr>
        <w:pStyle w:val="SingleTxtG"/>
        <w:ind w:left="2268"/>
        <w:rPr>
          <w:rFonts w:asciiTheme="majorBidi" w:eastAsiaTheme="minorHAnsi" w:hAnsiTheme="majorBidi" w:cstheme="majorBidi"/>
        </w:rPr>
      </w:pPr>
      <w:r w:rsidRPr="00D773F7">
        <w:rPr>
          <w:rFonts w:asciiTheme="majorBidi" w:hAnsiTheme="majorBidi" w:cstheme="majorBidi"/>
        </w:rPr>
        <w:t>3.3.3.1.2</w:t>
      </w:r>
      <w:r w:rsidRPr="00D773F7">
        <w:rPr>
          <w:rFonts w:asciiTheme="majorBidi" w:hAnsiTheme="majorBidi" w:cstheme="majorBidi"/>
        </w:rPr>
        <w:tab/>
        <w:t>Defined approaches and/or in vitro/</w:t>
      </w:r>
      <w:r w:rsidRPr="00D773F7">
        <w:rPr>
          <w:rFonts w:asciiTheme="majorBidi" w:hAnsiTheme="majorBidi" w:cstheme="majorBidi"/>
          <w:i/>
          <w:iCs/>
        </w:rPr>
        <w:t>ex vivo</w:t>
      </w:r>
      <w:r w:rsidRPr="00D773F7">
        <w:rPr>
          <w:rFonts w:asciiTheme="majorBidi" w:hAnsiTheme="majorBidi" w:cstheme="majorBidi"/>
        </w:rPr>
        <w:t xml:space="preserve"> test methods validated according to international procedures may not have been validated using mixtures; although these approaches/methods are considered broadly applicable to mixtures, they can only be used for classification of mixtures when all ingredients of the mixture fall within the applicability domain of the defined approach or test method(s) used. Specific limitations regarding applicability domains are described in the respective defined approaches and </w:t>
      </w:r>
      <w:r w:rsidRPr="00D773F7">
        <w:rPr>
          <w:rFonts w:asciiTheme="majorBidi" w:hAnsiTheme="majorBidi" w:cstheme="majorBidi"/>
        </w:rPr>
        <w:lastRenderedPageBreak/>
        <w:t>test methods and should be taken into consideration as well as any further information on such limitations from the published literature. Where there is reason to assume or evidence indicating that the applicability domain of a particular defined approach or test method is limited, data interpretation should be exercised with caution, or the results should be considered not applicable.</w:t>
      </w:r>
      <w:r w:rsidRPr="00D773F7">
        <w:rPr>
          <w:rFonts w:asciiTheme="majorBidi" w:eastAsiaTheme="minorHAnsi" w:hAnsiTheme="majorBidi" w:cstheme="majorBidi"/>
        </w:rPr>
        <w:t>”.</w:t>
      </w:r>
    </w:p>
    <w:p w14:paraId="44232B8B" w14:textId="4C5C5E1F" w:rsidR="00F10D98" w:rsidRPr="00D773F7" w:rsidRDefault="00F10D98" w:rsidP="00F10D98">
      <w:pPr>
        <w:pStyle w:val="SingleTxtG"/>
        <w:rPr>
          <w:rFonts w:asciiTheme="majorBidi" w:eastAsiaTheme="minorHAnsi" w:hAnsiTheme="majorBidi" w:cstheme="majorBidi"/>
        </w:rPr>
      </w:pPr>
      <w:r w:rsidRPr="00D773F7">
        <w:rPr>
          <w:rFonts w:asciiTheme="majorBidi" w:hAnsiTheme="majorBidi" w:cstheme="majorBidi"/>
        </w:rPr>
        <w:t>3.3.3.1.3</w:t>
      </w:r>
      <w:r w:rsidR="00847725" w:rsidRPr="00D773F7">
        <w:rPr>
          <w:rFonts w:asciiTheme="majorBidi" w:hAnsiTheme="majorBidi" w:cstheme="majorBidi"/>
        </w:rPr>
        <w:t xml:space="preserve"> (new)</w:t>
      </w:r>
      <w:r w:rsidRPr="00D773F7">
        <w:rPr>
          <w:rFonts w:asciiTheme="majorBidi" w:hAnsiTheme="majorBidi" w:cstheme="majorBidi"/>
        </w:rPr>
        <w:tab/>
        <w:t xml:space="preserve">Insert </w:t>
      </w:r>
      <w:r w:rsidR="008855EC" w:rsidRPr="00D773F7">
        <w:rPr>
          <w:rFonts w:asciiTheme="majorBidi" w:hAnsiTheme="majorBidi" w:cstheme="majorBidi"/>
        </w:rPr>
        <w:t xml:space="preserve">the following </w:t>
      </w:r>
      <w:r w:rsidRPr="00D773F7">
        <w:rPr>
          <w:rFonts w:asciiTheme="majorBidi" w:hAnsiTheme="majorBidi" w:cstheme="majorBidi"/>
        </w:rPr>
        <w:t xml:space="preserve">new </w:t>
      </w:r>
      <w:r w:rsidRPr="00D773F7">
        <w:rPr>
          <w:rFonts w:asciiTheme="majorBidi" w:eastAsiaTheme="minorHAnsi" w:hAnsiTheme="majorBidi" w:cstheme="majorBidi"/>
        </w:rPr>
        <w:t>paragraph:</w:t>
      </w:r>
    </w:p>
    <w:p w14:paraId="144A4672" w14:textId="572A8E73" w:rsidR="00F10D98" w:rsidRPr="00D773F7" w:rsidRDefault="00F10D98" w:rsidP="00F10D98">
      <w:pPr>
        <w:pStyle w:val="SingleTxtG"/>
        <w:ind w:left="2268"/>
        <w:rPr>
          <w:rFonts w:asciiTheme="majorBidi" w:eastAsiaTheme="minorHAnsi" w:hAnsiTheme="majorBidi" w:cstheme="majorBidi"/>
        </w:rPr>
      </w:pPr>
      <w:r w:rsidRPr="00D773F7">
        <w:rPr>
          <w:rFonts w:asciiTheme="majorBidi" w:eastAsiaTheme="minorHAnsi" w:hAnsiTheme="majorBidi" w:cstheme="majorBidi"/>
        </w:rPr>
        <w:t>“</w:t>
      </w:r>
      <w:r w:rsidRPr="00D773F7">
        <w:rPr>
          <w:rFonts w:asciiTheme="majorBidi" w:hAnsiTheme="majorBidi" w:cstheme="majorBidi"/>
        </w:rPr>
        <w:t>3.3.3.1.3</w:t>
      </w:r>
      <w:r w:rsidRPr="00D773F7">
        <w:rPr>
          <w:rFonts w:asciiTheme="majorBidi" w:hAnsiTheme="majorBidi" w:cstheme="majorBidi"/>
        </w:rPr>
        <w:tab/>
        <w:t xml:space="preserve">A mixture with an extreme pH (pH </w:t>
      </w:r>
      <w:r w:rsidR="00233CA3" w:rsidRPr="00D773F7">
        <w:rPr>
          <w:rFonts w:asciiTheme="majorBidi" w:hAnsiTheme="majorBidi" w:cstheme="majorBidi"/>
        </w:rPr>
        <w:t>≤</w:t>
      </w:r>
      <w:r w:rsidRPr="00D773F7">
        <w:rPr>
          <w:rFonts w:asciiTheme="majorBidi" w:hAnsiTheme="majorBidi" w:cstheme="majorBidi"/>
        </w:rPr>
        <w:t xml:space="preserve"> 2 or </w:t>
      </w:r>
      <w:r w:rsidR="00233CA3" w:rsidRPr="00D773F7">
        <w:rPr>
          <w:rFonts w:asciiTheme="majorBidi" w:hAnsiTheme="majorBidi" w:cstheme="majorBidi"/>
        </w:rPr>
        <w:t>≥</w:t>
      </w:r>
      <w:r w:rsidRPr="00D773F7">
        <w:rPr>
          <w:rFonts w:asciiTheme="majorBidi" w:hAnsiTheme="majorBidi" w:cstheme="majorBidi"/>
        </w:rPr>
        <w:t xml:space="preserve"> 11.5) is considered to cause serious eye damage (Category 1) in </w:t>
      </w:r>
      <w:r w:rsidR="00123673" w:rsidRPr="00D773F7">
        <w:rPr>
          <w:rFonts w:asciiTheme="majorBidi" w:hAnsiTheme="majorBidi" w:cstheme="majorBidi"/>
        </w:rPr>
        <w:t>t</w:t>
      </w:r>
      <w:r w:rsidRPr="00D773F7">
        <w:rPr>
          <w:rFonts w:asciiTheme="majorBidi" w:hAnsiTheme="majorBidi" w:cstheme="majorBidi"/>
        </w:rPr>
        <w:t xml:space="preserve">ier 5 if it has a significant acid/alkaline reserve or if no data for acid/alkaline reserve are available. However, if consideration of acid/alkaline reserve suggests the mixture may not cause serious eye damage despite the extreme pH value, the result is considered inconclusive within </w:t>
      </w:r>
      <w:r w:rsidR="00123673" w:rsidRPr="00D773F7">
        <w:rPr>
          <w:rFonts w:asciiTheme="majorBidi" w:hAnsiTheme="majorBidi" w:cstheme="majorBidi"/>
        </w:rPr>
        <w:t>t</w:t>
      </w:r>
      <w:r w:rsidRPr="00D773F7">
        <w:rPr>
          <w:rFonts w:asciiTheme="majorBidi" w:hAnsiTheme="majorBidi" w:cstheme="majorBidi"/>
        </w:rPr>
        <w:t xml:space="preserve">ier 5 (see </w:t>
      </w:r>
      <w:r w:rsidR="00D5525A" w:rsidRPr="00D773F7">
        <w:rPr>
          <w:rFonts w:asciiTheme="majorBidi" w:hAnsiTheme="majorBidi" w:cstheme="majorBidi"/>
        </w:rPr>
        <w:t>f</w:t>
      </w:r>
      <w:r w:rsidRPr="00D773F7">
        <w:rPr>
          <w:rFonts w:asciiTheme="majorBidi" w:hAnsiTheme="majorBidi" w:cstheme="majorBidi"/>
        </w:rPr>
        <w:t>igure 3.3.1). If the overall weight of evidence assessment remains inconclusive or no data other than pH and acid/alkaline reserve are available, mixtures with an extreme pH (pH</w:t>
      </w:r>
      <w:r w:rsidR="00514F5B">
        <w:rPr>
          <w:rFonts w:asciiTheme="majorBidi" w:hAnsiTheme="majorBidi" w:cstheme="majorBidi"/>
        </w:rPr>
        <w:t> </w:t>
      </w:r>
      <w:r w:rsidR="00233CA3" w:rsidRPr="00D773F7">
        <w:rPr>
          <w:rFonts w:asciiTheme="majorBidi" w:hAnsiTheme="majorBidi" w:cstheme="majorBidi"/>
        </w:rPr>
        <w:t>≤</w:t>
      </w:r>
      <w:r w:rsidR="00514F5B">
        <w:rPr>
          <w:rFonts w:asciiTheme="majorBidi" w:hAnsiTheme="majorBidi" w:cstheme="majorBidi"/>
        </w:rPr>
        <w:t> </w:t>
      </w:r>
      <w:r w:rsidRPr="00D773F7">
        <w:rPr>
          <w:rFonts w:asciiTheme="majorBidi" w:hAnsiTheme="majorBidi" w:cstheme="majorBidi"/>
        </w:rPr>
        <w:t xml:space="preserve">2 or </w:t>
      </w:r>
      <w:r w:rsidR="00233CA3" w:rsidRPr="00D773F7">
        <w:rPr>
          <w:rFonts w:asciiTheme="majorBidi" w:hAnsiTheme="majorBidi" w:cstheme="majorBidi"/>
        </w:rPr>
        <w:t>≥</w:t>
      </w:r>
      <w:r w:rsidR="002769C4">
        <w:rPr>
          <w:rFonts w:asciiTheme="majorBidi" w:hAnsiTheme="majorBidi" w:cstheme="majorBidi"/>
        </w:rPr>
        <w:t> </w:t>
      </w:r>
      <w:r w:rsidRPr="00D773F7">
        <w:rPr>
          <w:rFonts w:asciiTheme="majorBidi" w:hAnsiTheme="majorBidi" w:cstheme="majorBidi"/>
        </w:rPr>
        <w:t xml:space="preserve">11.5) and non-significant acid/alkaline reserve should be assessed using the bridging principles described in 3.3.3.2. If the bridging principles cannot be applied, mixtures with an extreme pH (pH </w:t>
      </w:r>
      <w:r w:rsidR="00233CA3" w:rsidRPr="00D773F7">
        <w:rPr>
          <w:rFonts w:asciiTheme="majorBidi" w:hAnsiTheme="majorBidi" w:cstheme="majorBidi"/>
        </w:rPr>
        <w:t>≤</w:t>
      </w:r>
      <w:r w:rsidRPr="00D773F7">
        <w:rPr>
          <w:rFonts w:asciiTheme="majorBidi" w:hAnsiTheme="majorBidi" w:cstheme="majorBidi"/>
        </w:rPr>
        <w:t xml:space="preserve"> 2 or </w:t>
      </w:r>
      <w:r w:rsidR="00233CA3" w:rsidRPr="00D773F7">
        <w:rPr>
          <w:rFonts w:asciiTheme="majorBidi" w:hAnsiTheme="majorBidi" w:cstheme="majorBidi"/>
        </w:rPr>
        <w:t>≥</w:t>
      </w:r>
      <w:r w:rsidRPr="00D773F7">
        <w:rPr>
          <w:rFonts w:asciiTheme="majorBidi" w:hAnsiTheme="majorBidi" w:cstheme="majorBidi"/>
        </w:rPr>
        <w:t xml:space="preserve"> 11.5) and non-significant acid/alkaline reserve should be classified as eye Category 1 (see </w:t>
      </w:r>
      <w:r w:rsidR="00D5525A" w:rsidRPr="00D773F7">
        <w:rPr>
          <w:rFonts w:asciiTheme="majorBidi" w:hAnsiTheme="majorBidi" w:cstheme="majorBidi"/>
        </w:rPr>
        <w:t>f</w:t>
      </w:r>
      <w:r w:rsidRPr="00D773F7">
        <w:rPr>
          <w:rFonts w:asciiTheme="majorBidi" w:hAnsiTheme="majorBidi" w:cstheme="majorBidi"/>
        </w:rPr>
        <w:t>igure 3.3.2). A pH</w:t>
      </w:r>
      <w:r w:rsidR="00514F5B">
        <w:rPr>
          <w:rFonts w:asciiTheme="majorBidi" w:hAnsiTheme="majorBidi" w:cstheme="majorBidi"/>
        </w:rPr>
        <w:t> </w:t>
      </w:r>
      <w:r w:rsidRPr="00D773F7">
        <w:rPr>
          <w:rFonts w:asciiTheme="majorBidi" w:hAnsiTheme="majorBidi" w:cstheme="majorBidi"/>
        </w:rPr>
        <w:t>&gt;</w:t>
      </w:r>
      <w:r w:rsidR="00514F5B">
        <w:rPr>
          <w:rFonts w:asciiTheme="majorBidi" w:hAnsiTheme="majorBidi" w:cstheme="majorBidi"/>
        </w:rPr>
        <w:t> </w:t>
      </w:r>
      <w:r w:rsidRPr="00D773F7">
        <w:rPr>
          <w:rFonts w:asciiTheme="majorBidi" w:hAnsiTheme="majorBidi" w:cstheme="majorBidi"/>
        </w:rPr>
        <w:t>2 and &lt;</w:t>
      </w:r>
      <w:r w:rsidR="00514F5B">
        <w:rPr>
          <w:rFonts w:asciiTheme="majorBidi" w:hAnsiTheme="majorBidi" w:cstheme="majorBidi"/>
        </w:rPr>
        <w:t> </w:t>
      </w:r>
      <w:r w:rsidRPr="00D773F7">
        <w:rPr>
          <w:rFonts w:asciiTheme="majorBidi" w:hAnsiTheme="majorBidi" w:cstheme="majorBidi"/>
        </w:rPr>
        <w:t>11.5 is considered inconclusive and cannot be used for classification purposes. Acid/alkaline reserve and pH can be determined by different methods including those described in OECD Test Guideline 122 and Young et al. (1988), acknowledging that there are some differences between these methods (see 3.3.5.3.7). A competent authority may decide which criteria for significant acid/alkaline reserve can be applied.</w:t>
      </w:r>
      <w:r w:rsidRPr="00D773F7">
        <w:rPr>
          <w:rFonts w:asciiTheme="majorBidi" w:eastAsiaTheme="minorHAnsi" w:hAnsiTheme="majorBidi" w:cstheme="majorBidi"/>
        </w:rPr>
        <w:t>”.</w:t>
      </w:r>
    </w:p>
    <w:p w14:paraId="13313373" w14:textId="650580BC" w:rsidR="00D45898" w:rsidRPr="00D773F7" w:rsidRDefault="00D45898" w:rsidP="00815FAE">
      <w:pPr>
        <w:pStyle w:val="SingleTxtG"/>
        <w:ind w:left="2268" w:hanging="1134"/>
        <w:rPr>
          <w:rFonts w:asciiTheme="majorBidi" w:hAnsiTheme="majorBidi" w:cstheme="majorBidi"/>
        </w:rPr>
      </w:pPr>
      <w:r w:rsidRPr="00D773F7">
        <w:rPr>
          <w:rFonts w:asciiTheme="majorBidi" w:hAnsiTheme="majorBidi" w:cstheme="majorBidi"/>
        </w:rPr>
        <w:t>3.3.3.2.6</w:t>
      </w:r>
      <w:r w:rsidRPr="00D773F7">
        <w:rPr>
          <w:rFonts w:asciiTheme="majorBidi" w:hAnsiTheme="majorBidi" w:cstheme="majorBidi"/>
        </w:rPr>
        <w:tab/>
        <w:t>In the last sentence, replace “by testing” with “based on test data”  and “assigned” with “classified”</w:t>
      </w:r>
      <w:r w:rsidR="00815FAE" w:rsidRPr="00D773F7">
        <w:rPr>
          <w:rFonts w:asciiTheme="majorBidi" w:hAnsiTheme="majorBidi" w:cstheme="majorBidi"/>
        </w:rPr>
        <w:t>.</w:t>
      </w:r>
    </w:p>
    <w:p w14:paraId="32DFAB78" w14:textId="0A16E549" w:rsidR="00F64AE6" w:rsidRPr="00D773F7" w:rsidRDefault="00F10D98" w:rsidP="002D3E1A">
      <w:pPr>
        <w:pStyle w:val="SingleTxtG"/>
        <w:tabs>
          <w:tab w:val="clear" w:pos="1701"/>
          <w:tab w:val="clear" w:pos="2835"/>
        </w:tabs>
        <w:ind w:left="2268" w:hanging="1134"/>
        <w:rPr>
          <w:rFonts w:asciiTheme="majorBidi" w:hAnsiTheme="majorBidi" w:cstheme="majorBidi"/>
          <w:highlight w:val="yellow"/>
        </w:rPr>
      </w:pPr>
      <w:r w:rsidRPr="00D773F7">
        <w:rPr>
          <w:rFonts w:asciiTheme="majorBidi" w:hAnsiTheme="majorBidi" w:cstheme="majorBidi"/>
        </w:rPr>
        <w:t>3.3.3.2.7</w:t>
      </w:r>
      <w:r w:rsidRPr="00D773F7">
        <w:rPr>
          <w:rFonts w:asciiTheme="majorBidi" w:hAnsiTheme="majorBidi" w:cstheme="majorBidi"/>
        </w:rPr>
        <w:tab/>
      </w:r>
      <w:r w:rsidR="002D3E1A" w:rsidRPr="00D773F7">
        <w:rPr>
          <w:rFonts w:asciiTheme="majorBidi" w:hAnsiTheme="majorBidi" w:cstheme="majorBidi"/>
        </w:rPr>
        <w:tab/>
      </w:r>
      <w:r w:rsidR="00341E62" w:rsidRPr="00D773F7">
        <w:rPr>
          <w:rFonts w:asciiTheme="majorBidi" w:hAnsiTheme="majorBidi" w:cstheme="majorBidi"/>
        </w:rPr>
        <w:t>Amend the beginning of the sentence to read</w:t>
      </w:r>
      <w:r w:rsidR="005C39B4" w:rsidRPr="00D773F7">
        <w:rPr>
          <w:rFonts w:asciiTheme="majorBidi" w:hAnsiTheme="majorBidi" w:cstheme="majorBidi"/>
        </w:rPr>
        <w:t xml:space="preserve"> “An aerosolized form of a mixture” </w:t>
      </w:r>
      <w:r w:rsidR="005D7F7F" w:rsidRPr="00D773F7">
        <w:rPr>
          <w:rFonts w:asciiTheme="majorBidi" w:hAnsiTheme="majorBidi" w:cstheme="majorBidi"/>
        </w:rPr>
        <w:t>and replace “</w:t>
      </w:r>
      <w:r w:rsidR="000571BE" w:rsidRPr="00D773F7">
        <w:rPr>
          <w:rFonts w:asciiTheme="majorBidi" w:hAnsiTheme="majorBidi" w:cstheme="majorBidi"/>
        </w:rPr>
        <w:t>non-</w:t>
      </w:r>
      <w:r w:rsidR="005D7F7F" w:rsidRPr="00D773F7">
        <w:rPr>
          <w:rFonts w:asciiTheme="majorBidi" w:hAnsiTheme="majorBidi" w:cstheme="majorBidi"/>
        </w:rPr>
        <w:t xml:space="preserve">aerosolized form of mixture” with </w:t>
      </w:r>
      <w:r w:rsidR="000571BE" w:rsidRPr="00D773F7">
        <w:rPr>
          <w:rFonts w:asciiTheme="majorBidi" w:hAnsiTheme="majorBidi" w:cstheme="majorBidi"/>
        </w:rPr>
        <w:t>“non-aerosolized form of the mixture”</w:t>
      </w:r>
    </w:p>
    <w:p w14:paraId="007D39D1" w14:textId="5E369F72" w:rsidR="00F10D98" w:rsidRPr="00D773F7" w:rsidRDefault="000571BE" w:rsidP="00FF5260">
      <w:pPr>
        <w:pStyle w:val="SingleTxtG"/>
        <w:ind w:left="2268" w:hanging="170"/>
        <w:rPr>
          <w:rFonts w:asciiTheme="majorBidi" w:hAnsiTheme="majorBidi" w:cstheme="majorBidi"/>
          <w:i/>
          <w:iCs/>
        </w:rPr>
      </w:pPr>
      <w:r w:rsidRPr="00D773F7">
        <w:rPr>
          <w:rFonts w:asciiTheme="majorBidi" w:hAnsiTheme="majorBidi" w:cstheme="majorBidi"/>
        </w:rPr>
        <w:tab/>
      </w:r>
      <w:r w:rsidR="002500C9" w:rsidRPr="00D773F7">
        <w:rPr>
          <w:rFonts w:asciiTheme="majorBidi" w:hAnsiTheme="majorBidi" w:cstheme="majorBidi"/>
        </w:rPr>
        <w:t>Current</w:t>
      </w:r>
      <w:r w:rsidR="00F10D98" w:rsidRPr="00D773F7">
        <w:rPr>
          <w:rFonts w:asciiTheme="majorBidi" w:hAnsiTheme="majorBidi" w:cstheme="majorBidi"/>
        </w:rPr>
        <w:t xml:space="preserve"> footnote </w:t>
      </w:r>
      <w:r w:rsidR="002500C9" w:rsidRPr="00D773F7">
        <w:rPr>
          <w:rFonts w:asciiTheme="majorBidi" w:hAnsiTheme="majorBidi" w:cstheme="majorBidi"/>
        </w:rPr>
        <w:t xml:space="preserve">1 becomes footnote </w:t>
      </w:r>
      <w:r w:rsidR="00F10D98" w:rsidRPr="00D773F7">
        <w:rPr>
          <w:rFonts w:asciiTheme="majorBidi" w:hAnsiTheme="majorBidi" w:cstheme="majorBidi"/>
        </w:rPr>
        <w:t>4</w:t>
      </w:r>
      <w:r w:rsidR="00F10D98" w:rsidRPr="00D773F7">
        <w:rPr>
          <w:rFonts w:asciiTheme="majorBidi" w:hAnsiTheme="majorBidi" w:cstheme="majorBidi"/>
          <w:i/>
          <w:iCs/>
        </w:rPr>
        <w:t>.</w:t>
      </w:r>
    </w:p>
    <w:p w14:paraId="25F14FB1" w14:textId="18A2D795" w:rsidR="00466CDF" w:rsidRPr="00D773F7" w:rsidRDefault="00466CDF" w:rsidP="00DE738A">
      <w:pPr>
        <w:pStyle w:val="SingleTxtG"/>
        <w:tabs>
          <w:tab w:val="clear" w:pos="1701"/>
        </w:tabs>
        <w:ind w:left="2268" w:hanging="1134"/>
        <w:rPr>
          <w:rFonts w:asciiTheme="majorBidi" w:hAnsiTheme="majorBidi" w:cstheme="majorBidi"/>
        </w:rPr>
      </w:pPr>
      <w:r w:rsidRPr="00D773F7">
        <w:rPr>
          <w:rFonts w:asciiTheme="majorBidi" w:hAnsiTheme="majorBidi" w:cstheme="majorBidi"/>
        </w:rPr>
        <w:t>3.3.3.3.1</w:t>
      </w:r>
      <w:r w:rsidRPr="00D773F7">
        <w:rPr>
          <w:rFonts w:asciiTheme="majorBidi" w:hAnsiTheme="majorBidi" w:cstheme="majorBidi"/>
        </w:rPr>
        <w:tab/>
      </w:r>
      <w:r w:rsidR="00FC4C8E" w:rsidRPr="00D773F7">
        <w:rPr>
          <w:rFonts w:asciiTheme="majorBidi" w:hAnsiTheme="majorBidi" w:cstheme="majorBidi"/>
        </w:rPr>
        <w:t xml:space="preserve"> </w:t>
      </w:r>
      <w:r w:rsidR="00763629" w:rsidRPr="00D773F7">
        <w:rPr>
          <w:rFonts w:asciiTheme="majorBidi" w:hAnsiTheme="majorBidi" w:cstheme="majorBidi"/>
        </w:rPr>
        <w:t>In the</w:t>
      </w:r>
      <w:r w:rsidR="007F26C7" w:rsidRPr="00D773F7">
        <w:rPr>
          <w:rFonts w:asciiTheme="majorBidi" w:hAnsiTheme="majorBidi" w:cstheme="majorBidi"/>
        </w:rPr>
        <w:t xml:space="preserve"> introductory paragraph</w:t>
      </w:r>
      <w:r w:rsidR="00860CE7" w:rsidRPr="00D773F7">
        <w:rPr>
          <w:rFonts w:asciiTheme="majorBidi" w:hAnsiTheme="majorBidi" w:cstheme="majorBidi"/>
        </w:rPr>
        <w:t>:</w:t>
      </w:r>
      <w:r w:rsidR="00763629" w:rsidRPr="00D773F7">
        <w:rPr>
          <w:rFonts w:asciiTheme="majorBidi" w:hAnsiTheme="majorBidi" w:cstheme="majorBidi"/>
        </w:rPr>
        <w:t xml:space="preserve"> replace “properties” with “hazards”, delete “the” before “mixtures” and amend the end to read</w:t>
      </w:r>
      <w:r w:rsidR="007F26C7" w:rsidRPr="00D773F7">
        <w:rPr>
          <w:rFonts w:asciiTheme="majorBidi" w:hAnsiTheme="majorBidi" w:cstheme="majorBidi"/>
        </w:rPr>
        <w:t xml:space="preserve"> “</w:t>
      </w:r>
      <w:r w:rsidR="008B73F0" w:rsidRPr="00D773F7">
        <w:rPr>
          <w:rFonts w:asciiTheme="majorBidi" w:hAnsiTheme="majorBidi" w:cstheme="majorBidi"/>
        </w:rPr>
        <w:t>…</w:t>
      </w:r>
      <w:r w:rsidR="00A81C62" w:rsidRPr="00D773F7">
        <w:rPr>
          <w:rFonts w:asciiTheme="majorBidi" w:hAnsiTheme="majorBidi" w:cstheme="majorBidi"/>
        </w:rPr>
        <w:t xml:space="preserve">where appropriate in the </w:t>
      </w:r>
      <w:r w:rsidRPr="00D773F7">
        <w:rPr>
          <w:rFonts w:asciiTheme="majorBidi" w:hAnsiTheme="majorBidi" w:cstheme="majorBidi"/>
        </w:rPr>
        <w:t>tiered approach</w:t>
      </w:r>
      <w:r w:rsidR="00A81C62" w:rsidRPr="00D773F7">
        <w:rPr>
          <w:rFonts w:asciiTheme="majorBidi" w:hAnsiTheme="majorBidi" w:cstheme="majorBidi"/>
        </w:rPr>
        <w:t xml:space="preserve"> </w:t>
      </w:r>
      <w:r w:rsidR="00FC4C8E" w:rsidRPr="00D773F7">
        <w:rPr>
          <w:rFonts w:asciiTheme="majorBidi" w:hAnsiTheme="majorBidi" w:cstheme="majorBidi"/>
        </w:rPr>
        <w:t xml:space="preserve">for </w:t>
      </w:r>
      <w:r w:rsidRPr="00D773F7">
        <w:rPr>
          <w:rFonts w:asciiTheme="majorBidi" w:hAnsiTheme="majorBidi" w:cstheme="majorBidi"/>
        </w:rPr>
        <w:t>mixtures (see</w:t>
      </w:r>
      <w:r w:rsidR="007E33C4" w:rsidRPr="00D773F7">
        <w:rPr>
          <w:rFonts w:asciiTheme="majorBidi" w:hAnsiTheme="majorBidi" w:cstheme="majorBidi"/>
        </w:rPr>
        <w:t> </w:t>
      </w:r>
      <w:r w:rsidRPr="00D773F7">
        <w:rPr>
          <w:rFonts w:asciiTheme="majorBidi" w:hAnsiTheme="majorBidi" w:cstheme="majorBidi"/>
        </w:rPr>
        <w:t>1.3.2.3)</w:t>
      </w:r>
      <w:r w:rsidR="00A81C62" w:rsidRPr="00D773F7">
        <w:rPr>
          <w:rFonts w:asciiTheme="majorBidi" w:hAnsiTheme="majorBidi" w:cstheme="majorBidi"/>
        </w:rPr>
        <w:t xml:space="preserve">: </w:t>
      </w:r>
      <w:r w:rsidRPr="00D773F7">
        <w:rPr>
          <w:rFonts w:asciiTheme="majorBidi" w:hAnsiTheme="majorBidi" w:cstheme="majorBidi"/>
        </w:rPr>
        <w:t>”</w:t>
      </w:r>
    </w:p>
    <w:p w14:paraId="0D4913DE" w14:textId="77777777" w:rsidR="00860CE7" w:rsidRPr="00D773F7" w:rsidRDefault="00F10D98" w:rsidP="00C776F2">
      <w:pPr>
        <w:pStyle w:val="SingleTxtG"/>
        <w:ind w:left="2268" w:hanging="1134"/>
        <w:rPr>
          <w:rFonts w:asciiTheme="majorBidi" w:hAnsiTheme="majorBidi" w:cstheme="majorBidi"/>
          <w:snapToGrid w:val="0"/>
        </w:rPr>
      </w:pPr>
      <w:r w:rsidRPr="00D773F7">
        <w:rPr>
          <w:rFonts w:asciiTheme="majorBidi" w:hAnsiTheme="majorBidi" w:cstheme="majorBidi"/>
          <w:snapToGrid w:val="0"/>
        </w:rPr>
        <w:t>3.3.3.3.4</w:t>
      </w:r>
      <w:r w:rsidRPr="00D773F7">
        <w:rPr>
          <w:rFonts w:asciiTheme="majorBidi" w:hAnsiTheme="majorBidi" w:cstheme="majorBidi"/>
          <w:snapToGrid w:val="0"/>
        </w:rPr>
        <w:tab/>
      </w:r>
      <w:r w:rsidR="001948F1" w:rsidRPr="00D773F7">
        <w:rPr>
          <w:rFonts w:asciiTheme="majorBidi" w:hAnsiTheme="majorBidi" w:cstheme="majorBidi"/>
          <w:snapToGrid w:val="0"/>
        </w:rPr>
        <w:t>In the first sentence, i</w:t>
      </w:r>
      <w:r w:rsidR="001948F1" w:rsidRPr="00D773F7">
        <w:rPr>
          <w:rFonts w:asciiTheme="majorBidi" w:hAnsiTheme="majorBidi" w:cstheme="majorBidi"/>
        </w:rPr>
        <w:t>nsert “mixtures containing” after “classifying” and replace “chemicals” with “substances”</w:t>
      </w:r>
      <w:r w:rsidR="008F693E" w:rsidRPr="00D773F7">
        <w:rPr>
          <w:rFonts w:asciiTheme="majorBidi" w:hAnsiTheme="majorBidi" w:cstheme="majorBidi"/>
        </w:rPr>
        <w:t>.</w:t>
      </w:r>
      <w:r w:rsidR="001948F1" w:rsidRPr="00D773F7">
        <w:rPr>
          <w:rFonts w:asciiTheme="majorBidi" w:hAnsiTheme="majorBidi" w:cstheme="majorBidi"/>
          <w:snapToGrid w:val="0"/>
        </w:rPr>
        <w:t xml:space="preserve"> </w:t>
      </w:r>
    </w:p>
    <w:p w14:paraId="5F1FB574" w14:textId="79788CED" w:rsidR="00F10D98" w:rsidRPr="00D773F7" w:rsidRDefault="00860CE7" w:rsidP="00C776F2">
      <w:pPr>
        <w:pStyle w:val="SingleTxtG"/>
        <w:ind w:left="2268" w:hanging="1134"/>
        <w:rPr>
          <w:rFonts w:asciiTheme="majorBidi" w:hAnsiTheme="majorBidi" w:cstheme="majorBidi"/>
          <w:snapToGrid w:val="0"/>
        </w:rPr>
      </w:pPr>
      <w:r w:rsidRPr="00D773F7">
        <w:rPr>
          <w:rFonts w:asciiTheme="majorBidi" w:hAnsiTheme="majorBidi" w:cstheme="majorBidi"/>
          <w:snapToGrid w:val="0"/>
        </w:rPr>
        <w:tab/>
      </w:r>
      <w:r w:rsidRPr="00D773F7">
        <w:rPr>
          <w:rFonts w:asciiTheme="majorBidi" w:hAnsiTheme="majorBidi" w:cstheme="majorBidi"/>
          <w:snapToGrid w:val="0"/>
        </w:rPr>
        <w:tab/>
      </w:r>
      <w:r w:rsidR="00F10D98" w:rsidRPr="00D773F7">
        <w:rPr>
          <w:rFonts w:asciiTheme="majorBidi" w:hAnsiTheme="majorBidi" w:cstheme="majorBidi"/>
          <w:snapToGrid w:val="0"/>
        </w:rPr>
        <w:t xml:space="preserve">In the </w:t>
      </w:r>
      <w:r w:rsidR="00032DD4" w:rsidRPr="00D773F7">
        <w:rPr>
          <w:rFonts w:asciiTheme="majorBidi" w:hAnsiTheme="majorBidi" w:cstheme="majorBidi"/>
          <w:snapToGrid w:val="0"/>
        </w:rPr>
        <w:t xml:space="preserve">third </w:t>
      </w:r>
      <w:r w:rsidR="00F10D98" w:rsidRPr="00D773F7">
        <w:rPr>
          <w:rFonts w:asciiTheme="majorBidi" w:hAnsiTheme="majorBidi" w:cstheme="majorBidi"/>
          <w:snapToGrid w:val="0"/>
        </w:rPr>
        <w:t>sentence, replace “</w:t>
      </w:r>
      <w:r w:rsidR="00F70C94" w:rsidRPr="00D773F7">
        <w:rPr>
          <w:rFonts w:asciiTheme="majorBidi" w:hAnsiTheme="majorBidi" w:cstheme="majorBidi"/>
          <w:snapToGrid w:val="0"/>
        </w:rPr>
        <w:t xml:space="preserve">the pH </w:t>
      </w:r>
      <w:r w:rsidR="00F10D98" w:rsidRPr="00D773F7">
        <w:rPr>
          <w:rFonts w:asciiTheme="majorBidi" w:hAnsiTheme="majorBidi" w:cstheme="majorBidi"/>
          <w:snapToGrid w:val="0"/>
        </w:rPr>
        <w:t>should be used as classification criterion (see 3.3.3.1.2) since pH” with “</w:t>
      </w:r>
      <w:r w:rsidR="008759CA" w:rsidRPr="00D773F7">
        <w:rPr>
          <w:rFonts w:asciiTheme="majorBidi" w:hAnsiTheme="majorBidi" w:cstheme="majorBidi"/>
          <w:snapToGrid w:val="0"/>
        </w:rPr>
        <w:t xml:space="preserve">the pH </w:t>
      </w:r>
      <w:r w:rsidR="00F10D98" w:rsidRPr="00D773F7">
        <w:rPr>
          <w:rFonts w:asciiTheme="majorBidi" w:hAnsiTheme="majorBidi" w:cstheme="majorBidi"/>
          <w:snapToGrid w:val="0"/>
        </w:rPr>
        <w:t>should be used as the classification criterion (see 3.3.3.1.3) since extreme pH” and delete “(subject to consideration of acid/alkali reserve).</w:t>
      </w:r>
    </w:p>
    <w:p w14:paraId="4EDDA67E" w14:textId="0699B3D8" w:rsidR="00980E47" w:rsidRPr="00D773F7" w:rsidRDefault="00945D11" w:rsidP="0052327B">
      <w:pPr>
        <w:pStyle w:val="SingleTxtG"/>
        <w:ind w:left="2268" w:hanging="1134"/>
        <w:rPr>
          <w:rFonts w:asciiTheme="majorBidi" w:hAnsiTheme="majorBidi" w:cstheme="majorBidi"/>
        </w:rPr>
      </w:pPr>
      <w:r w:rsidRPr="00D773F7">
        <w:rPr>
          <w:rFonts w:asciiTheme="majorBidi" w:hAnsiTheme="majorBidi" w:cstheme="majorBidi"/>
        </w:rPr>
        <w:t>3.3.3.3.5</w:t>
      </w:r>
      <w:r w:rsidRPr="00D773F7">
        <w:rPr>
          <w:rFonts w:asciiTheme="majorBidi" w:hAnsiTheme="majorBidi" w:cstheme="majorBidi"/>
        </w:rPr>
        <w:tab/>
      </w:r>
      <w:r w:rsidR="00980E47" w:rsidRPr="00D773F7">
        <w:rPr>
          <w:rFonts w:asciiTheme="majorBidi" w:hAnsiTheme="majorBidi" w:cstheme="majorBidi"/>
        </w:rPr>
        <w:t xml:space="preserve">In the first sentence, replace “irreversible/reversible eye effects” with “serious eye damage/eye irritation”.  </w:t>
      </w:r>
    </w:p>
    <w:p w14:paraId="425D386D" w14:textId="37FB2714" w:rsidR="00122649" w:rsidRPr="00D773F7" w:rsidRDefault="004108A6" w:rsidP="0052327B">
      <w:pPr>
        <w:pStyle w:val="SingleTxtG"/>
        <w:ind w:left="2268" w:hanging="1134"/>
        <w:rPr>
          <w:rFonts w:asciiTheme="majorBidi" w:hAnsiTheme="majorBidi" w:cstheme="majorBidi"/>
        </w:rPr>
      </w:pPr>
      <w:r w:rsidRPr="00D773F7">
        <w:rPr>
          <w:rFonts w:asciiTheme="majorBidi" w:hAnsiTheme="majorBidi" w:cstheme="majorBidi"/>
        </w:rPr>
        <w:tab/>
      </w:r>
      <w:r w:rsidR="00860CE7" w:rsidRPr="00D773F7">
        <w:rPr>
          <w:rFonts w:asciiTheme="majorBidi" w:hAnsiTheme="majorBidi" w:cstheme="majorBidi"/>
        </w:rPr>
        <w:tab/>
      </w:r>
      <w:r w:rsidR="009C2846" w:rsidRPr="00D773F7">
        <w:rPr>
          <w:rFonts w:asciiTheme="majorBidi" w:hAnsiTheme="majorBidi" w:cstheme="majorBidi"/>
        </w:rPr>
        <w:t>In the second sentence, d</w:t>
      </w:r>
      <w:r w:rsidR="00122649" w:rsidRPr="00D773F7">
        <w:rPr>
          <w:rFonts w:asciiTheme="majorBidi" w:hAnsiTheme="majorBidi" w:cstheme="majorBidi"/>
        </w:rPr>
        <w:t>elete “Use of cut-off values/Concentration limits” inside the parentheses.</w:t>
      </w:r>
    </w:p>
    <w:p w14:paraId="53426660" w14:textId="51951D24" w:rsidR="009C2846" w:rsidRPr="00D773F7" w:rsidRDefault="00C776F2" w:rsidP="0052327B">
      <w:pPr>
        <w:pStyle w:val="SingleTxtG"/>
        <w:tabs>
          <w:tab w:val="clear" w:pos="1701"/>
        </w:tabs>
        <w:ind w:left="2268" w:hanging="1134"/>
        <w:rPr>
          <w:rFonts w:asciiTheme="majorBidi" w:hAnsiTheme="majorBidi" w:cstheme="majorBidi"/>
        </w:rPr>
      </w:pPr>
      <w:r w:rsidRPr="00D773F7">
        <w:rPr>
          <w:rFonts w:asciiTheme="majorBidi" w:hAnsiTheme="majorBidi" w:cstheme="majorBidi"/>
        </w:rPr>
        <w:tab/>
      </w:r>
      <w:r w:rsidR="009C2846" w:rsidRPr="00D773F7">
        <w:rPr>
          <w:rFonts w:asciiTheme="majorBidi" w:hAnsiTheme="majorBidi" w:cstheme="majorBidi"/>
        </w:rPr>
        <w:t>In the third sentence, r</w:t>
      </w:r>
      <w:r w:rsidR="00122649" w:rsidRPr="00D773F7">
        <w:rPr>
          <w:rFonts w:asciiTheme="majorBidi" w:hAnsiTheme="majorBidi" w:cstheme="majorBidi"/>
        </w:rPr>
        <w:t>eplace “irreversible/reversible eye effects” with “serious eye damage/eye irritation” and “concentration/cut-off levels” with “cut-off values/concentration limits”.</w:t>
      </w:r>
      <w:r w:rsidR="002E08F7" w:rsidRPr="00D773F7">
        <w:rPr>
          <w:rFonts w:asciiTheme="majorBidi" w:hAnsiTheme="majorBidi" w:cstheme="majorBidi"/>
        </w:rPr>
        <w:t xml:space="preserve"> </w:t>
      </w:r>
    </w:p>
    <w:p w14:paraId="0D4A97D9" w14:textId="217DFCD6" w:rsidR="00122649" w:rsidRPr="00D773F7" w:rsidRDefault="00C776F2" w:rsidP="0052327B">
      <w:pPr>
        <w:pStyle w:val="SingleTxtG"/>
        <w:tabs>
          <w:tab w:val="clear" w:pos="1701"/>
        </w:tabs>
        <w:ind w:left="2268" w:hanging="1134"/>
        <w:rPr>
          <w:rFonts w:asciiTheme="majorBidi" w:hAnsiTheme="majorBidi" w:cstheme="majorBidi"/>
        </w:rPr>
      </w:pPr>
      <w:r w:rsidRPr="00D773F7">
        <w:rPr>
          <w:rFonts w:asciiTheme="majorBidi" w:hAnsiTheme="majorBidi" w:cstheme="majorBidi"/>
        </w:rPr>
        <w:tab/>
      </w:r>
      <w:r w:rsidR="009C2846" w:rsidRPr="00D773F7">
        <w:rPr>
          <w:rFonts w:asciiTheme="majorBidi" w:hAnsiTheme="majorBidi" w:cstheme="majorBidi"/>
        </w:rPr>
        <w:t>D</w:t>
      </w:r>
      <w:r w:rsidR="002E08F7" w:rsidRPr="00D773F7">
        <w:rPr>
          <w:rFonts w:asciiTheme="majorBidi" w:hAnsiTheme="majorBidi" w:cstheme="majorBidi"/>
        </w:rPr>
        <w:t>elete the last sentence of the paragraph (“In those cases…in this chapter”).</w:t>
      </w:r>
    </w:p>
    <w:p w14:paraId="23437FAE" w14:textId="3AB5C98E" w:rsidR="00AA48F9" w:rsidRPr="00D773F7" w:rsidRDefault="00AA48F9" w:rsidP="002D3E1A">
      <w:pPr>
        <w:pStyle w:val="SingleTxtG"/>
        <w:tabs>
          <w:tab w:val="clear" w:pos="1701"/>
          <w:tab w:val="clear" w:pos="2268"/>
        </w:tabs>
        <w:ind w:left="2268" w:hanging="1134"/>
        <w:rPr>
          <w:rFonts w:asciiTheme="majorBidi" w:hAnsiTheme="majorBidi" w:cstheme="majorBidi"/>
        </w:rPr>
      </w:pPr>
      <w:r w:rsidRPr="00D773F7">
        <w:rPr>
          <w:rFonts w:asciiTheme="majorBidi" w:hAnsiTheme="majorBidi" w:cstheme="majorBidi"/>
        </w:rPr>
        <w:t>3.3.4</w:t>
      </w:r>
      <w:r w:rsidRPr="00D773F7">
        <w:rPr>
          <w:rFonts w:asciiTheme="majorBidi" w:hAnsiTheme="majorBidi" w:cstheme="majorBidi"/>
        </w:rPr>
        <w:tab/>
      </w:r>
      <w:r w:rsidR="003A2072" w:rsidRPr="00D773F7">
        <w:rPr>
          <w:rFonts w:asciiTheme="majorBidi" w:hAnsiTheme="majorBidi" w:cstheme="majorBidi"/>
        </w:rPr>
        <w:t xml:space="preserve">At the end of the paragraph, insert </w:t>
      </w:r>
      <w:r w:rsidRPr="00D773F7">
        <w:rPr>
          <w:rFonts w:asciiTheme="majorBidi" w:hAnsiTheme="majorBidi" w:cstheme="majorBidi"/>
        </w:rPr>
        <w:t>“Table 3.3.5 presents specific label elements for substances and mixtures classified into this hazard class based on the criteria in this chapter.”.</w:t>
      </w:r>
    </w:p>
    <w:p w14:paraId="5E811BA0" w14:textId="24AF146D" w:rsidR="00F10D98" w:rsidRPr="00D773F7" w:rsidRDefault="00F10D98" w:rsidP="002D3E1A">
      <w:pPr>
        <w:pStyle w:val="SingleTxtG"/>
        <w:ind w:left="2268" w:hanging="1134"/>
        <w:rPr>
          <w:rFonts w:asciiTheme="majorBidi" w:hAnsiTheme="majorBidi" w:cstheme="majorBidi"/>
        </w:rPr>
      </w:pPr>
      <w:r w:rsidRPr="00D773F7">
        <w:rPr>
          <w:rFonts w:asciiTheme="majorBidi" w:hAnsiTheme="majorBidi" w:cstheme="majorBidi"/>
        </w:rPr>
        <w:t>Table 3.3.5, third column</w:t>
      </w:r>
      <w:r w:rsidRPr="00D773F7">
        <w:rPr>
          <w:rFonts w:asciiTheme="majorBidi" w:hAnsiTheme="majorBidi" w:cstheme="majorBidi"/>
        </w:rPr>
        <w:tab/>
        <w:t>Replace “Category 2A” with: “Category 2/2A”.</w:t>
      </w:r>
    </w:p>
    <w:p w14:paraId="1A5C7672" w14:textId="585C6F3F" w:rsidR="00F10D98" w:rsidRPr="00D773F7" w:rsidRDefault="00F10D98" w:rsidP="009544BE">
      <w:pPr>
        <w:pStyle w:val="SingleTxtG"/>
        <w:keepNext/>
        <w:keepLines/>
        <w:ind w:left="2268" w:hanging="1134"/>
        <w:rPr>
          <w:rFonts w:asciiTheme="majorBidi" w:hAnsiTheme="majorBidi" w:cstheme="majorBidi"/>
        </w:rPr>
      </w:pPr>
      <w:r w:rsidRPr="00D773F7">
        <w:rPr>
          <w:rFonts w:asciiTheme="majorBidi" w:hAnsiTheme="majorBidi" w:cstheme="majorBidi"/>
        </w:rPr>
        <w:lastRenderedPageBreak/>
        <w:t>3.3.5.1</w:t>
      </w:r>
      <w:r w:rsidRPr="00D773F7">
        <w:rPr>
          <w:rFonts w:asciiTheme="majorBidi" w:hAnsiTheme="majorBidi" w:cstheme="majorBidi"/>
        </w:rPr>
        <w:tab/>
      </w:r>
      <w:r w:rsidRPr="00D773F7">
        <w:rPr>
          <w:rFonts w:asciiTheme="majorBidi" w:hAnsiTheme="majorBidi" w:cstheme="majorBidi"/>
        </w:rPr>
        <w:tab/>
        <w:t>Replace decision logic 3.3.1 with the following</w:t>
      </w:r>
      <w:r w:rsidR="000F1F16" w:rsidRPr="00D773F7">
        <w:rPr>
          <w:rFonts w:asciiTheme="majorBidi" w:hAnsiTheme="majorBidi" w:cstheme="majorBidi"/>
        </w:rPr>
        <w:t xml:space="preserve"> and delete current footnotes 2 and</w:t>
      </w:r>
      <w:r w:rsidR="008C2774" w:rsidRPr="00D773F7">
        <w:rPr>
          <w:rFonts w:asciiTheme="majorBidi" w:hAnsiTheme="majorBidi" w:cstheme="majorBidi"/>
        </w:rPr>
        <w:t> </w:t>
      </w:r>
      <w:r w:rsidR="000F1F16" w:rsidRPr="00D773F7">
        <w:rPr>
          <w:rFonts w:asciiTheme="majorBidi" w:hAnsiTheme="majorBidi" w:cstheme="majorBidi"/>
        </w:rPr>
        <w:t>3</w:t>
      </w:r>
      <w:r w:rsidRPr="00D773F7">
        <w:rPr>
          <w:rFonts w:asciiTheme="majorBidi" w:hAnsiTheme="majorBidi" w:cstheme="majorBidi"/>
        </w:rPr>
        <w:t xml:space="preserve">: </w:t>
      </w:r>
    </w:p>
    <w:p w14:paraId="6838B0B4" w14:textId="6C11E551" w:rsidR="00F10D98" w:rsidRPr="00D773F7" w:rsidRDefault="00F10D98" w:rsidP="00F10D98">
      <w:pPr>
        <w:pStyle w:val="SingleTxtG"/>
        <w:rPr>
          <w:rFonts w:asciiTheme="majorBidi" w:hAnsiTheme="majorBidi" w:cstheme="majorBidi"/>
        </w:rPr>
      </w:pPr>
      <w:r w:rsidRPr="00D773F7">
        <w:rPr>
          <w:rFonts w:asciiTheme="majorBidi" w:hAnsiTheme="majorBidi" w:cstheme="majorBidi"/>
        </w:rPr>
        <w:t>“</w:t>
      </w:r>
      <w:r w:rsidR="0057773C" w:rsidRPr="00D773F7">
        <w:rPr>
          <w:rFonts w:asciiTheme="majorBidi" w:hAnsiTheme="majorBidi" w:cstheme="majorBidi"/>
        </w:rPr>
        <w:object w:dxaOrig="7500" w:dyaOrig="6766" w14:anchorId="35572ACE">
          <v:shape id="_x0000_i1030" type="#_x0000_t75" style="width:375.75pt;height:338.65pt" o:ole="">
            <v:imagedata r:id="rId22" o:title=""/>
          </v:shape>
          <o:OLEObject Type="Embed" ProgID="Visio.Drawing.15" ShapeID="_x0000_i1030" DrawAspect="Content" ObjectID="_1744797703" r:id="rId23"/>
        </w:object>
      </w:r>
    </w:p>
    <w:p w14:paraId="61DFD98E" w14:textId="0F0ED0E2" w:rsidR="00F10D98" w:rsidRPr="00D773F7" w:rsidRDefault="00F10D98" w:rsidP="005E60C9">
      <w:pPr>
        <w:spacing w:line="240" w:lineRule="auto"/>
        <w:ind w:left="567" w:right="1134"/>
        <w:jc w:val="right"/>
        <w:rPr>
          <w:rFonts w:asciiTheme="majorBidi" w:hAnsiTheme="majorBidi" w:cstheme="majorBidi"/>
        </w:rPr>
      </w:pPr>
      <w:r w:rsidRPr="00D773F7">
        <w:rPr>
          <w:rFonts w:asciiTheme="majorBidi" w:hAnsiTheme="majorBidi" w:cstheme="majorBidi"/>
        </w:rPr>
        <w:t>”</w:t>
      </w:r>
    </w:p>
    <w:p w14:paraId="30E358D2" w14:textId="77777777" w:rsidR="008C2774" w:rsidRPr="00D773F7" w:rsidRDefault="008C2774">
      <w:pPr>
        <w:rPr>
          <w:rFonts w:asciiTheme="majorBidi" w:hAnsiTheme="majorBidi" w:cstheme="majorBidi"/>
        </w:rPr>
      </w:pPr>
      <w:r w:rsidRPr="00D773F7">
        <w:rPr>
          <w:rFonts w:asciiTheme="majorBidi" w:hAnsiTheme="majorBidi" w:cstheme="majorBidi"/>
        </w:rPr>
        <w:br w:type="page"/>
      </w:r>
    </w:p>
    <w:p w14:paraId="0FA3A89E" w14:textId="6D249E8C" w:rsidR="00F10D98" w:rsidRPr="00D773F7" w:rsidRDefault="00F10D98" w:rsidP="007C30E3">
      <w:pPr>
        <w:pStyle w:val="Bullet1G"/>
        <w:numPr>
          <w:ilvl w:val="0"/>
          <w:numId w:val="0"/>
        </w:numPr>
        <w:ind w:left="2098" w:firstLine="170"/>
        <w:rPr>
          <w:rFonts w:asciiTheme="majorBidi" w:hAnsiTheme="majorBidi" w:cstheme="majorBidi"/>
        </w:rPr>
      </w:pPr>
      <w:r w:rsidRPr="00D773F7">
        <w:rPr>
          <w:rFonts w:asciiTheme="majorBidi" w:hAnsiTheme="majorBidi" w:cstheme="majorBidi"/>
        </w:rPr>
        <w:lastRenderedPageBreak/>
        <w:t>3.3.5.2</w:t>
      </w:r>
      <w:r w:rsidRPr="00D773F7">
        <w:rPr>
          <w:rFonts w:asciiTheme="majorBidi" w:hAnsiTheme="majorBidi" w:cstheme="majorBidi"/>
        </w:rPr>
        <w:tab/>
      </w:r>
      <w:r w:rsidRPr="00D773F7">
        <w:rPr>
          <w:rFonts w:asciiTheme="majorBidi" w:hAnsiTheme="majorBidi" w:cstheme="majorBidi"/>
        </w:rPr>
        <w:tab/>
        <w:t>Replace decision logic 3.3.2 with the following:</w:t>
      </w:r>
      <w:r w:rsidRPr="00D773F7" w:rsidDel="009826A6">
        <w:rPr>
          <w:rFonts w:asciiTheme="majorBidi" w:hAnsiTheme="majorBidi" w:cstheme="majorBidi"/>
        </w:rPr>
        <w:t xml:space="preserve"> </w:t>
      </w:r>
    </w:p>
    <w:p w14:paraId="003FCDAE" w14:textId="77777777" w:rsidR="0062134A" w:rsidRPr="00D773F7" w:rsidRDefault="00F10D98" w:rsidP="0062134A">
      <w:pPr>
        <w:spacing w:line="240" w:lineRule="auto"/>
        <w:ind w:left="1701" w:right="425"/>
        <w:rPr>
          <w:rFonts w:asciiTheme="majorBidi" w:hAnsiTheme="majorBidi" w:cstheme="majorBidi"/>
        </w:rPr>
      </w:pPr>
      <w:r w:rsidRPr="00D773F7">
        <w:rPr>
          <w:rFonts w:asciiTheme="majorBidi" w:hAnsiTheme="majorBidi" w:cstheme="majorBidi"/>
        </w:rPr>
        <w:t>“</w:t>
      </w:r>
    </w:p>
    <w:p w14:paraId="53AA22D3" w14:textId="77CCA0C0" w:rsidR="00F10D98" w:rsidRPr="00D773F7" w:rsidRDefault="00B9559E" w:rsidP="0062134A">
      <w:pPr>
        <w:spacing w:line="240" w:lineRule="auto"/>
        <w:ind w:left="1701" w:right="425"/>
        <w:jc w:val="right"/>
        <w:rPr>
          <w:rFonts w:asciiTheme="majorBidi" w:hAnsiTheme="majorBidi" w:cstheme="majorBidi"/>
        </w:rPr>
      </w:pPr>
      <w:r w:rsidRPr="00D773F7">
        <w:rPr>
          <w:rFonts w:asciiTheme="majorBidi" w:hAnsiTheme="majorBidi" w:cstheme="majorBidi"/>
        </w:rPr>
        <w:object w:dxaOrig="7635" w:dyaOrig="9286" w14:anchorId="5D49AEEE">
          <v:shape id="_x0000_i1031" type="#_x0000_t75" style="width:381.35pt;height:464.75pt" o:ole="">
            <v:imagedata r:id="rId24" o:title=""/>
          </v:shape>
          <o:OLEObject Type="Embed" ProgID="Visio.Drawing.15" ShapeID="_x0000_i1031" DrawAspect="Content" ObjectID="_1744797704" r:id="rId25"/>
        </w:object>
      </w:r>
      <w:r w:rsidR="00F10D98" w:rsidRPr="00D773F7">
        <w:rPr>
          <w:rFonts w:asciiTheme="majorBidi" w:hAnsiTheme="majorBidi" w:cstheme="majorBidi"/>
        </w:rPr>
        <w:t>”</w:t>
      </w:r>
    </w:p>
    <w:p w14:paraId="4106E8BF" w14:textId="77777777" w:rsidR="00F10D98" w:rsidRPr="00D773F7" w:rsidRDefault="00F10D98" w:rsidP="00F10D98">
      <w:pPr>
        <w:pStyle w:val="SingleTxtG"/>
        <w:rPr>
          <w:rFonts w:asciiTheme="majorBidi" w:hAnsiTheme="majorBidi" w:cstheme="majorBidi"/>
        </w:rPr>
      </w:pPr>
      <w:r w:rsidRPr="00D773F7">
        <w:rPr>
          <w:rFonts w:asciiTheme="majorBidi" w:hAnsiTheme="majorBidi" w:cstheme="majorBidi"/>
        </w:rPr>
        <w:t xml:space="preserve">Current footnotes “4”, “5”, “6” and “7” become “5”, “6”, “7” and “8”. </w:t>
      </w:r>
    </w:p>
    <w:p w14:paraId="5F49B154" w14:textId="77777777" w:rsidR="00F10D98" w:rsidRPr="00D773F7" w:rsidRDefault="00F10D98" w:rsidP="00F10D98">
      <w:pPr>
        <w:pStyle w:val="SingleTxtG"/>
        <w:tabs>
          <w:tab w:val="left" w:pos="3686"/>
        </w:tabs>
        <w:rPr>
          <w:rFonts w:asciiTheme="majorBidi" w:hAnsiTheme="majorBidi" w:cstheme="majorBidi"/>
        </w:rPr>
      </w:pPr>
      <w:r w:rsidRPr="00D773F7">
        <w:rPr>
          <w:rFonts w:asciiTheme="majorBidi" w:hAnsiTheme="majorBidi" w:cstheme="majorBidi"/>
        </w:rPr>
        <w:t>3.3.5.3.1 and 3.3.5.3.2 (new)</w:t>
      </w:r>
      <w:r w:rsidRPr="00D773F7">
        <w:rPr>
          <w:rFonts w:asciiTheme="majorBidi" w:hAnsiTheme="majorBidi" w:cstheme="majorBidi"/>
        </w:rPr>
        <w:tab/>
        <w:t xml:space="preserve">Insert the following two new paragraphs: </w:t>
      </w:r>
    </w:p>
    <w:p w14:paraId="2924D449" w14:textId="77777777" w:rsidR="00F10D98" w:rsidRPr="00D773F7" w:rsidRDefault="00F10D98" w:rsidP="00F10D98">
      <w:pPr>
        <w:pStyle w:val="SingleTxtG"/>
        <w:ind w:left="2268"/>
        <w:rPr>
          <w:rFonts w:asciiTheme="majorBidi" w:hAnsiTheme="majorBidi" w:cstheme="majorBidi"/>
          <w:i/>
          <w:iCs/>
        </w:rPr>
      </w:pPr>
      <w:bookmarkStart w:id="9" w:name="_Hlk69885998"/>
      <w:r w:rsidRPr="00D773F7">
        <w:rPr>
          <w:rFonts w:asciiTheme="majorBidi" w:hAnsiTheme="majorBidi" w:cstheme="majorBidi"/>
        </w:rPr>
        <w:t>“3.3.5.3.1</w:t>
      </w:r>
      <w:r w:rsidRPr="00D773F7">
        <w:rPr>
          <w:rFonts w:asciiTheme="majorBidi" w:hAnsiTheme="majorBidi" w:cstheme="majorBidi"/>
        </w:rPr>
        <w:tab/>
      </w:r>
      <w:r w:rsidRPr="00D773F7">
        <w:rPr>
          <w:rFonts w:asciiTheme="majorBidi" w:hAnsiTheme="majorBidi" w:cstheme="majorBidi"/>
          <w:i/>
          <w:iCs/>
        </w:rPr>
        <w:t xml:space="preserve">Relevant guidance documents </w:t>
      </w:r>
    </w:p>
    <w:bookmarkEnd w:id="9"/>
    <w:p w14:paraId="04F0B629" w14:textId="4F0D483F" w:rsidR="00F10D98" w:rsidRPr="00D773F7" w:rsidRDefault="00F10D98" w:rsidP="00FF5260">
      <w:pPr>
        <w:pStyle w:val="SingleTxtG"/>
        <w:tabs>
          <w:tab w:val="left" w:pos="3402"/>
        </w:tabs>
        <w:ind w:left="2268" w:firstLine="1134"/>
        <w:rPr>
          <w:rFonts w:asciiTheme="majorBidi" w:hAnsiTheme="majorBidi" w:cstheme="majorBidi"/>
        </w:rPr>
      </w:pPr>
      <w:r w:rsidRPr="00D773F7">
        <w:rPr>
          <w:rFonts w:asciiTheme="majorBidi" w:hAnsiTheme="majorBidi" w:cstheme="majorBidi"/>
        </w:rPr>
        <w:t>Helpful information on the strengths and weaknesses of the different test and non-test methods, as well as useful guidance on how to apply a weight of evidence assessment, is provided in OECD Guidance Document 263 on an integrated approach on testing and assessment (IATA) for serious eye damage and eye irritation.</w:t>
      </w:r>
    </w:p>
    <w:p w14:paraId="2188FADE" w14:textId="77777777" w:rsidR="00F10D98" w:rsidRPr="00D773F7" w:rsidRDefault="00F10D98" w:rsidP="00F10D98">
      <w:pPr>
        <w:pStyle w:val="SingleTxtG"/>
        <w:ind w:left="2268"/>
        <w:rPr>
          <w:rFonts w:asciiTheme="majorBidi" w:hAnsiTheme="majorBidi" w:cstheme="majorBidi"/>
          <w:i/>
          <w:iCs/>
        </w:rPr>
      </w:pPr>
      <w:r w:rsidRPr="00D773F7">
        <w:rPr>
          <w:rFonts w:asciiTheme="majorBidi" w:hAnsiTheme="majorBidi" w:cstheme="majorBidi"/>
        </w:rPr>
        <w:t>3.3.5.3.2</w:t>
      </w:r>
      <w:r w:rsidRPr="00D773F7">
        <w:rPr>
          <w:rFonts w:asciiTheme="majorBidi" w:hAnsiTheme="majorBidi" w:cstheme="majorBidi"/>
        </w:rPr>
        <w:tab/>
      </w:r>
      <w:r w:rsidRPr="00D773F7">
        <w:rPr>
          <w:rFonts w:asciiTheme="majorBidi" w:hAnsiTheme="majorBidi" w:cstheme="majorBidi"/>
          <w:i/>
          <w:iCs/>
        </w:rPr>
        <w:t xml:space="preserve">Guidance on the use of human data for classification as </w:t>
      </w:r>
      <w:r w:rsidRPr="00D773F7">
        <w:rPr>
          <w:rFonts w:asciiTheme="majorBidi" w:hAnsiTheme="majorBidi" w:cstheme="majorBidi"/>
          <w:i/>
        </w:rPr>
        <w:t>serious eye damage/eye irritation</w:t>
      </w:r>
    </w:p>
    <w:p w14:paraId="1F0CE46D" w14:textId="77777777" w:rsidR="00F10D98" w:rsidRPr="00D773F7" w:rsidRDefault="00F10D98" w:rsidP="00FF5260">
      <w:pPr>
        <w:pStyle w:val="SingleTxtG"/>
        <w:tabs>
          <w:tab w:val="clear" w:pos="2835"/>
          <w:tab w:val="left" w:pos="3402"/>
        </w:tabs>
        <w:ind w:left="2268"/>
        <w:rPr>
          <w:rFonts w:asciiTheme="majorBidi" w:hAnsiTheme="majorBidi" w:cstheme="majorBidi"/>
        </w:rPr>
      </w:pPr>
      <w:r w:rsidRPr="00D773F7">
        <w:rPr>
          <w:rFonts w:asciiTheme="majorBidi" w:hAnsiTheme="majorBidi" w:cstheme="majorBidi"/>
        </w:rPr>
        <w:tab/>
        <w:t xml:space="preserve">The availability of human data for serious eye damage/eye irritation is limited and the data available may contain some uncertainty. However, where such data exist, they should be considered based on their quality. Human data may be obtained from epidemiological studies, human </w:t>
      </w:r>
      <w:r w:rsidRPr="00D773F7">
        <w:rPr>
          <w:rFonts w:asciiTheme="majorBidi" w:hAnsiTheme="majorBidi" w:cstheme="majorBidi"/>
        </w:rPr>
        <w:lastRenderedPageBreak/>
        <w:t>experience (e.g. consumer experience), poison control centres, national and international home accident surveillance programs, case studies, or worker experience and accidents. Human case studies may have limited predictive value as often the presence of a substance or mixture in the eye will result in pain and quick washing of the eyes. Therefore, the effects observed may underestimate the intrinsic property of the substance or the mixture to affect the eye without washing. Further details on the strengths and limitations of human data for serious eye damage/eye irritation can be found in OECD Guidance Document 263 (section 4.1. Module 1: Existing human data on serious eye damage and eye irritation).”.</w:t>
      </w:r>
    </w:p>
    <w:p w14:paraId="4CA3F1E7" w14:textId="77777777" w:rsidR="00F10D98" w:rsidRPr="00D773F7" w:rsidRDefault="00F10D98" w:rsidP="00F10D98">
      <w:pPr>
        <w:pStyle w:val="SingleTxtG"/>
        <w:rPr>
          <w:rFonts w:asciiTheme="majorBidi" w:hAnsiTheme="majorBidi" w:cstheme="majorBidi"/>
        </w:rPr>
      </w:pPr>
      <w:r w:rsidRPr="00D773F7">
        <w:rPr>
          <w:rFonts w:asciiTheme="majorBidi" w:hAnsiTheme="majorBidi" w:cstheme="majorBidi"/>
        </w:rPr>
        <w:t>3.3.5.3.3</w:t>
      </w:r>
      <w:r w:rsidRPr="00D773F7">
        <w:rPr>
          <w:rFonts w:asciiTheme="majorBidi" w:hAnsiTheme="majorBidi" w:cstheme="majorBidi"/>
        </w:rPr>
        <w:tab/>
        <w:t>Insert the following new heading:</w:t>
      </w:r>
    </w:p>
    <w:p w14:paraId="48840F9F" w14:textId="4B99664A" w:rsidR="00F10D98" w:rsidRPr="00D773F7" w:rsidRDefault="00F10D98" w:rsidP="00F10D98">
      <w:pPr>
        <w:pStyle w:val="SingleTxtG"/>
        <w:ind w:left="2268"/>
        <w:rPr>
          <w:rFonts w:asciiTheme="majorBidi" w:hAnsiTheme="majorBidi" w:cstheme="majorBidi"/>
        </w:rPr>
      </w:pPr>
      <w:r w:rsidRPr="00D773F7">
        <w:rPr>
          <w:rFonts w:asciiTheme="majorBidi" w:hAnsiTheme="majorBidi" w:cstheme="majorBidi"/>
        </w:rPr>
        <w:t>“3.3.5.3.3</w:t>
      </w:r>
      <w:r w:rsidRPr="00D773F7">
        <w:rPr>
          <w:rFonts w:asciiTheme="majorBidi" w:hAnsiTheme="majorBidi" w:cstheme="majorBidi"/>
        </w:rPr>
        <w:tab/>
      </w:r>
      <w:r w:rsidRPr="00D773F7">
        <w:rPr>
          <w:rFonts w:asciiTheme="majorBidi" w:hAnsiTheme="majorBidi" w:cstheme="majorBidi"/>
          <w:i/>
          <w:iCs/>
        </w:rPr>
        <w:t xml:space="preserve">Classification based on standard animal tests with more than </w:t>
      </w:r>
      <w:r w:rsidR="00585466" w:rsidRPr="00D773F7">
        <w:rPr>
          <w:rFonts w:asciiTheme="majorBidi" w:hAnsiTheme="majorBidi" w:cstheme="majorBidi"/>
          <w:i/>
          <w:iCs/>
        </w:rPr>
        <w:t xml:space="preserve">three </w:t>
      </w:r>
      <w:r w:rsidRPr="00D773F7">
        <w:rPr>
          <w:rFonts w:asciiTheme="majorBidi" w:hAnsiTheme="majorBidi" w:cstheme="majorBidi"/>
          <w:i/>
          <w:iCs/>
        </w:rPr>
        <w:t>animals</w:t>
      </w:r>
      <w:r w:rsidRPr="00D773F7">
        <w:rPr>
          <w:rFonts w:asciiTheme="majorBidi" w:hAnsiTheme="majorBidi" w:cstheme="majorBidi"/>
        </w:rPr>
        <w:t>”</w:t>
      </w:r>
    </w:p>
    <w:p w14:paraId="75892757" w14:textId="77777777" w:rsidR="0096539D" w:rsidRPr="00D773F7" w:rsidRDefault="0096539D" w:rsidP="0096539D">
      <w:pPr>
        <w:pStyle w:val="SingleTxtG"/>
        <w:tabs>
          <w:tab w:val="left" w:pos="3119"/>
          <w:tab w:val="left" w:pos="3686"/>
        </w:tabs>
        <w:rPr>
          <w:rFonts w:asciiTheme="majorBidi" w:hAnsiTheme="majorBidi" w:cstheme="majorBidi"/>
        </w:rPr>
      </w:pPr>
      <w:r w:rsidRPr="00D773F7">
        <w:rPr>
          <w:rFonts w:asciiTheme="majorBidi" w:hAnsiTheme="majorBidi" w:cstheme="majorBidi"/>
        </w:rPr>
        <w:t>3.3.5.3.1 to 3.3.5.3.5</w:t>
      </w:r>
      <w:r w:rsidRPr="00D773F7">
        <w:rPr>
          <w:rFonts w:asciiTheme="majorBidi" w:hAnsiTheme="majorBidi" w:cstheme="majorBidi"/>
        </w:rPr>
        <w:tab/>
        <w:t>Current paragraphs 3.3.5.3.1 to 3.3.5.3.5 become new paragraphs 3.3.5.3.3.1 to 3.3.5.3.3.5.</w:t>
      </w:r>
    </w:p>
    <w:p w14:paraId="0D582566" w14:textId="6EEA28E7" w:rsidR="00F10D98" w:rsidRPr="00D773F7" w:rsidRDefault="00F10D98" w:rsidP="00F10D98">
      <w:pPr>
        <w:pStyle w:val="SingleTxtG"/>
        <w:ind w:left="2268" w:hanging="1134"/>
        <w:rPr>
          <w:rFonts w:asciiTheme="majorBidi" w:hAnsiTheme="majorBidi" w:cstheme="majorBidi"/>
          <w:lang w:val="en-AU"/>
        </w:rPr>
      </w:pPr>
      <w:r w:rsidRPr="00D773F7">
        <w:rPr>
          <w:rFonts w:asciiTheme="majorBidi" w:hAnsiTheme="majorBidi" w:cstheme="majorBidi"/>
          <w:lang w:val="en-AU"/>
        </w:rPr>
        <w:t>3.3.5.3.3.2 (new, former 3.3.5.3.2)</w:t>
      </w:r>
      <w:r w:rsidRPr="00D773F7">
        <w:rPr>
          <w:rFonts w:asciiTheme="majorBidi" w:hAnsiTheme="majorBidi" w:cstheme="majorBidi"/>
          <w:lang w:val="en-AU"/>
        </w:rPr>
        <w:tab/>
        <w:t>Replace “3.3.2.1” with “3.3.2.2”</w:t>
      </w:r>
      <w:r w:rsidR="00B81ECE" w:rsidRPr="00D773F7">
        <w:rPr>
          <w:rFonts w:asciiTheme="majorBidi" w:hAnsiTheme="majorBidi" w:cstheme="majorBidi"/>
          <w:lang w:val="en-AU"/>
        </w:rPr>
        <w:t xml:space="preserve"> and</w:t>
      </w:r>
      <w:r w:rsidRPr="00D773F7">
        <w:rPr>
          <w:rFonts w:asciiTheme="majorBidi" w:hAnsiTheme="majorBidi" w:cstheme="majorBidi"/>
          <w:lang w:val="en-AU"/>
        </w:rPr>
        <w:t xml:space="preserve"> “done” with “performed”. </w:t>
      </w:r>
    </w:p>
    <w:p w14:paraId="099F7D58" w14:textId="77777777" w:rsidR="00F10D98" w:rsidRPr="00D773F7" w:rsidRDefault="00F10D98" w:rsidP="00F10D98">
      <w:pPr>
        <w:pStyle w:val="SingleTxtG"/>
        <w:rPr>
          <w:rFonts w:asciiTheme="majorBidi" w:hAnsiTheme="majorBidi" w:cstheme="majorBidi"/>
          <w:lang w:val="en-AU"/>
        </w:rPr>
      </w:pPr>
      <w:r w:rsidRPr="00D773F7">
        <w:rPr>
          <w:rFonts w:asciiTheme="majorBidi" w:hAnsiTheme="majorBidi" w:cstheme="majorBidi"/>
          <w:lang w:val="en-AU"/>
        </w:rPr>
        <w:t>3.3.5.3.4 to 3.3.5.3.7.2</w:t>
      </w:r>
      <w:r w:rsidRPr="00D773F7">
        <w:rPr>
          <w:rFonts w:asciiTheme="majorBidi" w:hAnsiTheme="majorBidi" w:cstheme="majorBidi"/>
          <w:lang w:val="en-AU"/>
        </w:rPr>
        <w:tab/>
        <w:t>Insert the following new sections:</w:t>
      </w:r>
    </w:p>
    <w:p w14:paraId="469850CA" w14:textId="24C26B6D" w:rsidR="00F10D98" w:rsidRPr="00D773F7" w:rsidRDefault="00F10D98" w:rsidP="00F10D98">
      <w:pPr>
        <w:pStyle w:val="SingleTxtG"/>
        <w:ind w:left="2268"/>
        <w:rPr>
          <w:rFonts w:asciiTheme="majorBidi" w:hAnsiTheme="majorBidi" w:cstheme="majorBidi"/>
        </w:rPr>
      </w:pPr>
      <w:r w:rsidRPr="00D773F7">
        <w:rPr>
          <w:rFonts w:asciiTheme="majorBidi" w:hAnsiTheme="majorBidi" w:cstheme="majorBidi"/>
        </w:rPr>
        <w:t>“3.3.5.3.4</w:t>
      </w:r>
      <w:r w:rsidRPr="00D773F7">
        <w:rPr>
          <w:rFonts w:asciiTheme="majorBidi" w:hAnsiTheme="majorBidi" w:cstheme="majorBidi"/>
        </w:rPr>
        <w:tab/>
      </w:r>
      <w:r w:rsidRPr="00D773F7">
        <w:rPr>
          <w:rFonts w:asciiTheme="majorBidi" w:hAnsiTheme="majorBidi" w:cstheme="majorBidi"/>
          <w:i/>
          <w:iCs/>
        </w:rPr>
        <w:t xml:space="preserve">Guidance on the use of defined approaches and/or in vitro/ex vivo data for classification within </w:t>
      </w:r>
      <w:r w:rsidR="007B3D53" w:rsidRPr="00D773F7">
        <w:rPr>
          <w:rFonts w:asciiTheme="majorBidi" w:hAnsiTheme="majorBidi" w:cstheme="majorBidi"/>
          <w:i/>
          <w:iCs/>
        </w:rPr>
        <w:t>t</w:t>
      </w:r>
      <w:r w:rsidRPr="00D773F7">
        <w:rPr>
          <w:rFonts w:asciiTheme="majorBidi" w:hAnsiTheme="majorBidi" w:cstheme="majorBidi"/>
          <w:i/>
          <w:iCs/>
        </w:rPr>
        <w:t xml:space="preserve">ier 2 of </w:t>
      </w:r>
      <w:r w:rsidR="00D5525A" w:rsidRPr="00D773F7">
        <w:rPr>
          <w:rFonts w:asciiTheme="majorBidi" w:hAnsiTheme="majorBidi" w:cstheme="majorBidi"/>
          <w:i/>
          <w:iCs/>
        </w:rPr>
        <w:t>f</w:t>
      </w:r>
      <w:r w:rsidRPr="00D773F7">
        <w:rPr>
          <w:rFonts w:asciiTheme="majorBidi" w:hAnsiTheme="majorBidi" w:cstheme="majorBidi"/>
          <w:i/>
          <w:iCs/>
        </w:rPr>
        <w:t>igure 3.3.1</w:t>
      </w:r>
    </w:p>
    <w:p w14:paraId="5C603B95" w14:textId="77777777" w:rsidR="00F10D98" w:rsidRPr="00D773F7" w:rsidRDefault="00F10D98" w:rsidP="00F10D98">
      <w:pPr>
        <w:pStyle w:val="SingleTxtG"/>
        <w:ind w:left="2268"/>
        <w:rPr>
          <w:rFonts w:asciiTheme="majorBidi" w:hAnsiTheme="majorBidi" w:cstheme="majorBidi"/>
        </w:rPr>
      </w:pPr>
      <w:r w:rsidRPr="00D773F7">
        <w:rPr>
          <w:rFonts w:asciiTheme="majorBidi" w:hAnsiTheme="majorBidi" w:cstheme="majorBidi"/>
        </w:rPr>
        <w:t>3.3.5.3.4.1</w:t>
      </w:r>
      <w:r w:rsidRPr="00D773F7">
        <w:rPr>
          <w:rFonts w:asciiTheme="majorBidi" w:hAnsiTheme="majorBidi" w:cstheme="majorBidi"/>
        </w:rPr>
        <w:tab/>
        <w:t xml:space="preserve">Defined approaches consist of a predefined set of different information sources (e.g. </w:t>
      </w:r>
      <w:r w:rsidRPr="00D773F7">
        <w:rPr>
          <w:rFonts w:asciiTheme="majorBidi" w:hAnsiTheme="majorBidi" w:cstheme="majorBidi"/>
          <w:iCs/>
        </w:rPr>
        <w:t>in vitro</w:t>
      </w:r>
      <w:r w:rsidRPr="00D773F7">
        <w:rPr>
          <w:rFonts w:asciiTheme="majorBidi" w:hAnsiTheme="majorBidi" w:cstheme="majorBidi"/>
        </w:rPr>
        <w:t xml:space="preserve"> methods, </w:t>
      </w:r>
      <w:r w:rsidRPr="00D773F7">
        <w:rPr>
          <w:rFonts w:asciiTheme="majorBidi" w:hAnsiTheme="majorBidi" w:cstheme="majorBidi"/>
          <w:i/>
        </w:rPr>
        <w:t>ex vivo</w:t>
      </w:r>
      <w:r w:rsidRPr="00D773F7">
        <w:rPr>
          <w:rFonts w:asciiTheme="majorBidi" w:hAnsiTheme="majorBidi" w:cstheme="majorBidi"/>
        </w:rPr>
        <w:t xml:space="preserve"> methods, </w:t>
      </w:r>
      <w:proofErr w:type="spellStart"/>
      <w:r w:rsidRPr="00D773F7">
        <w:rPr>
          <w:rFonts w:asciiTheme="majorBidi" w:hAnsiTheme="majorBidi" w:cstheme="majorBidi"/>
        </w:rPr>
        <w:t>physico</w:t>
      </w:r>
      <w:proofErr w:type="spellEnd"/>
      <w:r w:rsidRPr="00D773F7">
        <w:rPr>
          <w:rFonts w:asciiTheme="majorBidi" w:hAnsiTheme="majorBidi" w:cstheme="majorBidi"/>
        </w:rPr>
        <w:t xml:space="preserve">-chemical properties, non-test methods) which, combined together through a fixed Data Interpretation Procedure (DIP) to convert input data into a prediction (or result), can provide a conclusion on the classification of a substance or mixture. A fixed DIP is defined as any fixed algorithm for interpreting data from one or typically several information sources and is rule-based in the sense that it is based, for example on a formula or an algorithm (e.g. decision criteria, rule or set of rules) that do not involve expert judgment. The output of a DIP generally is a prediction of a biological effect of interest or regulatory endpoint. Since in a defined approach the information sources are prescribed and the set of rules on how to integrate and interpret them is predetermined, the same conclusion will always be reached by different assessors on the same set of data as there is no room for subjective interpretation. In contrast, in a weight of evidence assessment, expert judgment is applied on an ad hoc basis to the available information, which may lead to different conclusions because there are no fixed rules for interpreting the data. </w:t>
      </w:r>
    </w:p>
    <w:p w14:paraId="72DABA0A" w14:textId="37840B33" w:rsidR="00F10D98" w:rsidRPr="00D773F7" w:rsidRDefault="00F10D98" w:rsidP="00F10D98">
      <w:pPr>
        <w:pStyle w:val="SingleTxtG"/>
        <w:ind w:left="2268"/>
        <w:rPr>
          <w:rFonts w:asciiTheme="majorBidi" w:hAnsiTheme="majorBidi" w:cstheme="majorBidi"/>
        </w:rPr>
      </w:pPr>
      <w:bookmarkStart w:id="10" w:name="_Hlk69886088"/>
      <w:r w:rsidRPr="00D773F7">
        <w:rPr>
          <w:rFonts w:asciiTheme="majorBidi" w:hAnsiTheme="majorBidi" w:cstheme="majorBidi"/>
        </w:rPr>
        <w:t>3.3.5.3.4.2</w:t>
      </w:r>
      <w:bookmarkEnd w:id="10"/>
      <w:r w:rsidRPr="00D773F7">
        <w:rPr>
          <w:rFonts w:asciiTheme="majorBidi" w:hAnsiTheme="majorBidi" w:cstheme="majorBidi"/>
        </w:rPr>
        <w:tab/>
        <w:t xml:space="preserve">A stepwise approach to the evaluation of information derived from </w:t>
      </w:r>
      <w:r w:rsidR="00123673" w:rsidRPr="00D773F7">
        <w:rPr>
          <w:rFonts w:asciiTheme="majorBidi" w:hAnsiTheme="majorBidi" w:cstheme="majorBidi"/>
        </w:rPr>
        <w:t>t</w:t>
      </w:r>
      <w:r w:rsidRPr="00D773F7">
        <w:rPr>
          <w:rFonts w:asciiTheme="majorBidi" w:hAnsiTheme="majorBidi" w:cstheme="majorBidi"/>
        </w:rPr>
        <w:t xml:space="preserve">ier 2 of </w:t>
      </w:r>
      <w:r w:rsidR="00D5525A" w:rsidRPr="00D773F7">
        <w:rPr>
          <w:rFonts w:asciiTheme="majorBidi" w:hAnsiTheme="majorBidi" w:cstheme="majorBidi"/>
        </w:rPr>
        <w:t>f</w:t>
      </w:r>
      <w:r w:rsidRPr="00D773F7">
        <w:rPr>
          <w:rFonts w:asciiTheme="majorBidi" w:hAnsiTheme="majorBidi" w:cstheme="majorBidi"/>
        </w:rPr>
        <w:t xml:space="preserve">igure 3.3.1, i.e. defined approaches and/or </w:t>
      </w:r>
      <w:r w:rsidRPr="00D773F7">
        <w:rPr>
          <w:rFonts w:asciiTheme="majorBidi" w:hAnsiTheme="majorBidi" w:cstheme="majorBidi"/>
          <w:iCs/>
        </w:rPr>
        <w:t>in vitro</w:t>
      </w:r>
      <w:r w:rsidRPr="00D773F7">
        <w:rPr>
          <w:rFonts w:asciiTheme="majorBidi" w:hAnsiTheme="majorBidi" w:cstheme="majorBidi"/>
        </w:rPr>
        <w:t>/</w:t>
      </w:r>
      <w:r w:rsidRPr="00D773F7">
        <w:rPr>
          <w:rFonts w:asciiTheme="majorBidi" w:hAnsiTheme="majorBidi" w:cstheme="majorBidi"/>
          <w:i/>
        </w:rPr>
        <w:t>ex vivo</w:t>
      </w:r>
      <w:r w:rsidRPr="00D773F7">
        <w:rPr>
          <w:rFonts w:asciiTheme="majorBidi" w:hAnsiTheme="majorBidi" w:cstheme="majorBidi"/>
        </w:rPr>
        <w:t xml:space="preserve"> test methods, should be considered where applicable (</w:t>
      </w:r>
      <w:r w:rsidR="00D5525A" w:rsidRPr="00D773F7">
        <w:rPr>
          <w:rFonts w:asciiTheme="majorBidi" w:hAnsiTheme="majorBidi" w:cstheme="majorBidi"/>
        </w:rPr>
        <w:t>f</w:t>
      </w:r>
      <w:r w:rsidRPr="00D773F7">
        <w:rPr>
          <w:rFonts w:asciiTheme="majorBidi" w:hAnsiTheme="majorBidi" w:cstheme="majorBidi"/>
        </w:rPr>
        <w:t xml:space="preserve">igure 3.3.3), recognizing that not all </w:t>
      </w:r>
      <w:r w:rsidR="00D063EE" w:rsidRPr="00D773F7">
        <w:rPr>
          <w:rFonts w:asciiTheme="majorBidi" w:hAnsiTheme="majorBidi" w:cstheme="majorBidi"/>
        </w:rPr>
        <w:t>tiers as well as information within a tier</w:t>
      </w:r>
      <w:r w:rsidRPr="00D773F7">
        <w:rPr>
          <w:rFonts w:asciiTheme="majorBidi" w:hAnsiTheme="majorBidi" w:cstheme="majorBidi"/>
        </w:rPr>
        <w:t xml:space="preserve"> may be relevant. However, all available and relevant information of sufficient quality needs to be examined for consistency with respect to the resulting classification. The outcome of a defined approach containing conclusive animal and/or human data may also eventually be considered during the overall weight of evidence in </w:t>
      </w:r>
      <w:r w:rsidR="00123673" w:rsidRPr="00D773F7">
        <w:rPr>
          <w:rFonts w:asciiTheme="majorBidi" w:hAnsiTheme="majorBidi" w:cstheme="majorBidi"/>
        </w:rPr>
        <w:t>t</w:t>
      </w:r>
      <w:r w:rsidRPr="00D773F7">
        <w:rPr>
          <w:rFonts w:asciiTheme="majorBidi" w:hAnsiTheme="majorBidi" w:cstheme="majorBidi"/>
        </w:rPr>
        <w:t xml:space="preserve">ier 7 (see </w:t>
      </w:r>
      <w:r w:rsidR="00D5525A" w:rsidRPr="00D773F7">
        <w:rPr>
          <w:rFonts w:asciiTheme="majorBidi" w:hAnsiTheme="majorBidi" w:cstheme="majorBidi"/>
        </w:rPr>
        <w:t>f</w:t>
      </w:r>
      <w:r w:rsidRPr="00D773F7">
        <w:rPr>
          <w:rFonts w:asciiTheme="majorBidi" w:hAnsiTheme="majorBidi" w:cstheme="majorBidi"/>
        </w:rPr>
        <w:t xml:space="preserve">igure 3.3.1). Where information from several steps is inconsistent and/or conflicting with respect to the resulting classification, information of sufficient quality from a higher step is generally given a higher weight than information from a lower step. However, when information from a lower step would result in a stricter classification than information from a higher step and there is concern for misclassification, then classification is determined by a within-tier weight of evidence assessment. For example, classifiers concerned with a negative result for serious eye damage in a defined approach when there is a positive result for serious eye damage in an </w:t>
      </w:r>
      <w:r w:rsidRPr="00D773F7">
        <w:rPr>
          <w:rFonts w:asciiTheme="majorBidi" w:hAnsiTheme="majorBidi" w:cstheme="majorBidi"/>
          <w:iCs/>
        </w:rPr>
        <w:t>in vitro</w:t>
      </w:r>
      <w:r w:rsidRPr="00D773F7">
        <w:rPr>
          <w:rFonts w:asciiTheme="majorBidi" w:hAnsiTheme="majorBidi" w:cstheme="majorBidi"/>
        </w:rPr>
        <w:t>/</w:t>
      </w:r>
      <w:r w:rsidRPr="00D773F7">
        <w:rPr>
          <w:rFonts w:asciiTheme="majorBidi" w:hAnsiTheme="majorBidi" w:cstheme="majorBidi"/>
          <w:i/>
        </w:rPr>
        <w:t>ex vivo</w:t>
      </w:r>
      <w:r w:rsidRPr="00D773F7">
        <w:rPr>
          <w:rFonts w:asciiTheme="majorBidi" w:hAnsiTheme="majorBidi" w:cstheme="majorBidi"/>
        </w:rPr>
        <w:t xml:space="preserve"> method would utilise a within-tier weight of evidence assessment.</w:t>
      </w:r>
    </w:p>
    <w:p w14:paraId="4C1FF596" w14:textId="15EE90AF" w:rsidR="00F10D98" w:rsidRPr="00D773F7" w:rsidRDefault="00F10D98" w:rsidP="00F10D98">
      <w:pPr>
        <w:pStyle w:val="SingleTxtG"/>
        <w:keepNext/>
        <w:keepLines/>
        <w:tabs>
          <w:tab w:val="left" w:pos="3402"/>
        </w:tabs>
        <w:ind w:left="2268"/>
        <w:rPr>
          <w:rFonts w:asciiTheme="majorBidi" w:eastAsia="Times New Roman" w:hAnsiTheme="majorBidi" w:cstheme="majorBidi"/>
        </w:rPr>
      </w:pPr>
      <w:r w:rsidRPr="00D773F7">
        <w:rPr>
          <w:rFonts w:asciiTheme="majorBidi" w:hAnsiTheme="majorBidi" w:cstheme="majorBidi"/>
        </w:rPr>
        <w:lastRenderedPageBreak/>
        <w:t>3.3.5.3.4.3</w:t>
      </w:r>
      <w:r w:rsidRPr="00D773F7">
        <w:rPr>
          <w:rFonts w:asciiTheme="majorBidi" w:hAnsiTheme="majorBidi" w:cstheme="majorBidi"/>
        </w:rPr>
        <w:tab/>
      </w:r>
      <w:r w:rsidRPr="00D773F7">
        <w:rPr>
          <w:rFonts w:asciiTheme="majorBidi" w:hAnsiTheme="majorBidi" w:cstheme="majorBidi"/>
        </w:rPr>
        <w:tab/>
        <w:t xml:space="preserve">Current </w:t>
      </w:r>
      <w:r w:rsidRPr="00D773F7">
        <w:rPr>
          <w:rFonts w:asciiTheme="majorBidi" w:hAnsiTheme="majorBidi" w:cstheme="majorBidi"/>
          <w:iCs/>
        </w:rPr>
        <w:t>in vitro</w:t>
      </w:r>
      <w:r w:rsidRPr="00D773F7">
        <w:rPr>
          <w:rFonts w:asciiTheme="majorBidi" w:hAnsiTheme="majorBidi" w:cstheme="majorBidi"/>
        </w:rPr>
        <w:t>/</w:t>
      </w:r>
      <w:r w:rsidRPr="00D773F7">
        <w:rPr>
          <w:rFonts w:asciiTheme="majorBidi" w:hAnsiTheme="majorBidi" w:cstheme="majorBidi"/>
          <w:i/>
        </w:rPr>
        <w:t>ex vivo</w:t>
      </w:r>
      <w:r w:rsidRPr="00D773F7">
        <w:rPr>
          <w:rFonts w:asciiTheme="majorBidi" w:hAnsiTheme="majorBidi" w:cstheme="majorBidi"/>
        </w:rPr>
        <w:t xml:space="preserve"> test methods are not able to distinguish between certain </w:t>
      </w:r>
      <w:r w:rsidRPr="00D773F7">
        <w:rPr>
          <w:rFonts w:asciiTheme="majorBidi" w:hAnsiTheme="majorBidi" w:cstheme="majorBidi"/>
          <w:iCs/>
        </w:rPr>
        <w:t>in vivo</w:t>
      </w:r>
      <w:r w:rsidRPr="00D773F7">
        <w:rPr>
          <w:rFonts w:asciiTheme="majorBidi" w:hAnsiTheme="majorBidi" w:cstheme="majorBidi"/>
        </w:rPr>
        <w:t xml:space="preserve"> effects, such as corneal opacity, iritis, conjunctiva redness or conjunctiva chemosis, but they have shown to correctly predict substances inducing serious eye damage/eye irritation independently of the types of ocular effects observed </w:t>
      </w:r>
      <w:r w:rsidRPr="00D773F7">
        <w:rPr>
          <w:rFonts w:asciiTheme="majorBidi" w:hAnsiTheme="majorBidi" w:cstheme="majorBidi"/>
          <w:iCs/>
        </w:rPr>
        <w:t>in vivo</w:t>
      </w:r>
      <w:r w:rsidRPr="00D773F7">
        <w:rPr>
          <w:rFonts w:asciiTheme="majorBidi" w:hAnsiTheme="majorBidi" w:cstheme="majorBidi"/>
        </w:rPr>
        <w:t xml:space="preserve">. Many of the current </w:t>
      </w:r>
      <w:r w:rsidRPr="00D773F7">
        <w:rPr>
          <w:rFonts w:asciiTheme="majorBidi" w:hAnsiTheme="majorBidi" w:cstheme="majorBidi"/>
          <w:iCs/>
        </w:rPr>
        <w:t>in vitro</w:t>
      </w:r>
      <w:r w:rsidRPr="00D773F7">
        <w:rPr>
          <w:rFonts w:asciiTheme="majorBidi" w:hAnsiTheme="majorBidi" w:cstheme="majorBidi"/>
        </w:rPr>
        <w:t>/</w:t>
      </w:r>
      <w:r w:rsidRPr="00D773F7">
        <w:rPr>
          <w:rFonts w:asciiTheme="majorBidi" w:hAnsiTheme="majorBidi" w:cstheme="majorBidi"/>
          <w:i/>
        </w:rPr>
        <w:t>ex vivo</w:t>
      </w:r>
      <w:r w:rsidRPr="00D773F7">
        <w:rPr>
          <w:rFonts w:asciiTheme="majorBidi" w:hAnsiTheme="majorBidi" w:cstheme="majorBidi"/>
        </w:rPr>
        <w:t xml:space="preserve"> test methods can thus identify substances or mixtures not requiring classification with high sensitivity but with limited specificity when used to distinguish not classified from classified substances or mixtures. This means that it is reasonably certain that a substance or mixture identified as not requiring classification by OECD Test Guideline 437, 438, 491, 492, 494 or 496 (see </w:t>
      </w:r>
      <w:r w:rsidR="001806B2" w:rsidRPr="00D773F7">
        <w:rPr>
          <w:rFonts w:asciiTheme="majorBidi" w:hAnsiTheme="majorBidi" w:cstheme="majorBidi"/>
        </w:rPr>
        <w:t>t</w:t>
      </w:r>
      <w:r w:rsidRPr="00D773F7">
        <w:rPr>
          <w:rFonts w:asciiTheme="majorBidi" w:hAnsiTheme="majorBidi" w:cstheme="majorBidi"/>
        </w:rPr>
        <w:t xml:space="preserve">able 3.3.6) is indeed not inducing eye effects warranting classification, whereas some substances or mixtures not requiring classification will be over-predicted by these </w:t>
      </w:r>
      <w:r w:rsidRPr="00D773F7">
        <w:rPr>
          <w:rFonts w:asciiTheme="majorBidi" w:hAnsiTheme="majorBidi" w:cstheme="majorBidi"/>
          <w:iCs/>
        </w:rPr>
        <w:t>in vitro</w:t>
      </w:r>
      <w:r w:rsidRPr="00D773F7">
        <w:rPr>
          <w:rFonts w:asciiTheme="majorBidi" w:hAnsiTheme="majorBidi" w:cstheme="majorBidi"/>
        </w:rPr>
        <w:t>/</w:t>
      </w:r>
      <w:r w:rsidRPr="00D773F7">
        <w:rPr>
          <w:rFonts w:asciiTheme="majorBidi" w:hAnsiTheme="majorBidi" w:cstheme="majorBidi"/>
          <w:i/>
        </w:rPr>
        <w:t>ex vivo</w:t>
      </w:r>
      <w:r w:rsidRPr="00D773F7">
        <w:rPr>
          <w:rFonts w:asciiTheme="majorBidi" w:hAnsiTheme="majorBidi" w:cstheme="majorBidi"/>
        </w:rPr>
        <w:t xml:space="preserve"> test methods when used in isolation. Furthermore, it should be considered that substances inducing serious eye damage are identified by many of these test methods with a high specificity but a limited sensitivity when used to distinguish Category 1 from Category 2 and not classified. This means that it is reasonably certain that a substance or mixture identified as Category 1 by OECD Test Guideline 437, 438, 460, 491 or 496 (see </w:t>
      </w:r>
      <w:r w:rsidR="001806B2" w:rsidRPr="00D773F7">
        <w:rPr>
          <w:rFonts w:asciiTheme="majorBidi" w:hAnsiTheme="majorBidi" w:cstheme="majorBidi"/>
        </w:rPr>
        <w:t>t</w:t>
      </w:r>
      <w:r w:rsidRPr="00D773F7">
        <w:rPr>
          <w:rFonts w:asciiTheme="majorBidi" w:hAnsiTheme="majorBidi" w:cstheme="majorBidi"/>
        </w:rPr>
        <w:t xml:space="preserve">able 3.3.6) is indeed inducing irreversible eye effects, whereas some substances or mixtures inducing serious eye damage will be under-predicted by these </w:t>
      </w:r>
      <w:r w:rsidRPr="00D773F7">
        <w:rPr>
          <w:rFonts w:asciiTheme="majorBidi" w:hAnsiTheme="majorBidi" w:cstheme="majorBidi"/>
          <w:iCs/>
        </w:rPr>
        <w:t>in vitro</w:t>
      </w:r>
      <w:r w:rsidRPr="00D773F7">
        <w:rPr>
          <w:rFonts w:asciiTheme="majorBidi" w:hAnsiTheme="majorBidi" w:cstheme="majorBidi"/>
        </w:rPr>
        <w:t>/</w:t>
      </w:r>
      <w:r w:rsidRPr="00D773F7">
        <w:rPr>
          <w:rFonts w:asciiTheme="majorBidi" w:hAnsiTheme="majorBidi" w:cstheme="majorBidi"/>
          <w:i/>
        </w:rPr>
        <w:t>ex vivo</w:t>
      </w:r>
      <w:r w:rsidRPr="00D773F7">
        <w:rPr>
          <w:rFonts w:asciiTheme="majorBidi" w:hAnsiTheme="majorBidi" w:cstheme="majorBidi"/>
        </w:rPr>
        <w:t xml:space="preserve"> test methods when used in isolation. As a consequence, a single </w:t>
      </w:r>
      <w:r w:rsidRPr="00D773F7">
        <w:rPr>
          <w:rFonts w:asciiTheme="majorBidi" w:hAnsiTheme="majorBidi" w:cstheme="majorBidi"/>
          <w:iCs/>
        </w:rPr>
        <w:t>in vitro</w:t>
      </w:r>
      <w:r w:rsidRPr="00D773F7">
        <w:rPr>
          <w:rFonts w:asciiTheme="majorBidi" w:hAnsiTheme="majorBidi" w:cstheme="majorBidi"/>
        </w:rPr>
        <w:t>/</w:t>
      </w:r>
      <w:r w:rsidRPr="00D773F7">
        <w:rPr>
          <w:rFonts w:asciiTheme="majorBidi" w:hAnsiTheme="majorBidi" w:cstheme="majorBidi"/>
          <w:i/>
        </w:rPr>
        <w:t>ex vivo</w:t>
      </w:r>
      <w:r w:rsidRPr="00D773F7">
        <w:rPr>
          <w:rFonts w:asciiTheme="majorBidi" w:hAnsiTheme="majorBidi" w:cstheme="majorBidi"/>
        </w:rPr>
        <w:t xml:space="preserve"> OECD test guideline method is currently sufficient to conclude on either Category 1 or no classification according to the criteria defined in </w:t>
      </w:r>
      <w:r w:rsidR="001806B2" w:rsidRPr="00D773F7">
        <w:rPr>
          <w:rFonts w:asciiTheme="majorBidi" w:hAnsiTheme="majorBidi" w:cstheme="majorBidi"/>
        </w:rPr>
        <w:t>t</w:t>
      </w:r>
      <w:r w:rsidRPr="00D773F7">
        <w:rPr>
          <w:rFonts w:asciiTheme="majorBidi" w:hAnsiTheme="majorBidi" w:cstheme="majorBidi"/>
        </w:rPr>
        <w:t xml:space="preserve">able 3.3.6, but not to conclude Category 2. When the result of an </w:t>
      </w:r>
      <w:r w:rsidRPr="00D773F7">
        <w:rPr>
          <w:rFonts w:asciiTheme="majorBidi" w:hAnsiTheme="majorBidi" w:cstheme="majorBidi"/>
          <w:iCs/>
        </w:rPr>
        <w:t>in vitro</w:t>
      </w:r>
      <w:r w:rsidRPr="00D773F7">
        <w:rPr>
          <w:rFonts w:asciiTheme="majorBidi" w:hAnsiTheme="majorBidi" w:cstheme="majorBidi"/>
        </w:rPr>
        <w:t>/</w:t>
      </w:r>
      <w:r w:rsidRPr="00D773F7">
        <w:rPr>
          <w:rFonts w:asciiTheme="majorBidi" w:hAnsiTheme="majorBidi" w:cstheme="majorBidi"/>
          <w:i/>
        </w:rPr>
        <w:t>ex vivo</w:t>
      </w:r>
      <w:r w:rsidRPr="00D773F7">
        <w:rPr>
          <w:rFonts w:asciiTheme="majorBidi" w:hAnsiTheme="majorBidi" w:cstheme="majorBidi"/>
        </w:rPr>
        <w:t xml:space="preserve"> method is “no stand-alone prediction can be made” (e.g. see </w:t>
      </w:r>
      <w:r w:rsidR="001806B2" w:rsidRPr="00D773F7">
        <w:rPr>
          <w:rFonts w:asciiTheme="majorBidi" w:hAnsiTheme="majorBidi" w:cstheme="majorBidi"/>
        </w:rPr>
        <w:t>t</w:t>
      </w:r>
      <w:r w:rsidRPr="00D773F7">
        <w:rPr>
          <w:rFonts w:asciiTheme="majorBidi" w:hAnsiTheme="majorBidi" w:cstheme="majorBidi"/>
        </w:rPr>
        <w:t>able 3.3.6), a conclusion cannot be drawn on the basis of that single result and further data are necessary for classification. Some in vitro</w:t>
      </w:r>
      <w:r w:rsidRPr="00D773F7">
        <w:rPr>
          <w:rFonts w:asciiTheme="majorBidi" w:hAnsiTheme="majorBidi" w:cstheme="majorBidi"/>
          <w:i/>
          <w:iCs/>
        </w:rPr>
        <w:t xml:space="preserve">/ex vivo </w:t>
      </w:r>
      <w:r w:rsidRPr="00D773F7">
        <w:rPr>
          <w:rFonts w:asciiTheme="majorBidi" w:hAnsiTheme="majorBidi" w:cstheme="majorBidi"/>
        </w:rPr>
        <w:t xml:space="preserve">test methods validated according to international procedures but not adopted as OECD test guidelines may be accepted by some competent authorities to classify in Category 2 (see 3.3.5.3.5.2). Moreover, combinations of </w:t>
      </w:r>
      <w:r w:rsidRPr="00D773F7">
        <w:rPr>
          <w:rFonts w:asciiTheme="majorBidi" w:hAnsiTheme="majorBidi" w:cstheme="majorBidi"/>
          <w:iCs/>
        </w:rPr>
        <w:t>in vitro</w:t>
      </w:r>
      <w:r w:rsidRPr="00D773F7">
        <w:rPr>
          <w:rFonts w:asciiTheme="majorBidi" w:hAnsiTheme="majorBidi" w:cstheme="majorBidi"/>
        </w:rPr>
        <w:t>/</w:t>
      </w:r>
      <w:r w:rsidRPr="00D773F7">
        <w:rPr>
          <w:rFonts w:asciiTheme="majorBidi" w:hAnsiTheme="majorBidi" w:cstheme="majorBidi"/>
          <w:i/>
        </w:rPr>
        <w:t xml:space="preserve">ex vivo </w:t>
      </w:r>
      <w:r w:rsidRPr="00D773F7">
        <w:rPr>
          <w:rFonts w:asciiTheme="majorBidi" w:hAnsiTheme="majorBidi" w:cstheme="majorBidi"/>
        </w:rPr>
        <w:t>methods in tiered approaches or their integration in defined approaches (see 3.3.2.3) may reduce the number of false predictions and show adequate performance for classification purposes.</w:t>
      </w:r>
    </w:p>
    <w:p w14:paraId="011D6153" w14:textId="410CD35A" w:rsidR="00F10D98" w:rsidRPr="00D773F7" w:rsidRDefault="00F10D98" w:rsidP="00F10D98">
      <w:pPr>
        <w:pStyle w:val="SingleTxtG"/>
        <w:ind w:left="2268"/>
        <w:rPr>
          <w:rFonts w:asciiTheme="majorBidi" w:hAnsiTheme="majorBidi" w:cstheme="majorBidi"/>
        </w:rPr>
      </w:pPr>
      <w:r w:rsidRPr="00D773F7">
        <w:rPr>
          <w:rFonts w:asciiTheme="majorBidi" w:hAnsiTheme="majorBidi" w:cstheme="majorBidi"/>
        </w:rPr>
        <w:t>3.3.5.3.4.4</w:t>
      </w:r>
      <w:r w:rsidRPr="00D773F7">
        <w:rPr>
          <w:rFonts w:asciiTheme="majorBidi" w:hAnsiTheme="majorBidi" w:cstheme="majorBidi"/>
        </w:rPr>
        <w:tab/>
        <w:t xml:space="preserve">In the absence of an adequate defined approach (see 3.3.2.3) or of conclusive </w:t>
      </w:r>
      <w:r w:rsidRPr="00D773F7">
        <w:rPr>
          <w:rFonts w:asciiTheme="majorBidi" w:hAnsiTheme="majorBidi" w:cstheme="majorBidi"/>
          <w:iCs/>
        </w:rPr>
        <w:t>in vitro</w:t>
      </w:r>
      <w:r w:rsidRPr="00D773F7">
        <w:rPr>
          <w:rFonts w:asciiTheme="majorBidi" w:hAnsiTheme="majorBidi" w:cstheme="majorBidi"/>
        </w:rPr>
        <w:t>/</w:t>
      </w:r>
      <w:r w:rsidRPr="00D773F7">
        <w:rPr>
          <w:rFonts w:asciiTheme="majorBidi" w:hAnsiTheme="majorBidi" w:cstheme="majorBidi"/>
          <w:i/>
        </w:rPr>
        <w:t>ex vivo</w:t>
      </w:r>
      <w:r w:rsidRPr="00D773F7">
        <w:rPr>
          <w:rFonts w:asciiTheme="majorBidi" w:hAnsiTheme="majorBidi" w:cstheme="majorBidi"/>
        </w:rPr>
        <w:t xml:space="preserve"> data (see 3.3.2.4.1 and 3.3.2.4.2), a stand-alone prediction is not possible. In such cases, a within-tier weight of evidence assessment of data from more than one method would be needed to classify within </w:t>
      </w:r>
      <w:r w:rsidR="00123673" w:rsidRPr="00D773F7">
        <w:rPr>
          <w:rFonts w:asciiTheme="majorBidi" w:hAnsiTheme="majorBidi" w:cstheme="majorBidi"/>
        </w:rPr>
        <w:t>t</w:t>
      </w:r>
      <w:r w:rsidRPr="00D773F7">
        <w:rPr>
          <w:rFonts w:asciiTheme="majorBidi" w:hAnsiTheme="majorBidi" w:cstheme="majorBidi"/>
        </w:rPr>
        <w:t xml:space="preserve">ier 2. If a within-tier weight of evidence assessment is still not conclusive, then data from lower tiers may be required to reach a conclusion (see </w:t>
      </w:r>
      <w:r w:rsidR="00D5525A" w:rsidRPr="00D773F7">
        <w:rPr>
          <w:rFonts w:asciiTheme="majorBidi" w:hAnsiTheme="majorBidi" w:cstheme="majorBidi"/>
        </w:rPr>
        <w:t>f</w:t>
      </w:r>
      <w:r w:rsidRPr="00D773F7">
        <w:rPr>
          <w:rFonts w:asciiTheme="majorBidi" w:hAnsiTheme="majorBidi" w:cstheme="majorBidi"/>
        </w:rPr>
        <w:t>igure 3.3.1).</w:t>
      </w:r>
    </w:p>
    <w:p w14:paraId="6FB5F255" w14:textId="77777777" w:rsidR="008C2774" w:rsidRPr="00D773F7" w:rsidRDefault="008C2774">
      <w:pPr>
        <w:rPr>
          <w:rFonts w:asciiTheme="majorBidi" w:hAnsiTheme="majorBidi" w:cstheme="majorBidi"/>
          <w:b/>
        </w:rPr>
      </w:pPr>
      <w:r w:rsidRPr="00D773F7">
        <w:rPr>
          <w:rFonts w:asciiTheme="majorBidi" w:hAnsiTheme="majorBidi" w:cstheme="majorBidi"/>
          <w:b/>
        </w:rPr>
        <w:br w:type="page"/>
      </w:r>
    </w:p>
    <w:p w14:paraId="1D497C1F" w14:textId="5269784C" w:rsidR="00F10D98" w:rsidRPr="00D773F7" w:rsidRDefault="00F10D98" w:rsidP="00F10D98">
      <w:pPr>
        <w:ind w:left="2127" w:right="1134"/>
        <w:jc w:val="center"/>
        <w:rPr>
          <w:rFonts w:asciiTheme="majorBidi" w:hAnsiTheme="majorBidi" w:cstheme="majorBidi"/>
          <w:b/>
          <w:bCs/>
        </w:rPr>
      </w:pPr>
      <w:r w:rsidRPr="00D773F7">
        <w:rPr>
          <w:rFonts w:asciiTheme="majorBidi" w:hAnsiTheme="majorBidi" w:cstheme="majorBidi"/>
          <w:b/>
        </w:rPr>
        <w:lastRenderedPageBreak/>
        <w:t xml:space="preserve">Figure 3.3.3:  </w:t>
      </w:r>
      <w:r w:rsidRPr="00D773F7">
        <w:rPr>
          <w:rFonts w:asciiTheme="majorBidi" w:hAnsiTheme="majorBidi" w:cstheme="majorBidi"/>
          <w:b/>
          <w:bCs/>
        </w:rPr>
        <w:t xml:space="preserve">Classification based on defined approaches and/or </w:t>
      </w:r>
      <w:r w:rsidRPr="00D773F7">
        <w:rPr>
          <w:rFonts w:asciiTheme="majorBidi" w:hAnsiTheme="majorBidi" w:cstheme="majorBidi"/>
          <w:b/>
          <w:bCs/>
        </w:rPr>
        <w:br/>
      </w:r>
      <w:r w:rsidRPr="00D773F7">
        <w:rPr>
          <w:rFonts w:asciiTheme="majorBidi" w:hAnsiTheme="majorBidi" w:cstheme="majorBidi"/>
          <w:b/>
          <w:bCs/>
          <w:iCs/>
        </w:rPr>
        <w:t>in vitro</w:t>
      </w:r>
      <w:r w:rsidRPr="00D773F7">
        <w:rPr>
          <w:rFonts w:asciiTheme="majorBidi" w:hAnsiTheme="majorBidi" w:cstheme="majorBidi"/>
          <w:b/>
          <w:bCs/>
        </w:rPr>
        <w:t>/</w:t>
      </w:r>
      <w:r w:rsidRPr="00D773F7">
        <w:rPr>
          <w:rFonts w:asciiTheme="majorBidi" w:hAnsiTheme="majorBidi" w:cstheme="majorBidi"/>
          <w:b/>
          <w:bCs/>
          <w:i/>
        </w:rPr>
        <w:t>ex vivo</w:t>
      </w:r>
      <w:r w:rsidRPr="00D773F7">
        <w:rPr>
          <w:rFonts w:asciiTheme="majorBidi" w:hAnsiTheme="majorBidi" w:cstheme="majorBidi"/>
          <w:b/>
          <w:bCs/>
        </w:rPr>
        <w:t xml:space="preserve"> data within </w:t>
      </w:r>
      <w:r w:rsidR="00123673" w:rsidRPr="00D773F7">
        <w:rPr>
          <w:rFonts w:asciiTheme="majorBidi" w:hAnsiTheme="majorBidi" w:cstheme="majorBidi"/>
          <w:b/>
          <w:bCs/>
        </w:rPr>
        <w:t>t</w:t>
      </w:r>
      <w:r w:rsidRPr="00D773F7">
        <w:rPr>
          <w:rFonts w:asciiTheme="majorBidi" w:hAnsiTheme="majorBidi" w:cstheme="majorBidi"/>
          <w:b/>
          <w:bCs/>
        </w:rPr>
        <w:t xml:space="preserve">ier 2 of </w:t>
      </w:r>
      <w:r w:rsidR="00D5525A" w:rsidRPr="00D773F7">
        <w:rPr>
          <w:rFonts w:asciiTheme="majorBidi" w:hAnsiTheme="majorBidi" w:cstheme="majorBidi"/>
          <w:b/>
          <w:bCs/>
        </w:rPr>
        <w:t>f</w:t>
      </w:r>
      <w:r w:rsidRPr="00D773F7">
        <w:rPr>
          <w:rFonts w:asciiTheme="majorBidi" w:hAnsiTheme="majorBidi" w:cstheme="majorBidi"/>
          <w:b/>
          <w:bCs/>
        </w:rPr>
        <w:t>igure 3.3.1</w:t>
      </w:r>
    </w:p>
    <w:p w14:paraId="272B7A2B" w14:textId="77777777" w:rsidR="00F10D98" w:rsidRPr="00D773F7" w:rsidRDefault="00F10D98" w:rsidP="00F10D98">
      <w:pPr>
        <w:ind w:left="2127" w:right="1134"/>
        <w:jc w:val="center"/>
        <w:rPr>
          <w:rFonts w:asciiTheme="majorBidi" w:hAnsiTheme="majorBidi" w:cstheme="majorBidi"/>
          <w:b/>
          <w:bCs/>
        </w:rPr>
      </w:pPr>
    </w:p>
    <w:p w14:paraId="49FA9358" w14:textId="29EC281D" w:rsidR="00F10D98" w:rsidRPr="00D773F7" w:rsidRDefault="00F466DA" w:rsidP="00F10D98">
      <w:pPr>
        <w:ind w:left="567"/>
        <w:jc w:val="center"/>
        <w:rPr>
          <w:rFonts w:asciiTheme="majorBidi" w:eastAsiaTheme="minorHAnsi" w:hAnsiTheme="majorBidi" w:cstheme="majorBidi"/>
        </w:rPr>
      </w:pPr>
      <w:r w:rsidRPr="00D773F7">
        <w:rPr>
          <w:rFonts w:asciiTheme="majorBidi" w:hAnsiTheme="majorBidi" w:cstheme="majorBidi"/>
        </w:rPr>
        <w:object w:dxaOrig="8371" w:dyaOrig="12120" w14:anchorId="75F3ED86">
          <v:shape id="_x0000_i1032" type="#_x0000_t75" style="width:419.4pt;height:605.4pt" o:ole="">
            <v:imagedata r:id="rId26" o:title=""/>
          </v:shape>
          <o:OLEObject Type="Embed" ProgID="Visio.Drawing.15" ShapeID="_x0000_i1032" DrawAspect="Content" ObjectID="_1744797705" r:id="rId27"/>
        </w:object>
      </w:r>
    </w:p>
    <w:p w14:paraId="2CF37B00" w14:textId="77777777" w:rsidR="00F10D98" w:rsidRPr="00D773F7" w:rsidRDefault="00F10D98" w:rsidP="00F10D98">
      <w:pPr>
        <w:tabs>
          <w:tab w:val="left" w:pos="1418"/>
        </w:tabs>
        <w:jc w:val="center"/>
        <w:rPr>
          <w:rFonts w:asciiTheme="majorBidi" w:eastAsia="Times New Roman" w:hAnsiTheme="majorBidi" w:cstheme="majorBidi"/>
        </w:rPr>
      </w:pPr>
    </w:p>
    <w:p w14:paraId="13C27549" w14:textId="77777777" w:rsidR="00F10D98" w:rsidRPr="00D773F7" w:rsidRDefault="00F10D98" w:rsidP="00F10D98">
      <w:pPr>
        <w:pStyle w:val="SingleTxtG"/>
        <w:rPr>
          <w:rFonts w:asciiTheme="majorBidi" w:eastAsiaTheme="minorHAnsi" w:hAnsiTheme="majorBidi" w:cstheme="majorBidi"/>
          <w:i/>
        </w:rPr>
      </w:pPr>
      <w:r w:rsidRPr="00D773F7">
        <w:rPr>
          <w:rFonts w:asciiTheme="majorBidi" w:eastAsiaTheme="minorHAnsi" w:hAnsiTheme="majorBidi" w:cstheme="majorBidi"/>
          <w:b/>
          <w:vertAlign w:val="superscript"/>
        </w:rPr>
        <w:t>a</w:t>
      </w:r>
      <w:r w:rsidRPr="00D773F7">
        <w:rPr>
          <w:rFonts w:asciiTheme="majorBidi" w:eastAsiaTheme="minorHAnsi" w:hAnsiTheme="majorBidi" w:cstheme="majorBidi"/>
          <w:b/>
          <w:vertAlign w:val="superscript"/>
        </w:rPr>
        <w:tab/>
      </w:r>
      <w:r w:rsidRPr="00D773F7">
        <w:rPr>
          <w:rFonts w:asciiTheme="majorBidi" w:eastAsiaTheme="minorHAnsi" w:hAnsiTheme="majorBidi" w:cstheme="majorBidi"/>
          <w:i/>
        </w:rPr>
        <w:t xml:space="preserve">Evidence is considered conclusive if the data fulfil the criteria of the defined approach or of the method and there is no contradicting </w:t>
      </w:r>
      <w:r w:rsidRPr="00646D62">
        <w:rPr>
          <w:rFonts w:asciiTheme="majorBidi" w:eastAsiaTheme="minorHAnsi" w:hAnsiTheme="majorBidi" w:cstheme="majorBidi"/>
          <w:i/>
        </w:rPr>
        <w:t>in vitro</w:t>
      </w:r>
      <w:r w:rsidRPr="00D773F7">
        <w:rPr>
          <w:rFonts w:asciiTheme="majorBidi" w:eastAsiaTheme="minorHAnsi" w:hAnsiTheme="majorBidi" w:cstheme="majorBidi"/>
          <w:i/>
        </w:rPr>
        <w:t>/ex vivo information. When information from a lower step would result in a stricter classification than information from a higher step and there is concern for misclassification, then classification is determined by a within-tier weight of evidence assessment.</w:t>
      </w:r>
    </w:p>
    <w:p w14:paraId="261A3389" w14:textId="77777777" w:rsidR="00F10D98" w:rsidRPr="00D773F7" w:rsidRDefault="00F10D98" w:rsidP="00F10D98">
      <w:pPr>
        <w:pStyle w:val="SingleTxtG"/>
        <w:keepNext/>
        <w:keepLines/>
        <w:ind w:left="2268"/>
        <w:rPr>
          <w:rFonts w:asciiTheme="majorBidi" w:eastAsiaTheme="minorHAnsi" w:hAnsiTheme="majorBidi" w:cstheme="majorBidi"/>
          <w:lang w:val="it-IT"/>
        </w:rPr>
      </w:pPr>
      <w:r w:rsidRPr="00D773F7">
        <w:rPr>
          <w:rFonts w:asciiTheme="majorBidi" w:eastAsiaTheme="minorHAnsi" w:hAnsiTheme="majorBidi" w:cstheme="majorBidi"/>
          <w:lang w:val="it-IT"/>
        </w:rPr>
        <w:lastRenderedPageBreak/>
        <w:t>3.3.5.3.5</w:t>
      </w:r>
      <w:r w:rsidRPr="00D773F7">
        <w:rPr>
          <w:rFonts w:asciiTheme="majorBidi" w:eastAsiaTheme="minorHAnsi" w:hAnsiTheme="majorBidi" w:cstheme="majorBidi"/>
          <w:lang w:val="it-IT"/>
        </w:rPr>
        <w:tab/>
      </w:r>
      <w:r w:rsidRPr="00D773F7">
        <w:rPr>
          <w:rFonts w:asciiTheme="majorBidi" w:eastAsiaTheme="minorHAnsi" w:hAnsiTheme="majorBidi" w:cstheme="majorBidi"/>
          <w:i/>
          <w:iCs/>
          <w:lang w:val="it-IT"/>
        </w:rPr>
        <w:t xml:space="preserve">Classification criteria based on in vitro/ex vivo data </w:t>
      </w:r>
    </w:p>
    <w:p w14:paraId="5637C338" w14:textId="081CAC1B" w:rsidR="00F10D98" w:rsidRPr="00D773F7" w:rsidRDefault="00F10D98" w:rsidP="00F10D98">
      <w:pPr>
        <w:pStyle w:val="SingleTxtG"/>
        <w:tabs>
          <w:tab w:val="left" w:pos="3402"/>
        </w:tabs>
        <w:ind w:left="2268"/>
        <w:rPr>
          <w:rFonts w:asciiTheme="majorBidi" w:eastAsiaTheme="minorHAnsi" w:hAnsiTheme="majorBidi" w:cstheme="majorBidi"/>
        </w:rPr>
      </w:pPr>
      <w:r w:rsidRPr="00D773F7">
        <w:rPr>
          <w:rFonts w:asciiTheme="majorBidi" w:eastAsiaTheme="minorHAnsi" w:hAnsiTheme="majorBidi" w:cstheme="majorBidi"/>
        </w:rPr>
        <w:t>3.3.5.3.5.1</w:t>
      </w:r>
      <w:r w:rsidRPr="00D773F7">
        <w:rPr>
          <w:rFonts w:asciiTheme="majorBidi" w:eastAsiaTheme="minorHAnsi" w:hAnsiTheme="majorBidi" w:cstheme="majorBidi"/>
        </w:rPr>
        <w:tab/>
      </w:r>
      <w:r w:rsidRPr="00D773F7">
        <w:rPr>
          <w:rFonts w:asciiTheme="majorBidi" w:eastAsiaTheme="minorHAnsi" w:hAnsiTheme="majorBidi" w:cstheme="majorBidi"/>
        </w:rPr>
        <w:tab/>
        <w:t>Where in vitro</w:t>
      </w:r>
      <w:r w:rsidRPr="00D773F7">
        <w:rPr>
          <w:rFonts w:asciiTheme="majorBidi" w:eastAsiaTheme="minorHAnsi" w:hAnsiTheme="majorBidi" w:cstheme="majorBidi"/>
          <w:i/>
          <w:iCs/>
        </w:rPr>
        <w:t xml:space="preserve">/ex vivo </w:t>
      </w:r>
      <w:r w:rsidRPr="00D773F7">
        <w:rPr>
          <w:rFonts w:asciiTheme="majorBidi" w:eastAsiaTheme="minorHAnsi" w:hAnsiTheme="majorBidi" w:cstheme="majorBidi"/>
        </w:rPr>
        <w:t xml:space="preserve">tests have been undertaken in accordance with OECD test guidelines 437, 438, 460, 491, 492, 494 and/or 496, the criteria for classification in Category 1 for serious eye damage/irreversible effects on the eye and for no classification are set out in </w:t>
      </w:r>
      <w:r w:rsidR="001806B2" w:rsidRPr="00D773F7">
        <w:rPr>
          <w:rFonts w:asciiTheme="majorBidi" w:eastAsiaTheme="minorHAnsi" w:hAnsiTheme="majorBidi" w:cstheme="majorBidi"/>
        </w:rPr>
        <w:t>t</w:t>
      </w:r>
      <w:r w:rsidRPr="00D773F7">
        <w:rPr>
          <w:rFonts w:asciiTheme="majorBidi" w:eastAsiaTheme="minorHAnsi" w:hAnsiTheme="majorBidi" w:cstheme="majorBidi"/>
        </w:rPr>
        <w:t>able 3.3.6</w:t>
      </w:r>
      <w:r w:rsidR="00477D71" w:rsidRPr="00D773F7">
        <w:rPr>
          <w:rFonts w:asciiTheme="majorBidi" w:eastAsiaTheme="minorHAnsi" w:hAnsiTheme="majorBidi" w:cstheme="majorBidi"/>
        </w:rPr>
        <w:t>.</w:t>
      </w:r>
    </w:p>
    <w:p w14:paraId="6E7F5FD9" w14:textId="77777777" w:rsidR="00F10D98" w:rsidRPr="00D773F7" w:rsidRDefault="00F10D98" w:rsidP="00A712F0">
      <w:pPr>
        <w:jc w:val="center"/>
        <w:rPr>
          <w:rFonts w:asciiTheme="majorBidi" w:hAnsiTheme="majorBidi" w:cstheme="majorBidi"/>
        </w:rPr>
      </w:pPr>
    </w:p>
    <w:p w14:paraId="00605D3F" w14:textId="77777777" w:rsidR="00B73E8E" w:rsidRPr="00D773F7" w:rsidRDefault="00B73E8E" w:rsidP="004858F5">
      <w:pPr>
        <w:rPr>
          <w:rFonts w:asciiTheme="majorBidi" w:hAnsiTheme="majorBidi" w:cstheme="majorBidi"/>
        </w:rPr>
        <w:sectPr w:rsidR="00B73E8E" w:rsidRPr="00D773F7" w:rsidSect="00835F99">
          <w:headerReference w:type="even" r:id="rId28"/>
          <w:headerReference w:type="default" r:id="rId29"/>
          <w:footerReference w:type="even" r:id="rId30"/>
          <w:footerReference w:type="default" r:id="rId31"/>
          <w:footerReference w:type="first" r:id="rId32"/>
          <w:endnotePr>
            <w:numFmt w:val="decimal"/>
          </w:endnotePr>
          <w:pgSz w:w="11907" w:h="16840" w:code="9"/>
          <w:pgMar w:top="1417" w:right="1134" w:bottom="1134" w:left="1134" w:header="850" w:footer="567" w:gutter="0"/>
          <w:cols w:space="720"/>
          <w:titlePg/>
          <w:docGrid w:linePitch="272"/>
        </w:sectPr>
      </w:pPr>
    </w:p>
    <w:p w14:paraId="63287861" w14:textId="77777777" w:rsidR="00E00BDF" w:rsidRPr="00D773F7" w:rsidRDefault="00E00BDF" w:rsidP="00E00BDF">
      <w:pPr>
        <w:spacing w:after="120"/>
        <w:jc w:val="center"/>
        <w:rPr>
          <w:rFonts w:asciiTheme="majorBidi" w:eastAsiaTheme="minorHAnsi" w:hAnsiTheme="majorBidi" w:cstheme="majorBidi"/>
        </w:rPr>
      </w:pPr>
      <w:r w:rsidRPr="00D773F7">
        <w:rPr>
          <w:rFonts w:asciiTheme="majorBidi" w:eastAsiaTheme="minorHAnsi" w:hAnsiTheme="majorBidi" w:cstheme="majorBidi"/>
          <w:b/>
          <w:bCs/>
        </w:rPr>
        <w:lastRenderedPageBreak/>
        <w:t xml:space="preserve">Table 3.3.6:  </w:t>
      </w:r>
      <w:r w:rsidRPr="00D773F7">
        <w:rPr>
          <w:rFonts w:asciiTheme="majorBidi" w:hAnsiTheme="majorBidi" w:cstheme="majorBidi"/>
          <w:b/>
          <w:noProof/>
        </w:rPr>
        <w:t>Criteria for serious eye damage/irreversible effects on the eye and for no classification</w:t>
      </w:r>
      <w:r w:rsidRPr="00D773F7">
        <w:rPr>
          <w:rFonts w:asciiTheme="majorBidi" w:hAnsiTheme="majorBidi" w:cstheme="majorBidi"/>
          <w:b/>
          <w:noProof/>
          <w:vertAlign w:val="superscript"/>
        </w:rPr>
        <w:t>a</w:t>
      </w:r>
      <w:r w:rsidRPr="00D773F7">
        <w:rPr>
          <w:rFonts w:asciiTheme="majorBidi" w:eastAsiaTheme="minorHAnsi" w:hAnsiTheme="majorBidi" w:cstheme="majorBidi"/>
          <w:b/>
          <w:bCs/>
          <w:i/>
          <w:iCs/>
        </w:rPr>
        <w:t xml:space="preserve"> </w:t>
      </w:r>
      <w:r w:rsidRPr="00D773F7">
        <w:rPr>
          <w:rFonts w:asciiTheme="majorBidi" w:eastAsiaTheme="minorHAnsi" w:hAnsiTheme="majorBidi" w:cstheme="majorBidi"/>
          <w:b/>
          <w:bCs/>
          <w:iCs/>
        </w:rPr>
        <w:t xml:space="preserve">for </w:t>
      </w:r>
      <w:r w:rsidRPr="00D773F7">
        <w:rPr>
          <w:rFonts w:asciiTheme="majorBidi" w:eastAsiaTheme="minorHAnsi" w:hAnsiTheme="majorBidi" w:cstheme="majorBidi"/>
          <w:b/>
          <w:bCs/>
        </w:rPr>
        <w:t>in vitro/</w:t>
      </w:r>
      <w:r w:rsidRPr="00D773F7">
        <w:rPr>
          <w:rFonts w:asciiTheme="majorBidi" w:eastAsiaTheme="minorHAnsi" w:hAnsiTheme="majorBidi" w:cstheme="majorBidi"/>
          <w:b/>
          <w:bCs/>
          <w:i/>
          <w:iCs/>
        </w:rPr>
        <w:t xml:space="preserve">ex vivo </w:t>
      </w:r>
      <w:r w:rsidRPr="00D773F7">
        <w:rPr>
          <w:rFonts w:asciiTheme="majorBidi" w:eastAsiaTheme="minorHAnsi" w:hAnsiTheme="majorBidi" w:cstheme="majorBidi"/>
          <w:b/>
          <w:bCs/>
        </w:rPr>
        <w:t>methods</w:t>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05"/>
        <w:gridCol w:w="1985"/>
        <w:gridCol w:w="1784"/>
        <w:gridCol w:w="1841"/>
        <w:gridCol w:w="1761"/>
        <w:gridCol w:w="2835"/>
        <w:gridCol w:w="1288"/>
        <w:gridCol w:w="1960"/>
      </w:tblGrid>
      <w:tr w:rsidR="00E00BDF" w:rsidRPr="00D773F7" w14:paraId="3EFCCC1C" w14:textId="77777777">
        <w:trPr>
          <w:tblHeader/>
          <w:jc w:val="center"/>
        </w:trPr>
        <w:tc>
          <w:tcPr>
            <w:tcW w:w="249" w:type="pct"/>
            <w:shd w:val="clear" w:color="auto" w:fill="auto"/>
            <w:tcMar>
              <w:top w:w="57" w:type="dxa"/>
              <w:left w:w="57" w:type="dxa"/>
              <w:bottom w:w="57" w:type="dxa"/>
              <w:right w:w="57" w:type="dxa"/>
            </w:tcMar>
          </w:tcPr>
          <w:p w14:paraId="229F0AE4" w14:textId="77777777" w:rsidR="00E00BDF" w:rsidRPr="00D773F7" w:rsidRDefault="00E00BDF">
            <w:pPr>
              <w:spacing w:before="40" w:after="40" w:line="200" w:lineRule="atLeast"/>
              <w:ind w:left="-63" w:right="-58"/>
              <w:contextualSpacing/>
              <w:jc w:val="center"/>
              <w:rPr>
                <w:rFonts w:asciiTheme="majorBidi" w:hAnsiTheme="majorBidi" w:cstheme="majorBidi"/>
                <w:b/>
                <w:bCs/>
                <w:noProof/>
                <w:sz w:val="14"/>
                <w:szCs w:val="14"/>
              </w:rPr>
            </w:pPr>
            <w:r w:rsidRPr="00D773F7">
              <w:rPr>
                <w:rFonts w:asciiTheme="majorBidi" w:eastAsia="Calibri" w:hAnsiTheme="majorBidi" w:cstheme="majorBidi"/>
                <w:b/>
                <w:bCs/>
                <w:noProof/>
                <w:sz w:val="14"/>
                <w:szCs w:val="14"/>
              </w:rPr>
              <w:t>Category</w:t>
            </w:r>
          </w:p>
        </w:tc>
        <w:tc>
          <w:tcPr>
            <w:tcW w:w="701" w:type="pct"/>
            <w:shd w:val="clear" w:color="auto" w:fill="auto"/>
            <w:tcMar>
              <w:top w:w="57" w:type="dxa"/>
              <w:left w:w="57" w:type="dxa"/>
              <w:bottom w:w="57" w:type="dxa"/>
              <w:right w:w="57" w:type="dxa"/>
            </w:tcMar>
          </w:tcPr>
          <w:p w14:paraId="4A7184A6" w14:textId="77777777" w:rsidR="00E00BDF" w:rsidRPr="00D773F7" w:rsidRDefault="00E00BDF">
            <w:pPr>
              <w:spacing w:before="40" w:after="40" w:line="200" w:lineRule="atLeast"/>
              <w:contextualSpacing/>
              <w:jc w:val="center"/>
              <w:rPr>
                <w:rFonts w:asciiTheme="majorBidi" w:hAnsiTheme="majorBidi" w:cstheme="majorBidi"/>
                <w:b/>
                <w:bCs/>
                <w:noProof/>
                <w:sz w:val="14"/>
                <w:szCs w:val="14"/>
              </w:rPr>
            </w:pPr>
            <w:r w:rsidRPr="00D773F7">
              <w:rPr>
                <w:rFonts w:asciiTheme="majorBidi" w:hAnsiTheme="majorBidi" w:cstheme="majorBidi"/>
                <w:b/>
                <w:bCs/>
                <w:noProof/>
                <w:sz w:val="14"/>
                <w:szCs w:val="14"/>
              </w:rPr>
              <w:t>OECD Test Guideline 437</w:t>
            </w:r>
            <w:r w:rsidRPr="00D773F7">
              <w:rPr>
                <w:rFonts w:asciiTheme="majorBidi" w:hAnsiTheme="majorBidi" w:cstheme="majorBidi"/>
                <w:b/>
                <w:bCs/>
                <w:noProof/>
                <w:sz w:val="14"/>
                <w:szCs w:val="14"/>
              </w:rPr>
              <w:br/>
              <w:t>Bovine Corneal Opacity and Permeability test method</w:t>
            </w:r>
          </w:p>
        </w:tc>
        <w:tc>
          <w:tcPr>
            <w:tcW w:w="630" w:type="pct"/>
            <w:shd w:val="clear" w:color="auto" w:fill="auto"/>
            <w:tcMar>
              <w:top w:w="57" w:type="dxa"/>
              <w:left w:w="57" w:type="dxa"/>
              <w:bottom w:w="57" w:type="dxa"/>
              <w:right w:w="57" w:type="dxa"/>
            </w:tcMar>
          </w:tcPr>
          <w:p w14:paraId="7FFABA81" w14:textId="77777777" w:rsidR="00E00BDF" w:rsidRPr="00D773F7" w:rsidRDefault="00E00BDF">
            <w:pPr>
              <w:spacing w:before="40" w:after="40" w:line="200" w:lineRule="atLeast"/>
              <w:contextualSpacing/>
              <w:jc w:val="center"/>
              <w:rPr>
                <w:rFonts w:asciiTheme="majorBidi" w:hAnsiTheme="majorBidi" w:cstheme="majorBidi"/>
                <w:b/>
                <w:bCs/>
                <w:noProof/>
                <w:sz w:val="14"/>
                <w:szCs w:val="14"/>
              </w:rPr>
            </w:pPr>
            <w:r w:rsidRPr="00D773F7">
              <w:rPr>
                <w:rFonts w:asciiTheme="majorBidi" w:hAnsiTheme="majorBidi" w:cstheme="majorBidi"/>
                <w:b/>
                <w:bCs/>
                <w:noProof/>
                <w:sz w:val="14"/>
                <w:szCs w:val="14"/>
              </w:rPr>
              <w:t>OECD Test Guideline 438</w:t>
            </w:r>
            <w:r w:rsidRPr="00D773F7">
              <w:rPr>
                <w:rFonts w:asciiTheme="majorBidi" w:hAnsiTheme="majorBidi" w:cstheme="majorBidi"/>
                <w:b/>
                <w:bCs/>
                <w:noProof/>
                <w:sz w:val="14"/>
                <w:szCs w:val="14"/>
              </w:rPr>
              <w:br/>
              <w:t>Isolated Chicken Eye test method</w:t>
            </w:r>
          </w:p>
        </w:tc>
        <w:tc>
          <w:tcPr>
            <w:tcW w:w="650" w:type="pct"/>
          </w:tcPr>
          <w:p w14:paraId="50D1DDC6" w14:textId="77777777" w:rsidR="00E00BDF" w:rsidRPr="00D773F7" w:rsidRDefault="00E00BDF">
            <w:pPr>
              <w:spacing w:before="40" w:after="40" w:line="200" w:lineRule="atLeast"/>
              <w:contextualSpacing/>
              <w:jc w:val="center"/>
              <w:rPr>
                <w:rFonts w:asciiTheme="majorBidi" w:hAnsiTheme="majorBidi" w:cstheme="majorBidi"/>
                <w:b/>
                <w:bCs/>
                <w:noProof/>
                <w:sz w:val="14"/>
                <w:szCs w:val="14"/>
              </w:rPr>
            </w:pPr>
            <w:r w:rsidRPr="00D773F7">
              <w:rPr>
                <w:rFonts w:asciiTheme="majorBidi" w:hAnsiTheme="majorBidi" w:cstheme="majorBidi"/>
                <w:b/>
                <w:bCs/>
                <w:noProof/>
                <w:sz w:val="14"/>
                <w:szCs w:val="14"/>
              </w:rPr>
              <w:t>OECD Test Guideline 460</w:t>
            </w:r>
            <w:r w:rsidRPr="00D773F7">
              <w:rPr>
                <w:rFonts w:asciiTheme="majorBidi" w:hAnsiTheme="majorBidi" w:cstheme="majorBidi"/>
                <w:b/>
                <w:bCs/>
                <w:noProof/>
                <w:sz w:val="14"/>
                <w:szCs w:val="14"/>
              </w:rPr>
              <w:br/>
              <w:t>Fluorescein Leakage test method</w:t>
            </w:r>
          </w:p>
        </w:tc>
        <w:tc>
          <w:tcPr>
            <w:tcW w:w="622" w:type="pct"/>
            <w:shd w:val="clear" w:color="auto" w:fill="auto"/>
            <w:tcMar>
              <w:top w:w="57" w:type="dxa"/>
              <w:left w:w="57" w:type="dxa"/>
              <w:bottom w:w="57" w:type="dxa"/>
              <w:right w:w="57" w:type="dxa"/>
            </w:tcMar>
          </w:tcPr>
          <w:p w14:paraId="1E35D8F6" w14:textId="77777777" w:rsidR="00E00BDF" w:rsidRPr="00D773F7" w:rsidRDefault="00E00BDF">
            <w:pPr>
              <w:spacing w:before="40" w:after="40" w:line="200" w:lineRule="atLeast"/>
              <w:contextualSpacing/>
              <w:jc w:val="center"/>
              <w:rPr>
                <w:rFonts w:asciiTheme="majorBidi" w:hAnsiTheme="majorBidi" w:cstheme="majorBidi"/>
                <w:b/>
                <w:bCs/>
                <w:noProof/>
                <w:sz w:val="14"/>
                <w:szCs w:val="14"/>
              </w:rPr>
            </w:pPr>
            <w:r w:rsidRPr="00D773F7">
              <w:rPr>
                <w:rFonts w:asciiTheme="majorBidi" w:hAnsiTheme="majorBidi" w:cstheme="majorBidi"/>
                <w:b/>
                <w:bCs/>
                <w:noProof/>
                <w:sz w:val="14"/>
                <w:szCs w:val="14"/>
              </w:rPr>
              <w:t>OECD Test Guideline 491</w:t>
            </w:r>
          </w:p>
          <w:p w14:paraId="12D11BA7" w14:textId="77777777" w:rsidR="00E00BDF" w:rsidRPr="00D773F7" w:rsidRDefault="00E00BDF">
            <w:pPr>
              <w:spacing w:before="40" w:after="40" w:line="200" w:lineRule="atLeast"/>
              <w:contextualSpacing/>
              <w:jc w:val="center"/>
              <w:rPr>
                <w:rFonts w:asciiTheme="majorBidi" w:hAnsiTheme="majorBidi" w:cstheme="majorBidi"/>
                <w:b/>
                <w:bCs/>
                <w:noProof/>
                <w:sz w:val="14"/>
                <w:szCs w:val="14"/>
              </w:rPr>
            </w:pPr>
            <w:r w:rsidRPr="00D773F7">
              <w:rPr>
                <w:rFonts w:asciiTheme="majorBidi" w:hAnsiTheme="majorBidi" w:cstheme="majorBidi"/>
                <w:b/>
                <w:bCs/>
                <w:noProof/>
                <w:sz w:val="14"/>
                <w:szCs w:val="14"/>
              </w:rPr>
              <w:t>Short Time Exposure test method</w:t>
            </w:r>
          </w:p>
        </w:tc>
        <w:tc>
          <w:tcPr>
            <w:tcW w:w="1001" w:type="pct"/>
            <w:shd w:val="clear" w:color="auto" w:fill="auto"/>
            <w:tcMar>
              <w:top w:w="57" w:type="dxa"/>
              <w:left w:w="57" w:type="dxa"/>
              <w:bottom w:w="57" w:type="dxa"/>
              <w:right w:w="57" w:type="dxa"/>
            </w:tcMar>
          </w:tcPr>
          <w:p w14:paraId="7B1E97AD" w14:textId="77777777" w:rsidR="00E00BDF" w:rsidRPr="00D773F7" w:rsidRDefault="00E00BDF">
            <w:pPr>
              <w:spacing w:before="40" w:after="40" w:line="200" w:lineRule="atLeast"/>
              <w:contextualSpacing/>
              <w:jc w:val="center"/>
              <w:rPr>
                <w:rFonts w:asciiTheme="majorBidi" w:hAnsiTheme="majorBidi" w:cstheme="majorBidi"/>
                <w:b/>
                <w:bCs/>
                <w:noProof/>
                <w:sz w:val="14"/>
                <w:szCs w:val="14"/>
              </w:rPr>
            </w:pPr>
            <w:r w:rsidRPr="00D773F7">
              <w:rPr>
                <w:rFonts w:asciiTheme="majorBidi" w:hAnsiTheme="majorBidi" w:cstheme="majorBidi"/>
                <w:b/>
                <w:bCs/>
                <w:noProof/>
                <w:sz w:val="14"/>
                <w:szCs w:val="14"/>
              </w:rPr>
              <w:t>OECD Test Guideline 492</w:t>
            </w:r>
            <w:r w:rsidRPr="00D773F7">
              <w:rPr>
                <w:rFonts w:asciiTheme="majorBidi" w:hAnsiTheme="majorBidi" w:cstheme="majorBidi"/>
                <w:b/>
                <w:bCs/>
                <w:noProof/>
                <w:sz w:val="14"/>
                <w:szCs w:val="14"/>
              </w:rPr>
              <w:br/>
              <w:t>Reconstructed human Cornea-like Epithelium (RhCE)-based test methods: Methods 1, 2, 3 and 4 as numbered in Annex II of OECD Test Guideline 492</w:t>
            </w:r>
          </w:p>
        </w:tc>
        <w:tc>
          <w:tcPr>
            <w:tcW w:w="455" w:type="pct"/>
          </w:tcPr>
          <w:p w14:paraId="5FADC906" w14:textId="77777777" w:rsidR="00E00BDF" w:rsidRPr="00D773F7" w:rsidRDefault="00E00BDF">
            <w:pPr>
              <w:spacing w:before="40" w:after="40" w:line="200" w:lineRule="atLeast"/>
              <w:contextualSpacing/>
              <w:jc w:val="center"/>
              <w:rPr>
                <w:rFonts w:asciiTheme="majorBidi" w:hAnsiTheme="majorBidi" w:cstheme="majorBidi"/>
                <w:b/>
                <w:bCs/>
                <w:noProof/>
                <w:sz w:val="14"/>
                <w:szCs w:val="14"/>
              </w:rPr>
            </w:pPr>
            <w:r w:rsidRPr="00D773F7">
              <w:rPr>
                <w:rFonts w:asciiTheme="majorBidi" w:hAnsiTheme="majorBidi" w:cstheme="majorBidi"/>
                <w:b/>
                <w:bCs/>
                <w:noProof/>
                <w:sz w:val="14"/>
                <w:szCs w:val="14"/>
              </w:rPr>
              <w:t>OECD Test Guideline 494</w:t>
            </w:r>
          </w:p>
          <w:p w14:paraId="2905CAB7" w14:textId="77777777" w:rsidR="00E00BDF" w:rsidRPr="00D773F7" w:rsidRDefault="00E00BDF">
            <w:pPr>
              <w:spacing w:before="40" w:after="40" w:line="200" w:lineRule="atLeast"/>
              <w:contextualSpacing/>
              <w:jc w:val="center"/>
              <w:rPr>
                <w:rFonts w:asciiTheme="majorBidi" w:hAnsiTheme="majorBidi" w:cstheme="majorBidi"/>
                <w:b/>
                <w:bCs/>
                <w:noProof/>
                <w:sz w:val="14"/>
                <w:szCs w:val="14"/>
              </w:rPr>
            </w:pPr>
            <w:r w:rsidRPr="00D773F7">
              <w:rPr>
                <w:rFonts w:asciiTheme="majorBidi" w:hAnsiTheme="majorBidi" w:cstheme="majorBidi"/>
                <w:b/>
                <w:bCs/>
                <w:noProof/>
                <w:sz w:val="14"/>
                <w:szCs w:val="14"/>
              </w:rPr>
              <w:t xml:space="preserve">Vitrigel-Eye Irritancy Test Method </w:t>
            </w:r>
          </w:p>
        </w:tc>
        <w:tc>
          <w:tcPr>
            <w:tcW w:w="692" w:type="pct"/>
          </w:tcPr>
          <w:p w14:paraId="5E3E98A8" w14:textId="77777777" w:rsidR="00E00BDF" w:rsidRPr="00D773F7" w:rsidRDefault="00E00BDF">
            <w:pPr>
              <w:spacing w:before="40" w:after="40" w:line="200" w:lineRule="atLeast"/>
              <w:contextualSpacing/>
              <w:jc w:val="center"/>
              <w:rPr>
                <w:rFonts w:asciiTheme="majorBidi" w:hAnsiTheme="majorBidi" w:cstheme="majorBidi"/>
                <w:b/>
                <w:bCs/>
                <w:noProof/>
                <w:sz w:val="14"/>
                <w:szCs w:val="14"/>
              </w:rPr>
            </w:pPr>
            <w:bookmarkStart w:id="11" w:name="_Hlk69886218"/>
            <w:r w:rsidRPr="00D773F7">
              <w:rPr>
                <w:rFonts w:asciiTheme="majorBidi" w:hAnsiTheme="majorBidi" w:cstheme="majorBidi"/>
                <w:b/>
                <w:bCs/>
                <w:noProof/>
                <w:sz w:val="14"/>
                <w:szCs w:val="14"/>
              </w:rPr>
              <w:t>OECD Test Guideline 496</w:t>
            </w:r>
          </w:p>
          <w:p w14:paraId="22735E7E" w14:textId="77777777" w:rsidR="00E00BDF" w:rsidRPr="00D773F7" w:rsidRDefault="00E00BDF">
            <w:pPr>
              <w:spacing w:before="40" w:after="40" w:line="200" w:lineRule="atLeast"/>
              <w:contextualSpacing/>
              <w:jc w:val="center"/>
              <w:rPr>
                <w:rFonts w:asciiTheme="majorBidi" w:hAnsiTheme="majorBidi" w:cstheme="majorBidi"/>
                <w:b/>
                <w:bCs/>
                <w:noProof/>
                <w:sz w:val="14"/>
                <w:szCs w:val="14"/>
              </w:rPr>
            </w:pPr>
            <w:r w:rsidRPr="00D773F7">
              <w:rPr>
                <w:rFonts w:asciiTheme="majorBidi" w:hAnsiTheme="majorBidi" w:cstheme="majorBidi"/>
                <w:b/>
                <w:bCs/>
                <w:iCs/>
                <w:noProof/>
                <w:sz w:val="14"/>
                <w:szCs w:val="14"/>
              </w:rPr>
              <w:t>In vitro</w:t>
            </w:r>
            <w:r w:rsidRPr="00D773F7">
              <w:rPr>
                <w:rFonts w:asciiTheme="majorBidi" w:hAnsiTheme="majorBidi" w:cstheme="majorBidi"/>
                <w:b/>
                <w:bCs/>
                <w:noProof/>
                <w:sz w:val="14"/>
                <w:szCs w:val="14"/>
              </w:rPr>
              <w:t xml:space="preserve"> Macromolecular Test Method </w:t>
            </w:r>
            <w:r w:rsidRPr="00D773F7">
              <w:rPr>
                <w:rFonts w:asciiTheme="majorBidi" w:hAnsiTheme="majorBidi" w:cstheme="majorBidi"/>
                <w:b/>
                <w:bCs/>
                <w:noProof/>
                <w:sz w:val="14"/>
                <w:szCs w:val="14"/>
              </w:rPr>
              <w:br/>
              <w:t>(test method 1)</w:t>
            </w:r>
            <w:bookmarkEnd w:id="11"/>
          </w:p>
        </w:tc>
      </w:tr>
      <w:tr w:rsidR="00E00BDF" w:rsidRPr="00D773F7" w14:paraId="1EDD0525" w14:textId="77777777">
        <w:trPr>
          <w:jc w:val="center"/>
        </w:trPr>
        <w:tc>
          <w:tcPr>
            <w:tcW w:w="249" w:type="pct"/>
            <w:shd w:val="clear" w:color="auto" w:fill="auto"/>
            <w:tcMar>
              <w:top w:w="57" w:type="dxa"/>
              <w:left w:w="57" w:type="dxa"/>
              <w:bottom w:w="57" w:type="dxa"/>
              <w:right w:w="57" w:type="dxa"/>
            </w:tcMar>
          </w:tcPr>
          <w:p w14:paraId="032F1AD4" w14:textId="77777777" w:rsidR="00E00BDF" w:rsidRPr="00D773F7" w:rsidRDefault="00E00BDF">
            <w:pPr>
              <w:spacing w:before="40" w:after="40" w:line="200" w:lineRule="atLeast"/>
              <w:ind w:left="-63" w:right="-58"/>
              <w:contextualSpacing/>
              <w:jc w:val="center"/>
              <w:rPr>
                <w:rFonts w:asciiTheme="majorBidi" w:eastAsia="Calibri" w:hAnsiTheme="majorBidi" w:cstheme="majorBidi"/>
                <w:b/>
                <w:bCs/>
                <w:noProof/>
                <w:sz w:val="14"/>
                <w:szCs w:val="14"/>
              </w:rPr>
            </w:pPr>
          </w:p>
        </w:tc>
        <w:tc>
          <w:tcPr>
            <w:tcW w:w="701" w:type="pct"/>
            <w:shd w:val="clear" w:color="auto" w:fill="auto"/>
            <w:tcMar>
              <w:top w:w="57" w:type="dxa"/>
              <w:left w:w="57" w:type="dxa"/>
              <w:bottom w:w="57" w:type="dxa"/>
              <w:right w:w="57" w:type="dxa"/>
            </w:tcMar>
          </w:tcPr>
          <w:p w14:paraId="4124E386" w14:textId="77777777" w:rsidR="00E00BDF" w:rsidRPr="00D773F7" w:rsidRDefault="00E00BDF">
            <w:pPr>
              <w:spacing w:before="40" w:after="40" w:line="200" w:lineRule="atLeast"/>
              <w:contextualSpacing/>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 xml:space="preserve">Organotypic </w:t>
            </w:r>
            <w:r w:rsidRPr="00D773F7">
              <w:rPr>
                <w:rFonts w:asciiTheme="majorBidi" w:eastAsia="Calibri" w:hAnsiTheme="majorBidi" w:cstheme="majorBidi"/>
                <w:bCs/>
                <w:i/>
                <w:noProof/>
                <w:sz w:val="14"/>
                <w:szCs w:val="14"/>
              </w:rPr>
              <w:t>ex vivo</w:t>
            </w:r>
            <w:r w:rsidRPr="00D773F7">
              <w:rPr>
                <w:rFonts w:asciiTheme="majorBidi" w:eastAsia="Calibri" w:hAnsiTheme="majorBidi" w:cstheme="majorBidi"/>
                <w:bCs/>
                <w:noProof/>
                <w:sz w:val="14"/>
                <w:szCs w:val="14"/>
              </w:rPr>
              <w:t xml:space="preserve"> assay using isolated corneas from the eyes of freshly slaughtered cattle. Test chemicals are applied to the epithelial surface of the cornea. Damage by the test chemical is assessed by quantitative measurements of:</w:t>
            </w:r>
          </w:p>
          <w:p w14:paraId="3F39617A" w14:textId="77777777" w:rsidR="00E00BDF" w:rsidRPr="00D773F7" w:rsidRDefault="00E00BDF">
            <w:pPr>
              <w:spacing w:before="40" w:after="40" w:line="200" w:lineRule="atLeast"/>
              <w:contextualSpacing/>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 Corneal opacity changes measured using a light transmission opacitometer (opacitometer 1) or a laserlight-based opacitometer (LLBO, opacitometer 2)</w:t>
            </w:r>
          </w:p>
          <w:p w14:paraId="175D4EFA" w14:textId="77777777" w:rsidR="00E00BDF" w:rsidRPr="00D773F7" w:rsidRDefault="00E00BDF">
            <w:pPr>
              <w:spacing w:before="40" w:after="40" w:line="200" w:lineRule="atLeast"/>
              <w:contextualSpacing/>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 Permeability (sodium fluorescein dye).</w:t>
            </w:r>
          </w:p>
          <w:p w14:paraId="71AB9580" w14:textId="2BB9FC51" w:rsidR="00E00BDF" w:rsidRPr="00D773F7" w:rsidRDefault="00E00BDF">
            <w:pPr>
              <w:spacing w:before="40" w:after="40" w:line="200" w:lineRule="atLeast"/>
              <w:contextualSpacing/>
              <w:rPr>
                <w:rFonts w:asciiTheme="majorBidi" w:eastAsia="Calibri" w:hAnsiTheme="majorBidi" w:cstheme="majorBidi"/>
                <w:b/>
                <w:bCs/>
                <w:noProof/>
                <w:sz w:val="14"/>
                <w:szCs w:val="14"/>
              </w:rPr>
            </w:pPr>
            <w:r w:rsidRPr="00D773F7">
              <w:rPr>
                <w:rFonts w:asciiTheme="majorBidi" w:eastAsia="Calibri" w:hAnsiTheme="majorBidi" w:cstheme="majorBidi"/>
                <w:bCs/>
                <w:noProof/>
                <w:sz w:val="14"/>
                <w:szCs w:val="14"/>
              </w:rPr>
              <w:t xml:space="preserve">Both measurements are used to calculate an </w:t>
            </w:r>
            <w:r w:rsidR="00E12303" w:rsidRPr="00D773F7">
              <w:rPr>
                <w:rFonts w:asciiTheme="majorBidi" w:eastAsia="Calibri" w:hAnsiTheme="majorBidi" w:cstheme="majorBidi"/>
                <w:bCs/>
                <w:noProof/>
                <w:sz w:val="14"/>
                <w:szCs w:val="14"/>
              </w:rPr>
              <w:t>i</w:t>
            </w:r>
            <w:r w:rsidRPr="00D773F7">
              <w:rPr>
                <w:rFonts w:asciiTheme="majorBidi" w:eastAsia="Calibri" w:hAnsiTheme="majorBidi" w:cstheme="majorBidi"/>
                <w:bCs/>
                <w:iCs/>
                <w:noProof/>
                <w:sz w:val="14"/>
                <w:szCs w:val="14"/>
              </w:rPr>
              <w:t xml:space="preserve">n </w:t>
            </w:r>
            <w:r w:rsidR="00E12303" w:rsidRPr="00D773F7">
              <w:rPr>
                <w:rFonts w:asciiTheme="majorBidi" w:eastAsia="Calibri" w:hAnsiTheme="majorBidi" w:cstheme="majorBidi"/>
                <w:bCs/>
                <w:iCs/>
                <w:noProof/>
                <w:sz w:val="14"/>
                <w:szCs w:val="14"/>
              </w:rPr>
              <w:t>v</w:t>
            </w:r>
            <w:r w:rsidRPr="00D773F7">
              <w:rPr>
                <w:rFonts w:asciiTheme="majorBidi" w:eastAsia="Calibri" w:hAnsiTheme="majorBidi" w:cstheme="majorBidi"/>
                <w:bCs/>
                <w:iCs/>
                <w:noProof/>
                <w:sz w:val="14"/>
                <w:szCs w:val="14"/>
              </w:rPr>
              <w:t>itro</w:t>
            </w:r>
            <w:r w:rsidRPr="00D773F7">
              <w:rPr>
                <w:rFonts w:asciiTheme="majorBidi" w:eastAsia="Calibri" w:hAnsiTheme="majorBidi" w:cstheme="majorBidi"/>
                <w:bCs/>
                <w:noProof/>
                <w:sz w:val="14"/>
                <w:szCs w:val="14"/>
              </w:rPr>
              <w:t xml:space="preserve"> </w:t>
            </w:r>
            <w:r w:rsidR="00E12303" w:rsidRPr="00D773F7">
              <w:rPr>
                <w:rFonts w:asciiTheme="majorBidi" w:eastAsia="Calibri" w:hAnsiTheme="majorBidi" w:cstheme="majorBidi"/>
                <w:bCs/>
                <w:noProof/>
                <w:sz w:val="14"/>
                <w:szCs w:val="14"/>
              </w:rPr>
              <w:t>i</w:t>
            </w:r>
            <w:r w:rsidRPr="00D773F7">
              <w:rPr>
                <w:rFonts w:asciiTheme="majorBidi" w:eastAsia="Calibri" w:hAnsiTheme="majorBidi" w:cstheme="majorBidi"/>
                <w:bCs/>
                <w:noProof/>
                <w:sz w:val="14"/>
                <w:szCs w:val="14"/>
              </w:rPr>
              <w:t xml:space="preserve">rritancy </w:t>
            </w:r>
            <w:r w:rsidR="00E12303" w:rsidRPr="00D773F7">
              <w:rPr>
                <w:rFonts w:asciiTheme="majorBidi" w:eastAsia="Calibri" w:hAnsiTheme="majorBidi" w:cstheme="majorBidi"/>
                <w:bCs/>
                <w:noProof/>
                <w:sz w:val="14"/>
                <w:szCs w:val="14"/>
              </w:rPr>
              <w:t>s</w:t>
            </w:r>
            <w:r w:rsidRPr="00D773F7">
              <w:rPr>
                <w:rFonts w:asciiTheme="majorBidi" w:eastAsia="Calibri" w:hAnsiTheme="majorBidi" w:cstheme="majorBidi"/>
                <w:bCs/>
                <w:noProof/>
                <w:sz w:val="14"/>
                <w:szCs w:val="14"/>
              </w:rPr>
              <w:t>core (IVIS) when using opocitometer 1 or a LLBO Irritancy Score (LIS) when using opacitometer 2.</w:t>
            </w:r>
          </w:p>
          <w:p w14:paraId="5E9330AE" w14:textId="77777777" w:rsidR="00E00BDF" w:rsidRPr="00D773F7" w:rsidRDefault="00E00BDF">
            <w:pPr>
              <w:spacing w:before="40" w:after="40" w:line="200" w:lineRule="atLeast"/>
              <w:contextualSpacing/>
              <w:rPr>
                <w:rFonts w:asciiTheme="majorBidi" w:eastAsia="Calibri" w:hAnsiTheme="majorBidi" w:cstheme="majorBidi"/>
                <w:bCs/>
                <w:noProof/>
                <w:sz w:val="14"/>
                <w:szCs w:val="14"/>
              </w:rPr>
            </w:pPr>
            <w:r w:rsidRPr="00D773F7">
              <w:rPr>
                <w:rFonts w:asciiTheme="majorBidi" w:eastAsia="Calibri" w:hAnsiTheme="majorBidi" w:cstheme="majorBidi"/>
                <w:b/>
                <w:bCs/>
                <w:noProof/>
                <w:sz w:val="14"/>
                <w:szCs w:val="14"/>
              </w:rPr>
              <w:t>Criteria based on IVIS or LIS.</w:t>
            </w:r>
          </w:p>
        </w:tc>
        <w:tc>
          <w:tcPr>
            <w:tcW w:w="630" w:type="pct"/>
            <w:shd w:val="clear" w:color="auto" w:fill="auto"/>
          </w:tcPr>
          <w:p w14:paraId="4FBF73AD" w14:textId="77777777" w:rsidR="00E00BDF" w:rsidRPr="00D773F7" w:rsidRDefault="00E00BDF">
            <w:pPr>
              <w:spacing w:before="40" w:after="40" w:line="200" w:lineRule="atLeast"/>
              <w:contextualSpacing/>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 xml:space="preserve">Organotypic </w:t>
            </w:r>
            <w:r w:rsidRPr="00D773F7">
              <w:rPr>
                <w:rFonts w:asciiTheme="majorBidi" w:eastAsia="Calibri" w:hAnsiTheme="majorBidi" w:cstheme="majorBidi"/>
                <w:bCs/>
                <w:i/>
                <w:noProof/>
                <w:sz w:val="14"/>
                <w:szCs w:val="14"/>
              </w:rPr>
              <w:t>ex vivo</w:t>
            </w:r>
            <w:r w:rsidRPr="00D773F7">
              <w:rPr>
                <w:rFonts w:asciiTheme="majorBidi" w:eastAsia="Calibri" w:hAnsiTheme="majorBidi" w:cstheme="majorBidi"/>
                <w:bCs/>
                <w:noProof/>
                <w:sz w:val="14"/>
                <w:szCs w:val="14"/>
              </w:rPr>
              <w:t xml:space="preserve"> assay based on the short-term maintenance of chicken eyes </w:t>
            </w:r>
            <w:r w:rsidRPr="00D773F7">
              <w:rPr>
                <w:rFonts w:asciiTheme="majorBidi" w:eastAsia="Calibri" w:hAnsiTheme="majorBidi" w:cstheme="majorBidi"/>
                <w:bCs/>
                <w:iCs/>
                <w:noProof/>
                <w:sz w:val="14"/>
                <w:szCs w:val="14"/>
              </w:rPr>
              <w:t>in vitro</w:t>
            </w:r>
            <w:r w:rsidRPr="00D773F7">
              <w:rPr>
                <w:rFonts w:asciiTheme="majorBidi" w:eastAsia="Calibri" w:hAnsiTheme="majorBidi" w:cstheme="majorBidi"/>
                <w:bCs/>
                <w:noProof/>
                <w:sz w:val="14"/>
                <w:szCs w:val="14"/>
              </w:rPr>
              <w:t xml:space="preserve">. Test chemicals are applied to the epithelial surface of the cornea. Damage by the test chemical is assessed by (i) a quantitative measurement of increased corneal thickness (swelling), (ii) a qualitative assessment of corneal opacity, (iii) a qualitative assessment of damage to epithelium based on application of fluorescein to the eye, and (iv) a qualitative evaluation of macroscopic morphological damage to the surface. Histopathology can be used to increase the sensitivity of the method for identifying Category 1 non-extreme pH (2 &lt; pH &lt; 11.5) detergents and surfactants. </w:t>
            </w:r>
            <w:r w:rsidRPr="00D773F7">
              <w:rPr>
                <w:rFonts w:asciiTheme="majorBidi" w:eastAsia="Calibri" w:hAnsiTheme="majorBidi" w:cstheme="majorBidi"/>
                <w:bCs/>
                <w:noProof/>
                <w:sz w:val="14"/>
                <w:szCs w:val="14"/>
                <w:vertAlign w:val="superscript"/>
              </w:rPr>
              <w:t>b</w:t>
            </w:r>
          </w:p>
          <w:p w14:paraId="7EC5A656" w14:textId="77777777" w:rsidR="00E00BDF" w:rsidRPr="00D773F7" w:rsidRDefault="00E00BDF">
            <w:pPr>
              <w:spacing w:before="40" w:after="40" w:line="200" w:lineRule="atLeast"/>
              <w:contextualSpacing/>
              <w:rPr>
                <w:rFonts w:asciiTheme="majorBidi" w:eastAsia="Calibri" w:hAnsiTheme="majorBidi" w:cstheme="majorBidi"/>
                <w:bCs/>
                <w:noProof/>
                <w:sz w:val="14"/>
                <w:szCs w:val="14"/>
              </w:rPr>
            </w:pPr>
            <w:r w:rsidRPr="00D773F7">
              <w:rPr>
                <w:rFonts w:asciiTheme="majorBidi" w:eastAsia="Calibri" w:hAnsiTheme="majorBidi" w:cstheme="majorBidi"/>
                <w:b/>
                <w:bCs/>
                <w:noProof/>
                <w:sz w:val="14"/>
                <w:szCs w:val="14"/>
              </w:rPr>
              <w:t xml:space="preserve">Criteria based on the scores of corneal swelling, opacity and fluorescein retention, which are used to assign ICE classes (I, II, III or IV) to each endpoint, and on macroscopic and histopathology assessment </w:t>
            </w:r>
            <w:r w:rsidRPr="00D773F7">
              <w:rPr>
                <w:rFonts w:asciiTheme="majorBidi" w:eastAsia="Calibri" w:hAnsiTheme="majorBidi" w:cstheme="majorBidi"/>
                <w:b/>
                <w:bCs/>
                <w:noProof/>
                <w:sz w:val="14"/>
                <w:szCs w:val="14"/>
                <w:vertAlign w:val="superscript"/>
              </w:rPr>
              <w:t>b</w:t>
            </w:r>
          </w:p>
        </w:tc>
        <w:tc>
          <w:tcPr>
            <w:tcW w:w="650" w:type="pct"/>
          </w:tcPr>
          <w:p w14:paraId="7F8B200F" w14:textId="77777777" w:rsidR="00E00BDF" w:rsidRPr="00D773F7" w:rsidRDefault="00E00BDF">
            <w:pPr>
              <w:spacing w:before="40" w:after="40" w:line="200" w:lineRule="atLeast"/>
              <w:contextualSpacing/>
              <w:rPr>
                <w:rFonts w:asciiTheme="majorBidi" w:eastAsia="Calibri" w:hAnsiTheme="majorBidi" w:cstheme="majorBidi"/>
                <w:b/>
                <w:bCs/>
                <w:noProof/>
                <w:sz w:val="14"/>
                <w:szCs w:val="14"/>
              </w:rPr>
            </w:pPr>
            <w:r w:rsidRPr="00D773F7">
              <w:rPr>
                <w:rFonts w:asciiTheme="majorBidi" w:eastAsia="Calibri" w:hAnsiTheme="majorBidi" w:cstheme="majorBidi"/>
                <w:bCs/>
                <w:noProof/>
                <w:sz w:val="14"/>
                <w:szCs w:val="14"/>
              </w:rPr>
              <w:t xml:space="preserve">Cytotoxicity and cell-function based </w:t>
            </w:r>
            <w:r w:rsidRPr="00D773F7">
              <w:rPr>
                <w:rFonts w:asciiTheme="majorBidi" w:eastAsia="Calibri" w:hAnsiTheme="majorBidi" w:cstheme="majorBidi"/>
                <w:bCs/>
                <w:iCs/>
                <w:noProof/>
                <w:sz w:val="14"/>
                <w:szCs w:val="14"/>
              </w:rPr>
              <w:t>in vitro</w:t>
            </w:r>
            <w:r w:rsidRPr="00D773F7">
              <w:rPr>
                <w:rFonts w:asciiTheme="majorBidi" w:eastAsia="Calibri" w:hAnsiTheme="majorBidi" w:cstheme="majorBidi"/>
                <w:bCs/>
                <w:noProof/>
                <w:sz w:val="14"/>
                <w:szCs w:val="14"/>
              </w:rPr>
              <w:t xml:space="preserve"> assay that is performed on a confluent monolayer of Madin-Darby Canine Kidney (MDCK) CB997 tubular epithelial cells cultured on permeable inserts. The toxic effects of a test chemical are measured after a short exposure time (1 minute) by an increase in permeability of sodium fluorescein through the epithelial monolayer of MDCK cells. The amount of fluorescein leakage that occurs is proportional to the chemical-induced damage to the tight junctions, desmosomal junctions and cell membranes, and is used to estimate the ocular toxicity potential of a test chemical.</w:t>
            </w:r>
            <w:r w:rsidRPr="00D773F7">
              <w:rPr>
                <w:rFonts w:asciiTheme="majorBidi" w:eastAsia="Calibri" w:hAnsiTheme="majorBidi" w:cstheme="majorBidi"/>
                <w:b/>
                <w:bCs/>
                <w:noProof/>
                <w:sz w:val="14"/>
                <w:szCs w:val="14"/>
              </w:rPr>
              <w:t xml:space="preserve"> </w:t>
            </w:r>
          </w:p>
          <w:p w14:paraId="1759D22B" w14:textId="77777777" w:rsidR="00E00BDF" w:rsidRPr="00D773F7" w:rsidRDefault="00E00BDF">
            <w:pPr>
              <w:spacing w:before="40" w:after="40" w:line="200" w:lineRule="atLeast"/>
              <w:contextualSpacing/>
              <w:rPr>
                <w:rFonts w:asciiTheme="majorBidi" w:eastAsia="Calibri" w:hAnsiTheme="majorBidi" w:cstheme="majorBidi"/>
                <w:bCs/>
                <w:noProof/>
                <w:sz w:val="14"/>
                <w:szCs w:val="14"/>
              </w:rPr>
            </w:pPr>
            <w:r w:rsidRPr="00D773F7">
              <w:rPr>
                <w:rFonts w:asciiTheme="majorBidi" w:eastAsia="Calibri" w:hAnsiTheme="majorBidi" w:cstheme="majorBidi"/>
                <w:b/>
                <w:bCs/>
                <w:noProof/>
                <w:sz w:val="14"/>
                <w:szCs w:val="14"/>
              </w:rPr>
              <w:t>Criteria based on mean percent fluorescein leakage following a defined exposure period</w:t>
            </w:r>
            <w:r w:rsidRPr="00D773F7">
              <w:rPr>
                <w:rFonts w:asciiTheme="majorBidi" w:eastAsia="Calibri" w:hAnsiTheme="majorBidi" w:cstheme="majorBidi"/>
                <w:bCs/>
                <w:noProof/>
                <w:sz w:val="14"/>
                <w:szCs w:val="14"/>
              </w:rPr>
              <w:t xml:space="preserve"> </w:t>
            </w:r>
          </w:p>
        </w:tc>
        <w:tc>
          <w:tcPr>
            <w:tcW w:w="622" w:type="pct"/>
            <w:shd w:val="clear" w:color="auto" w:fill="auto"/>
            <w:tcMar>
              <w:top w:w="57" w:type="dxa"/>
              <w:left w:w="57" w:type="dxa"/>
              <w:bottom w:w="57" w:type="dxa"/>
              <w:right w:w="57" w:type="dxa"/>
            </w:tcMar>
          </w:tcPr>
          <w:p w14:paraId="6BE072B1" w14:textId="77777777" w:rsidR="00E00BDF" w:rsidRPr="00D773F7" w:rsidRDefault="00E00BDF">
            <w:pPr>
              <w:spacing w:before="40" w:after="40" w:line="200" w:lineRule="atLeast"/>
              <w:contextualSpacing/>
              <w:rPr>
                <w:rFonts w:asciiTheme="majorBidi" w:hAnsiTheme="majorBidi" w:cstheme="majorBidi"/>
                <w:sz w:val="14"/>
                <w:szCs w:val="14"/>
              </w:rPr>
            </w:pPr>
            <w:r w:rsidRPr="00D773F7">
              <w:rPr>
                <w:rFonts w:asciiTheme="majorBidi" w:eastAsia="Calibri" w:hAnsiTheme="majorBidi" w:cstheme="majorBidi"/>
                <w:bCs/>
                <w:noProof/>
                <w:sz w:val="14"/>
                <w:szCs w:val="14"/>
              </w:rPr>
              <w:t xml:space="preserve">Cytotoxicity-based </w:t>
            </w:r>
            <w:r w:rsidRPr="00D773F7">
              <w:rPr>
                <w:rFonts w:asciiTheme="majorBidi" w:eastAsia="Calibri" w:hAnsiTheme="majorBidi" w:cstheme="majorBidi"/>
                <w:bCs/>
                <w:iCs/>
                <w:noProof/>
                <w:sz w:val="14"/>
                <w:szCs w:val="14"/>
              </w:rPr>
              <w:t>in vitro</w:t>
            </w:r>
            <w:r w:rsidRPr="00D773F7">
              <w:rPr>
                <w:rFonts w:asciiTheme="majorBidi" w:eastAsia="Calibri" w:hAnsiTheme="majorBidi" w:cstheme="majorBidi"/>
                <w:bCs/>
                <w:noProof/>
                <w:sz w:val="14"/>
                <w:szCs w:val="14"/>
              </w:rPr>
              <w:t xml:space="preserve"> assay that is performed on a confluent monolayer of Statens Seruminstitut Rabbit Cornea (SIRC) cells. Each test chemical is tested at both 5 % and 0.05 % concentrations. Following five-minute exposure, cell viability is assessed by the enzymatic conversion in viable cells of the vital dye MTT into a blue formazan salt that is quantitatively measured after extraction from cells.</w:t>
            </w:r>
          </w:p>
          <w:p w14:paraId="1C9CDD8C" w14:textId="77777777" w:rsidR="00E00BDF" w:rsidRPr="00D773F7" w:rsidRDefault="00E00BDF">
            <w:pPr>
              <w:spacing w:before="40" w:after="40" w:line="200" w:lineRule="atLeast"/>
              <w:contextualSpacing/>
              <w:rPr>
                <w:rFonts w:asciiTheme="majorBidi" w:hAnsiTheme="majorBidi" w:cstheme="majorBidi"/>
                <w:sz w:val="14"/>
                <w:szCs w:val="14"/>
              </w:rPr>
            </w:pPr>
            <w:r w:rsidRPr="00D773F7">
              <w:rPr>
                <w:rFonts w:asciiTheme="majorBidi" w:eastAsia="Calibri" w:hAnsiTheme="majorBidi" w:cstheme="majorBidi"/>
                <w:b/>
                <w:bCs/>
                <w:noProof/>
                <w:sz w:val="14"/>
                <w:szCs w:val="14"/>
              </w:rPr>
              <w:t>Criteria based on mean percent cell viability following a defined exposure period</w:t>
            </w:r>
          </w:p>
        </w:tc>
        <w:tc>
          <w:tcPr>
            <w:tcW w:w="1001" w:type="pct"/>
            <w:shd w:val="clear" w:color="auto" w:fill="auto"/>
          </w:tcPr>
          <w:p w14:paraId="48EC1767" w14:textId="77777777" w:rsidR="00E00BDF" w:rsidRPr="00D773F7" w:rsidRDefault="00E00BDF">
            <w:pPr>
              <w:spacing w:before="40" w:after="40" w:line="200" w:lineRule="atLeast"/>
              <w:contextualSpacing/>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Three-dimensional RhCE tissues are reconstructed from either primary human cells or human immortalised corneal epithelial cells, which have been cultured for several days to form a stratified, highly differentiated squamous epithelium, consisting of at least 3 viable layers of cells and a non-keratinised surface, showing a cornea-like structure morphologically similar to that found in the human cornea. Following exposure and post-treatment incubation (where applicable), tissue viability is assessed by the enzymatic conversion in viable cells of the vital dye MTT into a blue formazan salt that is quantitatively measured after extraction from the tissues.</w:t>
            </w:r>
          </w:p>
          <w:p w14:paraId="244AB891" w14:textId="77777777" w:rsidR="00E00BDF" w:rsidRPr="00D773F7" w:rsidRDefault="00E00BDF">
            <w:pPr>
              <w:spacing w:before="40" w:after="40" w:line="200" w:lineRule="atLeast"/>
              <w:contextualSpacing/>
              <w:rPr>
                <w:rFonts w:asciiTheme="majorBidi" w:eastAsia="Calibri" w:hAnsiTheme="majorBidi" w:cstheme="majorBidi"/>
                <w:b/>
                <w:bCs/>
                <w:noProof/>
                <w:sz w:val="14"/>
                <w:szCs w:val="14"/>
              </w:rPr>
            </w:pPr>
            <w:r w:rsidRPr="00D773F7">
              <w:rPr>
                <w:rFonts w:asciiTheme="majorBidi" w:eastAsia="Calibri" w:hAnsiTheme="majorBidi" w:cstheme="majorBidi"/>
                <w:b/>
                <w:bCs/>
                <w:noProof/>
                <w:sz w:val="14"/>
                <w:szCs w:val="14"/>
              </w:rPr>
              <w:t>Criteria based on mean percent tissue viability following defined exposure and post-exposure (where applicable) periods</w:t>
            </w:r>
          </w:p>
        </w:tc>
        <w:tc>
          <w:tcPr>
            <w:tcW w:w="455" w:type="pct"/>
          </w:tcPr>
          <w:p w14:paraId="61974699" w14:textId="77777777" w:rsidR="00E00BDF" w:rsidRPr="00D773F7" w:rsidRDefault="00E00BDF">
            <w:pPr>
              <w:spacing w:before="40" w:after="40" w:line="200" w:lineRule="atLeast"/>
              <w:contextualSpacing/>
              <w:rPr>
                <w:rFonts w:asciiTheme="majorBidi" w:eastAsia="Calibri" w:hAnsiTheme="majorBidi" w:cstheme="majorBidi"/>
                <w:bCs/>
                <w:noProof/>
                <w:sz w:val="14"/>
                <w:szCs w:val="14"/>
              </w:rPr>
            </w:pPr>
            <w:r w:rsidRPr="00D773F7">
              <w:rPr>
                <w:rFonts w:asciiTheme="majorBidi" w:eastAsia="Calibri" w:hAnsiTheme="majorBidi" w:cstheme="majorBidi"/>
                <w:bCs/>
                <w:iCs/>
                <w:noProof/>
                <w:sz w:val="14"/>
                <w:szCs w:val="14"/>
              </w:rPr>
              <w:t>In vitro</w:t>
            </w:r>
            <w:r w:rsidRPr="00D773F7">
              <w:rPr>
                <w:rFonts w:asciiTheme="majorBidi" w:eastAsia="Calibri" w:hAnsiTheme="majorBidi" w:cstheme="majorBidi"/>
                <w:bCs/>
                <w:noProof/>
                <w:sz w:val="14"/>
                <w:szCs w:val="14"/>
              </w:rPr>
              <w:t xml:space="preserve"> assay using human corneal epithelium models fabricated in a </w:t>
            </w:r>
            <w:r w:rsidRPr="00D773F7">
              <w:rPr>
                <w:rFonts w:asciiTheme="majorBidi" w:eastAsia="Calibri" w:hAnsiTheme="majorBidi" w:cstheme="majorBidi"/>
                <w:bCs/>
                <w:noProof/>
                <w:sz w:val="14"/>
                <w:szCs w:val="14"/>
                <w:lang w:val="it-IT"/>
              </w:rPr>
              <w:t xml:space="preserve">collagen vitrigel membrane (CVM) chamber. </w:t>
            </w:r>
            <w:r w:rsidRPr="00D773F7">
              <w:rPr>
                <w:rFonts w:asciiTheme="majorBidi" w:eastAsia="Calibri" w:hAnsiTheme="majorBidi" w:cstheme="majorBidi"/>
                <w:bCs/>
                <w:noProof/>
                <w:sz w:val="14"/>
                <w:szCs w:val="14"/>
              </w:rPr>
              <w:t>The eye irritation potential of the test chemical is predicted by analysing time-dependent changes in transepithelial electrical resistance values using the value</w:t>
            </w:r>
          </w:p>
          <w:p w14:paraId="037C5711" w14:textId="77777777" w:rsidR="00E00BDF" w:rsidRPr="00D773F7" w:rsidRDefault="00E00BDF">
            <w:pPr>
              <w:spacing w:before="40" w:after="40" w:line="200" w:lineRule="atLeast"/>
              <w:contextualSpacing/>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 xml:space="preserve">of three indexes. </w:t>
            </w:r>
          </w:p>
          <w:p w14:paraId="5424E7D7" w14:textId="77777777" w:rsidR="00E00BDF" w:rsidRPr="00D773F7" w:rsidRDefault="00E00BDF">
            <w:pPr>
              <w:spacing w:before="40" w:after="40" w:line="200" w:lineRule="atLeast"/>
              <w:contextualSpacing/>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Resistance values are measured at intervals of 10 seconds for a period of three minutes after exposure to the test chemical</w:t>
            </w:r>
          </w:p>
          <w:p w14:paraId="26DEF395" w14:textId="77777777" w:rsidR="00E00BDF" w:rsidRPr="00D773F7" w:rsidRDefault="00E00BDF">
            <w:pPr>
              <w:spacing w:before="40" w:after="40" w:line="200" w:lineRule="atLeast"/>
              <w:contextualSpacing/>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preparation.</w:t>
            </w:r>
          </w:p>
          <w:p w14:paraId="523351C0" w14:textId="77777777" w:rsidR="00E00BDF" w:rsidRPr="00D773F7" w:rsidRDefault="00E00BDF">
            <w:pPr>
              <w:spacing w:before="40" w:after="40" w:line="200" w:lineRule="atLeast"/>
              <w:contextualSpacing/>
              <w:rPr>
                <w:rFonts w:asciiTheme="majorBidi" w:eastAsia="Calibri" w:hAnsiTheme="majorBidi" w:cstheme="majorBidi"/>
                <w:bCs/>
                <w:noProof/>
                <w:sz w:val="14"/>
                <w:szCs w:val="14"/>
              </w:rPr>
            </w:pPr>
            <w:r w:rsidRPr="00D773F7">
              <w:rPr>
                <w:rFonts w:asciiTheme="majorBidi" w:eastAsia="Calibri" w:hAnsiTheme="majorBidi" w:cstheme="majorBidi"/>
                <w:b/>
                <w:bCs/>
                <w:noProof/>
                <w:sz w:val="14"/>
                <w:szCs w:val="14"/>
              </w:rPr>
              <w:t>Criteria based on the 3 measured indexes: time lag, intensity and plateau level of electrical resistance</w:t>
            </w:r>
            <w:r w:rsidRPr="00D773F7">
              <w:rPr>
                <w:rFonts w:asciiTheme="majorBidi" w:eastAsia="Calibri" w:hAnsiTheme="majorBidi" w:cstheme="majorBidi"/>
                <w:bCs/>
                <w:noProof/>
                <w:sz w:val="14"/>
                <w:szCs w:val="14"/>
              </w:rPr>
              <w:t>.</w:t>
            </w:r>
          </w:p>
        </w:tc>
        <w:tc>
          <w:tcPr>
            <w:tcW w:w="692" w:type="pct"/>
          </w:tcPr>
          <w:p w14:paraId="15D41C8D" w14:textId="29496E48" w:rsidR="00E00BDF" w:rsidRPr="00D773F7" w:rsidRDefault="00E00BDF">
            <w:pPr>
              <w:spacing w:before="40" w:after="40" w:line="200" w:lineRule="atLeast"/>
              <w:contextualSpacing/>
              <w:rPr>
                <w:rFonts w:asciiTheme="majorBidi" w:eastAsia="Calibri" w:hAnsiTheme="majorBidi" w:cstheme="majorBidi"/>
                <w:bCs/>
                <w:noProof/>
                <w:sz w:val="14"/>
                <w:szCs w:val="14"/>
              </w:rPr>
            </w:pPr>
            <w:r w:rsidRPr="00D773F7">
              <w:rPr>
                <w:rFonts w:asciiTheme="majorBidi" w:eastAsia="Calibri" w:hAnsiTheme="majorBidi" w:cstheme="majorBidi"/>
                <w:bCs/>
                <w:iCs/>
                <w:noProof/>
                <w:sz w:val="14"/>
                <w:szCs w:val="14"/>
              </w:rPr>
              <w:t>In vitro</w:t>
            </w:r>
            <w:r w:rsidRPr="00D773F7">
              <w:rPr>
                <w:rFonts w:asciiTheme="majorBidi" w:eastAsia="Calibri" w:hAnsiTheme="majorBidi" w:cstheme="majorBidi"/>
                <w:bCs/>
                <w:noProof/>
                <w:sz w:val="14"/>
                <w:szCs w:val="14"/>
              </w:rPr>
              <w:t xml:space="preserve"> assay consisting of a macromolecular plant-based matrix obtained from jack bean </w:t>
            </w:r>
            <w:r w:rsidRPr="00D773F7">
              <w:rPr>
                <w:rFonts w:asciiTheme="majorBidi" w:eastAsia="Calibri" w:hAnsiTheme="majorBidi" w:cstheme="majorBidi"/>
                <w:bCs/>
                <w:i/>
                <w:noProof/>
                <w:sz w:val="14"/>
                <w:szCs w:val="14"/>
              </w:rPr>
              <w:t>Canavalis enisformis</w:t>
            </w:r>
            <w:r w:rsidRPr="00D773F7">
              <w:rPr>
                <w:rFonts w:asciiTheme="majorBidi" w:eastAsia="Calibri" w:hAnsiTheme="majorBidi" w:cstheme="majorBidi"/>
                <w:bCs/>
                <w:noProof/>
                <w:sz w:val="14"/>
                <w:szCs w:val="14"/>
              </w:rPr>
              <w:t xml:space="preserve">. This matrix serves as the target for the test chemical and is composed of a mixture of proteins, glycoproteins, carbohydrates, lipids and low molecular weight components, which form a highly ordered and transparent gel structure upon rehydration. Test chemicals causing ocular damage lead to the disruption and disaggregation of the highly </w:t>
            </w:r>
            <w:bookmarkStart w:id="12" w:name="_Hlk69886265"/>
            <w:r w:rsidRPr="00D773F7">
              <w:rPr>
                <w:rFonts w:asciiTheme="majorBidi" w:eastAsia="Calibri" w:hAnsiTheme="majorBidi" w:cstheme="majorBidi"/>
                <w:bCs/>
                <w:noProof/>
                <w:sz w:val="14"/>
                <w:szCs w:val="14"/>
              </w:rPr>
              <w:t xml:space="preserve">organized </w:t>
            </w:r>
            <w:bookmarkEnd w:id="12"/>
            <w:r w:rsidRPr="00D773F7">
              <w:rPr>
                <w:rFonts w:asciiTheme="majorBidi" w:eastAsia="Calibri" w:hAnsiTheme="majorBidi" w:cstheme="majorBidi"/>
                <w:bCs/>
                <w:noProof/>
                <w:sz w:val="14"/>
                <w:szCs w:val="14"/>
              </w:rPr>
              <w:t>macromolecular reagent matrix, and produce turbidity of the macromolecular reagent. Such phenomena is quantified, by measuring changes in light scattering.</w:t>
            </w:r>
          </w:p>
          <w:p w14:paraId="055812FC" w14:textId="77777777" w:rsidR="00E00BDF" w:rsidRPr="00D773F7" w:rsidRDefault="00E00BDF">
            <w:pPr>
              <w:spacing w:before="40" w:after="40" w:line="200" w:lineRule="atLeast"/>
              <w:contextualSpacing/>
              <w:rPr>
                <w:rFonts w:asciiTheme="majorBidi" w:eastAsia="Calibri" w:hAnsiTheme="majorBidi" w:cstheme="majorBidi"/>
                <w:b/>
                <w:bCs/>
                <w:noProof/>
                <w:sz w:val="14"/>
                <w:szCs w:val="14"/>
              </w:rPr>
            </w:pPr>
            <w:r w:rsidRPr="00D773F7">
              <w:rPr>
                <w:rFonts w:asciiTheme="majorBidi" w:eastAsia="Calibri" w:hAnsiTheme="majorBidi" w:cstheme="majorBidi"/>
                <w:b/>
                <w:bCs/>
                <w:noProof/>
                <w:sz w:val="14"/>
                <w:szCs w:val="14"/>
              </w:rPr>
              <w:t>Criteria based on a Maximum Qualified Score (MQS) derived from the Optical Density readings at different concentrations, calculated via a software.</w:t>
            </w:r>
          </w:p>
        </w:tc>
      </w:tr>
    </w:tbl>
    <w:p w14:paraId="6EE2F028" w14:textId="49F75B7B" w:rsidR="009544BE" w:rsidRPr="00D773F7" w:rsidRDefault="009544BE">
      <w:pPr>
        <w:rPr>
          <w:rFonts w:asciiTheme="majorBidi" w:hAnsiTheme="majorBidi" w:cstheme="majorBidi"/>
        </w:rPr>
      </w:pPr>
    </w:p>
    <w:p w14:paraId="317D683C" w14:textId="77777777" w:rsidR="009544BE" w:rsidRPr="00D773F7" w:rsidRDefault="009544BE">
      <w:pPr>
        <w:rPr>
          <w:rFonts w:asciiTheme="majorBidi" w:hAnsiTheme="majorBidi" w:cstheme="majorBidi"/>
        </w:rPr>
      </w:pPr>
      <w:r w:rsidRPr="00D773F7">
        <w:rPr>
          <w:rFonts w:asciiTheme="majorBidi" w:hAnsiTheme="majorBidi" w:cstheme="majorBidi"/>
        </w:rPr>
        <w:br w:type="page"/>
      </w:r>
    </w:p>
    <w:p w14:paraId="2CE8828B" w14:textId="470549E5" w:rsidR="005270DE" w:rsidRPr="00D773F7" w:rsidRDefault="009544BE" w:rsidP="005270DE">
      <w:pPr>
        <w:spacing w:after="120"/>
        <w:jc w:val="center"/>
        <w:rPr>
          <w:rFonts w:asciiTheme="majorBidi" w:eastAsiaTheme="minorHAnsi" w:hAnsiTheme="majorBidi" w:cstheme="majorBidi"/>
          <w:b/>
          <w:bCs/>
          <w:i/>
          <w:iCs/>
        </w:rPr>
      </w:pPr>
      <w:r w:rsidRPr="00D773F7">
        <w:rPr>
          <w:rFonts w:asciiTheme="majorBidi" w:eastAsiaTheme="minorHAnsi" w:hAnsiTheme="majorBidi" w:cstheme="majorBidi"/>
          <w:b/>
          <w:bCs/>
        </w:rPr>
        <w:lastRenderedPageBreak/>
        <w:t xml:space="preserve">Table 3.3.6:  </w:t>
      </w:r>
      <w:r w:rsidRPr="00D773F7">
        <w:rPr>
          <w:rFonts w:asciiTheme="majorBidi" w:hAnsiTheme="majorBidi" w:cstheme="majorBidi"/>
          <w:b/>
          <w:noProof/>
        </w:rPr>
        <w:t>Criteria for serious eye damage/irreversible effects on the eye and for no classification</w:t>
      </w:r>
      <w:r w:rsidRPr="00D773F7">
        <w:rPr>
          <w:rFonts w:asciiTheme="majorBidi" w:hAnsiTheme="majorBidi" w:cstheme="majorBidi"/>
          <w:b/>
          <w:noProof/>
          <w:vertAlign w:val="superscript"/>
        </w:rPr>
        <w:t>a</w:t>
      </w:r>
      <w:r w:rsidRPr="00D773F7">
        <w:rPr>
          <w:rFonts w:asciiTheme="majorBidi" w:eastAsiaTheme="minorHAnsi" w:hAnsiTheme="majorBidi" w:cstheme="majorBidi"/>
          <w:b/>
          <w:bCs/>
          <w:i/>
          <w:iCs/>
        </w:rPr>
        <w:t xml:space="preserve"> </w:t>
      </w:r>
      <w:r w:rsidRPr="00D773F7">
        <w:rPr>
          <w:rFonts w:asciiTheme="majorBidi" w:eastAsiaTheme="minorHAnsi" w:hAnsiTheme="majorBidi" w:cstheme="majorBidi"/>
          <w:b/>
          <w:bCs/>
          <w:iCs/>
        </w:rPr>
        <w:t xml:space="preserve">for </w:t>
      </w:r>
      <w:r w:rsidRPr="00D773F7">
        <w:rPr>
          <w:rFonts w:asciiTheme="majorBidi" w:eastAsiaTheme="minorHAnsi" w:hAnsiTheme="majorBidi" w:cstheme="majorBidi"/>
          <w:b/>
          <w:bCs/>
        </w:rPr>
        <w:t>in vitro/</w:t>
      </w:r>
      <w:r w:rsidRPr="00D773F7">
        <w:rPr>
          <w:rFonts w:asciiTheme="majorBidi" w:eastAsiaTheme="minorHAnsi" w:hAnsiTheme="majorBidi" w:cstheme="majorBidi"/>
          <w:b/>
          <w:bCs/>
          <w:i/>
          <w:iCs/>
        </w:rPr>
        <w:t xml:space="preserve">ex vivo </w:t>
      </w:r>
      <w:r w:rsidRPr="00D773F7">
        <w:rPr>
          <w:rFonts w:asciiTheme="majorBidi" w:eastAsiaTheme="minorHAnsi" w:hAnsiTheme="majorBidi" w:cstheme="majorBidi"/>
          <w:b/>
          <w:bCs/>
        </w:rPr>
        <w:t xml:space="preserve">methods </w:t>
      </w:r>
      <w:r w:rsidRPr="00D773F7">
        <w:rPr>
          <w:rFonts w:asciiTheme="majorBidi" w:eastAsiaTheme="minorHAnsi" w:hAnsiTheme="majorBidi" w:cstheme="majorBidi"/>
          <w:b/>
          <w:bCs/>
          <w:i/>
          <w:iCs/>
        </w:rPr>
        <w:t>(cont’d)</w:t>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05"/>
        <w:gridCol w:w="991"/>
        <w:gridCol w:w="994"/>
        <w:gridCol w:w="1784"/>
        <w:gridCol w:w="1841"/>
        <w:gridCol w:w="1761"/>
        <w:gridCol w:w="708"/>
        <w:gridCol w:w="708"/>
        <w:gridCol w:w="708"/>
        <w:gridCol w:w="711"/>
        <w:gridCol w:w="1288"/>
        <w:gridCol w:w="1960"/>
      </w:tblGrid>
      <w:tr w:rsidR="005270DE" w:rsidRPr="00D773F7" w14:paraId="213DAC6D" w14:textId="77777777">
        <w:trPr>
          <w:tblHeader/>
          <w:jc w:val="center"/>
        </w:trPr>
        <w:tc>
          <w:tcPr>
            <w:tcW w:w="249" w:type="pct"/>
            <w:shd w:val="clear" w:color="auto" w:fill="auto"/>
            <w:tcMar>
              <w:top w:w="57" w:type="dxa"/>
              <w:left w:w="57" w:type="dxa"/>
              <w:bottom w:w="57" w:type="dxa"/>
              <w:right w:w="57" w:type="dxa"/>
            </w:tcMar>
          </w:tcPr>
          <w:p w14:paraId="43C049D6" w14:textId="77777777" w:rsidR="005270DE" w:rsidRPr="00D773F7" w:rsidRDefault="005270DE">
            <w:pPr>
              <w:spacing w:before="40" w:after="40" w:line="200" w:lineRule="atLeast"/>
              <w:ind w:left="-63" w:right="-58"/>
              <w:contextualSpacing/>
              <w:jc w:val="center"/>
              <w:rPr>
                <w:rFonts w:asciiTheme="majorBidi" w:hAnsiTheme="majorBidi" w:cstheme="majorBidi"/>
                <w:b/>
                <w:bCs/>
                <w:noProof/>
                <w:sz w:val="14"/>
                <w:szCs w:val="14"/>
              </w:rPr>
            </w:pPr>
            <w:r w:rsidRPr="00D773F7">
              <w:rPr>
                <w:rFonts w:asciiTheme="majorBidi" w:eastAsia="Calibri" w:hAnsiTheme="majorBidi" w:cstheme="majorBidi"/>
                <w:b/>
                <w:bCs/>
                <w:noProof/>
                <w:sz w:val="14"/>
                <w:szCs w:val="14"/>
              </w:rPr>
              <w:t>Category</w:t>
            </w:r>
          </w:p>
        </w:tc>
        <w:tc>
          <w:tcPr>
            <w:tcW w:w="701" w:type="pct"/>
            <w:gridSpan w:val="2"/>
            <w:shd w:val="clear" w:color="auto" w:fill="auto"/>
            <w:tcMar>
              <w:top w:w="57" w:type="dxa"/>
              <w:left w:w="57" w:type="dxa"/>
              <w:bottom w:w="57" w:type="dxa"/>
              <w:right w:w="57" w:type="dxa"/>
            </w:tcMar>
          </w:tcPr>
          <w:p w14:paraId="42DD765A" w14:textId="77777777" w:rsidR="005270DE" w:rsidRPr="00D773F7" w:rsidRDefault="005270DE">
            <w:pPr>
              <w:spacing w:before="40" w:after="40" w:line="200" w:lineRule="atLeast"/>
              <w:contextualSpacing/>
              <w:jc w:val="center"/>
              <w:rPr>
                <w:rFonts w:asciiTheme="majorBidi" w:hAnsiTheme="majorBidi" w:cstheme="majorBidi"/>
                <w:b/>
                <w:bCs/>
                <w:noProof/>
                <w:sz w:val="14"/>
                <w:szCs w:val="14"/>
              </w:rPr>
            </w:pPr>
            <w:r w:rsidRPr="00D773F7">
              <w:rPr>
                <w:rFonts w:asciiTheme="majorBidi" w:hAnsiTheme="majorBidi" w:cstheme="majorBidi"/>
                <w:b/>
                <w:bCs/>
                <w:noProof/>
                <w:sz w:val="14"/>
                <w:szCs w:val="14"/>
              </w:rPr>
              <w:t>OECD Test Guideline 437</w:t>
            </w:r>
            <w:r w:rsidRPr="00D773F7">
              <w:rPr>
                <w:rFonts w:asciiTheme="majorBidi" w:hAnsiTheme="majorBidi" w:cstheme="majorBidi"/>
                <w:b/>
                <w:bCs/>
                <w:noProof/>
                <w:sz w:val="14"/>
                <w:szCs w:val="14"/>
              </w:rPr>
              <w:br/>
              <w:t>Bovine Corneal Opacity and Permeability test method</w:t>
            </w:r>
          </w:p>
        </w:tc>
        <w:tc>
          <w:tcPr>
            <w:tcW w:w="630" w:type="pct"/>
            <w:shd w:val="clear" w:color="auto" w:fill="auto"/>
            <w:tcMar>
              <w:top w:w="57" w:type="dxa"/>
              <w:left w:w="57" w:type="dxa"/>
              <w:bottom w:w="57" w:type="dxa"/>
              <w:right w:w="57" w:type="dxa"/>
            </w:tcMar>
          </w:tcPr>
          <w:p w14:paraId="45122BD8" w14:textId="77777777" w:rsidR="005270DE" w:rsidRPr="00D773F7" w:rsidRDefault="005270DE">
            <w:pPr>
              <w:spacing w:before="40" w:after="40" w:line="200" w:lineRule="atLeast"/>
              <w:contextualSpacing/>
              <w:jc w:val="center"/>
              <w:rPr>
                <w:rFonts w:asciiTheme="majorBidi" w:hAnsiTheme="majorBidi" w:cstheme="majorBidi"/>
                <w:b/>
                <w:bCs/>
                <w:noProof/>
                <w:sz w:val="14"/>
                <w:szCs w:val="14"/>
              </w:rPr>
            </w:pPr>
            <w:r w:rsidRPr="00D773F7">
              <w:rPr>
                <w:rFonts w:asciiTheme="majorBidi" w:hAnsiTheme="majorBidi" w:cstheme="majorBidi"/>
                <w:b/>
                <w:bCs/>
                <w:noProof/>
                <w:sz w:val="14"/>
                <w:szCs w:val="14"/>
              </w:rPr>
              <w:t>OECD Test Guideline 438</w:t>
            </w:r>
            <w:r w:rsidRPr="00D773F7">
              <w:rPr>
                <w:rFonts w:asciiTheme="majorBidi" w:hAnsiTheme="majorBidi" w:cstheme="majorBidi"/>
                <w:b/>
                <w:bCs/>
                <w:noProof/>
                <w:sz w:val="14"/>
                <w:szCs w:val="14"/>
              </w:rPr>
              <w:br/>
              <w:t>Isolated Chicken Eye test method</w:t>
            </w:r>
          </w:p>
        </w:tc>
        <w:tc>
          <w:tcPr>
            <w:tcW w:w="650" w:type="pct"/>
          </w:tcPr>
          <w:p w14:paraId="6528CC71" w14:textId="77777777" w:rsidR="005270DE" w:rsidRPr="00D773F7" w:rsidRDefault="005270DE">
            <w:pPr>
              <w:spacing w:before="40" w:after="40" w:line="200" w:lineRule="atLeast"/>
              <w:contextualSpacing/>
              <w:jc w:val="center"/>
              <w:rPr>
                <w:rFonts w:asciiTheme="majorBidi" w:hAnsiTheme="majorBidi" w:cstheme="majorBidi"/>
                <w:b/>
                <w:bCs/>
                <w:noProof/>
                <w:sz w:val="14"/>
                <w:szCs w:val="14"/>
              </w:rPr>
            </w:pPr>
            <w:r w:rsidRPr="00D773F7">
              <w:rPr>
                <w:rFonts w:asciiTheme="majorBidi" w:hAnsiTheme="majorBidi" w:cstheme="majorBidi"/>
                <w:b/>
                <w:bCs/>
                <w:noProof/>
                <w:sz w:val="14"/>
                <w:szCs w:val="14"/>
              </w:rPr>
              <w:t>OECD Test Guideline 460</w:t>
            </w:r>
            <w:r w:rsidRPr="00D773F7">
              <w:rPr>
                <w:rFonts w:asciiTheme="majorBidi" w:hAnsiTheme="majorBidi" w:cstheme="majorBidi"/>
                <w:b/>
                <w:bCs/>
                <w:noProof/>
                <w:sz w:val="14"/>
                <w:szCs w:val="14"/>
              </w:rPr>
              <w:br/>
              <w:t>Fluorescein Leakage test method</w:t>
            </w:r>
          </w:p>
        </w:tc>
        <w:tc>
          <w:tcPr>
            <w:tcW w:w="622" w:type="pct"/>
            <w:shd w:val="clear" w:color="auto" w:fill="auto"/>
            <w:tcMar>
              <w:top w:w="57" w:type="dxa"/>
              <w:left w:w="57" w:type="dxa"/>
              <w:bottom w:w="57" w:type="dxa"/>
              <w:right w:w="57" w:type="dxa"/>
            </w:tcMar>
          </w:tcPr>
          <w:p w14:paraId="6937F61F" w14:textId="77777777" w:rsidR="005270DE" w:rsidRPr="00D773F7" w:rsidRDefault="005270DE">
            <w:pPr>
              <w:spacing w:before="40" w:after="40" w:line="200" w:lineRule="atLeast"/>
              <w:contextualSpacing/>
              <w:jc w:val="center"/>
              <w:rPr>
                <w:rFonts w:asciiTheme="majorBidi" w:hAnsiTheme="majorBidi" w:cstheme="majorBidi"/>
                <w:b/>
                <w:bCs/>
                <w:noProof/>
                <w:sz w:val="14"/>
                <w:szCs w:val="14"/>
              </w:rPr>
            </w:pPr>
            <w:r w:rsidRPr="00D773F7">
              <w:rPr>
                <w:rFonts w:asciiTheme="majorBidi" w:hAnsiTheme="majorBidi" w:cstheme="majorBidi"/>
                <w:b/>
                <w:bCs/>
                <w:noProof/>
                <w:sz w:val="14"/>
                <w:szCs w:val="14"/>
              </w:rPr>
              <w:t>OECD Test Guideline 491</w:t>
            </w:r>
          </w:p>
          <w:p w14:paraId="22E9F2C2" w14:textId="77777777" w:rsidR="005270DE" w:rsidRPr="00D773F7" w:rsidRDefault="005270DE">
            <w:pPr>
              <w:spacing w:before="40" w:after="40" w:line="200" w:lineRule="atLeast"/>
              <w:contextualSpacing/>
              <w:jc w:val="center"/>
              <w:rPr>
                <w:rFonts w:asciiTheme="majorBidi" w:hAnsiTheme="majorBidi" w:cstheme="majorBidi"/>
                <w:b/>
                <w:bCs/>
                <w:noProof/>
                <w:sz w:val="14"/>
                <w:szCs w:val="14"/>
              </w:rPr>
            </w:pPr>
            <w:r w:rsidRPr="00D773F7">
              <w:rPr>
                <w:rFonts w:asciiTheme="majorBidi" w:hAnsiTheme="majorBidi" w:cstheme="majorBidi"/>
                <w:b/>
                <w:bCs/>
                <w:noProof/>
                <w:sz w:val="14"/>
                <w:szCs w:val="14"/>
              </w:rPr>
              <w:t>Short Time Exposure test method</w:t>
            </w:r>
          </w:p>
        </w:tc>
        <w:tc>
          <w:tcPr>
            <w:tcW w:w="1001" w:type="pct"/>
            <w:gridSpan w:val="4"/>
            <w:shd w:val="clear" w:color="auto" w:fill="auto"/>
            <w:tcMar>
              <w:top w:w="57" w:type="dxa"/>
              <w:left w:w="57" w:type="dxa"/>
              <w:bottom w:w="57" w:type="dxa"/>
              <w:right w:w="57" w:type="dxa"/>
            </w:tcMar>
          </w:tcPr>
          <w:p w14:paraId="0412BABF" w14:textId="77777777" w:rsidR="005270DE" w:rsidRPr="00D773F7" w:rsidRDefault="005270DE">
            <w:pPr>
              <w:spacing w:before="40" w:after="40" w:line="200" w:lineRule="atLeast"/>
              <w:contextualSpacing/>
              <w:jc w:val="center"/>
              <w:rPr>
                <w:rFonts w:asciiTheme="majorBidi" w:hAnsiTheme="majorBidi" w:cstheme="majorBidi"/>
                <w:b/>
                <w:bCs/>
                <w:noProof/>
                <w:sz w:val="14"/>
                <w:szCs w:val="14"/>
              </w:rPr>
            </w:pPr>
            <w:r w:rsidRPr="00D773F7">
              <w:rPr>
                <w:rFonts w:asciiTheme="majorBidi" w:hAnsiTheme="majorBidi" w:cstheme="majorBidi"/>
                <w:b/>
                <w:bCs/>
                <w:noProof/>
                <w:sz w:val="14"/>
                <w:szCs w:val="14"/>
              </w:rPr>
              <w:t>OECD Test Guideline 492</w:t>
            </w:r>
            <w:r w:rsidRPr="00D773F7">
              <w:rPr>
                <w:rFonts w:asciiTheme="majorBidi" w:hAnsiTheme="majorBidi" w:cstheme="majorBidi"/>
                <w:b/>
                <w:bCs/>
                <w:noProof/>
                <w:sz w:val="14"/>
                <w:szCs w:val="14"/>
              </w:rPr>
              <w:br/>
              <w:t>Reconstructed human Cornea-like Epithelium (RhCE)-based test methods: Methods 1, 2, 3 and 4 as numbered in Annex II of OECD Test Guideline 492</w:t>
            </w:r>
          </w:p>
        </w:tc>
        <w:tc>
          <w:tcPr>
            <w:tcW w:w="455" w:type="pct"/>
          </w:tcPr>
          <w:p w14:paraId="5D92E2B0" w14:textId="77777777" w:rsidR="005270DE" w:rsidRPr="00D773F7" w:rsidRDefault="005270DE">
            <w:pPr>
              <w:spacing w:before="40" w:after="40" w:line="200" w:lineRule="atLeast"/>
              <w:contextualSpacing/>
              <w:jc w:val="center"/>
              <w:rPr>
                <w:rFonts w:asciiTheme="majorBidi" w:hAnsiTheme="majorBidi" w:cstheme="majorBidi"/>
                <w:b/>
                <w:bCs/>
                <w:noProof/>
                <w:sz w:val="14"/>
                <w:szCs w:val="14"/>
              </w:rPr>
            </w:pPr>
            <w:r w:rsidRPr="00D773F7">
              <w:rPr>
                <w:rFonts w:asciiTheme="majorBidi" w:hAnsiTheme="majorBidi" w:cstheme="majorBidi"/>
                <w:b/>
                <w:bCs/>
                <w:noProof/>
                <w:sz w:val="14"/>
                <w:szCs w:val="14"/>
              </w:rPr>
              <w:t>OECD Test Guideline 494</w:t>
            </w:r>
          </w:p>
          <w:p w14:paraId="670F67B5" w14:textId="77777777" w:rsidR="005270DE" w:rsidRPr="00D773F7" w:rsidRDefault="005270DE">
            <w:pPr>
              <w:spacing w:before="40" w:after="40" w:line="200" w:lineRule="atLeast"/>
              <w:contextualSpacing/>
              <w:jc w:val="center"/>
              <w:rPr>
                <w:rFonts w:asciiTheme="majorBidi" w:hAnsiTheme="majorBidi" w:cstheme="majorBidi"/>
                <w:b/>
                <w:bCs/>
                <w:noProof/>
                <w:sz w:val="14"/>
                <w:szCs w:val="14"/>
              </w:rPr>
            </w:pPr>
            <w:r w:rsidRPr="00D773F7">
              <w:rPr>
                <w:rFonts w:asciiTheme="majorBidi" w:hAnsiTheme="majorBidi" w:cstheme="majorBidi"/>
                <w:b/>
                <w:bCs/>
                <w:noProof/>
                <w:sz w:val="14"/>
                <w:szCs w:val="14"/>
              </w:rPr>
              <w:t xml:space="preserve">Vitrigel-Eye Irritancy Test Method </w:t>
            </w:r>
          </w:p>
        </w:tc>
        <w:tc>
          <w:tcPr>
            <w:tcW w:w="692" w:type="pct"/>
          </w:tcPr>
          <w:p w14:paraId="550A6890" w14:textId="77777777" w:rsidR="005270DE" w:rsidRPr="00D773F7" w:rsidRDefault="005270DE">
            <w:pPr>
              <w:spacing w:before="40" w:after="40" w:line="200" w:lineRule="atLeast"/>
              <w:contextualSpacing/>
              <w:jc w:val="center"/>
              <w:rPr>
                <w:rFonts w:asciiTheme="majorBidi" w:hAnsiTheme="majorBidi" w:cstheme="majorBidi"/>
                <w:b/>
                <w:bCs/>
                <w:noProof/>
                <w:sz w:val="14"/>
                <w:szCs w:val="14"/>
              </w:rPr>
            </w:pPr>
            <w:r w:rsidRPr="00D773F7">
              <w:rPr>
                <w:rFonts w:asciiTheme="majorBidi" w:hAnsiTheme="majorBidi" w:cstheme="majorBidi"/>
                <w:b/>
                <w:bCs/>
                <w:noProof/>
                <w:sz w:val="14"/>
                <w:szCs w:val="14"/>
              </w:rPr>
              <w:t>OECD Test Guideline 496</w:t>
            </w:r>
          </w:p>
          <w:p w14:paraId="0B5A460A" w14:textId="77777777" w:rsidR="005270DE" w:rsidRPr="00D773F7" w:rsidRDefault="005270DE">
            <w:pPr>
              <w:spacing w:before="40" w:after="40" w:line="200" w:lineRule="atLeast"/>
              <w:contextualSpacing/>
              <w:jc w:val="center"/>
              <w:rPr>
                <w:rFonts w:asciiTheme="majorBidi" w:hAnsiTheme="majorBidi" w:cstheme="majorBidi"/>
                <w:b/>
                <w:bCs/>
                <w:noProof/>
                <w:sz w:val="14"/>
                <w:szCs w:val="14"/>
              </w:rPr>
            </w:pPr>
            <w:r w:rsidRPr="00D773F7">
              <w:rPr>
                <w:rFonts w:asciiTheme="majorBidi" w:hAnsiTheme="majorBidi" w:cstheme="majorBidi"/>
                <w:b/>
                <w:bCs/>
                <w:iCs/>
                <w:noProof/>
                <w:sz w:val="14"/>
                <w:szCs w:val="14"/>
              </w:rPr>
              <w:t>In vitro</w:t>
            </w:r>
            <w:r w:rsidRPr="00D773F7">
              <w:rPr>
                <w:rFonts w:asciiTheme="majorBidi" w:hAnsiTheme="majorBidi" w:cstheme="majorBidi"/>
                <w:b/>
                <w:bCs/>
                <w:noProof/>
                <w:sz w:val="14"/>
                <w:szCs w:val="14"/>
              </w:rPr>
              <w:t xml:space="preserve"> Macromolecular Test Method </w:t>
            </w:r>
            <w:r w:rsidRPr="00D773F7">
              <w:rPr>
                <w:rFonts w:asciiTheme="majorBidi" w:hAnsiTheme="majorBidi" w:cstheme="majorBidi"/>
                <w:b/>
                <w:bCs/>
                <w:noProof/>
                <w:sz w:val="14"/>
                <w:szCs w:val="14"/>
              </w:rPr>
              <w:br/>
              <w:t>(test method 1)</w:t>
            </w:r>
          </w:p>
        </w:tc>
      </w:tr>
      <w:tr w:rsidR="00E00BDF" w:rsidRPr="00D773F7" w14:paraId="120F01F1" w14:textId="77777777">
        <w:trPr>
          <w:trHeight w:val="1454"/>
          <w:jc w:val="center"/>
        </w:trPr>
        <w:tc>
          <w:tcPr>
            <w:tcW w:w="249" w:type="pct"/>
            <w:shd w:val="clear" w:color="auto" w:fill="auto"/>
            <w:tcMar>
              <w:top w:w="57" w:type="dxa"/>
              <w:left w:w="57" w:type="dxa"/>
              <w:bottom w:w="57" w:type="dxa"/>
              <w:right w:w="57" w:type="dxa"/>
            </w:tcMar>
          </w:tcPr>
          <w:p w14:paraId="201B2DBE" w14:textId="77777777" w:rsidR="00E00BDF" w:rsidRPr="00D773F7" w:rsidRDefault="00E00BDF">
            <w:pPr>
              <w:spacing w:before="40" w:after="40" w:line="200" w:lineRule="atLeast"/>
              <w:ind w:left="-63" w:right="-58"/>
              <w:contextualSpacing/>
              <w:jc w:val="center"/>
              <w:rPr>
                <w:rFonts w:asciiTheme="majorBidi" w:eastAsia="Calibri" w:hAnsiTheme="majorBidi" w:cstheme="majorBidi"/>
                <w:b/>
                <w:bCs/>
                <w:noProof/>
                <w:sz w:val="14"/>
                <w:szCs w:val="14"/>
              </w:rPr>
            </w:pPr>
            <w:r w:rsidRPr="00D773F7">
              <w:rPr>
                <w:rFonts w:asciiTheme="majorBidi" w:eastAsia="Calibri" w:hAnsiTheme="majorBidi" w:cstheme="majorBidi"/>
                <w:b/>
                <w:bCs/>
                <w:noProof/>
                <w:sz w:val="14"/>
                <w:szCs w:val="14"/>
              </w:rPr>
              <w:t>1</w:t>
            </w:r>
          </w:p>
        </w:tc>
        <w:tc>
          <w:tcPr>
            <w:tcW w:w="350" w:type="pct"/>
            <w:shd w:val="clear" w:color="auto" w:fill="auto"/>
            <w:tcMar>
              <w:top w:w="57" w:type="dxa"/>
              <w:left w:w="57" w:type="dxa"/>
              <w:bottom w:w="57" w:type="dxa"/>
              <w:right w:w="57" w:type="dxa"/>
            </w:tcMar>
          </w:tcPr>
          <w:p w14:paraId="4DB68892"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Opacitometer 1</w:t>
            </w:r>
          </w:p>
          <w:p w14:paraId="6EA22BDE" w14:textId="77777777" w:rsidR="00E00BDF" w:rsidRPr="00D773F7" w:rsidRDefault="00E00BDF">
            <w:pPr>
              <w:spacing w:before="40" w:after="40" w:line="200" w:lineRule="atLeast"/>
              <w:contextualSpacing/>
              <w:jc w:val="center"/>
              <w:rPr>
                <w:rFonts w:asciiTheme="majorBidi" w:hAnsiTheme="majorBidi" w:cstheme="majorBidi"/>
                <w:bCs/>
                <w:noProof/>
                <w:sz w:val="14"/>
                <w:szCs w:val="14"/>
              </w:rPr>
            </w:pPr>
            <w:r w:rsidRPr="00D773F7">
              <w:rPr>
                <w:rFonts w:asciiTheme="majorBidi" w:eastAsia="Calibri" w:hAnsiTheme="majorBidi" w:cstheme="majorBidi"/>
                <w:bCs/>
                <w:noProof/>
                <w:sz w:val="14"/>
                <w:szCs w:val="14"/>
              </w:rPr>
              <w:t>IVIS &gt; 55</w:t>
            </w:r>
          </w:p>
        </w:tc>
        <w:tc>
          <w:tcPr>
            <w:tcW w:w="351" w:type="pct"/>
            <w:shd w:val="clear" w:color="auto" w:fill="auto"/>
          </w:tcPr>
          <w:p w14:paraId="5E79D3E4" w14:textId="77777777" w:rsidR="00E00BDF" w:rsidRPr="00D773F7" w:rsidRDefault="00E00BDF">
            <w:pPr>
              <w:tabs>
                <w:tab w:val="left" w:pos="568"/>
              </w:tabs>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Opacitometer 2</w:t>
            </w:r>
          </w:p>
          <w:p w14:paraId="02C2AF91" w14:textId="77777777" w:rsidR="00E00BDF" w:rsidRPr="00D773F7" w:rsidRDefault="00E00BDF">
            <w:pPr>
              <w:tabs>
                <w:tab w:val="left" w:pos="568"/>
              </w:tabs>
              <w:spacing w:before="40" w:after="40" w:line="200" w:lineRule="atLeast"/>
              <w:contextualSpacing/>
              <w:jc w:val="center"/>
              <w:rPr>
                <w:rFonts w:asciiTheme="majorBidi" w:eastAsia="Calibri" w:hAnsiTheme="majorBidi" w:cstheme="majorBidi"/>
                <w:bCs/>
                <w:noProof/>
                <w:sz w:val="14"/>
                <w:szCs w:val="14"/>
              </w:rPr>
            </w:pPr>
          </w:p>
          <w:p w14:paraId="01D60A12" w14:textId="77777777" w:rsidR="00E00BDF" w:rsidRPr="00D773F7" w:rsidRDefault="00E00BDF">
            <w:pPr>
              <w:tabs>
                <w:tab w:val="left" w:pos="568"/>
              </w:tabs>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LIS &gt; 30 and lux/7 ≤ 145 and OD490 &gt; 2.5, OR</w:t>
            </w:r>
          </w:p>
          <w:p w14:paraId="0B4D1775" w14:textId="77777777" w:rsidR="00E00BDF" w:rsidRPr="00D773F7" w:rsidRDefault="00E00BDF">
            <w:pPr>
              <w:tabs>
                <w:tab w:val="left" w:pos="568"/>
              </w:tabs>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 xml:space="preserve">LIS &gt; 30 and lux/7 &gt; 145 </w:t>
            </w:r>
            <w:r w:rsidRPr="00D773F7" w:rsidDel="00A93821">
              <w:rPr>
                <w:rFonts w:asciiTheme="majorBidi" w:eastAsia="Calibri" w:hAnsiTheme="majorBidi" w:cstheme="majorBidi"/>
                <w:bCs/>
                <w:noProof/>
                <w:sz w:val="14"/>
                <w:szCs w:val="14"/>
              </w:rPr>
              <w:t xml:space="preserve"> </w:t>
            </w:r>
          </w:p>
        </w:tc>
        <w:tc>
          <w:tcPr>
            <w:tcW w:w="630" w:type="pct"/>
            <w:shd w:val="clear" w:color="auto" w:fill="auto"/>
            <w:tcMar>
              <w:top w:w="57" w:type="dxa"/>
              <w:left w:w="57" w:type="dxa"/>
              <w:bottom w:w="57" w:type="dxa"/>
              <w:right w:w="57" w:type="dxa"/>
            </w:tcMar>
          </w:tcPr>
          <w:p w14:paraId="27898F7C"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At least 2 ICE class IV, OR</w:t>
            </w:r>
          </w:p>
          <w:p w14:paraId="63524BCD"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Corneal opacity = 3 at 30 min (in at least 2 eyes), OR</w:t>
            </w:r>
          </w:p>
          <w:p w14:paraId="6732D13C"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Corneal opacity = 4 at any time point (in at least 2 eyes), OR</w:t>
            </w:r>
          </w:p>
          <w:p w14:paraId="2391DBDE"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Severe loosening of the epithelium (in at least 1 eye), OR</w:t>
            </w:r>
          </w:p>
          <w:p w14:paraId="2DAC8ACC"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hAnsiTheme="majorBidi" w:cstheme="majorBidi"/>
                <w:sz w:val="14"/>
                <w:szCs w:val="14"/>
              </w:rPr>
              <w:t xml:space="preserve">Certain histopathological </w:t>
            </w:r>
            <w:proofErr w:type="spellStart"/>
            <w:r w:rsidRPr="00D773F7">
              <w:rPr>
                <w:rFonts w:asciiTheme="majorBidi" w:hAnsiTheme="majorBidi" w:cstheme="majorBidi"/>
                <w:sz w:val="14"/>
                <w:szCs w:val="14"/>
              </w:rPr>
              <w:t>effects</w:t>
            </w:r>
            <w:r w:rsidRPr="00D773F7">
              <w:rPr>
                <w:rFonts w:asciiTheme="majorBidi" w:hAnsiTheme="majorBidi" w:cstheme="majorBidi"/>
                <w:sz w:val="14"/>
                <w:szCs w:val="14"/>
                <w:vertAlign w:val="superscript"/>
              </w:rPr>
              <w:t>b</w:t>
            </w:r>
            <w:proofErr w:type="spellEnd"/>
          </w:p>
        </w:tc>
        <w:tc>
          <w:tcPr>
            <w:tcW w:w="650" w:type="pct"/>
          </w:tcPr>
          <w:p w14:paraId="4F5581F6"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Chemical concentration causing 20 % of Fluorescein Leakage (FL</w:t>
            </w:r>
            <w:r w:rsidRPr="00D773F7">
              <w:rPr>
                <w:rFonts w:asciiTheme="majorBidi" w:eastAsia="Calibri" w:hAnsiTheme="majorBidi" w:cstheme="majorBidi"/>
                <w:bCs/>
                <w:noProof/>
                <w:sz w:val="14"/>
                <w:szCs w:val="14"/>
                <w:vertAlign w:val="subscript"/>
              </w:rPr>
              <w:t>20</w:t>
            </w:r>
            <w:r w:rsidRPr="00D773F7">
              <w:rPr>
                <w:rFonts w:asciiTheme="majorBidi" w:eastAsia="Calibri" w:hAnsiTheme="majorBidi" w:cstheme="majorBidi"/>
                <w:bCs/>
                <w:noProof/>
                <w:sz w:val="14"/>
                <w:szCs w:val="14"/>
              </w:rPr>
              <w:t>)  ≤ 100 mg/mL</w:t>
            </w:r>
          </w:p>
        </w:tc>
        <w:tc>
          <w:tcPr>
            <w:tcW w:w="622" w:type="pct"/>
            <w:shd w:val="clear" w:color="auto" w:fill="auto"/>
            <w:tcMar>
              <w:top w:w="57" w:type="dxa"/>
              <w:left w:w="57" w:type="dxa"/>
              <w:bottom w:w="57" w:type="dxa"/>
              <w:right w:w="57" w:type="dxa"/>
            </w:tcMar>
          </w:tcPr>
          <w:p w14:paraId="1E6789A5"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Viability ≤ 70 % at 5 % and 0.05 %</w:t>
            </w:r>
          </w:p>
        </w:tc>
        <w:tc>
          <w:tcPr>
            <w:tcW w:w="1001" w:type="pct"/>
            <w:gridSpan w:val="4"/>
            <w:shd w:val="clear" w:color="auto" w:fill="auto"/>
          </w:tcPr>
          <w:p w14:paraId="0518392A"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No stand-alone prediction can be made</w:t>
            </w:r>
          </w:p>
        </w:tc>
        <w:tc>
          <w:tcPr>
            <w:tcW w:w="455" w:type="pct"/>
          </w:tcPr>
          <w:p w14:paraId="0D55B8E8"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No stand-alone prediction can be made</w:t>
            </w:r>
          </w:p>
        </w:tc>
        <w:tc>
          <w:tcPr>
            <w:tcW w:w="692" w:type="pct"/>
          </w:tcPr>
          <w:p w14:paraId="2CA35C0C"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MQS</w:t>
            </w:r>
            <w:r w:rsidRPr="00D773F7">
              <w:rPr>
                <w:rFonts w:asciiTheme="majorBidi" w:hAnsiTheme="majorBidi" w:cstheme="majorBidi"/>
                <w:sz w:val="14"/>
                <w:szCs w:val="14"/>
              </w:rPr>
              <w:t xml:space="preserve"> </w:t>
            </w:r>
            <w:r w:rsidRPr="00D773F7">
              <w:rPr>
                <w:rFonts w:asciiTheme="majorBidi" w:eastAsia="Calibri" w:hAnsiTheme="majorBidi" w:cstheme="majorBidi"/>
                <w:bCs/>
                <w:noProof/>
                <w:sz w:val="14"/>
                <w:szCs w:val="14"/>
              </w:rPr>
              <w:t>&gt; 30.0</w:t>
            </w:r>
          </w:p>
        </w:tc>
      </w:tr>
      <w:tr w:rsidR="00E00BDF" w:rsidRPr="00D773F7" w14:paraId="227A8FCB" w14:textId="77777777">
        <w:trPr>
          <w:trHeight w:val="192"/>
          <w:jc w:val="center"/>
        </w:trPr>
        <w:tc>
          <w:tcPr>
            <w:tcW w:w="249" w:type="pct"/>
            <w:shd w:val="clear" w:color="auto" w:fill="auto"/>
            <w:tcMar>
              <w:top w:w="57" w:type="dxa"/>
              <w:left w:w="57" w:type="dxa"/>
              <w:bottom w:w="57" w:type="dxa"/>
              <w:right w:w="57" w:type="dxa"/>
            </w:tcMar>
          </w:tcPr>
          <w:p w14:paraId="64CA3C43" w14:textId="77777777" w:rsidR="00E00BDF" w:rsidRPr="00D773F7" w:rsidRDefault="00E00BDF">
            <w:pPr>
              <w:spacing w:before="40" w:after="40" w:line="200" w:lineRule="atLeast"/>
              <w:ind w:left="-63" w:right="-58"/>
              <w:contextualSpacing/>
              <w:jc w:val="center"/>
              <w:rPr>
                <w:rFonts w:asciiTheme="majorBidi" w:hAnsiTheme="majorBidi" w:cstheme="majorBidi"/>
                <w:b/>
                <w:bCs/>
                <w:noProof/>
                <w:sz w:val="14"/>
                <w:szCs w:val="14"/>
              </w:rPr>
            </w:pPr>
            <w:r w:rsidRPr="00D773F7">
              <w:rPr>
                <w:rFonts w:asciiTheme="majorBidi" w:hAnsiTheme="majorBidi" w:cstheme="majorBidi"/>
                <w:b/>
                <w:bCs/>
                <w:noProof/>
                <w:sz w:val="14"/>
                <w:szCs w:val="14"/>
              </w:rPr>
              <w:t>2/2A/2B</w:t>
            </w:r>
          </w:p>
        </w:tc>
        <w:tc>
          <w:tcPr>
            <w:tcW w:w="350" w:type="pct"/>
            <w:shd w:val="clear" w:color="auto" w:fill="auto"/>
            <w:tcMar>
              <w:top w:w="57" w:type="dxa"/>
              <w:left w:w="57" w:type="dxa"/>
              <w:bottom w:w="57" w:type="dxa"/>
              <w:right w:w="57" w:type="dxa"/>
            </w:tcMar>
            <w:vAlign w:val="center"/>
          </w:tcPr>
          <w:p w14:paraId="3D76BBA5" w14:textId="77777777" w:rsidR="00E00BDF" w:rsidRPr="00D773F7" w:rsidRDefault="00E00BDF">
            <w:pPr>
              <w:tabs>
                <w:tab w:val="left" w:pos="568"/>
              </w:tabs>
              <w:spacing w:before="40" w:after="40" w:line="200" w:lineRule="atLeast"/>
              <w:contextualSpacing/>
              <w:jc w:val="center"/>
              <w:rPr>
                <w:rFonts w:asciiTheme="majorBidi" w:hAnsiTheme="majorBidi" w:cstheme="majorBidi"/>
                <w:bCs/>
                <w:noProof/>
                <w:sz w:val="14"/>
                <w:szCs w:val="14"/>
              </w:rPr>
            </w:pPr>
            <w:r w:rsidRPr="00D773F7">
              <w:rPr>
                <w:rFonts w:asciiTheme="majorBidi" w:eastAsia="Calibri" w:hAnsiTheme="majorBidi" w:cstheme="majorBidi"/>
                <w:bCs/>
                <w:noProof/>
                <w:sz w:val="14"/>
                <w:szCs w:val="14"/>
              </w:rPr>
              <w:t>No stand-alone prediction can be made.</w:t>
            </w:r>
          </w:p>
        </w:tc>
        <w:tc>
          <w:tcPr>
            <w:tcW w:w="351" w:type="pct"/>
            <w:shd w:val="clear" w:color="auto" w:fill="auto"/>
            <w:vAlign w:val="center"/>
          </w:tcPr>
          <w:p w14:paraId="0F097299" w14:textId="77777777" w:rsidR="00E00BDF" w:rsidRPr="00D773F7" w:rsidRDefault="00E00BDF">
            <w:pPr>
              <w:tabs>
                <w:tab w:val="left" w:pos="568"/>
              </w:tabs>
              <w:spacing w:before="40" w:after="40" w:line="200" w:lineRule="atLeast"/>
              <w:contextualSpacing/>
              <w:jc w:val="center"/>
              <w:rPr>
                <w:rFonts w:asciiTheme="majorBidi" w:hAnsiTheme="majorBidi" w:cstheme="majorBidi"/>
                <w:bCs/>
                <w:noProof/>
                <w:sz w:val="14"/>
                <w:szCs w:val="14"/>
              </w:rPr>
            </w:pPr>
            <w:r w:rsidRPr="00D773F7">
              <w:rPr>
                <w:rFonts w:asciiTheme="majorBidi" w:eastAsia="Calibri" w:hAnsiTheme="majorBidi" w:cstheme="majorBidi"/>
                <w:bCs/>
                <w:noProof/>
                <w:sz w:val="14"/>
                <w:szCs w:val="14"/>
              </w:rPr>
              <w:t>No stand-alone prediction can be made</w:t>
            </w:r>
          </w:p>
        </w:tc>
        <w:tc>
          <w:tcPr>
            <w:tcW w:w="630" w:type="pct"/>
            <w:shd w:val="clear" w:color="auto" w:fill="auto"/>
            <w:tcMar>
              <w:top w:w="57" w:type="dxa"/>
              <w:left w:w="57" w:type="dxa"/>
              <w:bottom w:w="57" w:type="dxa"/>
              <w:right w:w="57" w:type="dxa"/>
            </w:tcMar>
            <w:vAlign w:val="center"/>
          </w:tcPr>
          <w:p w14:paraId="787E2042" w14:textId="77777777" w:rsidR="00E00BDF" w:rsidRPr="00D773F7" w:rsidRDefault="00E00BDF">
            <w:pPr>
              <w:spacing w:before="40" w:after="40" w:line="200" w:lineRule="atLeast"/>
              <w:contextualSpacing/>
              <w:jc w:val="center"/>
              <w:rPr>
                <w:rFonts w:asciiTheme="majorBidi" w:hAnsiTheme="majorBidi" w:cstheme="majorBidi"/>
                <w:bCs/>
                <w:noProof/>
                <w:sz w:val="14"/>
                <w:szCs w:val="14"/>
              </w:rPr>
            </w:pPr>
            <w:r w:rsidRPr="00D773F7">
              <w:rPr>
                <w:rFonts w:asciiTheme="majorBidi" w:eastAsia="Calibri" w:hAnsiTheme="majorBidi" w:cstheme="majorBidi"/>
                <w:bCs/>
                <w:noProof/>
                <w:sz w:val="14"/>
                <w:szCs w:val="14"/>
              </w:rPr>
              <w:t>No stand-alone prediction can be made</w:t>
            </w:r>
          </w:p>
        </w:tc>
        <w:tc>
          <w:tcPr>
            <w:tcW w:w="650" w:type="pct"/>
            <w:vAlign w:val="center"/>
          </w:tcPr>
          <w:p w14:paraId="19A88B86"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No stand-alone prediction can be made</w:t>
            </w:r>
          </w:p>
        </w:tc>
        <w:tc>
          <w:tcPr>
            <w:tcW w:w="622" w:type="pct"/>
            <w:shd w:val="clear" w:color="auto" w:fill="auto"/>
            <w:tcMar>
              <w:top w:w="57" w:type="dxa"/>
              <w:left w:w="57" w:type="dxa"/>
              <w:bottom w:w="57" w:type="dxa"/>
              <w:right w:w="57" w:type="dxa"/>
            </w:tcMar>
            <w:vAlign w:val="center"/>
          </w:tcPr>
          <w:p w14:paraId="71FD5DC8" w14:textId="77777777" w:rsidR="00E00BDF" w:rsidRPr="00D773F7" w:rsidRDefault="00E00BDF">
            <w:pPr>
              <w:spacing w:before="40" w:after="40" w:line="200" w:lineRule="atLeast"/>
              <w:contextualSpacing/>
              <w:jc w:val="center"/>
              <w:rPr>
                <w:rFonts w:asciiTheme="majorBidi" w:hAnsiTheme="majorBidi" w:cstheme="majorBidi"/>
                <w:bCs/>
                <w:noProof/>
                <w:sz w:val="14"/>
                <w:szCs w:val="14"/>
              </w:rPr>
            </w:pPr>
            <w:r w:rsidRPr="00D773F7">
              <w:rPr>
                <w:rFonts w:asciiTheme="majorBidi" w:eastAsia="Calibri" w:hAnsiTheme="majorBidi" w:cstheme="majorBidi"/>
                <w:bCs/>
                <w:noProof/>
                <w:sz w:val="14"/>
                <w:szCs w:val="14"/>
              </w:rPr>
              <w:t>No stand-alone prediction can be made</w:t>
            </w:r>
          </w:p>
        </w:tc>
        <w:tc>
          <w:tcPr>
            <w:tcW w:w="1001" w:type="pct"/>
            <w:gridSpan w:val="4"/>
            <w:shd w:val="clear" w:color="auto" w:fill="auto"/>
            <w:tcMar>
              <w:top w:w="57" w:type="dxa"/>
              <w:left w:w="57" w:type="dxa"/>
              <w:bottom w:w="57" w:type="dxa"/>
              <w:right w:w="57" w:type="dxa"/>
            </w:tcMar>
            <w:vAlign w:val="center"/>
          </w:tcPr>
          <w:p w14:paraId="2003B426" w14:textId="77777777" w:rsidR="00E00BDF" w:rsidRPr="00D773F7" w:rsidRDefault="00E00BDF">
            <w:pPr>
              <w:spacing w:before="40" w:after="40" w:line="200" w:lineRule="atLeast"/>
              <w:contextualSpacing/>
              <w:jc w:val="center"/>
              <w:rPr>
                <w:rFonts w:asciiTheme="majorBidi" w:hAnsiTheme="majorBidi" w:cstheme="majorBidi"/>
                <w:bCs/>
                <w:noProof/>
                <w:sz w:val="14"/>
                <w:szCs w:val="14"/>
              </w:rPr>
            </w:pPr>
            <w:r w:rsidRPr="00D773F7">
              <w:rPr>
                <w:rFonts w:asciiTheme="majorBidi" w:eastAsia="Calibri" w:hAnsiTheme="majorBidi" w:cstheme="majorBidi"/>
                <w:bCs/>
                <w:noProof/>
                <w:sz w:val="14"/>
                <w:szCs w:val="14"/>
              </w:rPr>
              <w:t>No stand-alone prediction can be made</w:t>
            </w:r>
          </w:p>
        </w:tc>
        <w:tc>
          <w:tcPr>
            <w:tcW w:w="455" w:type="pct"/>
          </w:tcPr>
          <w:p w14:paraId="4922DE43"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No stand-alone prediction can be made</w:t>
            </w:r>
          </w:p>
        </w:tc>
        <w:tc>
          <w:tcPr>
            <w:tcW w:w="692" w:type="pct"/>
          </w:tcPr>
          <w:p w14:paraId="59B57C9E"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No stand-alone prediction can be made</w:t>
            </w:r>
          </w:p>
        </w:tc>
      </w:tr>
      <w:tr w:rsidR="00E00BDF" w:rsidRPr="00D773F7" w14:paraId="2DDFB931" w14:textId="77777777">
        <w:trPr>
          <w:trHeight w:val="399"/>
          <w:jc w:val="center"/>
        </w:trPr>
        <w:tc>
          <w:tcPr>
            <w:tcW w:w="249" w:type="pct"/>
            <w:shd w:val="clear" w:color="auto" w:fill="auto"/>
            <w:tcMar>
              <w:top w:w="57" w:type="dxa"/>
              <w:left w:w="57" w:type="dxa"/>
              <w:bottom w:w="57" w:type="dxa"/>
              <w:right w:w="57" w:type="dxa"/>
            </w:tcMar>
          </w:tcPr>
          <w:p w14:paraId="52EB22C8" w14:textId="77777777" w:rsidR="00E00BDF" w:rsidRPr="00D773F7" w:rsidRDefault="00E00BDF">
            <w:pPr>
              <w:spacing w:before="40" w:after="40" w:line="200" w:lineRule="atLeast"/>
              <w:ind w:left="-63" w:right="-58"/>
              <w:contextualSpacing/>
              <w:jc w:val="center"/>
              <w:rPr>
                <w:rFonts w:asciiTheme="majorBidi" w:hAnsiTheme="majorBidi" w:cstheme="majorBidi"/>
                <w:b/>
                <w:bCs/>
                <w:noProof/>
                <w:sz w:val="14"/>
                <w:szCs w:val="14"/>
              </w:rPr>
            </w:pPr>
            <w:r w:rsidRPr="00D773F7">
              <w:rPr>
                <w:rFonts w:asciiTheme="majorBidi" w:eastAsia="Calibri" w:hAnsiTheme="majorBidi" w:cstheme="majorBidi"/>
                <w:b/>
                <w:bCs/>
                <w:noProof/>
                <w:sz w:val="14"/>
                <w:szCs w:val="14"/>
              </w:rPr>
              <w:t>Not classified</w:t>
            </w:r>
          </w:p>
        </w:tc>
        <w:tc>
          <w:tcPr>
            <w:tcW w:w="350" w:type="pct"/>
            <w:shd w:val="clear" w:color="auto" w:fill="auto"/>
            <w:tcMar>
              <w:top w:w="57" w:type="dxa"/>
              <w:left w:w="57" w:type="dxa"/>
              <w:bottom w:w="57" w:type="dxa"/>
              <w:right w:w="57" w:type="dxa"/>
            </w:tcMar>
          </w:tcPr>
          <w:p w14:paraId="21A229CD" w14:textId="77777777" w:rsidR="00E00BDF" w:rsidRPr="00D773F7" w:rsidRDefault="00E00BDF">
            <w:pPr>
              <w:tabs>
                <w:tab w:val="left" w:pos="568"/>
              </w:tabs>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Opacitometer 1</w:t>
            </w:r>
          </w:p>
          <w:p w14:paraId="652A5A76" w14:textId="77777777" w:rsidR="00E00BDF" w:rsidRPr="00D773F7" w:rsidRDefault="00E00BDF">
            <w:pPr>
              <w:tabs>
                <w:tab w:val="left" w:pos="568"/>
              </w:tabs>
              <w:spacing w:before="40" w:after="40" w:line="200" w:lineRule="atLeast"/>
              <w:contextualSpacing/>
              <w:jc w:val="center"/>
              <w:rPr>
                <w:rFonts w:asciiTheme="majorBidi" w:eastAsia="Calibri" w:hAnsiTheme="majorBidi" w:cstheme="majorBidi"/>
                <w:bCs/>
                <w:noProof/>
                <w:sz w:val="14"/>
                <w:szCs w:val="14"/>
              </w:rPr>
            </w:pPr>
          </w:p>
          <w:p w14:paraId="24DD5B87" w14:textId="77777777" w:rsidR="00E00BDF" w:rsidRPr="00D773F7" w:rsidRDefault="00E00BDF">
            <w:pPr>
              <w:tabs>
                <w:tab w:val="left" w:pos="568"/>
              </w:tabs>
              <w:spacing w:before="40" w:after="40" w:line="200" w:lineRule="atLeast"/>
              <w:contextualSpacing/>
              <w:jc w:val="center"/>
              <w:rPr>
                <w:rFonts w:asciiTheme="majorBidi" w:hAnsiTheme="majorBidi" w:cstheme="majorBidi"/>
                <w:bCs/>
                <w:noProof/>
                <w:sz w:val="14"/>
                <w:szCs w:val="14"/>
              </w:rPr>
            </w:pPr>
            <w:r w:rsidRPr="00D773F7">
              <w:rPr>
                <w:rFonts w:asciiTheme="majorBidi" w:eastAsia="Calibri" w:hAnsiTheme="majorBidi" w:cstheme="majorBidi"/>
                <w:bCs/>
                <w:noProof/>
                <w:sz w:val="14"/>
                <w:szCs w:val="14"/>
              </w:rPr>
              <w:t>IVIS ≤ 3</w:t>
            </w:r>
          </w:p>
        </w:tc>
        <w:tc>
          <w:tcPr>
            <w:tcW w:w="351" w:type="pct"/>
            <w:shd w:val="clear" w:color="auto" w:fill="auto"/>
          </w:tcPr>
          <w:p w14:paraId="5B0D0AC8" w14:textId="77777777" w:rsidR="00E00BDF" w:rsidRPr="00D773F7" w:rsidRDefault="00E00BDF">
            <w:pPr>
              <w:tabs>
                <w:tab w:val="left" w:pos="568"/>
              </w:tabs>
              <w:spacing w:before="40" w:after="40" w:line="200" w:lineRule="atLeast"/>
              <w:contextualSpacing/>
              <w:jc w:val="center"/>
              <w:rPr>
                <w:rFonts w:asciiTheme="majorBidi" w:hAnsiTheme="majorBidi" w:cstheme="majorBidi"/>
                <w:bCs/>
                <w:noProof/>
                <w:sz w:val="14"/>
                <w:szCs w:val="14"/>
              </w:rPr>
            </w:pPr>
            <w:r w:rsidRPr="00D773F7">
              <w:rPr>
                <w:rFonts w:asciiTheme="majorBidi" w:hAnsiTheme="majorBidi" w:cstheme="majorBidi"/>
                <w:bCs/>
                <w:noProof/>
                <w:sz w:val="14"/>
                <w:szCs w:val="14"/>
              </w:rPr>
              <w:t>Opacitometer 2</w:t>
            </w:r>
          </w:p>
          <w:p w14:paraId="1E63721A" w14:textId="77777777" w:rsidR="00E00BDF" w:rsidRPr="00D773F7" w:rsidRDefault="00E00BDF">
            <w:pPr>
              <w:tabs>
                <w:tab w:val="left" w:pos="568"/>
              </w:tabs>
              <w:spacing w:before="40" w:after="40" w:line="200" w:lineRule="atLeast"/>
              <w:contextualSpacing/>
              <w:jc w:val="center"/>
              <w:rPr>
                <w:rFonts w:asciiTheme="majorBidi" w:hAnsiTheme="majorBidi" w:cstheme="majorBidi"/>
                <w:bCs/>
                <w:noProof/>
                <w:sz w:val="14"/>
                <w:szCs w:val="14"/>
              </w:rPr>
            </w:pPr>
          </w:p>
          <w:p w14:paraId="681D01F2" w14:textId="77777777" w:rsidR="00E00BDF" w:rsidRPr="00D773F7" w:rsidRDefault="00E00BDF">
            <w:pPr>
              <w:tabs>
                <w:tab w:val="left" w:pos="568"/>
              </w:tabs>
              <w:spacing w:before="40" w:after="40" w:line="200" w:lineRule="atLeast"/>
              <w:contextualSpacing/>
              <w:jc w:val="center"/>
              <w:rPr>
                <w:rFonts w:asciiTheme="majorBidi" w:hAnsiTheme="majorBidi" w:cstheme="majorBidi"/>
                <w:bCs/>
                <w:noProof/>
                <w:sz w:val="14"/>
                <w:szCs w:val="14"/>
              </w:rPr>
            </w:pPr>
            <w:r w:rsidRPr="00D773F7">
              <w:rPr>
                <w:rFonts w:asciiTheme="majorBidi" w:hAnsiTheme="majorBidi" w:cstheme="majorBidi"/>
                <w:bCs/>
                <w:noProof/>
                <w:sz w:val="14"/>
                <w:szCs w:val="14"/>
              </w:rPr>
              <w:t>LIS ≤ 30</w:t>
            </w:r>
          </w:p>
        </w:tc>
        <w:tc>
          <w:tcPr>
            <w:tcW w:w="630" w:type="pct"/>
            <w:shd w:val="clear" w:color="auto" w:fill="auto"/>
            <w:tcMar>
              <w:top w:w="57" w:type="dxa"/>
              <w:left w:w="57" w:type="dxa"/>
              <w:bottom w:w="57" w:type="dxa"/>
              <w:right w:w="57" w:type="dxa"/>
            </w:tcMar>
          </w:tcPr>
          <w:p w14:paraId="3BE08B17"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ICE class I for all 3 endpoints, OR</w:t>
            </w:r>
          </w:p>
          <w:p w14:paraId="3044B398"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ICE class I for 2 endpoints and ICE class II for the other endpoint, OR</w:t>
            </w:r>
          </w:p>
          <w:p w14:paraId="56AA9793" w14:textId="77777777" w:rsidR="00E00BDF" w:rsidRPr="00D773F7" w:rsidRDefault="00E00BDF">
            <w:pPr>
              <w:spacing w:before="40" w:after="40" w:line="200" w:lineRule="atLeast"/>
              <w:contextualSpacing/>
              <w:jc w:val="center"/>
              <w:rPr>
                <w:rFonts w:asciiTheme="majorBidi" w:hAnsiTheme="majorBidi" w:cstheme="majorBidi"/>
                <w:noProof/>
                <w:sz w:val="14"/>
                <w:szCs w:val="14"/>
              </w:rPr>
            </w:pPr>
            <w:r w:rsidRPr="00D773F7">
              <w:rPr>
                <w:rFonts w:asciiTheme="majorBidi" w:eastAsia="Calibri" w:hAnsiTheme="majorBidi" w:cstheme="majorBidi"/>
                <w:bCs/>
                <w:noProof/>
                <w:sz w:val="14"/>
                <w:szCs w:val="14"/>
              </w:rPr>
              <w:t>ICE class II for 2 endpoints and ICE class I for the other endpoint</w:t>
            </w:r>
          </w:p>
        </w:tc>
        <w:tc>
          <w:tcPr>
            <w:tcW w:w="650" w:type="pct"/>
          </w:tcPr>
          <w:p w14:paraId="6985B592"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No stand-alone prediction can be made</w:t>
            </w:r>
          </w:p>
        </w:tc>
        <w:tc>
          <w:tcPr>
            <w:tcW w:w="622" w:type="pct"/>
            <w:shd w:val="clear" w:color="auto" w:fill="auto"/>
            <w:tcMar>
              <w:top w:w="57" w:type="dxa"/>
              <w:left w:w="57" w:type="dxa"/>
              <w:bottom w:w="57" w:type="dxa"/>
              <w:right w:w="57" w:type="dxa"/>
            </w:tcMar>
          </w:tcPr>
          <w:p w14:paraId="499393B4"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Viability &gt; 70 %</w:t>
            </w:r>
          </w:p>
          <w:p w14:paraId="3D964F49"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at 5 % and 0.05 %</w:t>
            </w:r>
          </w:p>
          <w:p w14:paraId="4A6C76C4" w14:textId="77777777" w:rsidR="00E00BDF" w:rsidRPr="00D773F7" w:rsidRDefault="00E00BDF">
            <w:pPr>
              <w:spacing w:before="40" w:after="40" w:line="200" w:lineRule="atLeast"/>
              <w:contextualSpacing/>
              <w:jc w:val="center"/>
              <w:rPr>
                <w:rFonts w:asciiTheme="majorBidi" w:hAnsiTheme="majorBidi" w:cstheme="majorBidi"/>
                <w:bCs/>
                <w:noProof/>
                <w:sz w:val="14"/>
                <w:szCs w:val="14"/>
              </w:rPr>
            </w:pPr>
          </w:p>
        </w:tc>
        <w:tc>
          <w:tcPr>
            <w:tcW w:w="250" w:type="pct"/>
            <w:shd w:val="clear" w:color="auto" w:fill="auto"/>
          </w:tcPr>
          <w:p w14:paraId="3E150F7A"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Test method 1</w:t>
            </w:r>
          </w:p>
          <w:p w14:paraId="48FF7FBB"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p>
          <w:p w14:paraId="0CD3FC8F" w14:textId="77777777" w:rsidR="00E00BDF" w:rsidRPr="00D773F7" w:rsidDel="007B5292"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Liquids and Solids: Viability &gt; 60 %</w:t>
            </w:r>
          </w:p>
        </w:tc>
        <w:tc>
          <w:tcPr>
            <w:tcW w:w="250" w:type="pct"/>
            <w:shd w:val="clear" w:color="auto" w:fill="auto"/>
          </w:tcPr>
          <w:p w14:paraId="3B8CA256"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 xml:space="preserve">Test method 2 </w:t>
            </w:r>
          </w:p>
          <w:p w14:paraId="1D3C936A"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p>
          <w:p w14:paraId="37EFF8A3"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 xml:space="preserve">Liquids:  Viability &gt; 60 %; </w:t>
            </w:r>
          </w:p>
          <w:p w14:paraId="0C2268B9"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Solids:</w:t>
            </w:r>
          </w:p>
          <w:p w14:paraId="1F183D14"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lang w:val="pt-PT"/>
              </w:rPr>
              <w:t>Viability &gt; 50 %</w:t>
            </w:r>
          </w:p>
        </w:tc>
        <w:tc>
          <w:tcPr>
            <w:tcW w:w="250" w:type="pct"/>
            <w:shd w:val="clear" w:color="auto" w:fill="auto"/>
          </w:tcPr>
          <w:p w14:paraId="7FEBE0C2"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 xml:space="preserve">Test method 3 </w:t>
            </w:r>
          </w:p>
          <w:p w14:paraId="171A7109"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p>
          <w:p w14:paraId="6C6F11CD" w14:textId="77777777" w:rsidR="00E00BDF" w:rsidRPr="00D773F7" w:rsidDel="007B5292"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Liquids and Solids: Viability &gt; 40 %</w:t>
            </w:r>
          </w:p>
        </w:tc>
        <w:tc>
          <w:tcPr>
            <w:tcW w:w="251" w:type="pct"/>
            <w:shd w:val="clear" w:color="auto" w:fill="auto"/>
          </w:tcPr>
          <w:p w14:paraId="7C0AD3C4"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 xml:space="preserve">Test method 4 </w:t>
            </w:r>
          </w:p>
          <w:p w14:paraId="466AEE6E"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p>
          <w:p w14:paraId="0F49BEEA"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 xml:space="preserve">Liquids:  Viability &gt; 35 %; </w:t>
            </w:r>
          </w:p>
          <w:p w14:paraId="1B2DDF64"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Solids:</w:t>
            </w:r>
          </w:p>
          <w:p w14:paraId="49DFC4A3"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lang w:val="pt-PT"/>
              </w:rPr>
              <w:t>Viability &gt; 60 %</w:t>
            </w:r>
          </w:p>
        </w:tc>
        <w:tc>
          <w:tcPr>
            <w:tcW w:w="455" w:type="pct"/>
          </w:tcPr>
          <w:p w14:paraId="28877BBB"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Time lag &gt; 180 seconds</w:t>
            </w:r>
          </w:p>
          <w:p w14:paraId="70A27897"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and Intensity &lt; 0.05 %/seconds</w:t>
            </w:r>
          </w:p>
          <w:p w14:paraId="23F939E2"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and Plateau level ≤ 5.0 %</w:t>
            </w:r>
          </w:p>
        </w:tc>
        <w:tc>
          <w:tcPr>
            <w:tcW w:w="692" w:type="pct"/>
          </w:tcPr>
          <w:p w14:paraId="2B2E64DA" w14:textId="77777777" w:rsidR="00E00BDF" w:rsidRPr="00D773F7" w:rsidRDefault="00E00BDF">
            <w:pPr>
              <w:spacing w:before="40" w:after="40" w:line="200" w:lineRule="atLeast"/>
              <w:contextualSpacing/>
              <w:jc w:val="center"/>
              <w:rPr>
                <w:rFonts w:asciiTheme="majorBidi" w:eastAsia="Calibri" w:hAnsiTheme="majorBidi" w:cstheme="majorBidi"/>
                <w:bCs/>
                <w:noProof/>
                <w:sz w:val="14"/>
                <w:szCs w:val="14"/>
              </w:rPr>
            </w:pPr>
            <w:r w:rsidRPr="00D773F7">
              <w:rPr>
                <w:rFonts w:asciiTheme="majorBidi" w:eastAsia="Calibri" w:hAnsiTheme="majorBidi" w:cstheme="majorBidi"/>
                <w:bCs/>
                <w:noProof/>
                <w:sz w:val="14"/>
                <w:szCs w:val="14"/>
              </w:rPr>
              <w:t>MQS ≤ 12.5</w:t>
            </w:r>
          </w:p>
        </w:tc>
      </w:tr>
    </w:tbl>
    <w:p w14:paraId="7AD056E7" w14:textId="77777777" w:rsidR="00E00BDF" w:rsidRPr="00D773F7" w:rsidRDefault="00E00BDF" w:rsidP="00E00BDF">
      <w:pPr>
        <w:pStyle w:val="ListParagraph"/>
        <w:ind w:left="284" w:hanging="284"/>
        <w:rPr>
          <w:rFonts w:asciiTheme="majorBidi" w:hAnsiTheme="majorBidi" w:cstheme="majorBidi"/>
          <w:i/>
          <w:sz w:val="18"/>
          <w:szCs w:val="18"/>
        </w:rPr>
      </w:pPr>
      <w:r w:rsidRPr="00D773F7">
        <w:rPr>
          <w:rFonts w:asciiTheme="majorBidi" w:hAnsiTheme="majorBidi" w:cstheme="majorBidi"/>
          <w:b/>
          <w:sz w:val="18"/>
          <w:szCs w:val="18"/>
          <w:vertAlign w:val="superscript"/>
        </w:rPr>
        <w:t>a</w:t>
      </w:r>
      <w:r w:rsidRPr="00D773F7">
        <w:rPr>
          <w:rFonts w:asciiTheme="majorBidi" w:hAnsiTheme="majorBidi" w:cstheme="majorBidi"/>
          <w:sz w:val="18"/>
          <w:szCs w:val="18"/>
        </w:rPr>
        <w:tab/>
      </w:r>
      <w:r w:rsidRPr="00D773F7">
        <w:rPr>
          <w:rFonts w:asciiTheme="majorBidi" w:hAnsiTheme="majorBidi" w:cstheme="majorBidi"/>
          <w:i/>
          <w:sz w:val="18"/>
          <w:szCs w:val="18"/>
        </w:rPr>
        <w:t>Grading criteria are understood as described in OECD test guidelines 437, 438, 460, 491, 492, 494 and 496.</w:t>
      </w:r>
    </w:p>
    <w:p w14:paraId="25A2CE69" w14:textId="77777777" w:rsidR="00E00BDF" w:rsidRPr="00D773F7" w:rsidRDefault="00E00BDF" w:rsidP="00E00BDF">
      <w:pPr>
        <w:tabs>
          <w:tab w:val="left" w:pos="284"/>
        </w:tabs>
        <w:spacing w:after="200" w:line="276" w:lineRule="auto"/>
        <w:rPr>
          <w:rFonts w:asciiTheme="majorBidi" w:hAnsiTheme="majorBidi" w:cstheme="majorBidi"/>
          <w:i/>
          <w:sz w:val="18"/>
          <w:szCs w:val="18"/>
        </w:rPr>
      </w:pPr>
      <w:r w:rsidRPr="00D773F7">
        <w:rPr>
          <w:rFonts w:asciiTheme="majorBidi" w:hAnsiTheme="majorBidi" w:cstheme="majorBidi"/>
          <w:b/>
          <w:sz w:val="18"/>
          <w:szCs w:val="18"/>
          <w:vertAlign w:val="superscript"/>
        </w:rPr>
        <w:t>b</w:t>
      </w:r>
      <w:r w:rsidRPr="00D773F7">
        <w:rPr>
          <w:rFonts w:asciiTheme="majorBidi" w:hAnsiTheme="majorBidi" w:cstheme="majorBidi"/>
          <w:sz w:val="18"/>
          <w:szCs w:val="18"/>
        </w:rPr>
        <w:tab/>
      </w:r>
      <w:r w:rsidRPr="00D773F7">
        <w:rPr>
          <w:rFonts w:asciiTheme="majorBidi" w:hAnsiTheme="majorBidi" w:cstheme="majorBidi"/>
          <w:i/>
          <w:sz w:val="18"/>
          <w:szCs w:val="18"/>
        </w:rPr>
        <w:t>For criteria, please consult OECD Test Guideline 438</w:t>
      </w:r>
    </w:p>
    <w:p w14:paraId="573F0BF6" w14:textId="4598C1EA" w:rsidR="009037D8" w:rsidRPr="00D773F7" w:rsidRDefault="009037D8" w:rsidP="00C93286">
      <w:pPr>
        <w:pStyle w:val="Bullet1G"/>
        <w:numPr>
          <w:ilvl w:val="0"/>
          <w:numId w:val="0"/>
        </w:numPr>
        <w:ind w:left="2098" w:firstLine="170"/>
        <w:rPr>
          <w:rFonts w:asciiTheme="majorBidi" w:hAnsiTheme="majorBidi" w:cstheme="majorBidi"/>
        </w:rPr>
      </w:pPr>
    </w:p>
    <w:p w14:paraId="7B3ECD7B" w14:textId="77777777" w:rsidR="007408C1" w:rsidRPr="00D773F7" w:rsidRDefault="007408C1" w:rsidP="00B73E8E">
      <w:pPr>
        <w:rPr>
          <w:rFonts w:asciiTheme="majorBidi" w:hAnsiTheme="majorBidi" w:cstheme="majorBidi"/>
        </w:rPr>
        <w:sectPr w:rsidR="007408C1" w:rsidRPr="00D773F7" w:rsidSect="00B73E8E">
          <w:headerReference w:type="even" r:id="rId33"/>
          <w:headerReference w:type="default" r:id="rId34"/>
          <w:footerReference w:type="even" r:id="rId35"/>
          <w:footerReference w:type="default" r:id="rId36"/>
          <w:endnotePr>
            <w:numFmt w:val="decimal"/>
          </w:endnotePr>
          <w:pgSz w:w="16840" w:h="11907" w:orient="landscape" w:code="9"/>
          <w:pgMar w:top="1134" w:right="1417" w:bottom="1134" w:left="1134" w:header="567" w:footer="567" w:gutter="0"/>
          <w:cols w:space="720"/>
          <w:docGrid w:linePitch="272"/>
        </w:sectPr>
      </w:pPr>
    </w:p>
    <w:p w14:paraId="0B53367D" w14:textId="77777777" w:rsidR="00F56B65" w:rsidRPr="00D773F7" w:rsidRDefault="00F56B65" w:rsidP="00F56B65">
      <w:pPr>
        <w:pStyle w:val="SingleTxtG"/>
        <w:tabs>
          <w:tab w:val="left" w:pos="3402"/>
        </w:tabs>
        <w:ind w:left="2268"/>
        <w:rPr>
          <w:rFonts w:asciiTheme="majorBidi" w:hAnsiTheme="majorBidi" w:cstheme="majorBidi"/>
        </w:rPr>
      </w:pPr>
      <w:r w:rsidRPr="00D773F7">
        <w:rPr>
          <w:rFonts w:asciiTheme="majorBidi" w:hAnsiTheme="majorBidi" w:cstheme="majorBidi"/>
        </w:rPr>
        <w:lastRenderedPageBreak/>
        <w:t>3.3.5.3.5.2</w:t>
      </w:r>
      <w:r w:rsidRPr="00D773F7">
        <w:rPr>
          <w:rFonts w:asciiTheme="majorBidi" w:hAnsiTheme="majorBidi" w:cstheme="majorBidi"/>
        </w:rPr>
        <w:tab/>
      </w:r>
      <w:r w:rsidRPr="00D773F7">
        <w:rPr>
          <w:rFonts w:asciiTheme="majorBidi" w:hAnsiTheme="majorBidi" w:cstheme="majorBidi"/>
        </w:rPr>
        <w:tab/>
        <w:t xml:space="preserve">A non-exhaustive list of other validated </w:t>
      </w:r>
      <w:r w:rsidRPr="00D773F7">
        <w:rPr>
          <w:rFonts w:asciiTheme="majorBidi" w:hAnsiTheme="majorBidi" w:cstheme="majorBidi"/>
          <w:iCs/>
        </w:rPr>
        <w:t>in vitro</w:t>
      </w:r>
      <w:r w:rsidRPr="00D773F7">
        <w:rPr>
          <w:rFonts w:asciiTheme="majorBidi" w:hAnsiTheme="majorBidi" w:cstheme="majorBidi"/>
        </w:rPr>
        <w:t>/</w:t>
      </w:r>
      <w:r w:rsidRPr="00D773F7">
        <w:rPr>
          <w:rFonts w:asciiTheme="majorBidi" w:hAnsiTheme="majorBidi" w:cstheme="majorBidi"/>
          <w:i/>
        </w:rPr>
        <w:t>ex vivo</w:t>
      </w:r>
      <w:r w:rsidRPr="00D773F7">
        <w:rPr>
          <w:rFonts w:asciiTheme="majorBidi" w:hAnsiTheme="majorBidi" w:cstheme="majorBidi"/>
        </w:rPr>
        <w:t xml:space="preserve"> test methods accepted by some competent authorities but not adopted as OECD test guidelines are listed below. A competent authority may decide which classification criteria, if any, should be applied for these test methods</w:t>
      </w:r>
      <w:r w:rsidRPr="00D773F7">
        <w:rPr>
          <w:rFonts w:asciiTheme="majorBidi" w:eastAsiaTheme="minorHAnsi" w:hAnsiTheme="majorBidi" w:cstheme="majorBidi"/>
        </w:rPr>
        <w:t>:</w:t>
      </w:r>
    </w:p>
    <w:p w14:paraId="125E18BA" w14:textId="4CB2211E" w:rsidR="00F56B65" w:rsidRPr="00D773F7" w:rsidRDefault="00F13D63" w:rsidP="00F13D63">
      <w:pPr>
        <w:pStyle w:val="Bullet1G"/>
        <w:numPr>
          <w:ilvl w:val="0"/>
          <w:numId w:val="0"/>
        </w:numPr>
        <w:suppressAutoHyphens/>
        <w:kinsoku w:val="0"/>
        <w:overflowPunct w:val="0"/>
        <w:autoSpaceDE w:val="0"/>
        <w:autoSpaceDN w:val="0"/>
        <w:adjustRightInd w:val="0"/>
        <w:snapToGrid w:val="0"/>
        <w:ind w:left="2552" w:hanging="284"/>
        <w:rPr>
          <w:rFonts w:asciiTheme="majorBidi" w:hAnsiTheme="majorBidi" w:cstheme="majorBidi"/>
        </w:rPr>
      </w:pPr>
      <w:r w:rsidRPr="00D773F7">
        <w:rPr>
          <w:rFonts w:asciiTheme="majorBidi" w:hAnsiTheme="majorBidi" w:cstheme="majorBidi"/>
        </w:rPr>
        <w:t>•</w:t>
      </w:r>
      <w:r w:rsidRPr="00D773F7">
        <w:rPr>
          <w:rFonts w:asciiTheme="majorBidi" w:hAnsiTheme="majorBidi" w:cstheme="majorBidi"/>
        </w:rPr>
        <w:tab/>
      </w:r>
      <w:r w:rsidR="00F56B65" w:rsidRPr="00D773F7">
        <w:rPr>
          <w:rFonts w:asciiTheme="majorBidi" w:eastAsiaTheme="minorHAnsi" w:hAnsiTheme="majorBidi" w:cstheme="majorBidi"/>
          <w:lang w:eastAsia="en-US"/>
        </w:rPr>
        <w:t>T</w:t>
      </w:r>
      <w:r w:rsidR="00F56B65" w:rsidRPr="00D773F7">
        <w:rPr>
          <w:rFonts w:asciiTheme="majorBidi" w:hAnsiTheme="majorBidi" w:cstheme="majorBidi"/>
        </w:rPr>
        <w:t>ime to Toxicity (ET</w:t>
      </w:r>
      <w:r w:rsidR="00F56B65" w:rsidRPr="00D773F7">
        <w:rPr>
          <w:rFonts w:asciiTheme="majorBidi" w:hAnsiTheme="majorBidi" w:cstheme="majorBidi"/>
          <w:vertAlign w:val="subscript"/>
        </w:rPr>
        <w:t>50</w:t>
      </w:r>
      <w:r w:rsidR="00F56B65" w:rsidRPr="00D773F7">
        <w:rPr>
          <w:rFonts w:asciiTheme="majorBidi" w:hAnsiTheme="majorBidi" w:cstheme="majorBidi"/>
        </w:rPr>
        <w:t>) tests using the Reconstructed human Cornea-like Epithelia (</w:t>
      </w:r>
      <w:proofErr w:type="spellStart"/>
      <w:r w:rsidR="00F56B65" w:rsidRPr="00D773F7">
        <w:rPr>
          <w:rFonts w:asciiTheme="majorBidi" w:hAnsiTheme="majorBidi" w:cstheme="majorBidi"/>
        </w:rPr>
        <w:t>RhCE</w:t>
      </w:r>
      <w:proofErr w:type="spellEnd"/>
      <w:r w:rsidR="00F56B65" w:rsidRPr="00D773F7">
        <w:rPr>
          <w:rFonts w:asciiTheme="majorBidi" w:hAnsiTheme="majorBidi" w:cstheme="majorBidi"/>
        </w:rPr>
        <w:t>) described in OECD Test Guideline 492 (</w:t>
      </w:r>
      <w:proofErr w:type="spellStart"/>
      <w:r w:rsidR="00F56B65" w:rsidRPr="00D773F7">
        <w:rPr>
          <w:rFonts w:asciiTheme="majorBidi" w:hAnsiTheme="majorBidi" w:cstheme="majorBidi"/>
        </w:rPr>
        <w:t>Kandarova</w:t>
      </w:r>
      <w:proofErr w:type="spellEnd"/>
      <w:r w:rsidR="00F56B65" w:rsidRPr="00D773F7">
        <w:rPr>
          <w:rFonts w:asciiTheme="majorBidi" w:hAnsiTheme="majorBidi" w:cstheme="majorBidi"/>
        </w:rPr>
        <w:t xml:space="preserve"> et al., 2018; </w:t>
      </w:r>
      <w:proofErr w:type="spellStart"/>
      <w:r w:rsidR="00F56B65" w:rsidRPr="00D773F7">
        <w:rPr>
          <w:rFonts w:asciiTheme="majorBidi" w:hAnsiTheme="majorBidi" w:cstheme="majorBidi"/>
        </w:rPr>
        <w:t>Alépée</w:t>
      </w:r>
      <w:proofErr w:type="spellEnd"/>
      <w:r w:rsidR="00F56B65" w:rsidRPr="00D773F7">
        <w:rPr>
          <w:rFonts w:asciiTheme="majorBidi" w:hAnsiTheme="majorBidi" w:cstheme="majorBidi"/>
        </w:rPr>
        <w:t xml:space="preserve"> et al., 2020);</w:t>
      </w:r>
    </w:p>
    <w:p w14:paraId="3EE75DB4" w14:textId="7C330775" w:rsidR="00F56B65" w:rsidRPr="00D773F7" w:rsidRDefault="00F13D63" w:rsidP="00F13D63">
      <w:pPr>
        <w:pStyle w:val="Bullet1G"/>
        <w:numPr>
          <w:ilvl w:val="0"/>
          <w:numId w:val="0"/>
        </w:numPr>
        <w:suppressAutoHyphens/>
        <w:kinsoku w:val="0"/>
        <w:overflowPunct w:val="0"/>
        <w:autoSpaceDE w:val="0"/>
        <w:autoSpaceDN w:val="0"/>
        <w:adjustRightInd w:val="0"/>
        <w:snapToGrid w:val="0"/>
        <w:ind w:left="2552" w:hanging="284"/>
        <w:rPr>
          <w:rFonts w:asciiTheme="majorBidi" w:hAnsiTheme="majorBidi" w:cstheme="majorBidi"/>
        </w:rPr>
      </w:pPr>
      <w:r w:rsidRPr="00D773F7">
        <w:rPr>
          <w:rFonts w:asciiTheme="majorBidi" w:hAnsiTheme="majorBidi" w:cstheme="majorBidi"/>
        </w:rPr>
        <w:t>•</w:t>
      </w:r>
      <w:r w:rsidRPr="00D773F7">
        <w:rPr>
          <w:rFonts w:asciiTheme="majorBidi" w:hAnsiTheme="majorBidi" w:cstheme="majorBidi"/>
        </w:rPr>
        <w:tab/>
      </w:r>
      <w:r w:rsidR="00F56B65" w:rsidRPr="00D773F7">
        <w:rPr>
          <w:rFonts w:asciiTheme="majorBidi" w:hAnsiTheme="majorBidi" w:cstheme="majorBidi"/>
          <w:i/>
          <w:iCs/>
        </w:rPr>
        <w:t>Ex Vivo</w:t>
      </w:r>
      <w:r w:rsidR="00F56B65" w:rsidRPr="00D773F7">
        <w:rPr>
          <w:rFonts w:asciiTheme="majorBidi" w:hAnsiTheme="majorBidi" w:cstheme="majorBidi"/>
        </w:rPr>
        <w:t xml:space="preserve"> Eye Irritation Test (EVEIT): an </w:t>
      </w:r>
      <w:r w:rsidR="00F56B65" w:rsidRPr="00D773F7">
        <w:rPr>
          <w:rFonts w:asciiTheme="majorBidi" w:hAnsiTheme="majorBidi" w:cstheme="majorBidi"/>
          <w:i/>
          <w:iCs/>
        </w:rPr>
        <w:t>ex vivo</w:t>
      </w:r>
      <w:r w:rsidR="00F56B65" w:rsidRPr="00D773F7">
        <w:rPr>
          <w:rFonts w:asciiTheme="majorBidi" w:hAnsiTheme="majorBidi" w:cstheme="majorBidi"/>
        </w:rPr>
        <w:t xml:space="preserve"> assay that uses excised rabbit corneal tissues kept in culture for several days and monitors tissue recovery to model both reversible and non-reversible eye effects. Full-thickness tissue recovery is monitored non-invasively using optical coherence tomography (OCT) (</w:t>
      </w:r>
      <w:proofErr w:type="spellStart"/>
      <w:r w:rsidR="00F56B65" w:rsidRPr="00D773F7">
        <w:rPr>
          <w:rFonts w:asciiTheme="majorBidi" w:hAnsiTheme="majorBidi" w:cstheme="majorBidi"/>
        </w:rPr>
        <w:t>Frentz</w:t>
      </w:r>
      <w:proofErr w:type="spellEnd"/>
      <w:r w:rsidR="00F56B65" w:rsidRPr="00D773F7">
        <w:rPr>
          <w:rFonts w:asciiTheme="majorBidi" w:hAnsiTheme="majorBidi" w:cstheme="majorBidi"/>
        </w:rPr>
        <w:t xml:space="preserve"> et al., 2008; </w:t>
      </w:r>
      <w:proofErr w:type="spellStart"/>
      <w:r w:rsidR="00F56B65" w:rsidRPr="00D773F7">
        <w:rPr>
          <w:rFonts w:asciiTheme="majorBidi" w:hAnsiTheme="majorBidi" w:cstheme="majorBidi"/>
        </w:rPr>
        <w:t>Spöler</w:t>
      </w:r>
      <w:proofErr w:type="spellEnd"/>
      <w:r w:rsidR="00F56B65" w:rsidRPr="00D773F7">
        <w:rPr>
          <w:rFonts w:asciiTheme="majorBidi" w:hAnsiTheme="majorBidi" w:cstheme="majorBidi"/>
        </w:rPr>
        <w:t xml:space="preserve"> et al., 2007; </w:t>
      </w:r>
      <w:proofErr w:type="spellStart"/>
      <w:r w:rsidR="00F56B65" w:rsidRPr="00D773F7">
        <w:rPr>
          <w:rFonts w:asciiTheme="majorBidi" w:hAnsiTheme="majorBidi" w:cstheme="majorBidi"/>
        </w:rPr>
        <w:t>Spöler</w:t>
      </w:r>
      <w:proofErr w:type="spellEnd"/>
      <w:r w:rsidR="00F56B65" w:rsidRPr="00D773F7">
        <w:rPr>
          <w:rFonts w:asciiTheme="majorBidi" w:hAnsiTheme="majorBidi" w:cstheme="majorBidi"/>
        </w:rPr>
        <w:t xml:space="preserve"> et al., 2015);</w:t>
      </w:r>
    </w:p>
    <w:p w14:paraId="4D029CD4" w14:textId="23D9F905" w:rsidR="00F56B65" w:rsidRPr="00D773F7" w:rsidRDefault="00F13D63" w:rsidP="00F13D63">
      <w:pPr>
        <w:pStyle w:val="Bullet1G"/>
        <w:numPr>
          <w:ilvl w:val="0"/>
          <w:numId w:val="0"/>
        </w:numPr>
        <w:suppressAutoHyphens/>
        <w:kinsoku w:val="0"/>
        <w:overflowPunct w:val="0"/>
        <w:autoSpaceDE w:val="0"/>
        <w:autoSpaceDN w:val="0"/>
        <w:adjustRightInd w:val="0"/>
        <w:snapToGrid w:val="0"/>
        <w:ind w:left="2552" w:hanging="284"/>
        <w:rPr>
          <w:rFonts w:asciiTheme="majorBidi" w:hAnsiTheme="majorBidi" w:cstheme="majorBidi"/>
        </w:rPr>
      </w:pPr>
      <w:r w:rsidRPr="00D773F7">
        <w:rPr>
          <w:rFonts w:asciiTheme="majorBidi" w:hAnsiTheme="majorBidi" w:cstheme="majorBidi"/>
        </w:rPr>
        <w:t>•</w:t>
      </w:r>
      <w:r w:rsidRPr="00D773F7">
        <w:rPr>
          <w:rFonts w:asciiTheme="majorBidi" w:hAnsiTheme="majorBidi" w:cstheme="majorBidi"/>
        </w:rPr>
        <w:tab/>
      </w:r>
      <w:r w:rsidR="00F56B65" w:rsidRPr="00D773F7">
        <w:rPr>
          <w:rFonts w:asciiTheme="majorBidi" w:hAnsiTheme="majorBidi" w:cstheme="majorBidi"/>
        </w:rPr>
        <w:t>Porcine Ocular Cornea Opacity/Reversibility Assay (</w:t>
      </w:r>
      <w:proofErr w:type="spellStart"/>
      <w:r w:rsidR="00F56B65" w:rsidRPr="00D773F7">
        <w:rPr>
          <w:rFonts w:asciiTheme="majorBidi" w:hAnsiTheme="majorBidi" w:cstheme="majorBidi"/>
        </w:rPr>
        <w:t>PorCORA</w:t>
      </w:r>
      <w:proofErr w:type="spellEnd"/>
      <w:r w:rsidR="00F56B65" w:rsidRPr="00D773F7">
        <w:rPr>
          <w:rFonts w:asciiTheme="majorBidi" w:hAnsiTheme="majorBidi" w:cstheme="majorBidi"/>
        </w:rPr>
        <w:t>): an ex vivo assay that uses excised porcine corneal tissues kept in culture for up to 21 days and monitors tissue recovery to model both reversible and non-reversible eye effects. The tissues are stained with fluorescent dye and effects on the corneal epithelia are visualised by the retention of fluorescent dye (</w:t>
      </w:r>
      <w:proofErr w:type="spellStart"/>
      <w:r w:rsidR="00F56B65" w:rsidRPr="00D773F7">
        <w:rPr>
          <w:rFonts w:asciiTheme="majorBidi" w:hAnsiTheme="majorBidi" w:cstheme="majorBidi"/>
        </w:rPr>
        <w:t>Piehl</w:t>
      </w:r>
      <w:proofErr w:type="spellEnd"/>
      <w:r w:rsidR="00F56B65" w:rsidRPr="00D773F7">
        <w:rPr>
          <w:rFonts w:asciiTheme="majorBidi" w:hAnsiTheme="majorBidi" w:cstheme="majorBidi"/>
        </w:rPr>
        <w:t xml:space="preserve"> et al., 2010; </w:t>
      </w:r>
      <w:proofErr w:type="spellStart"/>
      <w:r w:rsidR="00F56B65" w:rsidRPr="00D773F7">
        <w:rPr>
          <w:rFonts w:asciiTheme="majorBidi" w:hAnsiTheme="majorBidi" w:cstheme="majorBidi"/>
        </w:rPr>
        <w:t>Piehl</w:t>
      </w:r>
      <w:proofErr w:type="spellEnd"/>
      <w:r w:rsidR="00F56B65" w:rsidRPr="00D773F7">
        <w:rPr>
          <w:rFonts w:asciiTheme="majorBidi" w:hAnsiTheme="majorBidi" w:cstheme="majorBidi"/>
        </w:rPr>
        <w:t xml:space="preserve"> et al., 2011);</w:t>
      </w:r>
    </w:p>
    <w:p w14:paraId="78475411" w14:textId="779ED839" w:rsidR="00F56B65" w:rsidRPr="00D773F7" w:rsidRDefault="00F13D63" w:rsidP="00F13D63">
      <w:pPr>
        <w:pStyle w:val="Bullet1G"/>
        <w:numPr>
          <w:ilvl w:val="0"/>
          <w:numId w:val="0"/>
        </w:numPr>
        <w:suppressAutoHyphens/>
        <w:kinsoku w:val="0"/>
        <w:overflowPunct w:val="0"/>
        <w:autoSpaceDE w:val="0"/>
        <w:autoSpaceDN w:val="0"/>
        <w:adjustRightInd w:val="0"/>
        <w:snapToGrid w:val="0"/>
        <w:ind w:left="2552" w:hanging="284"/>
        <w:rPr>
          <w:rFonts w:asciiTheme="majorBidi" w:hAnsiTheme="majorBidi" w:cstheme="majorBidi"/>
        </w:rPr>
      </w:pPr>
      <w:r w:rsidRPr="00D773F7">
        <w:rPr>
          <w:rFonts w:asciiTheme="majorBidi" w:hAnsiTheme="majorBidi" w:cstheme="majorBidi"/>
        </w:rPr>
        <w:t>•</w:t>
      </w:r>
      <w:r w:rsidRPr="00D773F7">
        <w:rPr>
          <w:rFonts w:asciiTheme="majorBidi" w:hAnsiTheme="majorBidi" w:cstheme="majorBidi"/>
        </w:rPr>
        <w:tab/>
      </w:r>
      <w:proofErr w:type="spellStart"/>
      <w:r w:rsidR="00F56B65" w:rsidRPr="00D773F7">
        <w:rPr>
          <w:rFonts w:asciiTheme="majorBidi" w:hAnsiTheme="majorBidi" w:cstheme="majorBidi"/>
        </w:rPr>
        <w:t>EyeIRR</w:t>
      </w:r>
      <w:proofErr w:type="spellEnd"/>
      <w:r w:rsidR="00F56B65" w:rsidRPr="00D773F7">
        <w:rPr>
          <w:rFonts w:asciiTheme="majorBidi" w:hAnsiTheme="majorBidi" w:cstheme="majorBidi"/>
        </w:rPr>
        <w:t xml:space="preserve">-IS assay: a genomic approach applied to a </w:t>
      </w:r>
      <w:proofErr w:type="spellStart"/>
      <w:r w:rsidR="00F56B65" w:rsidRPr="00D773F7">
        <w:rPr>
          <w:rFonts w:asciiTheme="majorBidi" w:hAnsiTheme="majorBidi" w:cstheme="majorBidi"/>
        </w:rPr>
        <w:t>RhCE</w:t>
      </w:r>
      <w:proofErr w:type="spellEnd"/>
      <w:r w:rsidR="00F56B65" w:rsidRPr="00D773F7">
        <w:rPr>
          <w:rFonts w:asciiTheme="majorBidi" w:hAnsiTheme="majorBidi" w:cstheme="majorBidi"/>
        </w:rPr>
        <w:t xml:space="preserve"> model (</w:t>
      </w:r>
      <w:proofErr w:type="spellStart"/>
      <w:r w:rsidR="00F56B65" w:rsidRPr="00D773F7">
        <w:rPr>
          <w:rFonts w:asciiTheme="majorBidi" w:hAnsiTheme="majorBidi" w:cstheme="majorBidi"/>
        </w:rPr>
        <w:t>Cottrez</w:t>
      </w:r>
      <w:proofErr w:type="spellEnd"/>
      <w:r w:rsidR="00F56B65" w:rsidRPr="00D773F7">
        <w:rPr>
          <w:rFonts w:asciiTheme="majorBidi" w:hAnsiTheme="majorBidi" w:cstheme="majorBidi"/>
        </w:rPr>
        <w:t xml:space="preserve"> et al., 2021);</w:t>
      </w:r>
    </w:p>
    <w:p w14:paraId="63711552" w14:textId="25924647" w:rsidR="00F56B65" w:rsidRPr="00D773F7" w:rsidRDefault="00F13D63" w:rsidP="00F13D63">
      <w:pPr>
        <w:pStyle w:val="Bullet1G"/>
        <w:numPr>
          <w:ilvl w:val="0"/>
          <w:numId w:val="0"/>
        </w:numPr>
        <w:suppressAutoHyphens/>
        <w:kinsoku w:val="0"/>
        <w:overflowPunct w:val="0"/>
        <w:autoSpaceDE w:val="0"/>
        <w:autoSpaceDN w:val="0"/>
        <w:adjustRightInd w:val="0"/>
        <w:snapToGrid w:val="0"/>
        <w:ind w:left="2552" w:hanging="284"/>
        <w:rPr>
          <w:rFonts w:asciiTheme="majorBidi" w:hAnsiTheme="majorBidi" w:cstheme="majorBidi"/>
        </w:rPr>
      </w:pPr>
      <w:r w:rsidRPr="00D773F7">
        <w:rPr>
          <w:rFonts w:asciiTheme="majorBidi" w:hAnsiTheme="majorBidi" w:cstheme="majorBidi"/>
        </w:rPr>
        <w:t>•</w:t>
      </w:r>
      <w:r w:rsidRPr="00D773F7">
        <w:rPr>
          <w:rFonts w:asciiTheme="majorBidi" w:hAnsiTheme="majorBidi" w:cstheme="majorBidi"/>
        </w:rPr>
        <w:tab/>
      </w:r>
      <w:r w:rsidR="00F56B65" w:rsidRPr="00D773F7">
        <w:rPr>
          <w:rFonts w:asciiTheme="majorBidi" w:hAnsiTheme="majorBidi" w:cstheme="majorBidi"/>
        </w:rPr>
        <w:t>In vitro Macromolecular Test Method (test method 2), similar to test method 1 described in OECD Test Guideline 496 (Choksi et al., 2020);</w:t>
      </w:r>
    </w:p>
    <w:p w14:paraId="044BE274" w14:textId="40194C56" w:rsidR="00F56B65" w:rsidRPr="00D773F7" w:rsidRDefault="00F13D63" w:rsidP="00F13D63">
      <w:pPr>
        <w:pStyle w:val="Bullet1G"/>
        <w:numPr>
          <w:ilvl w:val="0"/>
          <w:numId w:val="0"/>
        </w:numPr>
        <w:suppressAutoHyphens/>
        <w:kinsoku w:val="0"/>
        <w:overflowPunct w:val="0"/>
        <w:autoSpaceDE w:val="0"/>
        <w:autoSpaceDN w:val="0"/>
        <w:adjustRightInd w:val="0"/>
        <w:snapToGrid w:val="0"/>
        <w:ind w:left="2552" w:hanging="284"/>
        <w:rPr>
          <w:rFonts w:asciiTheme="majorBidi" w:hAnsiTheme="majorBidi" w:cstheme="majorBidi"/>
        </w:rPr>
      </w:pPr>
      <w:r w:rsidRPr="00D773F7">
        <w:rPr>
          <w:rFonts w:asciiTheme="majorBidi" w:hAnsiTheme="majorBidi" w:cstheme="majorBidi"/>
        </w:rPr>
        <w:t>•</w:t>
      </w:r>
      <w:r w:rsidRPr="00D773F7">
        <w:rPr>
          <w:rFonts w:asciiTheme="majorBidi" w:hAnsiTheme="majorBidi" w:cstheme="majorBidi"/>
        </w:rPr>
        <w:tab/>
      </w:r>
      <w:r w:rsidR="00F56B65" w:rsidRPr="00D773F7">
        <w:rPr>
          <w:rFonts w:asciiTheme="majorBidi" w:hAnsiTheme="majorBidi" w:cstheme="majorBidi"/>
        </w:rPr>
        <w:t>Metabolic activity assay: In vitro assay consisting of measuring changes to metabolic rate in test-material treated L929 cell monolayer (</w:t>
      </w:r>
      <w:proofErr w:type="spellStart"/>
      <w:r w:rsidR="00F56B65" w:rsidRPr="00D773F7">
        <w:rPr>
          <w:rFonts w:asciiTheme="majorBidi" w:hAnsiTheme="majorBidi" w:cstheme="majorBidi"/>
        </w:rPr>
        <w:t>Harbell</w:t>
      </w:r>
      <w:proofErr w:type="spellEnd"/>
      <w:r w:rsidR="00F56B65" w:rsidRPr="00D773F7">
        <w:rPr>
          <w:rFonts w:asciiTheme="majorBidi" w:hAnsiTheme="majorBidi" w:cstheme="majorBidi"/>
        </w:rPr>
        <w:t xml:space="preserve"> et al., 1999; EURL ECVAM, 2004a; Hartung et al., 2010; Nash et al., 2014);</w:t>
      </w:r>
    </w:p>
    <w:p w14:paraId="6E3B32B0" w14:textId="011C91FD" w:rsidR="00F56B65" w:rsidRPr="00D773F7" w:rsidRDefault="00F13D63" w:rsidP="00F13D63">
      <w:pPr>
        <w:pStyle w:val="Bullet1G"/>
        <w:numPr>
          <w:ilvl w:val="0"/>
          <w:numId w:val="0"/>
        </w:numPr>
        <w:suppressAutoHyphens/>
        <w:kinsoku w:val="0"/>
        <w:overflowPunct w:val="0"/>
        <w:autoSpaceDE w:val="0"/>
        <w:autoSpaceDN w:val="0"/>
        <w:adjustRightInd w:val="0"/>
        <w:snapToGrid w:val="0"/>
        <w:ind w:left="2552" w:hanging="284"/>
        <w:rPr>
          <w:rFonts w:asciiTheme="majorBidi" w:hAnsiTheme="majorBidi" w:cstheme="majorBidi"/>
        </w:rPr>
      </w:pPr>
      <w:r w:rsidRPr="00D773F7">
        <w:rPr>
          <w:rFonts w:asciiTheme="majorBidi" w:hAnsiTheme="majorBidi" w:cstheme="majorBidi"/>
        </w:rPr>
        <w:t>•</w:t>
      </w:r>
      <w:r w:rsidRPr="00D773F7">
        <w:rPr>
          <w:rFonts w:asciiTheme="majorBidi" w:hAnsiTheme="majorBidi" w:cstheme="majorBidi"/>
        </w:rPr>
        <w:tab/>
      </w:r>
      <w:r w:rsidR="00F56B65" w:rsidRPr="00D773F7">
        <w:rPr>
          <w:rFonts w:asciiTheme="majorBidi" w:hAnsiTheme="majorBidi" w:cstheme="majorBidi"/>
        </w:rPr>
        <w:t xml:space="preserve">Hen’s Egg Test on the </w:t>
      </w:r>
      <w:proofErr w:type="spellStart"/>
      <w:r w:rsidR="00F56B65" w:rsidRPr="00D773F7">
        <w:rPr>
          <w:rFonts w:asciiTheme="majorBidi" w:hAnsiTheme="majorBidi" w:cstheme="majorBidi"/>
        </w:rPr>
        <w:t>Chorio-Allantoic</w:t>
      </w:r>
      <w:proofErr w:type="spellEnd"/>
      <w:r w:rsidR="00F56B65" w:rsidRPr="00D773F7">
        <w:rPr>
          <w:rFonts w:asciiTheme="majorBidi" w:hAnsiTheme="majorBidi" w:cstheme="majorBidi"/>
        </w:rPr>
        <w:t xml:space="preserve"> Membrane (HET-CAM): an organotypic assay that uses the vascularised membrane of fertile chicken eggs to assess a test material's potential to cause vascular changes (</w:t>
      </w:r>
      <w:proofErr w:type="spellStart"/>
      <w:r w:rsidR="00F56B65" w:rsidRPr="00D773F7">
        <w:rPr>
          <w:rFonts w:asciiTheme="majorBidi" w:hAnsiTheme="majorBidi" w:cstheme="majorBidi"/>
        </w:rPr>
        <w:t>Spielmann</w:t>
      </w:r>
      <w:proofErr w:type="spellEnd"/>
      <w:r w:rsidR="00F56B65" w:rsidRPr="00D773F7">
        <w:rPr>
          <w:rFonts w:asciiTheme="majorBidi" w:hAnsiTheme="majorBidi" w:cstheme="majorBidi"/>
        </w:rPr>
        <w:t xml:space="preserve"> et al., 1993; Balls et al., 1995; </w:t>
      </w:r>
      <w:proofErr w:type="spellStart"/>
      <w:r w:rsidR="00F56B65" w:rsidRPr="00D773F7">
        <w:rPr>
          <w:rFonts w:asciiTheme="majorBidi" w:hAnsiTheme="majorBidi" w:cstheme="majorBidi"/>
        </w:rPr>
        <w:t>Spielmann</w:t>
      </w:r>
      <w:proofErr w:type="spellEnd"/>
      <w:r w:rsidR="00F56B65" w:rsidRPr="00D773F7">
        <w:rPr>
          <w:rFonts w:asciiTheme="majorBidi" w:hAnsiTheme="majorBidi" w:cstheme="majorBidi"/>
        </w:rPr>
        <w:t xml:space="preserve"> et al., 1996; </w:t>
      </w:r>
      <w:proofErr w:type="spellStart"/>
      <w:r w:rsidR="00F56B65" w:rsidRPr="00D773F7">
        <w:rPr>
          <w:rFonts w:asciiTheme="majorBidi" w:hAnsiTheme="majorBidi" w:cstheme="majorBidi"/>
        </w:rPr>
        <w:t>Brantom</w:t>
      </w:r>
      <w:proofErr w:type="spellEnd"/>
      <w:r w:rsidR="00F56B65" w:rsidRPr="00D773F7">
        <w:rPr>
          <w:rFonts w:asciiTheme="majorBidi" w:hAnsiTheme="majorBidi" w:cstheme="majorBidi"/>
        </w:rPr>
        <w:t xml:space="preserve"> et al., 1997; ICCVAM, 2007; ICCVAM, 2010);</w:t>
      </w:r>
    </w:p>
    <w:p w14:paraId="70146CC4" w14:textId="7E7C497F" w:rsidR="00F56B65" w:rsidRPr="00D773F7" w:rsidRDefault="00F13D63" w:rsidP="00F13D63">
      <w:pPr>
        <w:pStyle w:val="Bullet1G"/>
        <w:numPr>
          <w:ilvl w:val="0"/>
          <w:numId w:val="0"/>
        </w:numPr>
        <w:suppressAutoHyphens/>
        <w:kinsoku w:val="0"/>
        <w:overflowPunct w:val="0"/>
        <w:autoSpaceDE w:val="0"/>
        <w:autoSpaceDN w:val="0"/>
        <w:adjustRightInd w:val="0"/>
        <w:snapToGrid w:val="0"/>
        <w:ind w:left="2552" w:hanging="284"/>
        <w:rPr>
          <w:rFonts w:asciiTheme="majorBidi" w:hAnsiTheme="majorBidi" w:cstheme="majorBidi"/>
        </w:rPr>
      </w:pPr>
      <w:r w:rsidRPr="00D773F7">
        <w:rPr>
          <w:rFonts w:asciiTheme="majorBidi" w:hAnsiTheme="majorBidi" w:cstheme="majorBidi"/>
        </w:rPr>
        <w:t>•</w:t>
      </w:r>
      <w:r w:rsidRPr="00D773F7">
        <w:rPr>
          <w:rFonts w:asciiTheme="majorBidi" w:hAnsiTheme="majorBidi" w:cstheme="majorBidi"/>
        </w:rPr>
        <w:tab/>
      </w:r>
      <w:proofErr w:type="spellStart"/>
      <w:r w:rsidR="00F56B65" w:rsidRPr="00D773F7">
        <w:rPr>
          <w:rFonts w:asciiTheme="majorBidi" w:hAnsiTheme="majorBidi" w:cstheme="majorBidi"/>
        </w:rPr>
        <w:t>Chorio-Allantoic</w:t>
      </w:r>
      <w:proofErr w:type="spellEnd"/>
      <w:r w:rsidR="00F56B65" w:rsidRPr="00D773F7">
        <w:rPr>
          <w:rFonts w:asciiTheme="majorBidi" w:hAnsiTheme="majorBidi" w:cstheme="majorBidi"/>
        </w:rPr>
        <w:t xml:space="preserve"> Membrane Vascular Assay (CAMVA): an organotypic assay that uses the vascularised membrane of fertile chicken eggs to assess a test material's potential to cause vascular changes (Bagley et al., 1994; </w:t>
      </w:r>
      <w:proofErr w:type="spellStart"/>
      <w:r w:rsidR="00F56B65" w:rsidRPr="00D773F7">
        <w:rPr>
          <w:rFonts w:asciiTheme="majorBidi" w:hAnsiTheme="majorBidi" w:cstheme="majorBidi"/>
        </w:rPr>
        <w:t>Brantom</w:t>
      </w:r>
      <w:proofErr w:type="spellEnd"/>
      <w:r w:rsidR="00F56B65" w:rsidRPr="00D773F7">
        <w:rPr>
          <w:rFonts w:asciiTheme="majorBidi" w:hAnsiTheme="majorBidi" w:cstheme="majorBidi"/>
        </w:rPr>
        <w:t xml:space="preserve"> et al., 1997; Bagley et al., 1999; Donahue et al., 2011);</w:t>
      </w:r>
    </w:p>
    <w:p w14:paraId="5A9D8B85" w14:textId="4897B15E" w:rsidR="00F56B65" w:rsidRPr="00D773F7" w:rsidRDefault="00F13D63" w:rsidP="00F13D63">
      <w:pPr>
        <w:pStyle w:val="Bullet1G"/>
        <w:numPr>
          <w:ilvl w:val="0"/>
          <w:numId w:val="0"/>
        </w:numPr>
        <w:suppressAutoHyphens/>
        <w:kinsoku w:val="0"/>
        <w:overflowPunct w:val="0"/>
        <w:autoSpaceDE w:val="0"/>
        <w:autoSpaceDN w:val="0"/>
        <w:adjustRightInd w:val="0"/>
        <w:snapToGrid w:val="0"/>
        <w:ind w:left="2552" w:hanging="284"/>
        <w:rPr>
          <w:rFonts w:asciiTheme="majorBidi" w:hAnsiTheme="majorBidi" w:cstheme="majorBidi"/>
        </w:rPr>
      </w:pPr>
      <w:r w:rsidRPr="00D773F7">
        <w:rPr>
          <w:rFonts w:asciiTheme="majorBidi" w:hAnsiTheme="majorBidi" w:cstheme="majorBidi"/>
        </w:rPr>
        <w:t>•</w:t>
      </w:r>
      <w:r w:rsidRPr="00D773F7">
        <w:rPr>
          <w:rFonts w:asciiTheme="majorBidi" w:hAnsiTheme="majorBidi" w:cstheme="majorBidi"/>
        </w:rPr>
        <w:tab/>
      </w:r>
      <w:r w:rsidR="00F56B65" w:rsidRPr="00D773F7">
        <w:rPr>
          <w:rFonts w:asciiTheme="majorBidi" w:hAnsiTheme="majorBidi" w:cstheme="majorBidi"/>
        </w:rPr>
        <w:t xml:space="preserve">Neutral Red Release (NRR) assay: In vitro assay that quantitatively measures a substance’s ability to induce damage to cell membranes in a monolayer of normal human epidermal keratinocytes (NHEK) (Reader et al. 1989; Reader et al., 1990; </w:t>
      </w:r>
      <w:proofErr w:type="spellStart"/>
      <w:r w:rsidR="00F56B65" w:rsidRPr="00D773F7">
        <w:rPr>
          <w:rFonts w:asciiTheme="majorBidi" w:hAnsiTheme="majorBidi" w:cstheme="majorBidi"/>
        </w:rPr>
        <w:t>Zuang</w:t>
      </w:r>
      <w:proofErr w:type="spellEnd"/>
      <w:r w:rsidR="00F56B65" w:rsidRPr="00D773F7">
        <w:rPr>
          <w:rFonts w:asciiTheme="majorBidi" w:hAnsiTheme="majorBidi" w:cstheme="majorBidi"/>
        </w:rPr>
        <w:t xml:space="preserve">, 2001; EURL ECVAM, 2004b; </w:t>
      </w:r>
      <w:proofErr w:type="spellStart"/>
      <w:r w:rsidR="00F56B65" w:rsidRPr="00D773F7">
        <w:rPr>
          <w:rFonts w:asciiTheme="majorBidi" w:hAnsiTheme="majorBidi" w:cstheme="majorBidi"/>
        </w:rPr>
        <w:t>Settivari</w:t>
      </w:r>
      <w:proofErr w:type="spellEnd"/>
      <w:r w:rsidR="00F56B65" w:rsidRPr="00D773F7">
        <w:rPr>
          <w:rFonts w:asciiTheme="majorBidi" w:hAnsiTheme="majorBidi" w:cstheme="majorBidi"/>
        </w:rPr>
        <w:t xml:space="preserve"> et al., 2016); and</w:t>
      </w:r>
    </w:p>
    <w:p w14:paraId="68FE51F1" w14:textId="0DCE90DA" w:rsidR="00F56B65" w:rsidRPr="00D773F7" w:rsidRDefault="00F13D63" w:rsidP="00F13D63">
      <w:pPr>
        <w:pStyle w:val="Bullet1G"/>
        <w:numPr>
          <w:ilvl w:val="0"/>
          <w:numId w:val="0"/>
        </w:numPr>
        <w:suppressAutoHyphens/>
        <w:kinsoku w:val="0"/>
        <w:overflowPunct w:val="0"/>
        <w:autoSpaceDE w:val="0"/>
        <w:autoSpaceDN w:val="0"/>
        <w:adjustRightInd w:val="0"/>
        <w:snapToGrid w:val="0"/>
        <w:ind w:left="2552" w:hanging="284"/>
        <w:rPr>
          <w:rFonts w:asciiTheme="majorBidi" w:eastAsiaTheme="minorHAnsi" w:hAnsiTheme="majorBidi" w:cstheme="majorBidi"/>
        </w:rPr>
      </w:pPr>
      <w:r w:rsidRPr="00D773F7">
        <w:rPr>
          <w:rFonts w:asciiTheme="majorBidi" w:eastAsiaTheme="minorHAnsi" w:hAnsiTheme="majorBidi" w:cstheme="majorBidi"/>
        </w:rPr>
        <w:t>•</w:t>
      </w:r>
      <w:r w:rsidRPr="00D773F7">
        <w:rPr>
          <w:rFonts w:asciiTheme="majorBidi" w:eastAsiaTheme="minorHAnsi" w:hAnsiTheme="majorBidi" w:cstheme="majorBidi"/>
        </w:rPr>
        <w:tab/>
      </w:r>
      <w:r w:rsidR="00F56B65" w:rsidRPr="00D773F7">
        <w:rPr>
          <w:rFonts w:asciiTheme="majorBidi" w:hAnsiTheme="majorBidi" w:cstheme="majorBidi"/>
        </w:rPr>
        <w:t xml:space="preserve">Isolated Rabbit Eye (IRE) test, similar to OECD Test Guideline 438 but using isolated rabbit eyes instead of isolated chicken eyes (Burton et al., 1981; Whittle et al. 1992; Balls et al., 1995; </w:t>
      </w:r>
      <w:proofErr w:type="spellStart"/>
      <w:r w:rsidR="00F56B65" w:rsidRPr="00D773F7">
        <w:rPr>
          <w:rFonts w:asciiTheme="majorBidi" w:hAnsiTheme="majorBidi" w:cstheme="majorBidi"/>
        </w:rPr>
        <w:t>Brantom</w:t>
      </w:r>
      <w:proofErr w:type="spellEnd"/>
      <w:r w:rsidR="00F56B65" w:rsidRPr="00D773F7">
        <w:rPr>
          <w:rFonts w:asciiTheme="majorBidi" w:hAnsiTheme="majorBidi" w:cstheme="majorBidi"/>
        </w:rPr>
        <w:t xml:space="preserve"> et al., 1997; ICCVAM, 2007; ICCVAM, 2010).</w:t>
      </w:r>
    </w:p>
    <w:p w14:paraId="7F9A8894" w14:textId="77777777" w:rsidR="00F56B65" w:rsidRPr="00D773F7" w:rsidRDefault="00F56B65" w:rsidP="00C17E19">
      <w:pPr>
        <w:pStyle w:val="SingleTxtG"/>
        <w:tabs>
          <w:tab w:val="clear" w:pos="2835"/>
          <w:tab w:val="left" w:pos="3402"/>
        </w:tabs>
        <w:ind w:left="2268"/>
        <w:rPr>
          <w:rFonts w:asciiTheme="majorBidi" w:eastAsia="Times New Roman" w:hAnsiTheme="majorBidi" w:cstheme="majorBidi"/>
          <w:i/>
          <w:iCs/>
        </w:rPr>
      </w:pPr>
      <w:r w:rsidRPr="00D773F7">
        <w:rPr>
          <w:rFonts w:asciiTheme="majorBidi" w:hAnsiTheme="majorBidi" w:cstheme="majorBidi"/>
        </w:rPr>
        <w:t>3.3.5.3.6</w:t>
      </w:r>
      <w:r w:rsidRPr="00D773F7">
        <w:rPr>
          <w:rFonts w:asciiTheme="majorBidi" w:hAnsiTheme="majorBidi" w:cstheme="majorBidi"/>
        </w:rPr>
        <w:tab/>
      </w:r>
      <w:r w:rsidRPr="00D773F7">
        <w:rPr>
          <w:rFonts w:asciiTheme="majorBidi" w:hAnsiTheme="majorBidi" w:cstheme="majorBidi"/>
        </w:rPr>
        <w:tab/>
      </w:r>
      <w:r w:rsidRPr="00D773F7">
        <w:rPr>
          <w:rFonts w:asciiTheme="majorBidi" w:hAnsiTheme="majorBidi" w:cstheme="majorBidi"/>
          <w:i/>
          <w:iCs/>
        </w:rPr>
        <w:t>Guidance on the use of other existing skin or eye data in animals for classification as serious eye damage or eye irritation</w:t>
      </w:r>
    </w:p>
    <w:p w14:paraId="66768389" w14:textId="77777777" w:rsidR="00F56B65" w:rsidRPr="00D773F7" w:rsidRDefault="00F56B65" w:rsidP="00C17E19">
      <w:pPr>
        <w:pStyle w:val="SingleTxtG"/>
        <w:tabs>
          <w:tab w:val="clear" w:pos="2835"/>
          <w:tab w:val="left" w:pos="3402"/>
        </w:tabs>
        <w:ind w:left="2268"/>
        <w:rPr>
          <w:rFonts w:asciiTheme="majorBidi" w:hAnsiTheme="majorBidi" w:cstheme="majorBidi"/>
        </w:rPr>
      </w:pPr>
      <w:r w:rsidRPr="00D773F7">
        <w:rPr>
          <w:rFonts w:asciiTheme="majorBidi" w:hAnsiTheme="majorBidi" w:cstheme="majorBidi"/>
        </w:rPr>
        <w:t>3.3.5.3.6.1</w:t>
      </w:r>
      <w:r w:rsidRPr="00D773F7">
        <w:rPr>
          <w:rFonts w:asciiTheme="majorBidi" w:hAnsiTheme="majorBidi" w:cstheme="majorBidi"/>
        </w:rPr>
        <w:tab/>
        <w:t>The availability of other animal data for serious eye damage/eye irritation may be limited as tests with the eye as the route of exposure are not normally performed. An exception could be historical data from the Low Volume Eye Test (LVET) that might be used in a weight of evidence assessment. The LVET is a modification of the standard OECD Test Guideline 405 test method.</w:t>
      </w:r>
    </w:p>
    <w:p w14:paraId="6BA0FCA7" w14:textId="77777777" w:rsidR="00F56B65" w:rsidRPr="00D773F7" w:rsidRDefault="00F56B65" w:rsidP="00F56B65">
      <w:pPr>
        <w:pStyle w:val="SingleTxtG"/>
        <w:tabs>
          <w:tab w:val="left" w:pos="3402"/>
        </w:tabs>
        <w:ind w:left="2268"/>
        <w:rPr>
          <w:rFonts w:asciiTheme="majorBidi" w:eastAsiaTheme="minorHAnsi" w:hAnsiTheme="majorBidi" w:cstheme="majorBidi"/>
        </w:rPr>
      </w:pPr>
      <w:r w:rsidRPr="00D773F7">
        <w:rPr>
          <w:rFonts w:asciiTheme="majorBidi" w:hAnsiTheme="majorBidi" w:cstheme="majorBidi"/>
        </w:rPr>
        <w:lastRenderedPageBreak/>
        <w:t>3.3.5.3.6.2</w:t>
      </w:r>
      <w:r w:rsidRPr="00D773F7">
        <w:rPr>
          <w:rFonts w:asciiTheme="majorBidi" w:hAnsiTheme="majorBidi" w:cstheme="majorBidi"/>
        </w:rPr>
        <w:tab/>
        <w:t>Existing data from the LVET test could be considered for the purpose of classification and labelling but must be carefully evaluated. The differences between the LVET and OECD Test Guideline 405 may result in a classification in a lower category (or no classification) based on LVET data, than if the classification was based on data derived from the standard in vivo test (OECD Test Guideline 405). Thus, positive data from the LVET test could be a trigger for considering classification in Category 1 on its own, but data from this test are not conclusive for a Category 2 classification or no classification (ECHA, 2017). Such data may, however, be used in an overall weight of evidence assessment. It is noted that the applicability domain of the LVET is limited to household detergent and cleaning products and their main ingredients (surfactants) (ESAC, 2009).</w:t>
      </w:r>
    </w:p>
    <w:p w14:paraId="1A09835D" w14:textId="77777777" w:rsidR="00F56B65" w:rsidRPr="00D773F7" w:rsidRDefault="00F56B65" w:rsidP="00F56B65">
      <w:pPr>
        <w:pStyle w:val="SingleTxtG"/>
        <w:tabs>
          <w:tab w:val="left" w:pos="3402"/>
        </w:tabs>
        <w:ind w:left="2268"/>
        <w:rPr>
          <w:rFonts w:asciiTheme="majorBidi" w:hAnsiTheme="majorBidi" w:cstheme="majorBidi"/>
        </w:rPr>
      </w:pPr>
      <w:r w:rsidRPr="00D773F7">
        <w:rPr>
          <w:rFonts w:asciiTheme="majorBidi" w:hAnsiTheme="majorBidi" w:cstheme="majorBidi"/>
        </w:rPr>
        <w:t>3.3.5.3.6.3</w:t>
      </w:r>
      <w:r w:rsidRPr="00D773F7">
        <w:rPr>
          <w:rFonts w:asciiTheme="majorBidi" w:hAnsiTheme="majorBidi" w:cstheme="majorBidi"/>
        </w:rPr>
        <w:tab/>
        <w:t>Effects on the eyes may be observed in acute or repeated dose inhalation studies with full body exposure. However, normally no scoring according to the Draize criteria is performed and the follow-up period may be shorter than 21 days. Also, the effects on the eyes will likely depend upon the concentration of the substance/mixture and the exposure duration. As there are no criteria for minimal concentration and duration, the absence of effects on the eyes or eye irritation may not be conclusive for the absence of serious eye damage. The presence of irreversible effects on the eye should be considered within a weight of evidence assessment.</w:t>
      </w:r>
    </w:p>
    <w:p w14:paraId="7A014173" w14:textId="77777777" w:rsidR="00F56B65" w:rsidRPr="00D773F7" w:rsidRDefault="00F56B65" w:rsidP="00F56B65">
      <w:pPr>
        <w:pStyle w:val="SingleTxtG"/>
        <w:tabs>
          <w:tab w:val="left" w:pos="3402"/>
        </w:tabs>
        <w:ind w:left="2268"/>
        <w:rPr>
          <w:rFonts w:asciiTheme="majorBidi" w:hAnsiTheme="majorBidi" w:cstheme="majorBidi"/>
          <w:i/>
          <w:iCs/>
        </w:rPr>
      </w:pPr>
      <w:r w:rsidRPr="00D773F7">
        <w:rPr>
          <w:rFonts w:asciiTheme="majorBidi" w:hAnsiTheme="majorBidi" w:cstheme="majorBidi"/>
        </w:rPr>
        <w:t>3.3.5.3.7</w:t>
      </w:r>
      <w:r w:rsidRPr="00D773F7">
        <w:rPr>
          <w:rFonts w:asciiTheme="majorBidi" w:hAnsiTheme="majorBidi" w:cstheme="majorBidi"/>
        </w:rPr>
        <w:tab/>
      </w:r>
      <w:r w:rsidRPr="00D773F7">
        <w:rPr>
          <w:rFonts w:asciiTheme="majorBidi" w:hAnsiTheme="majorBidi" w:cstheme="majorBidi"/>
          <w:i/>
          <w:iCs/>
        </w:rPr>
        <w:t>Guidance on the use of pH and acid/alkaline reserve for classification as serious eye damage</w:t>
      </w:r>
    </w:p>
    <w:p w14:paraId="1D38E199" w14:textId="77777777" w:rsidR="00F56B65" w:rsidRPr="00D773F7" w:rsidRDefault="00F56B65" w:rsidP="00F56B65">
      <w:pPr>
        <w:pStyle w:val="SingleTxtG"/>
        <w:tabs>
          <w:tab w:val="left" w:pos="3402"/>
        </w:tabs>
        <w:ind w:left="2268"/>
        <w:rPr>
          <w:rFonts w:asciiTheme="majorBidi" w:hAnsiTheme="majorBidi" w:cstheme="majorBidi"/>
        </w:rPr>
      </w:pPr>
      <w:r w:rsidRPr="00D773F7">
        <w:rPr>
          <w:rFonts w:asciiTheme="majorBidi" w:hAnsiTheme="majorBidi" w:cstheme="majorBidi"/>
        </w:rPr>
        <w:t>3.3.5.3.7.1</w:t>
      </w:r>
      <w:r w:rsidRPr="00D773F7">
        <w:rPr>
          <w:rFonts w:asciiTheme="majorBidi" w:hAnsiTheme="majorBidi" w:cstheme="majorBidi"/>
        </w:rPr>
        <w:tab/>
        <w:t>Methods to determine the pH value such as OECD Test Guideline 122 and the method described by Young et al. (1988) differ in the concentration of the substance or mixture for which the pH is determined and include values of 1%, 10% and 100%. These methods also differ in the way the acid/alkaline reserve is determined, namely up to a pH of 7 for both acids and bases (OECD Test Guideline 122) or up to a pH of 4 for acids and a pH of 10 for bases (Young et al., 1988). Furthermore, there are differences between OECD Test Guideline 122 and Young et al. (1988) in the units used to express the acid/alkaline reserve.</w:t>
      </w:r>
    </w:p>
    <w:p w14:paraId="2A337822" w14:textId="77777777" w:rsidR="00F56B65" w:rsidRPr="00D773F7" w:rsidRDefault="00F56B65" w:rsidP="00F56B65">
      <w:pPr>
        <w:pStyle w:val="SingleTxtG"/>
        <w:tabs>
          <w:tab w:val="left" w:pos="3402"/>
        </w:tabs>
        <w:ind w:left="2268"/>
        <w:rPr>
          <w:rFonts w:asciiTheme="majorBidi" w:hAnsiTheme="majorBidi" w:cstheme="majorBidi"/>
        </w:rPr>
      </w:pPr>
      <w:r w:rsidRPr="00D773F7">
        <w:rPr>
          <w:rFonts w:asciiTheme="majorBidi" w:hAnsiTheme="majorBidi" w:cstheme="majorBidi"/>
        </w:rPr>
        <w:t>3.3.5.3.7.2</w:t>
      </w:r>
      <w:r w:rsidRPr="00D773F7">
        <w:rPr>
          <w:rFonts w:asciiTheme="majorBidi" w:hAnsiTheme="majorBidi" w:cstheme="majorBidi"/>
        </w:rPr>
        <w:tab/>
        <w:t>Criteria to identify substances and mixtures requiring classification in Category 1 based on pH and acid/alkaline reserve have been developed for effects on the skin (Young et al., 1988) and the same criteria are applied for effects on the eye. These criteria were developed using a combination of pH and acid/alkaline reserve values that were determined in a specific way (Young et al., 1988). Therefore, these criteria may not be directly applicable when other test concentrations or methods are used to measure pH and acid/alkaline reserve. Furthermore, the calibration and validation of these criteria was based on a limited dataset for effects on the skin. Thus, the predictive value of the combination of pH and acid/alkaline reserve for classification in Category 1 for effects on the eye is limited, especially for substances and mixtures with an extreme pH but a non-significant acid/alkaline reserve. The criteria developed by Young et al. (1988) for classification in Category 1 may be used as a starting point for determining whether a substance or a mixture has a significant acid/alkaline reserve or a non-significant acid/alkaline reserve. A competent authority may decide which criteria for significant acid/alkaline reserve can be applied.</w:t>
      </w:r>
    </w:p>
    <w:p w14:paraId="13948A1E" w14:textId="77777777" w:rsidR="00F56B65" w:rsidRPr="00D773F7" w:rsidRDefault="00F56B65" w:rsidP="00F56B65">
      <w:pPr>
        <w:pStyle w:val="SingleTxtG"/>
        <w:tabs>
          <w:tab w:val="left" w:pos="1560"/>
          <w:tab w:val="left" w:pos="3402"/>
        </w:tabs>
        <w:ind w:left="2268"/>
        <w:rPr>
          <w:rFonts w:asciiTheme="majorBidi" w:hAnsiTheme="majorBidi" w:cstheme="majorBidi"/>
          <w:lang w:val="en-AU"/>
        </w:rPr>
      </w:pPr>
      <w:r w:rsidRPr="00D773F7">
        <w:rPr>
          <w:rFonts w:asciiTheme="majorBidi" w:hAnsiTheme="majorBidi" w:cstheme="majorBidi"/>
        </w:rPr>
        <w:t>________________</w:t>
      </w:r>
    </w:p>
    <w:p w14:paraId="44836B9A" w14:textId="77777777" w:rsidR="00F56B65" w:rsidRPr="00D773F7" w:rsidRDefault="00F56B65" w:rsidP="00F56B65">
      <w:pPr>
        <w:tabs>
          <w:tab w:val="left" w:pos="1276"/>
          <w:tab w:val="left" w:pos="1560"/>
          <w:tab w:val="left" w:pos="2835"/>
          <w:tab w:val="left" w:pos="3402"/>
        </w:tabs>
        <w:spacing w:after="160" w:line="240" w:lineRule="auto"/>
        <w:ind w:left="2268" w:right="1134"/>
        <w:rPr>
          <w:rFonts w:asciiTheme="majorBidi" w:hAnsiTheme="majorBidi" w:cstheme="majorBidi"/>
          <w:b/>
          <w:i/>
          <w:iCs/>
        </w:rPr>
      </w:pPr>
      <w:r w:rsidRPr="00D773F7">
        <w:rPr>
          <w:rFonts w:asciiTheme="majorBidi" w:hAnsiTheme="majorBidi" w:cstheme="majorBidi"/>
        </w:rPr>
        <w:t>*</w:t>
      </w:r>
      <w:r w:rsidRPr="00D773F7">
        <w:rPr>
          <w:rFonts w:asciiTheme="majorBidi" w:hAnsiTheme="majorBidi" w:cstheme="majorBidi"/>
        </w:rPr>
        <w:tab/>
      </w:r>
      <w:r w:rsidRPr="00D773F7">
        <w:rPr>
          <w:rFonts w:asciiTheme="majorBidi" w:hAnsiTheme="majorBidi" w:cstheme="majorBidi"/>
          <w:i/>
          <w:iCs/>
        </w:rPr>
        <w:t>References:</w:t>
      </w:r>
    </w:p>
    <w:p w14:paraId="00C3D076" w14:textId="5E1EF6A0" w:rsidR="00F56B65" w:rsidRPr="00D773F7" w:rsidRDefault="00F56B65" w:rsidP="00F56B65">
      <w:pPr>
        <w:tabs>
          <w:tab w:val="left" w:pos="1560"/>
          <w:tab w:val="left" w:pos="3402"/>
        </w:tabs>
        <w:spacing w:after="160"/>
        <w:ind w:left="2268" w:right="1134"/>
        <w:jc w:val="both"/>
        <w:rPr>
          <w:rFonts w:asciiTheme="majorBidi" w:hAnsiTheme="majorBidi" w:cstheme="majorBidi"/>
          <w:i/>
        </w:rPr>
      </w:pPr>
      <w:proofErr w:type="spellStart"/>
      <w:r w:rsidRPr="00D773F7">
        <w:rPr>
          <w:rFonts w:asciiTheme="majorBidi" w:hAnsiTheme="majorBidi" w:cstheme="majorBidi"/>
          <w:i/>
        </w:rPr>
        <w:t>Alépée</w:t>
      </w:r>
      <w:proofErr w:type="spellEnd"/>
      <w:r w:rsidRPr="00D773F7">
        <w:rPr>
          <w:rFonts w:asciiTheme="majorBidi" w:hAnsiTheme="majorBidi" w:cstheme="majorBidi"/>
          <w:i/>
        </w:rPr>
        <w:t xml:space="preserve">, N., E. </w:t>
      </w:r>
      <w:proofErr w:type="spellStart"/>
      <w:r w:rsidRPr="00D773F7">
        <w:rPr>
          <w:rFonts w:asciiTheme="majorBidi" w:hAnsiTheme="majorBidi" w:cstheme="majorBidi"/>
          <w:i/>
        </w:rPr>
        <w:t>Adriaens</w:t>
      </w:r>
      <w:proofErr w:type="spellEnd"/>
      <w:r w:rsidRPr="00D773F7">
        <w:rPr>
          <w:rFonts w:asciiTheme="majorBidi" w:hAnsiTheme="majorBidi" w:cstheme="majorBidi"/>
          <w:i/>
        </w:rPr>
        <w:t xml:space="preserve">, T. Abo, D. Bagley, B. </w:t>
      </w:r>
      <w:proofErr w:type="spellStart"/>
      <w:r w:rsidRPr="00D773F7">
        <w:rPr>
          <w:rFonts w:asciiTheme="majorBidi" w:hAnsiTheme="majorBidi" w:cstheme="majorBidi"/>
          <w:i/>
        </w:rPr>
        <w:t>Desprez</w:t>
      </w:r>
      <w:proofErr w:type="spellEnd"/>
      <w:r w:rsidRPr="00D773F7">
        <w:rPr>
          <w:rFonts w:asciiTheme="majorBidi" w:hAnsiTheme="majorBidi" w:cstheme="majorBidi"/>
          <w:i/>
        </w:rPr>
        <w:t xml:space="preserve">, J. </w:t>
      </w:r>
      <w:proofErr w:type="spellStart"/>
      <w:r w:rsidRPr="00D773F7">
        <w:rPr>
          <w:rFonts w:asciiTheme="majorBidi" w:hAnsiTheme="majorBidi" w:cstheme="majorBidi"/>
          <w:i/>
        </w:rPr>
        <w:t>Hibatallah</w:t>
      </w:r>
      <w:proofErr w:type="spellEnd"/>
      <w:r w:rsidRPr="00D773F7">
        <w:rPr>
          <w:rFonts w:asciiTheme="majorBidi" w:hAnsiTheme="majorBidi" w:cstheme="majorBidi"/>
          <w:i/>
        </w:rPr>
        <w:t xml:space="preserve">, K. </w:t>
      </w:r>
      <w:proofErr w:type="spellStart"/>
      <w:r w:rsidRPr="00D773F7">
        <w:rPr>
          <w:rFonts w:asciiTheme="majorBidi" w:hAnsiTheme="majorBidi" w:cstheme="majorBidi"/>
          <w:i/>
        </w:rPr>
        <w:t>Mewes</w:t>
      </w:r>
      <w:proofErr w:type="spellEnd"/>
      <w:r w:rsidRPr="00D773F7">
        <w:rPr>
          <w:rFonts w:asciiTheme="majorBidi" w:hAnsiTheme="majorBidi" w:cstheme="majorBidi"/>
          <w:i/>
        </w:rPr>
        <w:t xml:space="preserve">, U. </w:t>
      </w:r>
      <w:proofErr w:type="spellStart"/>
      <w:r w:rsidRPr="00D773F7">
        <w:rPr>
          <w:rFonts w:asciiTheme="majorBidi" w:hAnsiTheme="majorBidi" w:cstheme="majorBidi"/>
          <w:i/>
        </w:rPr>
        <w:t>Pfannenbecker</w:t>
      </w:r>
      <w:proofErr w:type="spellEnd"/>
      <w:r w:rsidRPr="00D773F7">
        <w:rPr>
          <w:rFonts w:asciiTheme="majorBidi" w:hAnsiTheme="majorBidi" w:cstheme="majorBidi"/>
          <w:i/>
        </w:rPr>
        <w:t xml:space="preserve">, À. Sala, A.R. Van </w:t>
      </w:r>
      <w:proofErr w:type="spellStart"/>
      <w:r w:rsidRPr="00D773F7">
        <w:rPr>
          <w:rFonts w:asciiTheme="majorBidi" w:hAnsiTheme="majorBidi" w:cstheme="majorBidi"/>
          <w:i/>
        </w:rPr>
        <w:t>Rompay</w:t>
      </w:r>
      <w:proofErr w:type="spellEnd"/>
      <w:r w:rsidRPr="00D773F7">
        <w:rPr>
          <w:rFonts w:asciiTheme="majorBidi" w:hAnsiTheme="majorBidi" w:cstheme="majorBidi"/>
          <w:i/>
        </w:rPr>
        <w:t xml:space="preserve">, S. </w:t>
      </w:r>
      <w:proofErr w:type="spellStart"/>
      <w:r w:rsidRPr="00D773F7">
        <w:rPr>
          <w:rFonts w:asciiTheme="majorBidi" w:hAnsiTheme="majorBidi" w:cstheme="majorBidi"/>
          <w:i/>
        </w:rPr>
        <w:t>Verstraelen</w:t>
      </w:r>
      <w:proofErr w:type="spellEnd"/>
      <w:r w:rsidRPr="00D773F7">
        <w:rPr>
          <w:rFonts w:asciiTheme="majorBidi" w:hAnsiTheme="majorBidi" w:cstheme="majorBidi"/>
          <w:i/>
        </w:rPr>
        <w:t xml:space="preserve">, and P. McNamee. 2019a. Development of a defined approach for eye irritation or serious eye damage for liquids, neat and in dilution, based on Cosmetics </w:t>
      </w:r>
      <w:r w:rsidRPr="00D773F7">
        <w:rPr>
          <w:rFonts w:asciiTheme="majorBidi" w:hAnsiTheme="majorBidi" w:cstheme="majorBidi"/>
          <w:i/>
        </w:rPr>
        <w:lastRenderedPageBreak/>
        <w:t xml:space="preserve">Europe analysis of in vitro STE and BCOP test methods. </w:t>
      </w:r>
      <w:proofErr w:type="spellStart"/>
      <w:r w:rsidRPr="00D773F7">
        <w:rPr>
          <w:rFonts w:asciiTheme="majorBidi" w:hAnsiTheme="majorBidi" w:cstheme="majorBidi"/>
          <w:i/>
        </w:rPr>
        <w:t>Toxicol</w:t>
      </w:r>
      <w:proofErr w:type="spellEnd"/>
      <w:r w:rsidRPr="00D773F7">
        <w:rPr>
          <w:rFonts w:asciiTheme="majorBidi" w:hAnsiTheme="majorBidi" w:cstheme="majorBidi"/>
          <w:i/>
        </w:rPr>
        <w:t xml:space="preserve">. In Vitro, 57: 154-163. </w:t>
      </w:r>
      <w:r w:rsidR="00144B9A" w:rsidRPr="00D773F7">
        <w:rPr>
          <w:rFonts w:asciiTheme="majorBidi" w:hAnsiTheme="majorBidi" w:cstheme="majorBidi"/>
          <w:i/>
        </w:rPr>
        <w:t>D</w:t>
      </w:r>
      <w:r w:rsidRPr="00D773F7">
        <w:rPr>
          <w:rFonts w:asciiTheme="majorBidi" w:hAnsiTheme="majorBidi" w:cstheme="majorBidi"/>
          <w:i/>
        </w:rPr>
        <w:t>oi: 10.1016/j.tiv.2019.02.019.</w:t>
      </w:r>
    </w:p>
    <w:p w14:paraId="7320E65A" w14:textId="64E84CB6" w:rsidR="00F56B65" w:rsidRPr="00D773F7" w:rsidRDefault="00F56B65" w:rsidP="00F56B65">
      <w:pPr>
        <w:tabs>
          <w:tab w:val="left" w:pos="1560"/>
        </w:tabs>
        <w:spacing w:after="160"/>
        <w:ind w:left="2268" w:right="1134"/>
        <w:jc w:val="both"/>
        <w:rPr>
          <w:rFonts w:asciiTheme="majorBidi" w:hAnsiTheme="majorBidi" w:cstheme="majorBidi"/>
          <w:i/>
        </w:rPr>
      </w:pPr>
      <w:proofErr w:type="spellStart"/>
      <w:r w:rsidRPr="00D773F7">
        <w:rPr>
          <w:rFonts w:asciiTheme="majorBidi" w:hAnsiTheme="majorBidi" w:cstheme="majorBidi"/>
          <w:i/>
        </w:rPr>
        <w:t>Alépée</w:t>
      </w:r>
      <w:proofErr w:type="spellEnd"/>
      <w:r w:rsidRPr="00D773F7">
        <w:rPr>
          <w:rFonts w:asciiTheme="majorBidi" w:hAnsiTheme="majorBidi" w:cstheme="majorBidi"/>
          <w:i/>
        </w:rPr>
        <w:t xml:space="preserve">, N., E. </w:t>
      </w:r>
      <w:proofErr w:type="spellStart"/>
      <w:r w:rsidRPr="00D773F7">
        <w:rPr>
          <w:rFonts w:asciiTheme="majorBidi" w:hAnsiTheme="majorBidi" w:cstheme="majorBidi"/>
          <w:i/>
        </w:rPr>
        <w:t>Adriaens</w:t>
      </w:r>
      <w:proofErr w:type="spellEnd"/>
      <w:r w:rsidRPr="00D773F7">
        <w:rPr>
          <w:rFonts w:asciiTheme="majorBidi" w:hAnsiTheme="majorBidi" w:cstheme="majorBidi"/>
          <w:i/>
        </w:rPr>
        <w:t xml:space="preserve">, T. Abo, D. Bagley, B. </w:t>
      </w:r>
      <w:proofErr w:type="spellStart"/>
      <w:r w:rsidRPr="00D773F7">
        <w:rPr>
          <w:rFonts w:asciiTheme="majorBidi" w:hAnsiTheme="majorBidi" w:cstheme="majorBidi"/>
          <w:i/>
        </w:rPr>
        <w:t>Desprez</w:t>
      </w:r>
      <w:proofErr w:type="spellEnd"/>
      <w:r w:rsidRPr="00D773F7">
        <w:rPr>
          <w:rFonts w:asciiTheme="majorBidi" w:hAnsiTheme="majorBidi" w:cstheme="majorBidi"/>
          <w:i/>
        </w:rPr>
        <w:t xml:space="preserve">, J. </w:t>
      </w:r>
      <w:proofErr w:type="spellStart"/>
      <w:r w:rsidRPr="00D773F7">
        <w:rPr>
          <w:rFonts w:asciiTheme="majorBidi" w:hAnsiTheme="majorBidi" w:cstheme="majorBidi"/>
          <w:i/>
        </w:rPr>
        <w:t>Hibatallah</w:t>
      </w:r>
      <w:proofErr w:type="spellEnd"/>
      <w:r w:rsidRPr="00D773F7">
        <w:rPr>
          <w:rFonts w:asciiTheme="majorBidi" w:hAnsiTheme="majorBidi" w:cstheme="majorBidi"/>
          <w:i/>
        </w:rPr>
        <w:t xml:space="preserve">, K. </w:t>
      </w:r>
      <w:proofErr w:type="spellStart"/>
      <w:r w:rsidRPr="00D773F7">
        <w:rPr>
          <w:rFonts w:asciiTheme="majorBidi" w:hAnsiTheme="majorBidi" w:cstheme="majorBidi"/>
          <w:i/>
        </w:rPr>
        <w:t>Mewes</w:t>
      </w:r>
      <w:proofErr w:type="spellEnd"/>
      <w:r w:rsidRPr="00D773F7">
        <w:rPr>
          <w:rFonts w:asciiTheme="majorBidi" w:hAnsiTheme="majorBidi" w:cstheme="majorBidi"/>
          <w:i/>
        </w:rPr>
        <w:t xml:space="preserve">, U. </w:t>
      </w:r>
      <w:proofErr w:type="spellStart"/>
      <w:r w:rsidRPr="00D773F7">
        <w:rPr>
          <w:rFonts w:asciiTheme="majorBidi" w:hAnsiTheme="majorBidi" w:cstheme="majorBidi"/>
          <w:i/>
        </w:rPr>
        <w:t>Pfannenbecker</w:t>
      </w:r>
      <w:proofErr w:type="spellEnd"/>
      <w:r w:rsidRPr="00D773F7">
        <w:rPr>
          <w:rFonts w:asciiTheme="majorBidi" w:hAnsiTheme="majorBidi" w:cstheme="majorBidi"/>
          <w:i/>
        </w:rPr>
        <w:t xml:space="preserve">, À. Sala, A.R. Van </w:t>
      </w:r>
      <w:proofErr w:type="spellStart"/>
      <w:r w:rsidRPr="00D773F7">
        <w:rPr>
          <w:rFonts w:asciiTheme="majorBidi" w:hAnsiTheme="majorBidi" w:cstheme="majorBidi"/>
          <w:i/>
        </w:rPr>
        <w:t>Rompay</w:t>
      </w:r>
      <w:proofErr w:type="spellEnd"/>
      <w:r w:rsidRPr="00D773F7">
        <w:rPr>
          <w:rFonts w:asciiTheme="majorBidi" w:hAnsiTheme="majorBidi" w:cstheme="majorBidi"/>
          <w:i/>
        </w:rPr>
        <w:t xml:space="preserve">, S. </w:t>
      </w:r>
      <w:proofErr w:type="spellStart"/>
      <w:r w:rsidRPr="00D773F7">
        <w:rPr>
          <w:rFonts w:asciiTheme="majorBidi" w:hAnsiTheme="majorBidi" w:cstheme="majorBidi"/>
          <w:i/>
        </w:rPr>
        <w:t>Verstraelen</w:t>
      </w:r>
      <w:proofErr w:type="spellEnd"/>
      <w:r w:rsidRPr="00D773F7">
        <w:rPr>
          <w:rFonts w:asciiTheme="majorBidi" w:hAnsiTheme="majorBidi" w:cstheme="majorBidi"/>
          <w:i/>
        </w:rPr>
        <w:t xml:space="preserve">, and P. McNamee. 2019b. Development of a defined approach for eye irritation or serious eye damage for neat liquids based on Cosmetics Europe analysis of in vitro </w:t>
      </w:r>
      <w:proofErr w:type="spellStart"/>
      <w:r w:rsidRPr="00D773F7">
        <w:rPr>
          <w:rFonts w:asciiTheme="majorBidi" w:hAnsiTheme="majorBidi" w:cstheme="majorBidi"/>
          <w:i/>
        </w:rPr>
        <w:t>RhCE</w:t>
      </w:r>
      <w:proofErr w:type="spellEnd"/>
      <w:r w:rsidRPr="00D773F7">
        <w:rPr>
          <w:rFonts w:asciiTheme="majorBidi" w:hAnsiTheme="majorBidi" w:cstheme="majorBidi"/>
          <w:i/>
        </w:rPr>
        <w:t xml:space="preserve"> and BCOP test methods. </w:t>
      </w:r>
      <w:proofErr w:type="spellStart"/>
      <w:r w:rsidRPr="00D773F7">
        <w:rPr>
          <w:rFonts w:asciiTheme="majorBidi" w:hAnsiTheme="majorBidi" w:cstheme="majorBidi"/>
          <w:i/>
        </w:rPr>
        <w:t>Toxicol</w:t>
      </w:r>
      <w:proofErr w:type="spellEnd"/>
      <w:r w:rsidRPr="00D773F7">
        <w:rPr>
          <w:rFonts w:asciiTheme="majorBidi" w:hAnsiTheme="majorBidi" w:cstheme="majorBidi"/>
          <w:i/>
        </w:rPr>
        <w:t xml:space="preserve">. In Vitro, 59: 100-114. </w:t>
      </w:r>
      <w:r w:rsidR="00144B9A" w:rsidRPr="00D773F7">
        <w:rPr>
          <w:rFonts w:asciiTheme="majorBidi" w:hAnsiTheme="majorBidi" w:cstheme="majorBidi"/>
          <w:i/>
        </w:rPr>
        <w:t>D</w:t>
      </w:r>
      <w:r w:rsidRPr="00D773F7">
        <w:rPr>
          <w:rFonts w:asciiTheme="majorBidi" w:hAnsiTheme="majorBidi" w:cstheme="majorBidi"/>
          <w:i/>
        </w:rPr>
        <w:t>oi: 10.1016/j.tiv.2019.04.011.</w:t>
      </w:r>
    </w:p>
    <w:p w14:paraId="50320055" w14:textId="3ED3D43C" w:rsidR="00F56B65" w:rsidRPr="00D773F7" w:rsidRDefault="00F56B65" w:rsidP="00F56B65">
      <w:pPr>
        <w:tabs>
          <w:tab w:val="left" w:pos="1560"/>
        </w:tabs>
        <w:spacing w:after="160"/>
        <w:ind w:left="2268" w:right="1134"/>
        <w:jc w:val="both"/>
        <w:rPr>
          <w:rFonts w:asciiTheme="majorBidi" w:hAnsiTheme="majorBidi" w:cstheme="majorBidi"/>
          <w:i/>
        </w:rPr>
      </w:pPr>
      <w:proofErr w:type="spellStart"/>
      <w:r w:rsidRPr="00D773F7">
        <w:rPr>
          <w:rFonts w:asciiTheme="majorBidi" w:hAnsiTheme="majorBidi" w:cstheme="majorBidi"/>
          <w:i/>
        </w:rPr>
        <w:t>Alépée</w:t>
      </w:r>
      <w:proofErr w:type="spellEnd"/>
      <w:r w:rsidRPr="00D773F7">
        <w:rPr>
          <w:rFonts w:asciiTheme="majorBidi" w:hAnsiTheme="majorBidi" w:cstheme="majorBidi"/>
          <w:i/>
        </w:rPr>
        <w:t xml:space="preserve">, N., V. Leblanc, M.H. </w:t>
      </w:r>
      <w:proofErr w:type="spellStart"/>
      <w:r w:rsidRPr="00D773F7">
        <w:rPr>
          <w:rFonts w:asciiTheme="majorBidi" w:hAnsiTheme="majorBidi" w:cstheme="majorBidi"/>
          <w:i/>
        </w:rPr>
        <w:t>Grandidier</w:t>
      </w:r>
      <w:proofErr w:type="spellEnd"/>
      <w:r w:rsidRPr="00D773F7">
        <w:rPr>
          <w:rFonts w:asciiTheme="majorBidi" w:hAnsiTheme="majorBidi" w:cstheme="majorBidi"/>
          <w:i/>
        </w:rPr>
        <w:t xml:space="preserve">, S. </w:t>
      </w:r>
      <w:proofErr w:type="spellStart"/>
      <w:r w:rsidRPr="00D773F7">
        <w:rPr>
          <w:rFonts w:asciiTheme="majorBidi" w:hAnsiTheme="majorBidi" w:cstheme="majorBidi"/>
          <w:i/>
        </w:rPr>
        <w:t>Teluob</w:t>
      </w:r>
      <w:proofErr w:type="spellEnd"/>
      <w:r w:rsidRPr="00D773F7">
        <w:rPr>
          <w:rFonts w:asciiTheme="majorBidi" w:hAnsiTheme="majorBidi" w:cstheme="majorBidi"/>
          <w:i/>
        </w:rPr>
        <w:t xml:space="preserve">, V. </w:t>
      </w:r>
      <w:proofErr w:type="spellStart"/>
      <w:r w:rsidRPr="00D773F7">
        <w:rPr>
          <w:rFonts w:asciiTheme="majorBidi" w:hAnsiTheme="majorBidi" w:cstheme="majorBidi"/>
          <w:i/>
        </w:rPr>
        <w:t>Tagliati</w:t>
      </w:r>
      <w:proofErr w:type="spellEnd"/>
      <w:r w:rsidRPr="00D773F7">
        <w:rPr>
          <w:rFonts w:asciiTheme="majorBidi" w:hAnsiTheme="majorBidi" w:cstheme="majorBidi"/>
          <w:i/>
        </w:rPr>
        <w:t xml:space="preserve">, E. </w:t>
      </w:r>
      <w:proofErr w:type="spellStart"/>
      <w:r w:rsidRPr="00D773F7">
        <w:rPr>
          <w:rFonts w:asciiTheme="majorBidi" w:hAnsiTheme="majorBidi" w:cstheme="majorBidi"/>
          <w:i/>
        </w:rPr>
        <w:t>Adriaens</w:t>
      </w:r>
      <w:proofErr w:type="spellEnd"/>
      <w:r w:rsidRPr="00D773F7">
        <w:rPr>
          <w:rFonts w:asciiTheme="majorBidi" w:hAnsiTheme="majorBidi" w:cstheme="majorBidi"/>
          <w:i/>
        </w:rPr>
        <w:t xml:space="preserve">, and V. </w:t>
      </w:r>
      <w:proofErr w:type="spellStart"/>
      <w:r w:rsidRPr="00D773F7">
        <w:rPr>
          <w:rFonts w:asciiTheme="majorBidi" w:hAnsiTheme="majorBidi" w:cstheme="majorBidi"/>
          <w:i/>
        </w:rPr>
        <w:t>Michaut</w:t>
      </w:r>
      <w:proofErr w:type="spellEnd"/>
      <w:r w:rsidRPr="00D773F7">
        <w:rPr>
          <w:rFonts w:asciiTheme="majorBidi" w:hAnsiTheme="majorBidi" w:cstheme="majorBidi"/>
          <w:i/>
        </w:rPr>
        <w:t xml:space="preserve">. </w:t>
      </w:r>
      <w:r w:rsidRPr="00D773F7">
        <w:rPr>
          <w:rFonts w:asciiTheme="majorBidi" w:hAnsiTheme="majorBidi" w:cstheme="majorBidi"/>
          <w:i/>
          <w:lang w:val="en-CA"/>
        </w:rPr>
        <w:t xml:space="preserve">2020. </w:t>
      </w:r>
      <w:r w:rsidRPr="00D773F7">
        <w:rPr>
          <w:rFonts w:asciiTheme="majorBidi" w:hAnsiTheme="majorBidi" w:cstheme="majorBidi"/>
          <w:i/>
        </w:rPr>
        <w:t xml:space="preserve">Development of the </w:t>
      </w:r>
      <w:proofErr w:type="spellStart"/>
      <w:r w:rsidRPr="00D773F7">
        <w:rPr>
          <w:rFonts w:asciiTheme="majorBidi" w:hAnsiTheme="majorBidi" w:cstheme="majorBidi"/>
          <w:i/>
        </w:rPr>
        <w:t>SkinEthic</w:t>
      </w:r>
      <w:proofErr w:type="spellEnd"/>
      <w:r w:rsidRPr="00D773F7">
        <w:rPr>
          <w:rFonts w:asciiTheme="majorBidi" w:hAnsiTheme="majorBidi" w:cstheme="majorBidi"/>
          <w:i/>
        </w:rPr>
        <w:t xml:space="preserve"> HCE Time-to-Toxicity test method for identifying liquid chemicals not requiring classification and labelling and liquids inducing serious eye damage and eye irritation. </w:t>
      </w:r>
      <w:proofErr w:type="spellStart"/>
      <w:r w:rsidRPr="00D773F7">
        <w:rPr>
          <w:rFonts w:asciiTheme="majorBidi" w:hAnsiTheme="majorBidi" w:cstheme="majorBidi"/>
          <w:i/>
        </w:rPr>
        <w:t>Toxicol</w:t>
      </w:r>
      <w:proofErr w:type="spellEnd"/>
      <w:r w:rsidRPr="00D773F7">
        <w:rPr>
          <w:rFonts w:asciiTheme="majorBidi" w:hAnsiTheme="majorBidi" w:cstheme="majorBidi"/>
          <w:i/>
        </w:rPr>
        <w:t xml:space="preserve">. In Vitro, 69: 104960. </w:t>
      </w:r>
      <w:r w:rsidR="00144B9A" w:rsidRPr="00D773F7">
        <w:rPr>
          <w:rFonts w:asciiTheme="majorBidi" w:hAnsiTheme="majorBidi" w:cstheme="majorBidi"/>
          <w:i/>
        </w:rPr>
        <w:t>Doi</w:t>
      </w:r>
      <w:r w:rsidRPr="00D773F7">
        <w:rPr>
          <w:rFonts w:asciiTheme="majorBidi" w:hAnsiTheme="majorBidi" w:cstheme="majorBidi"/>
          <w:i/>
        </w:rPr>
        <w:t>: 10.1016/j.tiv.2020.104960.</w:t>
      </w:r>
    </w:p>
    <w:p w14:paraId="2943A901" w14:textId="5F81CDC6" w:rsidR="00F56B65" w:rsidRPr="00D773F7" w:rsidRDefault="00F56B65" w:rsidP="00F56B65">
      <w:pPr>
        <w:tabs>
          <w:tab w:val="left" w:pos="1560"/>
        </w:tabs>
        <w:spacing w:after="160"/>
        <w:ind w:left="2268" w:right="1134"/>
        <w:jc w:val="both"/>
        <w:rPr>
          <w:rFonts w:asciiTheme="majorBidi" w:hAnsiTheme="majorBidi" w:cstheme="majorBidi"/>
          <w:i/>
        </w:rPr>
      </w:pPr>
      <w:r w:rsidRPr="00D773F7">
        <w:rPr>
          <w:rFonts w:asciiTheme="majorBidi" w:hAnsiTheme="majorBidi" w:cstheme="majorBidi"/>
          <w:i/>
        </w:rPr>
        <w:t xml:space="preserve">Bagley, D.M., D. Waters, and B.M. Kong. 1994. Development of a 10-day </w:t>
      </w:r>
      <w:proofErr w:type="spellStart"/>
      <w:r w:rsidRPr="00D773F7">
        <w:rPr>
          <w:rFonts w:asciiTheme="majorBidi" w:hAnsiTheme="majorBidi" w:cstheme="majorBidi"/>
          <w:i/>
        </w:rPr>
        <w:t>chorioallantoic</w:t>
      </w:r>
      <w:proofErr w:type="spellEnd"/>
      <w:r w:rsidRPr="00D773F7">
        <w:rPr>
          <w:rFonts w:asciiTheme="majorBidi" w:hAnsiTheme="majorBidi" w:cstheme="majorBidi"/>
          <w:i/>
        </w:rPr>
        <w:t xml:space="preserve"> membrane vascular assay as an alternative to the Draize rabbit eye irritation test. Food Chem. </w:t>
      </w:r>
      <w:proofErr w:type="spellStart"/>
      <w:r w:rsidRPr="00D773F7">
        <w:rPr>
          <w:rFonts w:asciiTheme="majorBidi" w:hAnsiTheme="majorBidi" w:cstheme="majorBidi"/>
          <w:i/>
        </w:rPr>
        <w:t>Toxicol</w:t>
      </w:r>
      <w:proofErr w:type="spellEnd"/>
      <w:r w:rsidRPr="00D773F7">
        <w:rPr>
          <w:rFonts w:asciiTheme="majorBidi" w:hAnsiTheme="majorBidi" w:cstheme="majorBidi"/>
          <w:i/>
        </w:rPr>
        <w:t xml:space="preserve">., 32(12): 1155-1160. </w:t>
      </w:r>
      <w:r w:rsidR="00144B9A" w:rsidRPr="00D773F7">
        <w:rPr>
          <w:rFonts w:asciiTheme="majorBidi" w:hAnsiTheme="majorBidi" w:cstheme="majorBidi"/>
          <w:i/>
        </w:rPr>
        <w:t>Doi</w:t>
      </w:r>
      <w:r w:rsidRPr="00D773F7">
        <w:rPr>
          <w:rFonts w:asciiTheme="majorBidi" w:hAnsiTheme="majorBidi" w:cstheme="majorBidi"/>
          <w:i/>
        </w:rPr>
        <w:t>: 10.1016/0278-6915(94)90131-7.</w:t>
      </w:r>
    </w:p>
    <w:p w14:paraId="23B742F6" w14:textId="11C005D1" w:rsidR="00F56B65" w:rsidRPr="00D773F7" w:rsidRDefault="00F56B65" w:rsidP="00F56B65">
      <w:pPr>
        <w:tabs>
          <w:tab w:val="left" w:pos="1560"/>
        </w:tabs>
        <w:spacing w:after="160"/>
        <w:ind w:left="2268" w:right="1134"/>
        <w:jc w:val="both"/>
        <w:rPr>
          <w:rFonts w:asciiTheme="majorBidi" w:hAnsiTheme="majorBidi" w:cstheme="majorBidi"/>
          <w:i/>
        </w:rPr>
      </w:pPr>
      <w:r w:rsidRPr="00D773F7">
        <w:rPr>
          <w:rFonts w:asciiTheme="majorBidi" w:hAnsiTheme="majorBidi" w:cstheme="majorBidi"/>
          <w:i/>
        </w:rPr>
        <w:t xml:space="preserve">Bagley, D.M., D. </w:t>
      </w:r>
      <w:proofErr w:type="spellStart"/>
      <w:r w:rsidRPr="00D773F7">
        <w:rPr>
          <w:rFonts w:asciiTheme="majorBidi" w:hAnsiTheme="majorBidi" w:cstheme="majorBidi"/>
          <w:i/>
        </w:rPr>
        <w:t>Cerven</w:t>
      </w:r>
      <w:proofErr w:type="spellEnd"/>
      <w:r w:rsidRPr="00D773F7">
        <w:rPr>
          <w:rFonts w:asciiTheme="majorBidi" w:hAnsiTheme="majorBidi" w:cstheme="majorBidi"/>
          <w:i/>
        </w:rPr>
        <w:t xml:space="preserve">, and J. </w:t>
      </w:r>
      <w:proofErr w:type="spellStart"/>
      <w:r w:rsidRPr="00D773F7">
        <w:rPr>
          <w:rFonts w:asciiTheme="majorBidi" w:hAnsiTheme="majorBidi" w:cstheme="majorBidi"/>
          <w:i/>
        </w:rPr>
        <w:t>Harbell</w:t>
      </w:r>
      <w:proofErr w:type="spellEnd"/>
      <w:r w:rsidRPr="00D773F7">
        <w:rPr>
          <w:rFonts w:asciiTheme="majorBidi" w:hAnsiTheme="majorBidi" w:cstheme="majorBidi"/>
          <w:i/>
        </w:rPr>
        <w:t xml:space="preserve">. 1999. Assessment of the </w:t>
      </w:r>
      <w:proofErr w:type="spellStart"/>
      <w:r w:rsidRPr="00D773F7">
        <w:rPr>
          <w:rFonts w:asciiTheme="majorBidi" w:hAnsiTheme="majorBidi" w:cstheme="majorBidi"/>
          <w:i/>
        </w:rPr>
        <w:t>chorioallantoic</w:t>
      </w:r>
      <w:proofErr w:type="spellEnd"/>
      <w:r w:rsidRPr="00D773F7">
        <w:rPr>
          <w:rFonts w:asciiTheme="majorBidi" w:hAnsiTheme="majorBidi" w:cstheme="majorBidi"/>
          <w:i/>
        </w:rPr>
        <w:t xml:space="preserve"> membrane vascular assay (CAMVA) in the COLIPA in vitro eye irritation validation study. </w:t>
      </w:r>
      <w:proofErr w:type="spellStart"/>
      <w:r w:rsidRPr="00D773F7">
        <w:rPr>
          <w:rFonts w:asciiTheme="majorBidi" w:hAnsiTheme="majorBidi" w:cstheme="majorBidi"/>
          <w:i/>
        </w:rPr>
        <w:t>Toxicol</w:t>
      </w:r>
      <w:proofErr w:type="spellEnd"/>
      <w:r w:rsidRPr="00D773F7">
        <w:rPr>
          <w:rFonts w:asciiTheme="majorBidi" w:hAnsiTheme="majorBidi" w:cstheme="majorBidi"/>
          <w:i/>
        </w:rPr>
        <w:t xml:space="preserve">. In Vitro, 13(2): 285-293. </w:t>
      </w:r>
      <w:r w:rsidR="00144B9A" w:rsidRPr="00D773F7">
        <w:rPr>
          <w:rFonts w:asciiTheme="majorBidi" w:hAnsiTheme="majorBidi" w:cstheme="majorBidi"/>
          <w:i/>
        </w:rPr>
        <w:t>Doi</w:t>
      </w:r>
      <w:r w:rsidRPr="00D773F7">
        <w:rPr>
          <w:rFonts w:asciiTheme="majorBidi" w:hAnsiTheme="majorBidi" w:cstheme="majorBidi"/>
          <w:i/>
        </w:rPr>
        <w:t>: 10.1016/s0887-2333(98)00089-7.</w:t>
      </w:r>
    </w:p>
    <w:p w14:paraId="4890A8AA" w14:textId="0EABD116" w:rsidR="00F56B65" w:rsidRPr="00D773F7" w:rsidRDefault="00F56B65" w:rsidP="00F56B65">
      <w:pPr>
        <w:tabs>
          <w:tab w:val="left" w:pos="1560"/>
        </w:tabs>
        <w:spacing w:after="160"/>
        <w:ind w:left="2268" w:right="1134"/>
        <w:jc w:val="both"/>
        <w:rPr>
          <w:rFonts w:asciiTheme="majorBidi" w:hAnsiTheme="majorBidi" w:cstheme="majorBidi"/>
          <w:i/>
        </w:rPr>
      </w:pPr>
      <w:r w:rsidRPr="00D773F7">
        <w:rPr>
          <w:rFonts w:asciiTheme="majorBidi" w:hAnsiTheme="majorBidi" w:cstheme="majorBidi"/>
          <w:i/>
        </w:rPr>
        <w:t xml:space="preserve">Balls, M., P.A. Botham, L.H. Bruner, and H. </w:t>
      </w:r>
      <w:proofErr w:type="spellStart"/>
      <w:r w:rsidRPr="00D773F7">
        <w:rPr>
          <w:rFonts w:asciiTheme="majorBidi" w:hAnsiTheme="majorBidi" w:cstheme="majorBidi"/>
          <w:i/>
        </w:rPr>
        <w:t>Spielmann</w:t>
      </w:r>
      <w:proofErr w:type="spellEnd"/>
      <w:r w:rsidRPr="00D773F7">
        <w:rPr>
          <w:rFonts w:asciiTheme="majorBidi" w:hAnsiTheme="majorBidi" w:cstheme="majorBidi"/>
          <w:i/>
        </w:rPr>
        <w:t xml:space="preserve">. 1995. The EC/HO international validation study on alternatives to the </w:t>
      </w:r>
      <w:proofErr w:type="spellStart"/>
      <w:r w:rsidRPr="00D773F7">
        <w:rPr>
          <w:rFonts w:asciiTheme="majorBidi" w:hAnsiTheme="majorBidi" w:cstheme="majorBidi"/>
          <w:i/>
        </w:rPr>
        <w:t>draize</w:t>
      </w:r>
      <w:proofErr w:type="spellEnd"/>
      <w:r w:rsidRPr="00D773F7">
        <w:rPr>
          <w:rFonts w:asciiTheme="majorBidi" w:hAnsiTheme="majorBidi" w:cstheme="majorBidi"/>
          <w:i/>
        </w:rPr>
        <w:t xml:space="preserve"> eye irritation test. </w:t>
      </w:r>
      <w:proofErr w:type="spellStart"/>
      <w:r w:rsidRPr="00D773F7">
        <w:rPr>
          <w:rFonts w:asciiTheme="majorBidi" w:hAnsiTheme="majorBidi" w:cstheme="majorBidi"/>
          <w:i/>
        </w:rPr>
        <w:t>Toxicol</w:t>
      </w:r>
      <w:proofErr w:type="spellEnd"/>
      <w:r w:rsidRPr="00D773F7">
        <w:rPr>
          <w:rFonts w:asciiTheme="majorBidi" w:hAnsiTheme="majorBidi" w:cstheme="majorBidi"/>
          <w:i/>
        </w:rPr>
        <w:t xml:space="preserve">. In Vitro, 9(6): 871-929. </w:t>
      </w:r>
      <w:r w:rsidR="00144B9A" w:rsidRPr="00D773F7">
        <w:rPr>
          <w:rFonts w:asciiTheme="majorBidi" w:hAnsiTheme="majorBidi" w:cstheme="majorBidi"/>
          <w:i/>
        </w:rPr>
        <w:t>Doi</w:t>
      </w:r>
      <w:r w:rsidRPr="00D773F7">
        <w:rPr>
          <w:rFonts w:asciiTheme="majorBidi" w:hAnsiTheme="majorBidi" w:cstheme="majorBidi"/>
          <w:i/>
        </w:rPr>
        <w:t>: 10.1016/0887-2333(95)00092-5.</w:t>
      </w:r>
    </w:p>
    <w:p w14:paraId="70A35EAB" w14:textId="1C5B9083" w:rsidR="00F56B65" w:rsidRPr="00D773F7" w:rsidRDefault="00F56B65" w:rsidP="00F56B65">
      <w:pPr>
        <w:tabs>
          <w:tab w:val="left" w:pos="1560"/>
        </w:tabs>
        <w:spacing w:after="160"/>
        <w:ind w:left="2268" w:right="1134"/>
        <w:jc w:val="both"/>
        <w:rPr>
          <w:rFonts w:asciiTheme="majorBidi" w:hAnsiTheme="majorBidi" w:cstheme="majorBidi"/>
          <w:i/>
        </w:rPr>
      </w:pPr>
      <w:proofErr w:type="spellStart"/>
      <w:r w:rsidRPr="00D773F7">
        <w:rPr>
          <w:rFonts w:asciiTheme="majorBidi" w:hAnsiTheme="majorBidi" w:cstheme="majorBidi"/>
          <w:i/>
        </w:rPr>
        <w:t>Brantom</w:t>
      </w:r>
      <w:proofErr w:type="spellEnd"/>
      <w:r w:rsidRPr="00D773F7">
        <w:rPr>
          <w:rFonts w:asciiTheme="majorBidi" w:hAnsiTheme="majorBidi" w:cstheme="majorBidi"/>
          <w:i/>
        </w:rPr>
        <w:t xml:space="preserve">, P.G., L.H. Bruner, M. Chamberlain, O. De Silva, J. Dupuis, L.K. Earl, D.P. Lovell, W.J. Pape, M. </w:t>
      </w:r>
      <w:proofErr w:type="spellStart"/>
      <w:r w:rsidRPr="00D773F7">
        <w:rPr>
          <w:rFonts w:asciiTheme="majorBidi" w:hAnsiTheme="majorBidi" w:cstheme="majorBidi"/>
          <w:i/>
        </w:rPr>
        <w:t>Uttley</w:t>
      </w:r>
      <w:proofErr w:type="spellEnd"/>
      <w:r w:rsidRPr="00D773F7">
        <w:rPr>
          <w:rFonts w:asciiTheme="majorBidi" w:hAnsiTheme="majorBidi" w:cstheme="majorBidi"/>
          <w:i/>
        </w:rPr>
        <w:t xml:space="preserve">, D.M. Bagley, F.W. Baker, M. </w:t>
      </w:r>
      <w:proofErr w:type="spellStart"/>
      <w:r w:rsidRPr="00D773F7">
        <w:rPr>
          <w:rFonts w:asciiTheme="majorBidi" w:hAnsiTheme="majorBidi" w:cstheme="majorBidi"/>
          <w:i/>
        </w:rPr>
        <w:t>Bracher</w:t>
      </w:r>
      <w:proofErr w:type="spellEnd"/>
      <w:r w:rsidRPr="00D773F7">
        <w:rPr>
          <w:rFonts w:asciiTheme="majorBidi" w:hAnsiTheme="majorBidi" w:cstheme="majorBidi"/>
          <w:i/>
        </w:rPr>
        <w:t xml:space="preserve">, P. </w:t>
      </w:r>
      <w:proofErr w:type="spellStart"/>
      <w:r w:rsidRPr="00D773F7">
        <w:rPr>
          <w:rFonts w:asciiTheme="majorBidi" w:hAnsiTheme="majorBidi" w:cstheme="majorBidi"/>
          <w:i/>
        </w:rPr>
        <w:t>Courtellemont</w:t>
      </w:r>
      <w:proofErr w:type="spellEnd"/>
      <w:r w:rsidRPr="00D773F7">
        <w:rPr>
          <w:rFonts w:asciiTheme="majorBidi" w:hAnsiTheme="majorBidi" w:cstheme="majorBidi"/>
          <w:i/>
        </w:rPr>
        <w:t xml:space="preserve">, L. </w:t>
      </w:r>
      <w:proofErr w:type="spellStart"/>
      <w:r w:rsidRPr="00D773F7">
        <w:rPr>
          <w:rFonts w:asciiTheme="majorBidi" w:hAnsiTheme="majorBidi" w:cstheme="majorBidi"/>
          <w:i/>
        </w:rPr>
        <w:t>Declercq</w:t>
      </w:r>
      <w:proofErr w:type="spellEnd"/>
      <w:r w:rsidRPr="00D773F7">
        <w:rPr>
          <w:rFonts w:asciiTheme="majorBidi" w:hAnsiTheme="majorBidi" w:cstheme="majorBidi"/>
          <w:i/>
        </w:rPr>
        <w:t xml:space="preserve">, S. Freeman, W. </w:t>
      </w:r>
      <w:proofErr w:type="spellStart"/>
      <w:r w:rsidRPr="00D773F7">
        <w:rPr>
          <w:rFonts w:asciiTheme="majorBidi" w:hAnsiTheme="majorBidi" w:cstheme="majorBidi"/>
          <w:i/>
        </w:rPr>
        <w:t>Steiling</w:t>
      </w:r>
      <w:proofErr w:type="spellEnd"/>
      <w:r w:rsidRPr="00D773F7">
        <w:rPr>
          <w:rFonts w:asciiTheme="majorBidi" w:hAnsiTheme="majorBidi" w:cstheme="majorBidi"/>
          <w:i/>
        </w:rPr>
        <w:t xml:space="preserve">, A.P. Walker, G.J. </w:t>
      </w:r>
      <w:proofErr w:type="spellStart"/>
      <w:r w:rsidRPr="00D773F7">
        <w:rPr>
          <w:rFonts w:asciiTheme="majorBidi" w:hAnsiTheme="majorBidi" w:cstheme="majorBidi"/>
          <w:i/>
        </w:rPr>
        <w:t>Carr</w:t>
      </w:r>
      <w:proofErr w:type="spellEnd"/>
      <w:r w:rsidRPr="00D773F7">
        <w:rPr>
          <w:rFonts w:asciiTheme="majorBidi" w:hAnsiTheme="majorBidi" w:cstheme="majorBidi"/>
          <w:i/>
        </w:rPr>
        <w:t xml:space="preserve">, N. </w:t>
      </w:r>
      <w:proofErr w:type="spellStart"/>
      <w:r w:rsidRPr="00D773F7">
        <w:rPr>
          <w:rFonts w:asciiTheme="majorBidi" w:hAnsiTheme="majorBidi" w:cstheme="majorBidi"/>
          <w:i/>
        </w:rPr>
        <w:t>Dami</w:t>
      </w:r>
      <w:proofErr w:type="spellEnd"/>
      <w:r w:rsidRPr="00D773F7">
        <w:rPr>
          <w:rFonts w:asciiTheme="majorBidi" w:hAnsiTheme="majorBidi" w:cstheme="majorBidi"/>
          <w:i/>
        </w:rPr>
        <w:t xml:space="preserve">, G. Thomas, J. </w:t>
      </w:r>
      <w:proofErr w:type="spellStart"/>
      <w:r w:rsidRPr="00D773F7">
        <w:rPr>
          <w:rFonts w:asciiTheme="majorBidi" w:hAnsiTheme="majorBidi" w:cstheme="majorBidi"/>
          <w:i/>
        </w:rPr>
        <w:t>Harbell</w:t>
      </w:r>
      <w:proofErr w:type="spellEnd"/>
      <w:r w:rsidRPr="00D773F7">
        <w:rPr>
          <w:rFonts w:asciiTheme="majorBidi" w:hAnsiTheme="majorBidi" w:cstheme="majorBidi"/>
          <w:i/>
        </w:rPr>
        <w:t xml:space="preserve">, P.A. Jones, U. </w:t>
      </w:r>
      <w:proofErr w:type="spellStart"/>
      <w:r w:rsidRPr="00D773F7">
        <w:rPr>
          <w:rFonts w:asciiTheme="majorBidi" w:hAnsiTheme="majorBidi" w:cstheme="majorBidi"/>
          <w:i/>
        </w:rPr>
        <w:t>Pfannenbecker</w:t>
      </w:r>
      <w:proofErr w:type="spellEnd"/>
      <w:r w:rsidRPr="00D773F7">
        <w:rPr>
          <w:rFonts w:asciiTheme="majorBidi" w:hAnsiTheme="majorBidi" w:cstheme="majorBidi"/>
          <w:i/>
        </w:rPr>
        <w:t xml:space="preserve">, J.A. Southee, M. </w:t>
      </w:r>
      <w:proofErr w:type="spellStart"/>
      <w:r w:rsidRPr="00D773F7">
        <w:rPr>
          <w:rFonts w:asciiTheme="majorBidi" w:hAnsiTheme="majorBidi" w:cstheme="majorBidi"/>
          <w:i/>
        </w:rPr>
        <w:t>Tcheng</w:t>
      </w:r>
      <w:proofErr w:type="spellEnd"/>
      <w:r w:rsidRPr="00D773F7">
        <w:rPr>
          <w:rFonts w:asciiTheme="majorBidi" w:hAnsiTheme="majorBidi" w:cstheme="majorBidi"/>
          <w:i/>
        </w:rPr>
        <w:t xml:space="preserve">, H. </w:t>
      </w:r>
      <w:proofErr w:type="spellStart"/>
      <w:r w:rsidRPr="00D773F7">
        <w:rPr>
          <w:rFonts w:asciiTheme="majorBidi" w:hAnsiTheme="majorBidi" w:cstheme="majorBidi"/>
          <w:i/>
        </w:rPr>
        <w:t>Argembeaux</w:t>
      </w:r>
      <w:proofErr w:type="spellEnd"/>
      <w:r w:rsidRPr="00D773F7">
        <w:rPr>
          <w:rFonts w:asciiTheme="majorBidi" w:hAnsiTheme="majorBidi" w:cstheme="majorBidi"/>
          <w:i/>
        </w:rPr>
        <w:t xml:space="preserve">, D. Castelli, R. Clothier, D.J. Esdaile, H. </w:t>
      </w:r>
      <w:proofErr w:type="spellStart"/>
      <w:r w:rsidRPr="00D773F7">
        <w:rPr>
          <w:rFonts w:asciiTheme="majorBidi" w:hAnsiTheme="majorBidi" w:cstheme="majorBidi"/>
          <w:i/>
        </w:rPr>
        <w:t>Itigaki</w:t>
      </w:r>
      <w:proofErr w:type="spellEnd"/>
      <w:r w:rsidRPr="00D773F7">
        <w:rPr>
          <w:rFonts w:asciiTheme="majorBidi" w:hAnsiTheme="majorBidi" w:cstheme="majorBidi"/>
          <w:i/>
        </w:rPr>
        <w:t xml:space="preserve">, K. Jung, Y. Kasai, H. Kojima, U. Kristen, M. </w:t>
      </w:r>
      <w:proofErr w:type="spellStart"/>
      <w:r w:rsidRPr="00D773F7">
        <w:rPr>
          <w:rFonts w:asciiTheme="majorBidi" w:hAnsiTheme="majorBidi" w:cstheme="majorBidi"/>
          <w:i/>
        </w:rPr>
        <w:t>Larnicol</w:t>
      </w:r>
      <w:proofErr w:type="spellEnd"/>
      <w:r w:rsidRPr="00D773F7">
        <w:rPr>
          <w:rFonts w:asciiTheme="majorBidi" w:hAnsiTheme="majorBidi" w:cstheme="majorBidi"/>
          <w:i/>
        </w:rPr>
        <w:t xml:space="preserve">, R.W. Lewis, K. </w:t>
      </w:r>
      <w:proofErr w:type="spellStart"/>
      <w:r w:rsidRPr="00D773F7">
        <w:rPr>
          <w:rFonts w:asciiTheme="majorBidi" w:hAnsiTheme="majorBidi" w:cstheme="majorBidi"/>
          <w:i/>
        </w:rPr>
        <w:t>Marenus</w:t>
      </w:r>
      <w:proofErr w:type="spellEnd"/>
      <w:r w:rsidRPr="00D773F7">
        <w:rPr>
          <w:rFonts w:asciiTheme="majorBidi" w:hAnsiTheme="majorBidi" w:cstheme="majorBidi"/>
          <w:i/>
        </w:rPr>
        <w:t>, O. Moreno, A. Peterson, E.S. Rasmussen, C. Robles, and M. Stern. 1997. A summary report of the COLIPA international validation</w:t>
      </w:r>
      <w:r w:rsidR="00144B9A" w:rsidRPr="00D773F7">
        <w:rPr>
          <w:rFonts w:asciiTheme="majorBidi" w:hAnsiTheme="majorBidi" w:cstheme="majorBidi"/>
          <w:i/>
        </w:rPr>
        <w:t xml:space="preserve"> </w:t>
      </w:r>
      <w:r w:rsidRPr="00D773F7">
        <w:rPr>
          <w:rFonts w:asciiTheme="majorBidi" w:hAnsiTheme="majorBidi" w:cstheme="majorBidi"/>
          <w:i/>
        </w:rPr>
        <w:t xml:space="preserve">study on alternatives to the </w:t>
      </w:r>
      <w:proofErr w:type="spellStart"/>
      <w:r w:rsidRPr="00D773F7">
        <w:rPr>
          <w:rFonts w:asciiTheme="majorBidi" w:hAnsiTheme="majorBidi" w:cstheme="majorBidi"/>
          <w:i/>
        </w:rPr>
        <w:t>draize</w:t>
      </w:r>
      <w:proofErr w:type="spellEnd"/>
      <w:r w:rsidRPr="00D773F7">
        <w:rPr>
          <w:rFonts w:asciiTheme="majorBidi" w:hAnsiTheme="majorBidi" w:cstheme="majorBidi"/>
          <w:i/>
        </w:rPr>
        <w:t xml:space="preserve"> rabbit eye irritation test. </w:t>
      </w:r>
      <w:proofErr w:type="spellStart"/>
      <w:r w:rsidRPr="00D773F7">
        <w:rPr>
          <w:rFonts w:asciiTheme="majorBidi" w:hAnsiTheme="majorBidi" w:cstheme="majorBidi"/>
          <w:i/>
        </w:rPr>
        <w:t>Toxicol</w:t>
      </w:r>
      <w:proofErr w:type="spellEnd"/>
      <w:r w:rsidRPr="00D773F7">
        <w:rPr>
          <w:rFonts w:asciiTheme="majorBidi" w:hAnsiTheme="majorBidi" w:cstheme="majorBidi"/>
          <w:i/>
        </w:rPr>
        <w:t xml:space="preserve">. In Vitro, 11: 141-179. </w:t>
      </w:r>
      <w:r w:rsidR="00144B9A" w:rsidRPr="00D773F7">
        <w:rPr>
          <w:rFonts w:asciiTheme="majorBidi" w:hAnsiTheme="majorBidi" w:cstheme="majorBidi"/>
          <w:i/>
        </w:rPr>
        <w:t>Doi</w:t>
      </w:r>
      <w:r w:rsidRPr="00D773F7">
        <w:rPr>
          <w:rFonts w:asciiTheme="majorBidi" w:hAnsiTheme="majorBidi" w:cstheme="majorBidi"/>
          <w:i/>
        </w:rPr>
        <w:t>:10.1016/S0887-2333(96)00069-0.</w:t>
      </w:r>
    </w:p>
    <w:p w14:paraId="4673A8F4" w14:textId="7FC3A55D" w:rsidR="00F56B65" w:rsidRPr="00D773F7" w:rsidRDefault="00F56B65" w:rsidP="00F56B65">
      <w:pPr>
        <w:tabs>
          <w:tab w:val="left" w:pos="1560"/>
        </w:tabs>
        <w:spacing w:after="160"/>
        <w:ind w:left="2268" w:right="1134"/>
        <w:jc w:val="both"/>
        <w:rPr>
          <w:rFonts w:asciiTheme="majorBidi" w:hAnsiTheme="majorBidi" w:cstheme="majorBidi"/>
          <w:i/>
        </w:rPr>
      </w:pPr>
      <w:r w:rsidRPr="00D773F7">
        <w:rPr>
          <w:rFonts w:asciiTheme="majorBidi" w:hAnsiTheme="majorBidi" w:cstheme="majorBidi"/>
          <w:i/>
        </w:rPr>
        <w:t xml:space="preserve">Burton, A.B., M. York, and R.S. Lawrence. 1981. The in vitro assessment of severe eye irritants. Food </w:t>
      </w:r>
      <w:proofErr w:type="spellStart"/>
      <w:r w:rsidRPr="00D773F7">
        <w:rPr>
          <w:rFonts w:asciiTheme="majorBidi" w:hAnsiTheme="majorBidi" w:cstheme="majorBidi"/>
          <w:i/>
        </w:rPr>
        <w:t>Cosmet</w:t>
      </w:r>
      <w:proofErr w:type="spellEnd"/>
      <w:r w:rsidRPr="00D773F7">
        <w:rPr>
          <w:rFonts w:asciiTheme="majorBidi" w:hAnsiTheme="majorBidi" w:cstheme="majorBidi"/>
          <w:i/>
        </w:rPr>
        <w:t xml:space="preserve">. </w:t>
      </w:r>
      <w:proofErr w:type="spellStart"/>
      <w:r w:rsidRPr="00D773F7">
        <w:rPr>
          <w:rFonts w:asciiTheme="majorBidi" w:hAnsiTheme="majorBidi" w:cstheme="majorBidi"/>
          <w:i/>
        </w:rPr>
        <w:t>Toxicol</w:t>
      </w:r>
      <w:proofErr w:type="spellEnd"/>
      <w:r w:rsidRPr="00D773F7">
        <w:rPr>
          <w:rFonts w:asciiTheme="majorBidi" w:hAnsiTheme="majorBidi" w:cstheme="majorBidi"/>
          <w:i/>
        </w:rPr>
        <w:t xml:space="preserve">., 19(4): 471-480. </w:t>
      </w:r>
      <w:r w:rsidR="00144B9A" w:rsidRPr="00D773F7">
        <w:rPr>
          <w:rFonts w:asciiTheme="majorBidi" w:hAnsiTheme="majorBidi" w:cstheme="majorBidi"/>
          <w:i/>
        </w:rPr>
        <w:t>Doi</w:t>
      </w:r>
      <w:r w:rsidRPr="00D773F7">
        <w:rPr>
          <w:rFonts w:asciiTheme="majorBidi" w:hAnsiTheme="majorBidi" w:cstheme="majorBidi"/>
          <w:i/>
        </w:rPr>
        <w:t>: 10.1016/0015-6264(81)90452-1.</w:t>
      </w:r>
    </w:p>
    <w:p w14:paraId="5E256298" w14:textId="0FABCE55" w:rsidR="00F56B65" w:rsidRPr="00D773F7" w:rsidRDefault="00F56B65" w:rsidP="00F56B65">
      <w:pPr>
        <w:tabs>
          <w:tab w:val="left" w:pos="1560"/>
        </w:tabs>
        <w:spacing w:after="160"/>
        <w:ind w:left="2268" w:right="1134"/>
        <w:jc w:val="both"/>
        <w:rPr>
          <w:rFonts w:asciiTheme="majorBidi" w:hAnsiTheme="majorBidi" w:cstheme="majorBidi"/>
          <w:i/>
        </w:rPr>
      </w:pPr>
      <w:r w:rsidRPr="00D773F7">
        <w:rPr>
          <w:rFonts w:asciiTheme="majorBidi" w:hAnsiTheme="majorBidi" w:cstheme="majorBidi"/>
          <w:i/>
        </w:rPr>
        <w:t xml:space="preserve">Choksi, N., S. Lebrun, M. Nguyen, A. Daniel, G. </w:t>
      </w:r>
      <w:proofErr w:type="spellStart"/>
      <w:r w:rsidRPr="00D773F7">
        <w:rPr>
          <w:rFonts w:asciiTheme="majorBidi" w:hAnsiTheme="majorBidi" w:cstheme="majorBidi"/>
          <w:i/>
        </w:rPr>
        <w:t>DeGeorge</w:t>
      </w:r>
      <w:proofErr w:type="spellEnd"/>
      <w:r w:rsidRPr="00D773F7">
        <w:rPr>
          <w:rFonts w:asciiTheme="majorBidi" w:hAnsiTheme="majorBidi" w:cstheme="majorBidi"/>
          <w:i/>
        </w:rPr>
        <w:t>, J. Willoughby, A.</w:t>
      </w:r>
      <w:r w:rsidRPr="00D773F7">
        <w:rPr>
          <w:rFonts w:asciiTheme="majorBidi" w:hAnsiTheme="majorBidi" w:cstheme="majorBidi"/>
        </w:rPr>
        <w:t xml:space="preserve"> </w:t>
      </w:r>
      <w:r w:rsidRPr="00D773F7">
        <w:rPr>
          <w:rFonts w:asciiTheme="majorBidi" w:hAnsiTheme="majorBidi" w:cstheme="majorBidi"/>
          <w:i/>
        </w:rPr>
        <w:t xml:space="preserve">Layton, D. Lowther, J. Merrill, J. Matheson, J. Barroso, K. </w:t>
      </w:r>
      <w:proofErr w:type="spellStart"/>
      <w:r w:rsidRPr="00D773F7">
        <w:rPr>
          <w:rFonts w:asciiTheme="majorBidi" w:hAnsiTheme="majorBidi" w:cstheme="majorBidi"/>
          <w:i/>
        </w:rPr>
        <w:t>Yozzo</w:t>
      </w:r>
      <w:proofErr w:type="spellEnd"/>
      <w:r w:rsidRPr="00D773F7">
        <w:rPr>
          <w:rFonts w:asciiTheme="majorBidi" w:hAnsiTheme="majorBidi" w:cstheme="majorBidi"/>
          <w:i/>
        </w:rPr>
        <w:t xml:space="preserve">, W. Casey, and D. Allen. 2020. Validation of the </w:t>
      </w:r>
      <w:proofErr w:type="spellStart"/>
      <w:r w:rsidRPr="00D773F7">
        <w:rPr>
          <w:rFonts w:asciiTheme="majorBidi" w:hAnsiTheme="majorBidi" w:cstheme="majorBidi"/>
          <w:i/>
        </w:rPr>
        <w:t>OptiSafe</w:t>
      </w:r>
      <w:proofErr w:type="spellEnd"/>
      <w:r w:rsidRPr="00D773F7">
        <w:rPr>
          <w:rFonts w:asciiTheme="majorBidi" w:hAnsiTheme="majorBidi" w:cstheme="majorBidi"/>
          <w:i/>
        </w:rPr>
        <w:t xml:space="preserve">™ eye irritation test. </w:t>
      </w:r>
      <w:proofErr w:type="spellStart"/>
      <w:r w:rsidRPr="00D773F7">
        <w:rPr>
          <w:rFonts w:asciiTheme="majorBidi" w:hAnsiTheme="majorBidi" w:cstheme="majorBidi"/>
          <w:i/>
        </w:rPr>
        <w:t>Cutan</w:t>
      </w:r>
      <w:proofErr w:type="spellEnd"/>
      <w:r w:rsidRPr="00D773F7">
        <w:rPr>
          <w:rFonts w:asciiTheme="majorBidi" w:hAnsiTheme="majorBidi" w:cstheme="majorBidi"/>
          <w:i/>
        </w:rPr>
        <w:t xml:space="preserve">. </w:t>
      </w:r>
      <w:proofErr w:type="spellStart"/>
      <w:r w:rsidRPr="00D773F7">
        <w:rPr>
          <w:rFonts w:asciiTheme="majorBidi" w:hAnsiTheme="majorBidi" w:cstheme="majorBidi"/>
          <w:i/>
        </w:rPr>
        <w:t>Ocul</w:t>
      </w:r>
      <w:proofErr w:type="spellEnd"/>
      <w:r w:rsidRPr="00D773F7">
        <w:rPr>
          <w:rFonts w:asciiTheme="majorBidi" w:hAnsiTheme="majorBidi" w:cstheme="majorBidi"/>
          <w:i/>
        </w:rPr>
        <w:t xml:space="preserve">. </w:t>
      </w:r>
      <w:proofErr w:type="spellStart"/>
      <w:r w:rsidRPr="00D773F7">
        <w:rPr>
          <w:rFonts w:asciiTheme="majorBidi" w:hAnsiTheme="majorBidi" w:cstheme="majorBidi"/>
          <w:i/>
        </w:rPr>
        <w:t>Toxicol</w:t>
      </w:r>
      <w:proofErr w:type="spellEnd"/>
      <w:r w:rsidRPr="00D773F7">
        <w:rPr>
          <w:rFonts w:asciiTheme="majorBidi" w:hAnsiTheme="majorBidi" w:cstheme="majorBidi"/>
          <w:i/>
        </w:rPr>
        <w:t xml:space="preserve">., 39(3): 180-192. </w:t>
      </w:r>
      <w:r w:rsidR="00144B9A" w:rsidRPr="00D773F7">
        <w:rPr>
          <w:rFonts w:asciiTheme="majorBidi" w:hAnsiTheme="majorBidi" w:cstheme="majorBidi"/>
          <w:i/>
        </w:rPr>
        <w:t>Doi</w:t>
      </w:r>
      <w:r w:rsidRPr="00D773F7">
        <w:rPr>
          <w:rFonts w:asciiTheme="majorBidi" w:hAnsiTheme="majorBidi" w:cstheme="majorBidi"/>
          <w:i/>
        </w:rPr>
        <w:t>: 10.1080/15569527.2020.1787431.</w:t>
      </w:r>
    </w:p>
    <w:p w14:paraId="5B4445C5" w14:textId="4D175BEF" w:rsidR="00F56B65" w:rsidRPr="00D773F7" w:rsidRDefault="00F56B65" w:rsidP="00F56B65">
      <w:pPr>
        <w:tabs>
          <w:tab w:val="left" w:pos="1560"/>
        </w:tabs>
        <w:spacing w:after="160"/>
        <w:ind w:left="2268" w:right="1134"/>
        <w:jc w:val="both"/>
        <w:rPr>
          <w:rFonts w:asciiTheme="majorBidi" w:hAnsiTheme="majorBidi" w:cstheme="majorBidi"/>
          <w:i/>
        </w:rPr>
      </w:pPr>
      <w:proofErr w:type="spellStart"/>
      <w:r w:rsidRPr="00D773F7">
        <w:rPr>
          <w:rFonts w:asciiTheme="majorBidi" w:hAnsiTheme="majorBidi" w:cstheme="majorBidi"/>
          <w:i/>
        </w:rPr>
        <w:t>Cottrez</w:t>
      </w:r>
      <w:proofErr w:type="spellEnd"/>
      <w:r w:rsidRPr="00D773F7">
        <w:rPr>
          <w:rFonts w:asciiTheme="majorBidi" w:hAnsiTheme="majorBidi" w:cstheme="majorBidi"/>
          <w:i/>
        </w:rPr>
        <w:t xml:space="preserve">, F., V. Leblanc, E. </w:t>
      </w:r>
      <w:proofErr w:type="spellStart"/>
      <w:r w:rsidRPr="00D773F7">
        <w:rPr>
          <w:rFonts w:asciiTheme="majorBidi" w:hAnsiTheme="majorBidi" w:cstheme="majorBidi"/>
          <w:i/>
        </w:rPr>
        <w:t>Boitel</w:t>
      </w:r>
      <w:proofErr w:type="spellEnd"/>
      <w:r w:rsidRPr="00D773F7">
        <w:rPr>
          <w:rFonts w:asciiTheme="majorBidi" w:hAnsiTheme="majorBidi" w:cstheme="majorBidi"/>
          <w:i/>
        </w:rPr>
        <w:t xml:space="preserve">, H. </w:t>
      </w:r>
      <w:proofErr w:type="spellStart"/>
      <w:r w:rsidRPr="00D773F7">
        <w:rPr>
          <w:rFonts w:asciiTheme="majorBidi" w:hAnsiTheme="majorBidi" w:cstheme="majorBidi"/>
          <w:i/>
        </w:rPr>
        <w:t>Groux</w:t>
      </w:r>
      <w:proofErr w:type="spellEnd"/>
      <w:r w:rsidRPr="00D773F7">
        <w:rPr>
          <w:rFonts w:asciiTheme="majorBidi" w:hAnsiTheme="majorBidi" w:cstheme="majorBidi"/>
          <w:i/>
        </w:rPr>
        <w:t xml:space="preserve">, and N. </w:t>
      </w:r>
      <w:proofErr w:type="spellStart"/>
      <w:r w:rsidRPr="00D773F7">
        <w:rPr>
          <w:rFonts w:asciiTheme="majorBidi" w:hAnsiTheme="majorBidi" w:cstheme="majorBidi"/>
          <w:i/>
        </w:rPr>
        <w:t>Alépée</w:t>
      </w:r>
      <w:proofErr w:type="spellEnd"/>
      <w:r w:rsidRPr="00D773F7">
        <w:rPr>
          <w:rFonts w:asciiTheme="majorBidi" w:hAnsiTheme="majorBidi" w:cstheme="majorBidi"/>
          <w:i/>
        </w:rPr>
        <w:t xml:space="preserve">. 2021. The </w:t>
      </w:r>
      <w:proofErr w:type="spellStart"/>
      <w:r w:rsidRPr="00D773F7">
        <w:rPr>
          <w:rFonts w:asciiTheme="majorBidi" w:hAnsiTheme="majorBidi" w:cstheme="majorBidi"/>
          <w:i/>
        </w:rPr>
        <w:t>EyeIRR</w:t>
      </w:r>
      <w:proofErr w:type="spellEnd"/>
      <w:r w:rsidRPr="00D773F7">
        <w:rPr>
          <w:rFonts w:asciiTheme="majorBidi" w:hAnsiTheme="majorBidi" w:cstheme="majorBidi"/>
          <w:i/>
        </w:rPr>
        <w:t xml:space="preserve">-IS assay: Development and evaluation of an in vitro assay to measure the eye irritation sub-categorization of liquid chemicals. </w:t>
      </w:r>
      <w:proofErr w:type="spellStart"/>
      <w:r w:rsidRPr="00D773F7">
        <w:rPr>
          <w:rFonts w:asciiTheme="majorBidi" w:hAnsiTheme="majorBidi" w:cstheme="majorBidi"/>
          <w:i/>
        </w:rPr>
        <w:t>Toxicol</w:t>
      </w:r>
      <w:proofErr w:type="spellEnd"/>
      <w:r w:rsidRPr="00D773F7">
        <w:rPr>
          <w:rFonts w:asciiTheme="majorBidi" w:hAnsiTheme="majorBidi" w:cstheme="majorBidi"/>
          <w:i/>
        </w:rPr>
        <w:t xml:space="preserve">. In Vitro, 71: 105072. </w:t>
      </w:r>
      <w:r w:rsidR="00144B9A" w:rsidRPr="00D773F7">
        <w:rPr>
          <w:rFonts w:asciiTheme="majorBidi" w:hAnsiTheme="majorBidi" w:cstheme="majorBidi"/>
          <w:i/>
        </w:rPr>
        <w:t>Doi</w:t>
      </w:r>
      <w:r w:rsidRPr="00D773F7">
        <w:rPr>
          <w:rFonts w:asciiTheme="majorBidi" w:hAnsiTheme="majorBidi" w:cstheme="majorBidi"/>
          <w:i/>
        </w:rPr>
        <w:t>: 10.1016/j.tiv.2020.105072.</w:t>
      </w:r>
    </w:p>
    <w:p w14:paraId="65358DA0" w14:textId="142EBD7D" w:rsidR="00F56B65" w:rsidRPr="00D773F7" w:rsidRDefault="00F56B65" w:rsidP="00F56B65">
      <w:pPr>
        <w:tabs>
          <w:tab w:val="left" w:pos="1560"/>
        </w:tabs>
        <w:spacing w:after="160"/>
        <w:ind w:left="2268" w:right="1134"/>
        <w:jc w:val="both"/>
        <w:rPr>
          <w:rFonts w:asciiTheme="majorBidi" w:hAnsiTheme="majorBidi" w:cstheme="majorBidi"/>
          <w:i/>
        </w:rPr>
      </w:pPr>
      <w:r w:rsidRPr="00D773F7">
        <w:rPr>
          <w:rFonts w:asciiTheme="majorBidi" w:hAnsiTheme="majorBidi" w:cstheme="majorBidi"/>
          <w:i/>
        </w:rPr>
        <w:t xml:space="preserve">Donahue, D.A., L.E. Kaufman, J. Avalos, F.A. </w:t>
      </w:r>
      <w:proofErr w:type="spellStart"/>
      <w:r w:rsidRPr="00D773F7">
        <w:rPr>
          <w:rFonts w:asciiTheme="majorBidi" w:hAnsiTheme="majorBidi" w:cstheme="majorBidi"/>
          <w:i/>
        </w:rPr>
        <w:t>Simion</w:t>
      </w:r>
      <w:proofErr w:type="spellEnd"/>
      <w:r w:rsidRPr="00D773F7">
        <w:rPr>
          <w:rFonts w:asciiTheme="majorBidi" w:hAnsiTheme="majorBidi" w:cstheme="majorBidi"/>
          <w:i/>
        </w:rPr>
        <w:t xml:space="preserve">, and D.R </w:t>
      </w:r>
      <w:proofErr w:type="spellStart"/>
      <w:r w:rsidRPr="00D773F7">
        <w:rPr>
          <w:rFonts w:asciiTheme="majorBidi" w:hAnsiTheme="majorBidi" w:cstheme="majorBidi"/>
          <w:i/>
        </w:rPr>
        <w:t>Cerven</w:t>
      </w:r>
      <w:proofErr w:type="spellEnd"/>
      <w:r w:rsidRPr="00D773F7">
        <w:rPr>
          <w:rFonts w:asciiTheme="majorBidi" w:hAnsiTheme="majorBidi" w:cstheme="majorBidi"/>
          <w:i/>
        </w:rPr>
        <w:t xml:space="preserve">. </w:t>
      </w:r>
      <w:r w:rsidRPr="00D773F7">
        <w:rPr>
          <w:rFonts w:asciiTheme="majorBidi" w:hAnsiTheme="majorBidi" w:cstheme="majorBidi"/>
          <w:i/>
          <w:lang w:val="en-CA"/>
        </w:rPr>
        <w:t xml:space="preserve">2011. </w:t>
      </w:r>
      <w:r w:rsidRPr="00D773F7">
        <w:rPr>
          <w:rFonts w:asciiTheme="majorBidi" w:hAnsiTheme="majorBidi" w:cstheme="majorBidi"/>
          <w:i/>
        </w:rPr>
        <w:t xml:space="preserve">Survey of ocular irritation predictive capacity using </w:t>
      </w:r>
      <w:proofErr w:type="spellStart"/>
      <w:r w:rsidRPr="00D773F7">
        <w:rPr>
          <w:rFonts w:asciiTheme="majorBidi" w:hAnsiTheme="majorBidi" w:cstheme="majorBidi"/>
          <w:i/>
        </w:rPr>
        <w:t>Chorioallantoic</w:t>
      </w:r>
      <w:proofErr w:type="spellEnd"/>
      <w:r w:rsidRPr="00D773F7">
        <w:rPr>
          <w:rFonts w:asciiTheme="majorBidi" w:hAnsiTheme="majorBidi" w:cstheme="majorBidi"/>
          <w:i/>
        </w:rPr>
        <w:t xml:space="preserve"> Membrane Vascular Assay (CAMVA) and Bovine Corneal Opacity and Permeability (BCOP) test historical data for 319 personal care products over fourteen years. </w:t>
      </w:r>
      <w:proofErr w:type="spellStart"/>
      <w:r w:rsidRPr="00D773F7">
        <w:rPr>
          <w:rFonts w:asciiTheme="majorBidi" w:hAnsiTheme="majorBidi" w:cstheme="majorBidi"/>
          <w:i/>
        </w:rPr>
        <w:t>Toxicol</w:t>
      </w:r>
      <w:proofErr w:type="spellEnd"/>
      <w:r w:rsidRPr="00D773F7">
        <w:rPr>
          <w:rFonts w:asciiTheme="majorBidi" w:hAnsiTheme="majorBidi" w:cstheme="majorBidi"/>
          <w:i/>
        </w:rPr>
        <w:t xml:space="preserve">. In Vitro, 25(2): 563-572. </w:t>
      </w:r>
      <w:r w:rsidR="00144B9A" w:rsidRPr="00D773F7">
        <w:rPr>
          <w:rFonts w:asciiTheme="majorBidi" w:hAnsiTheme="majorBidi" w:cstheme="majorBidi"/>
          <w:i/>
        </w:rPr>
        <w:t>Doi</w:t>
      </w:r>
      <w:r w:rsidRPr="00D773F7">
        <w:rPr>
          <w:rFonts w:asciiTheme="majorBidi" w:hAnsiTheme="majorBidi" w:cstheme="majorBidi"/>
          <w:i/>
        </w:rPr>
        <w:t>: 10.1016/j.tiv.2010.12.003.</w:t>
      </w:r>
    </w:p>
    <w:p w14:paraId="52872504" w14:textId="3E266082" w:rsidR="00F56B65" w:rsidRPr="00D773F7" w:rsidRDefault="00F56B65" w:rsidP="00F56B65">
      <w:pPr>
        <w:tabs>
          <w:tab w:val="left" w:pos="1560"/>
        </w:tabs>
        <w:spacing w:after="160"/>
        <w:ind w:left="2268" w:right="1134"/>
        <w:jc w:val="both"/>
        <w:rPr>
          <w:rFonts w:asciiTheme="majorBidi" w:hAnsiTheme="majorBidi" w:cstheme="majorBidi"/>
          <w:i/>
        </w:rPr>
      </w:pPr>
      <w:r w:rsidRPr="00D773F7">
        <w:rPr>
          <w:rFonts w:asciiTheme="majorBidi" w:hAnsiTheme="majorBidi" w:cstheme="majorBidi"/>
          <w:i/>
        </w:rPr>
        <w:lastRenderedPageBreak/>
        <w:t xml:space="preserve">ECHA. 2017. Guidance on the Application of the CLP Criteria. Version 5.0. Reference ECHA-17-G-21-EN. </w:t>
      </w:r>
      <w:r w:rsidR="00F3269A" w:rsidRPr="00D773F7">
        <w:rPr>
          <w:rFonts w:asciiTheme="majorBidi" w:hAnsiTheme="majorBidi" w:cstheme="majorBidi"/>
          <w:i/>
        </w:rPr>
        <w:t>D</w:t>
      </w:r>
      <w:r w:rsidRPr="00D773F7">
        <w:rPr>
          <w:rFonts w:asciiTheme="majorBidi" w:hAnsiTheme="majorBidi" w:cstheme="majorBidi"/>
          <w:i/>
        </w:rPr>
        <w:t xml:space="preserve">oi: 10.2823/124801. Available at: </w:t>
      </w:r>
      <w:hyperlink r:id="rId37" w:history="1">
        <w:r w:rsidRPr="00D773F7">
          <w:rPr>
            <w:rStyle w:val="Hyperlink"/>
            <w:rFonts w:asciiTheme="majorBidi" w:hAnsiTheme="majorBidi" w:cstheme="majorBidi"/>
            <w:i/>
          </w:rPr>
          <w:t>https://echa.europa.eu/guidance-documents/guidance-on-clp</w:t>
        </w:r>
      </w:hyperlink>
      <w:r w:rsidRPr="00D773F7">
        <w:rPr>
          <w:rFonts w:asciiTheme="majorBidi" w:hAnsiTheme="majorBidi" w:cstheme="majorBidi"/>
          <w:i/>
        </w:rPr>
        <w:t xml:space="preserve">. </w:t>
      </w:r>
    </w:p>
    <w:p w14:paraId="25A3E7E4" w14:textId="77777777" w:rsidR="00F56B65" w:rsidRPr="00D773F7" w:rsidRDefault="00F56B65" w:rsidP="00F56B65">
      <w:pPr>
        <w:tabs>
          <w:tab w:val="left" w:pos="1560"/>
        </w:tabs>
        <w:spacing w:after="160"/>
        <w:ind w:left="2268" w:right="1134"/>
        <w:jc w:val="both"/>
        <w:rPr>
          <w:rFonts w:asciiTheme="majorBidi" w:hAnsiTheme="majorBidi" w:cstheme="majorBidi"/>
          <w:i/>
        </w:rPr>
      </w:pPr>
      <w:r w:rsidRPr="00D773F7">
        <w:rPr>
          <w:rFonts w:asciiTheme="majorBidi" w:hAnsiTheme="majorBidi" w:cstheme="majorBidi"/>
          <w:i/>
          <w:iCs/>
        </w:rPr>
        <w:t>ESAC.</w:t>
      </w:r>
      <w:r w:rsidRPr="00D773F7">
        <w:rPr>
          <w:rFonts w:asciiTheme="majorBidi" w:hAnsiTheme="majorBidi" w:cstheme="majorBidi"/>
          <w:i/>
        </w:rPr>
        <w:t xml:space="preserve"> 2019. Statement on </w:t>
      </w:r>
      <w:r w:rsidRPr="00D773F7">
        <w:rPr>
          <w:rFonts w:asciiTheme="majorBidi" w:hAnsiTheme="majorBidi" w:cstheme="majorBidi"/>
          <w:i/>
          <w:iCs/>
        </w:rPr>
        <w:t>the</w:t>
      </w:r>
      <w:r w:rsidRPr="00D773F7">
        <w:rPr>
          <w:rFonts w:asciiTheme="majorBidi" w:hAnsiTheme="majorBidi" w:cstheme="majorBidi"/>
        </w:rPr>
        <w:t xml:space="preserve"> </w:t>
      </w:r>
      <w:r w:rsidRPr="00D773F7">
        <w:rPr>
          <w:rFonts w:asciiTheme="majorBidi" w:hAnsiTheme="majorBidi" w:cstheme="majorBidi"/>
          <w:i/>
          <w:iCs/>
        </w:rPr>
        <w:t>use of existing low volume eye test (LVET) data for weight of evidence decisions on classification and labelling of cleaning products and their main ingredients. Statement of the ECVAM Scientific Advisory Committee (ESAC) of 9</w:t>
      </w:r>
      <w:r w:rsidRPr="00D773F7">
        <w:rPr>
          <w:rFonts w:asciiTheme="majorBidi" w:hAnsiTheme="majorBidi" w:cstheme="majorBidi"/>
          <w:i/>
          <w:iCs/>
          <w:vertAlign w:val="superscript"/>
        </w:rPr>
        <w:t>th</w:t>
      </w:r>
      <w:r w:rsidRPr="00D773F7">
        <w:rPr>
          <w:rFonts w:asciiTheme="majorBidi" w:hAnsiTheme="majorBidi" w:cstheme="majorBidi"/>
          <w:i/>
          <w:iCs/>
        </w:rPr>
        <w:t xml:space="preserve"> July 2009. Available at:</w:t>
      </w:r>
      <w:r w:rsidRPr="00D773F7">
        <w:rPr>
          <w:rFonts w:asciiTheme="majorBidi" w:hAnsiTheme="majorBidi" w:cstheme="majorBidi"/>
        </w:rPr>
        <w:t xml:space="preserve"> </w:t>
      </w:r>
      <w:hyperlink r:id="rId38" w:history="1">
        <w:r w:rsidRPr="00D773F7">
          <w:rPr>
            <w:rStyle w:val="Hyperlink"/>
            <w:rFonts w:asciiTheme="majorBidi" w:hAnsiTheme="majorBidi" w:cstheme="majorBidi"/>
            <w:i/>
            <w:iCs/>
          </w:rPr>
          <w:t>https://ec.europa.eu/jrc/sites/jrcsh/files/esac31_lvet_20090922.pdf</w:t>
        </w:r>
      </w:hyperlink>
      <w:r w:rsidRPr="00D773F7">
        <w:rPr>
          <w:rFonts w:asciiTheme="majorBidi" w:hAnsiTheme="majorBidi" w:cstheme="majorBidi"/>
          <w:i/>
          <w:iCs/>
        </w:rPr>
        <w:t xml:space="preserve">. </w:t>
      </w:r>
    </w:p>
    <w:p w14:paraId="1C03DCB6" w14:textId="77777777" w:rsidR="00F56B65" w:rsidRPr="00D773F7" w:rsidRDefault="00F56B65" w:rsidP="00F56B65">
      <w:pPr>
        <w:tabs>
          <w:tab w:val="left" w:pos="1560"/>
        </w:tabs>
        <w:spacing w:after="160"/>
        <w:ind w:left="2268" w:right="1134"/>
        <w:jc w:val="both"/>
        <w:rPr>
          <w:rFonts w:asciiTheme="majorBidi" w:hAnsiTheme="majorBidi" w:cstheme="majorBidi"/>
          <w:i/>
        </w:rPr>
      </w:pPr>
      <w:r w:rsidRPr="00D773F7">
        <w:rPr>
          <w:rFonts w:asciiTheme="majorBidi" w:hAnsiTheme="majorBidi" w:cstheme="majorBidi"/>
          <w:i/>
        </w:rPr>
        <w:t xml:space="preserve">EURL ECAM. 2004a. Tracking System for Alternative Methods Towards Regulatory Acceptance (TSAR). Method TM2004-01. The </w:t>
      </w:r>
      <w:proofErr w:type="spellStart"/>
      <w:r w:rsidRPr="00D773F7">
        <w:rPr>
          <w:rFonts w:asciiTheme="majorBidi" w:hAnsiTheme="majorBidi" w:cstheme="majorBidi"/>
          <w:i/>
        </w:rPr>
        <w:t>cytosensor</w:t>
      </w:r>
      <w:proofErr w:type="spellEnd"/>
      <w:r w:rsidRPr="00D773F7">
        <w:rPr>
          <w:rFonts w:asciiTheme="majorBidi" w:hAnsiTheme="majorBidi" w:cstheme="majorBidi"/>
          <w:i/>
        </w:rPr>
        <w:t xml:space="preserve"> </w:t>
      </w:r>
      <w:proofErr w:type="spellStart"/>
      <w:r w:rsidRPr="00D773F7">
        <w:rPr>
          <w:rFonts w:asciiTheme="majorBidi" w:hAnsiTheme="majorBidi" w:cstheme="majorBidi"/>
          <w:i/>
        </w:rPr>
        <w:t>microphysiometer</w:t>
      </w:r>
      <w:proofErr w:type="spellEnd"/>
      <w:r w:rsidRPr="00D773F7">
        <w:rPr>
          <w:rFonts w:asciiTheme="majorBidi" w:hAnsiTheme="majorBidi" w:cstheme="majorBidi"/>
          <w:i/>
        </w:rPr>
        <w:t xml:space="preserve"> toxicity test. Available at: </w:t>
      </w:r>
      <w:hyperlink r:id="rId39" w:history="1">
        <w:r w:rsidRPr="00D773F7">
          <w:rPr>
            <w:rStyle w:val="Hyperlink"/>
            <w:rFonts w:asciiTheme="majorBidi" w:hAnsiTheme="majorBidi" w:cstheme="majorBidi"/>
            <w:i/>
          </w:rPr>
          <w:t>https://tsar.jrc.ec.europa.eu/test-method/tm2004-01</w:t>
        </w:r>
      </w:hyperlink>
      <w:r w:rsidRPr="00D773F7">
        <w:rPr>
          <w:rFonts w:asciiTheme="majorBidi" w:hAnsiTheme="majorBidi" w:cstheme="majorBidi"/>
          <w:i/>
        </w:rPr>
        <w:t>.</w:t>
      </w:r>
    </w:p>
    <w:p w14:paraId="5B370583" w14:textId="77777777" w:rsidR="00F56B65" w:rsidRPr="00D773F7" w:rsidRDefault="00F56B65" w:rsidP="00F56B65">
      <w:pPr>
        <w:tabs>
          <w:tab w:val="left" w:pos="1560"/>
        </w:tabs>
        <w:spacing w:after="160"/>
        <w:ind w:left="2268" w:right="1134"/>
        <w:jc w:val="both"/>
        <w:rPr>
          <w:rFonts w:asciiTheme="majorBidi" w:hAnsiTheme="majorBidi" w:cstheme="majorBidi"/>
          <w:i/>
        </w:rPr>
      </w:pPr>
      <w:r w:rsidRPr="00D773F7">
        <w:rPr>
          <w:rFonts w:asciiTheme="majorBidi" w:hAnsiTheme="majorBidi" w:cstheme="majorBidi"/>
          <w:i/>
        </w:rPr>
        <w:t xml:space="preserve">EURL ECAM. 2004b. Tracking System for Alternative Methods Towards Regulatory Acceptance (TSAR). Method TM2004-03. Neutral Red Release Assay. Available at: </w:t>
      </w:r>
      <w:hyperlink r:id="rId40" w:history="1">
        <w:r w:rsidRPr="00D773F7">
          <w:rPr>
            <w:rStyle w:val="Hyperlink"/>
            <w:rFonts w:asciiTheme="majorBidi" w:hAnsiTheme="majorBidi" w:cstheme="majorBidi"/>
            <w:i/>
          </w:rPr>
          <w:t>https://tsar.jrc.ec.europa.eu/test-method/tm2004-03</w:t>
        </w:r>
      </w:hyperlink>
      <w:r w:rsidRPr="00D773F7">
        <w:rPr>
          <w:rFonts w:asciiTheme="majorBidi" w:hAnsiTheme="majorBidi" w:cstheme="majorBidi"/>
          <w:i/>
        </w:rPr>
        <w:t>.</w:t>
      </w:r>
    </w:p>
    <w:p w14:paraId="68DB52CC" w14:textId="602819D5" w:rsidR="00F56B65" w:rsidRPr="00D773F7" w:rsidRDefault="00F56B65" w:rsidP="00F56B65">
      <w:pPr>
        <w:tabs>
          <w:tab w:val="left" w:pos="1560"/>
        </w:tabs>
        <w:spacing w:after="160"/>
        <w:ind w:left="2268" w:right="1134"/>
        <w:jc w:val="both"/>
        <w:rPr>
          <w:rFonts w:asciiTheme="majorBidi" w:hAnsiTheme="majorBidi" w:cstheme="majorBidi"/>
          <w:i/>
        </w:rPr>
      </w:pPr>
      <w:proofErr w:type="spellStart"/>
      <w:r w:rsidRPr="00D773F7">
        <w:rPr>
          <w:rFonts w:asciiTheme="majorBidi" w:hAnsiTheme="majorBidi" w:cstheme="majorBidi"/>
          <w:i/>
        </w:rPr>
        <w:t>Frentz</w:t>
      </w:r>
      <w:proofErr w:type="spellEnd"/>
      <w:r w:rsidRPr="00D773F7">
        <w:rPr>
          <w:rFonts w:asciiTheme="majorBidi" w:hAnsiTheme="majorBidi" w:cstheme="majorBidi"/>
          <w:i/>
        </w:rPr>
        <w:t xml:space="preserve">, M., M. Goss, M. </w:t>
      </w:r>
      <w:proofErr w:type="spellStart"/>
      <w:r w:rsidRPr="00D773F7">
        <w:rPr>
          <w:rFonts w:asciiTheme="majorBidi" w:hAnsiTheme="majorBidi" w:cstheme="majorBidi"/>
          <w:i/>
        </w:rPr>
        <w:t>Reim</w:t>
      </w:r>
      <w:proofErr w:type="spellEnd"/>
      <w:r w:rsidRPr="00D773F7">
        <w:rPr>
          <w:rFonts w:asciiTheme="majorBidi" w:hAnsiTheme="majorBidi" w:cstheme="majorBidi"/>
          <w:i/>
        </w:rPr>
        <w:t xml:space="preserve">, and N.F. Schrage. 2008. Repeated exposure to benzalkonium chloride in the Ex Vivo Eye Irritation Test (EVEIT): observation of isolated corneal damage and healing. Altern. Lab. Anim., 36(1): 25-32. </w:t>
      </w:r>
      <w:r w:rsidR="00144B9A" w:rsidRPr="00D773F7">
        <w:rPr>
          <w:rFonts w:asciiTheme="majorBidi" w:hAnsiTheme="majorBidi" w:cstheme="majorBidi"/>
          <w:i/>
        </w:rPr>
        <w:t>Doi</w:t>
      </w:r>
      <w:r w:rsidRPr="00D773F7">
        <w:rPr>
          <w:rFonts w:asciiTheme="majorBidi" w:hAnsiTheme="majorBidi" w:cstheme="majorBidi"/>
          <w:i/>
        </w:rPr>
        <w:t>: 10.1177/026119290803600105.</w:t>
      </w:r>
    </w:p>
    <w:p w14:paraId="41043EA4" w14:textId="7D73EDC5" w:rsidR="00F56B65" w:rsidRPr="00D773F7" w:rsidRDefault="00F56B65" w:rsidP="00F56B65">
      <w:pPr>
        <w:tabs>
          <w:tab w:val="left" w:pos="1560"/>
        </w:tabs>
        <w:spacing w:after="160"/>
        <w:ind w:left="2268" w:right="1134"/>
        <w:jc w:val="both"/>
        <w:rPr>
          <w:rFonts w:asciiTheme="majorBidi" w:hAnsiTheme="majorBidi" w:cstheme="majorBidi"/>
          <w:i/>
        </w:rPr>
      </w:pPr>
      <w:proofErr w:type="spellStart"/>
      <w:r w:rsidRPr="00D773F7">
        <w:rPr>
          <w:rFonts w:asciiTheme="majorBidi" w:hAnsiTheme="majorBidi" w:cstheme="majorBidi"/>
          <w:i/>
        </w:rPr>
        <w:t>Harbell</w:t>
      </w:r>
      <w:proofErr w:type="spellEnd"/>
      <w:r w:rsidRPr="00D773F7">
        <w:rPr>
          <w:rFonts w:asciiTheme="majorBidi" w:hAnsiTheme="majorBidi" w:cstheme="majorBidi"/>
          <w:i/>
        </w:rPr>
        <w:t xml:space="preserve">, J.W., R. Osborne, G.J. </w:t>
      </w:r>
      <w:proofErr w:type="spellStart"/>
      <w:r w:rsidRPr="00D773F7">
        <w:rPr>
          <w:rFonts w:asciiTheme="majorBidi" w:hAnsiTheme="majorBidi" w:cstheme="majorBidi"/>
          <w:i/>
        </w:rPr>
        <w:t>Carr</w:t>
      </w:r>
      <w:proofErr w:type="spellEnd"/>
      <w:r w:rsidRPr="00D773F7">
        <w:rPr>
          <w:rFonts w:asciiTheme="majorBidi" w:hAnsiTheme="majorBidi" w:cstheme="majorBidi"/>
          <w:i/>
        </w:rPr>
        <w:t xml:space="preserve">, and A. Peterson. 1999. Assessment of the </w:t>
      </w:r>
      <w:proofErr w:type="spellStart"/>
      <w:r w:rsidRPr="00D773F7">
        <w:rPr>
          <w:rFonts w:asciiTheme="majorBidi" w:hAnsiTheme="majorBidi" w:cstheme="majorBidi"/>
          <w:i/>
        </w:rPr>
        <w:t>Cytosensor</w:t>
      </w:r>
      <w:proofErr w:type="spellEnd"/>
      <w:r w:rsidRPr="00D773F7">
        <w:rPr>
          <w:rFonts w:asciiTheme="majorBidi" w:hAnsiTheme="majorBidi" w:cstheme="majorBidi"/>
          <w:i/>
        </w:rPr>
        <w:t xml:space="preserve"> </w:t>
      </w:r>
      <w:proofErr w:type="spellStart"/>
      <w:r w:rsidRPr="00D773F7">
        <w:rPr>
          <w:rFonts w:asciiTheme="majorBidi" w:hAnsiTheme="majorBidi" w:cstheme="majorBidi"/>
          <w:i/>
        </w:rPr>
        <w:t>Microphysiometer</w:t>
      </w:r>
      <w:proofErr w:type="spellEnd"/>
      <w:r w:rsidRPr="00D773F7">
        <w:rPr>
          <w:rFonts w:asciiTheme="majorBidi" w:hAnsiTheme="majorBidi" w:cstheme="majorBidi"/>
          <w:i/>
        </w:rPr>
        <w:t xml:space="preserve"> Assay in the COLIPA In Vitro Eye Irritation Validation Study. </w:t>
      </w:r>
      <w:proofErr w:type="spellStart"/>
      <w:r w:rsidRPr="00D773F7">
        <w:rPr>
          <w:rFonts w:asciiTheme="majorBidi" w:hAnsiTheme="majorBidi" w:cstheme="majorBidi"/>
          <w:i/>
        </w:rPr>
        <w:t>Toxicol</w:t>
      </w:r>
      <w:proofErr w:type="spellEnd"/>
      <w:r w:rsidRPr="00D773F7">
        <w:rPr>
          <w:rFonts w:asciiTheme="majorBidi" w:hAnsiTheme="majorBidi" w:cstheme="majorBidi"/>
          <w:i/>
        </w:rPr>
        <w:t xml:space="preserve">. In Vitro, 13(2): 313-323. </w:t>
      </w:r>
      <w:r w:rsidR="00144B9A" w:rsidRPr="00D773F7">
        <w:rPr>
          <w:rFonts w:asciiTheme="majorBidi" w:hAnsiTheme="majorBidi" w:cstheme="majorBidi"/>
          <w:i/>
        </w:rPr>
        <w:t>Doi</w:t>
      </w:r>
      <w:r w:rsidRPr="00D773F7">
        <w:rPr>
          <w:rFonts w:asciiTheme="majorBidi" w:hAnsiTheme="majorBidi" w:cstheme="majorBidi"/>
          <w:i/>
        </w:rPr>
        <w:t>: 10.1016/s0887-2333(98)00090-3.</w:t>
      </w:r>
    </w:p>
    <w:p w14:paraId="5AE3EDF2" w14:textId="24E4E37D" w:rsidR="00F56B65" w:rsidRPr="00D773F7" w:rsidRDefault="00F56B65" w:rsidP="00F56B65">
      <w:pPr>
        <w:tabs>
          <w:tab w:val="left" w:pos="1560"/>
        </w:tabs>
        <w:spacing w:after="160"/>
        <w:ind w:left="2268" w:right="1134"/>
        <w:jc w:val="both"/>
        <w:rPr>
          <w:rFonts w:asciiTheme="majorBidi" w:hAnsiTheme="majorBidi" w:cstheme="majorBidi"/>
          <w:i/>
        </w:rPr>
      </w:pPr>
      <w:r w:rsidRPr="00D773F7">
        <w:rPr>
          <w:rFonts w:asciiTheme="majorBidi" w:hAnsiTheme="majorBidi" w:cstheme="majorBidi"/>
          <w:i/>
        </w:rPr>
        <w:t xml:space="preserve">Hartung, T., L. Bruner, R. </w:t>
      </w:r>
      <w:proofErr w:type="spellStart"/>
      <w:r w:rsidRPr="00D773F7">
        <w:rPr>
          <w:rFonts w:asciiTheme="majorBidi" w:hAnsiTheme="majorBidi" w:cstheme="majorBidi"/>
          <w:i/>
        </w:rPr>
        <w:t>Curren</w:t>
      </w:r>
      <w:proofErr w:type="spellEnd"/>
      <w:r w:rsidRPr="00D773F7">
        <w:rPr>
          <w:rFonts w:asciiTheme="majorBidi" w:hAnsiTheme="majorBidi" w:cstheme="majorBidi"/>
          <w:i/>
        </w:rPr>
        <w:t xml:space="preserve">, C. </w:t>
      </w:r>
      <w:proofErr w:type="spellStart"/>
      <w:r w:rsidRPr="00D773F7">
        <w:rPr>
          <w:rFonts w:asciiTheme="majorBidi" w:hAnsiTheme="majorBidi" w:cstheme="majorBidi"/>
          <w:i/>
        </w:rPr>
        <w:t>Eskes</w:t>
      </w:r>
      <w:proofErr w:type="spellEnd"/>
      <w:r w:rsidRPr="00D773F7">
        <w:rPr>
          <w:rFonts w:asciiTheme="majorBidi" w:hAnsiTheme="majorBidi" w:cstheme="majorBidi"/>
          <w:i/>
        </w:rPr>
        <w:t xml:space="preserve">, A. Goldberg, P. McNamee, L. Scott, and V. </w:t>
      </w:r>
      <w:proofErr w:type="spellStart"/>
      <w:r w:rsidRPr="00D773F7">
        <w:rPr>
          <w:rFonts w:asciiTheme="majorBidi" w:hAnsiTheme="majorBidi" w:cstheme="majorBidi"/>
          <w:i/>
        </w:rPr>
        <w:t>Zuang</w:t>
      </w:r>
      <w:proofErr w:type="spellEnd"/>
      <w:r w:rsidRPr="00D773F7">
        <w:rPr>
          <w:rFonts w:asciiTheme="majorBidi" w:hAnsiTheme="majorBidi" w:cstheme="majorBidi"/>
          <w:i/>
        </w:rPr>
        <w:t>. 2010. First alternative method validated by a retrospective weight</w:t>
      </w:r>
      <w:r w:rsidR="004B7356" w:rsidRPr="00D773F7">
        <w:rPr>
          <w:rFonts w:asciiTheme="majorBidi" w:hAnsiTheme="majorBidi" w:cstheme="majorBidi"/>
          <w:i/>
        </w:rPr>
        <w:t xml:space="preserve"> </w:t>
      </w:r>
      <w:r w:rsidRPr="00D773F7">
        <w:rPr>
          <w:rFonts w:asciiTheme="majorBidi" w:hAnsiTheme="majorBidi" w:cstheme="majorBidi"/>
          <w:i/>
        </w:rPr>
        <w:t>of</w:t>
      </w:r>
      <w:r w:rsidR="004B7356" w:rsidRPr="00D773F7">
        <w:rPr>
          <w:rFonts w:asciiTheme="majorBidi" w:hAnsiTheme="majorBidi" w:cstheme="majorBidi"/>
          <w:i/>
        </w:rPr>
        <w:t xml:space="preserve"> </w:t>
      </w:r>
      <w:r w:rsidRPr="00D773F7">
        <w:rPr>
          <w:rFonts w:asciiTheme="majorBidi" w:hAnsiTheme="majorBidi" w:cstheme="majorBidi"/>
          <w:i/>
        </w:rPr>
        <w:t xml:space="preserve">evidence approach to replace the Draize eye test for the identification of non-irritant substances for a defined applicability domain. ALTEX, 27(1): 43-51. </w:t>
      </w:r>
      <w:r w:rsidR="00144B9A" w:rsidRPr="00D773F7">
        <w:rPr>
          <w:rFonts w:asciiTheme="majorBidi" w:hAnsiTheme="majorBidi" w:cstheme="majorBidi"/>
          <w:i/>
        </w:rPr>
        <w:t>Doi</w:t>
      </w:r>
      <w:r w:rsidRPr="00D773F7">
        <w:rPr>
          <w:rFonts w:asciiTheme="majorBidi" w:hAnsiTheme="majorBidi" w:cstheme="majorBidi"/>
          <w:i/>
        </w:rPr>
        <w:t>: 10.14573/altex.2010.1.43.</w:t>
      </w:r>
    </w:p>
    <w:p w14:paraId="752C4AFB" w14:textId="77777777" w:rsidR="00F56B65" w:rsidRPr="00D773F7" w:rsidRDefault="00F56B65" w:rsidP="00F56B65">
      <w:pPr>
        <w:tabs>
          <w:tab w:val="left" w:pos="1560"/>
        </w:tabs>
        <w:spacing w:after="160"/>
        <w:ind w:left="2268" w:right="1134"/>
        <w:jc w:val="both"/>
        <w:rPr>
          <w:rFonts w:asciiTheme="majorBidi" w:hAnsiTheme="majorBidi" w:cstheme="majorBidi"/>
          <w:i/>
        </w:rPr>
      </w:pPr>
      <w:r w:rsidRPr="00D773F7">
        <w:rPr>
          <w:rFonts w:asciiTheme="majorBidi" w:hAnsiTheme="majorBidi" w:cstheme="majorBidi"/>
          <w:i/>
        </w:rPr>
        <w:t>ICCVAM. 2007. ICCVAM test method evaluation report: in vitro ocular toxicity test methods for identifying ocular severe irritants and corrosives. NIH Publication No. 07–4517. National institute of environmental health sciences, research Triangle Park, North Carolina, USA.</w:t>
      </w:r>
    </w:p>
    <w:p w14:paraId="3F4578DE" w14:textId="77777777" w:rsidR="00F56B65" w:rsidRPr="00D773F7" w:rsidRDefault="00F56B65" w:rsidP="00F56B65">
      <w:pPr>
        <w:tabs>
          <w:tab w:val="left" w:pos="1560"/>
        </w:tabs>
        <w:spacing w:after="160"/>
        <w:ind w:left="2268" w:right="1134"/>
        <w:jc w:val="both"/>
        <w:rPr>
          <w:rFonts w:asciiTheme="majorBidi" w:hAnsiTheme="majorBidi" w:cstheme="majorBidi"/>
          <w:i/>
        </w:rPr>
      </w:pPr>
      <w:r w:rsidRPr="00D773F7">
        <w:rPr>
          <w:rFonts w:asciiTheme="majorBidi" w:hAnsiTheme="majorBidi" w:cstheme="majorBidi"/>
          <w:i/>
        </w:rPr>
        <w:t>ICCVAM. 2010. ICCVAM test method evaluation report: current validation status of in vitro test methods proposed for identifying eye injury hazard potential of chemicals and products. NIH Publication No. 10-7553. National Institute of Environmental Health Sciences, Research Triangle Park, North Carolina, USA.</w:t>
      </w:r>
    </w:p>
    <w:p w14:paraId="673AB5E3" w14:textId="7BF7FB9D" w:rsidR="00F56B65" w:rsidRPr="00D773F7" w:rsidRDefault="00F56B65" w:rsidP="00F56B65">
      <w:pPr>
        <w:tabs>
          <w:tab w:val="left" w:pos="1560"/>
        </w:tabs>
        <w:spacing w:after="160"/>
        <w:ind w:left="2268" w:right="1134"/>
        <w:jc w:val="both"/>
        <w:rPr>
          <w:rFonts w:asciiTheme="majorBidi" w:hAnsiTheme="majorBidi" w:cstheme="majorBidi"/>
          <w:i/>
        </w:rPr>
      </w:pPr>
      <w:proofErr w:type="spellStart"/>
      <w:r w:rsidRPr="00D773F7">
        <w:rPr>
          <w:rFonts w:asciiTheme="majorBidi" w:hAnsiTheme="majorBidi" w:cstheme="majorBidi"/>
          <w:i/>
        </w:rPr>
        <w:t>Kandarova</w:t>
      </w:r>
      <w:proofErr w:type="spellEnd"/>
      <w:r w:rsidRPr="00D773F7">
        <w:rPr>
          <w:rFonts w:asciiTheme="majorBidi" w:hAnsiTheme="majorBidi" w:cstheme="majorBidi"/>
          <w:i/>
        </w:rPr>
        <w:t xml:space="preserve">, H., S. </w:t>
      </w:r>
      <w:proofErr w:type="spellStart"/>
      <w:r w:rsidRPr="00D773F7">
        <w:rPr>
          <w:rFonts w:asciiTheme="majorBidi" w:hAnsiTheme="majorBidi" w:cstheme="majorBidi"/>
          <w:i/>
        </w:rPr>
        <w:t>Letasiova</w:t>
      </w:r>
      <w:proofErr w:type="spellEnd"/>
      <w:r w:rsidRPr="00D773F7">
        <w:rPr>
          <w:rFonts w:asciiTheme="majorBidi" w:hAnsiTheme="majorBidi" w:cstheme="majorBidi"/>
          <w:i/>
        </w:rPr>
        <w:t xml:space="preserve">, E. </w:t>
      </w:r>
      <w:proofErr w:type="spellStart"/>
      <w:r w:rsidRPr="00D773F7">
        <w:rPr>
          <w:rFonts w:asciiTheme="majorBidi" w:hAnsiTheme="majorBidi" w:cstheme="majorBidi"/>
          <w:i/>
        </w:rPr>
        <w:t>Adriaens</w:t>
      </w:r>
      <w:proofErr w:type="spellEnd"/>
      <w:r w:rsidRPr="00D773F7">
        <w:rPr>
          <w:rFonts w:asciiTheme="majorBidi" w:hAnsiTheme="majorBidi" w:cstheme="majorBidi"/>
          <w:i/>
        </w:rPr>
        <w:t xml:space="preserve">, R. Guest, J.A. Willoughby Sr., A. </w:t>
      </w:r>
      <w:proofErr w:type="spellStart"/>
      <w:r w:rsidRPr="00D773F7">
        <w:rPr>
          <w:rFonts w:asciiTheme="majorBidi" w:hAnsiTheme="majorBidi" w:cstheme="majorBidi"/>
          <w:i/>
        </w:rPr>
        <w:t>Drzewiecka</w:t>
      </w:r>
      <w:proofErr w:type="spellEnd"/>
      <w:r w:rsidRPr="00D773F7">
        <w:rPr>
          <w:rFonts w:asciiTheme="majorBidi" w:hAnsiTheme="majorBidi" w:cstheme="majorBidi"/>
          <w:i/>
        </w:rPr>
        <w:t xml:space="preserve">, K. </w:t>
      </w:r>
      <w:proofErr w:type="spellStart"/>
      <w:r w:rsidRPr="00D773F7">
        <w:rPr>
          <w:rFonts w:asciiTheme="majorBidi" w:hAnsiTheme="majorBidi" w:cstheme="majorBidi"/>
          <w:i/>
        </w:rPr>
        <w:t>Gruszka</w:t>
      </w:r>
      <w:proofErr w:type="spellEnd"/>
      <w:r w:rsidRPr="00D773F7">
        <w:rPr>
          <w:rFonts w:asciiTheme="majorBidi" w:hAnsiTheme="majorBidi" w:cstheme="majorBidi"/>
          <w:i/>
        </w:rPr>
        <w:t xml:space="preserve">, N. </w:t>
      </w:r>
      <w:proofErr w:type="spellStart"/>
      <w:r w:rsidRPr="00D773F7">
        <w:rPr>
          <w:rFonts w:asciiTheme="majorBidi" w:hAnsiTheme="majorBidi" w:cstheme="majorBidi"/>
          <w:i/>
        </w:rPr>
        <w:t>Alépée</w:t>
      </w:r>
      <w:proofErr w:type="spellEnd"/>
      <w:r w:rsidRPr="00D773F7">
        <w:rPr>
          <w:rFonts w:asciiTheme="majorBidi" w:hAnsiTheme="majorBidi" w:cstheme="majorBidi"/>
          <w:i/>
        </w:rPr>
        <w:t xml:space="preserve">, S. </w:t>
      </w:r>
      <w:proofErr w:type="spellStart"/>
      <w:r w:rsidRPr="00D773F7">
        <w:rPr>
          <w:rFonts w:asciiTheme="majorBidi" w:hAnsiTheme="majorBidi" w:cstheme="majorBidi"/>
          <w:i/>
        </w:rPr>
        <w:t>Verstraelen</w:t>
      </w:r>
      <w:proofErr w:type="spellEnd"/>
      <w:r w:rsidRPr="00D773F7">
        <w:rPr>
          <w:rFonts w:asciiTheme="majorBidi" w:hAnsiTheme="majorBidi" w:cstheme="majorBidi"/>
          <w:i/>
        </w:rPr>
        <w:t xml:space="preserve">, and A.R. Van </w:t>
      </w:r>
      <w:proofErr w:type="spellStart"/>
      <w:r w:rsidRPr="00D773F7">
        <w:rPr>
          <w:rFonts w:asciiTheme="majorBidi" w:hAnsiTheme="majorBidi" w:cstheme="majorBidi"/>
          <w:i/>
        </w:rPr>
        <w:t>Rompay</w:t>
      </w:r>
      <w:proofErr w:type="spellEnd"/>
      <w:r w:rsidRPr="00D773F7">
        <w:rPr>
          <w:rFonts w:asciiTheme="majorBidi" w:hAnsiTheme="majorBidi" w:cstheme="majorBidi"/>
          <w:i/>
        </w:rPr>
        <w:t xml:space="preserve">. 2018. CON4EI: </w:t>
      </w:r>
      <w:proofErr w:type="spellStart"/>
      <w:r w:rsidRPr="00D773F7">
        <w:rPr>
          <w:rFonts w:asciiTheme="majorBidi" w:hAnsiTheme="majorBidi" w:cstheme="majorBidi"/>
          <w:i/>
        </w:rPr>
        <w:t>CONsortium</w:t>
      </w:r>
      <w:proofErr w:type="spellEnd"/>
      <w:r w:rsidRPr="00D773F7">
        <w:rPr>
          <w:rFonts w:asciiTheme="majorBidi" w:hAnsiTheme="majorBidi" w:cstheme="majorBidi"/>
          <w:i/>
        </w:rPr>
        <w:t xml:space="preserve"> for in vitro Eye Irritation testing strategy - </w:t>
      </w:r>
      <w:proofErr w:type="spellStart"/>
      <w:r w:rsidRPr="00D773F7">
        <w:rPr>
          <w:rFonts w:asciiTheme="majorBidi" w:hAnsiTheme="majorBidi" w:cstheme="majorBidi"/>
          <w:i/>
        </w:rPr>
        <w:t>EpiOcular</w:t>
      </w:r>
      <w:proofErr w:type="spellEnd"/>
      <w:r w:rsidRPr="00D773F7">
        <w:rPr>
          <w:rFonts w:asciiTheme="majorBidi" w:hAnsiTheme="majorBidi" w:cstheme="majorBidi"/>
          <w:i/>
        </w:rPr>
        <w:t>™ time-to-toxicity (</w:t>
      </w:r>
      <w:proofErr w:type="spellStart"/>
      <w:r w:rsidRPr="00D773F7">
        <w:rPr>
          <w:rFonts w:asciiTheme="majorBidi" w:hAnsiTheme="majorBidi" w:cstheme="majorBidi"/>
          <w:i/>
        </w:rPr>
        <w:t>EpiOcular</w:t>
      </w:r>
      <w:proofErr w:type="spellEnd"/>
      <w:r w:rsidRPr="00D773F7">
        <w:rPr>
          <w:rFonts w:asciiTheme="majorBidi" w:hAnsiTheme="majorBidi" w:cstheme="majorBidi"/>
          <w:i/>
        </w:rPr>
        <w:t xml:space="preserve"> ET-50) protocols for hazard identification and labelling of eye irritating chemicals. </w:t>
      </w:r>
      <w:proofErr w:type="spellStart"/>
      <w:r w:rsidRPr="00D773F7">
        <w:rPr>
          <w:rFonts w:asciiTheme="majorBidi" w:hAnsiTheme="majorBidi" w:cstheme="majorBidi"/>
          <w:i/>
        </w:rPr>
        <w:t>Toxicol</w:t>
      </w:r>
      <w:proofErr w:type="spellEnd"/>
      <w:r w:rsidRPr="00D773F7">
        <w:rPr>
          <w:rFonts w:asciiTheme="majorBidi" w:hAnsiTheme="majorBidi" w:cstheme="majorBidi"/>
          <w:i/>
        </w:rPr>
        <w:t xml:space="preserve">. In Vitro, 49: 34-52. </w:t>
      </w:r>
      <w:r w:rsidR="00144B9A" w:rsidRPr="00D773F7">
        <w:rPr>
          <w:rFonts w:asciiTheme="majorBidi" w:hAnsiTheme="majorBidi" w:cstheme="majorBidi"/>
          <w:i/>
        </w:rPr>
        <w:t>Doi</w:t>
      </w:r>
      <w:r w:rsidRPr="00D773F7">
        <w:rPr>
          <w:rFonts w:asciiTheme="majorBidi" w:hAnsiTheme="majorBidi" w:cstheme="majorBidi"/>
          <w:i/>
        </w:rPr>
        <w:t>: 10.1016/j.tiv.2017.08.019.</w:t>
      </w:r>
    </w:p>
    <w:p w14:paraId="5260AC1E" w14:textId="737CA1A1" w:rsidR="00F56B65" w:rsidRPr="00D773F7" w:rsidRDefault="00F56B65" w:rsidP="00F56B65">
      <w:pPr>
        <w:tabs>
          <w:tab w:val="left" w:pos="1560"/>
        </w:tabs>
        <w:spacing w:after="160"/>
        <w:ind w:left="2268" w:right="1134"/>
        <w:jc w:val="both"/>
        <w:rPr>
          <w:rFonts w:asciiTheme="majorBidi" w:hAnsiTheme="majorBidi" w:cstheme="majorBidi"/>
          <w:i/>
        </w:rPr>
      </w:pPr>
      <w:r w:rsidRPr="00D773F7">
        <w:rPr>
          <w:rFonts w:asciiTheme="majorBidi" w:hAnsiTheme="majorBidi" w:cstheme="majorBidi"/>
          <w:i/>
        </w:rPr>
        <w:t xml:space="preserve">Nash, J.R., G. Mun, H.A. Raabe, and R. </w:t>
      </w:r>
      <w:proofErr w:type="spellStart"/>
      <w:r w:rsidRPr="00D773F7">
        <w:rPr>
          <w:rFonts w:asciiTheme="majorBidi" w:hAnsiTheme="majorBidi" w:cstheme="majorBidi"/>
          <w:i/>
        </w:rPr>
        <w:t>Curren</w:t>
      </w:r>
      <w:proofErr w:type="spellEnd"/>
      <w:r w:rsidRPr="00D773F7">
        <w:rPr>
          <w:rFonts w:asciiTheme="majorBidi" w:hAnsiTheme="majorBidi" w:cstheme="majorBidi"/>
          <w:i/>
        </w:rPr>
        <w:t xml:space="preserve">. 2014. Using the </w:t>
      </w:r>
      <w:proofErr w:type="spellStart"/>
      <w:r w:rsidRPr="00D773F7">
        <w:rPr>
          <w:rFonts w:asciiTheme="majorBidi" w:hAnsiTheme="majorBidi" w:cstheme="majorBidi"/>
          <w:i/>
        </w:rPr>
        <w:t>cytosensor</w:t>
      </w:r>
      <w:proofErr w:type="spellEnd"/>
      <w:r w:rsidRPr="00D773F7">
        <w:rPr>
          <w:rFonts w:asciiTheme="majorBidi" w:hAnsiTheme="majorBidi" w:cstheme="majorBidi"/>
          <w:i/>
        </w:rPr>
        <w:t xml:space="preserve"> </w:t>
      </w:r>
      <w:proofErr w:type="spellStart"/>
      <w:r w:rsidRPr="00D773F7">
        <w:rPr>
          <w:rFonts w:asciiTheme="majorBidi" w:hAnsiTheme="majorBidi" w:cstheme="majorBidi"/>
          <w:i/>
        </w:rPr>
        <w:t>microphysiometer</w:t>
      </w:r>
      <w:proofErr w:type="spellEnd"/>
      <w:r w:rsidRPr="00D773F7">
        <w:rPr>
          <w:rFonts w:asciiTheme="majorBidi" w:hAnsiTheme="majorBidi" w:cstheme="majorBidi"/>
          <w:i/>
        </w:rPr>
        <w:t xml:space="preserve"> to assess ocular toxicity. </w:t>
      </w:r>
      <w:proofErr w:type="spellStart"/>
      <w:r w:rsidRPr="00D773F7">
        <w:rPr>
          <w:rFonts w:asciiTheme="majorBidi" w:hAnsiTheme="majorBidi" w:cstheme="majorBidi"/>
          <w:i/>
        </w:rPr>
        <w:t>Curr</w:t>
      </w:r>
      <w:proofErr w:type="spellEnd"/>
      <w:r w:rsidRPr="00D773F7">
        <w:rPr>
          <w:rFonts w:asciiTheme="majorBidi" w:hAnsiTheme="majorBidi" w:cstheme="majorBidi"/>
          <w:i/>
        </w:rPr>
        <w:t xml:space="preserve">. </w:t>
      </w:r>
      <w:proofErr w:type="spellStart"/>
      <w:r w:rsidRPr="00D773F7">
        <w:rPr>
          <w:rFonts w:asciiTheme="majorBidi" w:hAnsiTheme="majorBidi" w:cstheme="majorBidi"/>
          <w:i/>
        </w:rPr>
        <w:t>Protoc</w:t>
      </w:r>
      <w:proofErr w:type="spellEnd"/>
      <w:r w:rsidRPr="00D773F7">
        <w:rPr>
          <w:rFonts w:asciiTheme="majorBidi" w:hAnsiTheme="majorBidi" w:cstheme="majorBidi"/>
          <w:i/>
        </w:rPr>
        <w:t xml:space="preserve">. </w:t>
      </w:r>
      <w:proofErr w:type="spellStart"/>
      <w:r w:rsidRPr="00D773F7">
        <w:rPr>
          <w:rFonts w:asciiTheme="majorBidi" w:hAnsiTheme="majorBidi" w:cstheme="majorBidi"/>
          <w:i/>
        </w:rPr>
        <w:t>Toxicol</w:t>
      </w:r>
      <w:proofErr w:type="spellEnd"/>
      <w:r w:rsidRPr="00D773F7">
        <w:rPr>
          <w:rFonts w:asciiTheme="majorBidi" w:hAnsiTheme="majorBidi" w:cstheme="majorBidi"/>
          <w:i/>
        </w:rPr>
        <w:t xml:space="preserve">. 61: 1.13.1-11. </w:t>
      </w:r>
      <w:r w:rsidR="00144B9A" w:rsidRPr="00D773F7">
        <w:rPr>
          <w:rFonts w:asciiTheme="majorBidi" w:hAnsiTheme="majorBidi" w:cstheme="majorBidi"/>
          <w:i/>
        </w:rPr>
        <w:t>D</w:t>
      </w:r>
      <w:r w:rsidRPr="00D773F7">
        <w:rPr>
          <w:rFonts w:asciiTheme="majorBidi" w:hAnsiTheme="majorBidi" w:cstheme="majorBidi"/>
          <w:i/>
        </w:rPr>
        <w:t>oi: 10.1002/0471140856.tx0113s61.</w:t>
      </w:r>
    </w:p>
    <w:p w14:paraId="61B7CEE4" w14:textId="0F519766" w:rsidR="00F56B65" w:rsidRPr="00D773F7" w:rsidRDefault="00F56B65" w:rsidP="00F56B65">
      <w:pPr>
        <w:tabs>
          <w:tab w:val="left" w:pos="1560"/>
        </w:tabs>
        <w:spacing w:after="160"/>
        <w:ind w:left="2268" w:right="1134"/>
        <w:jc w:val="both"/>
        <w:rPr>
          <w:rFonts w:asciiTheme="majorBidi" w:hAnsiTheme="majorBidi" w:cstheme="majorBidi"/>
          <w:i/>
        </w:rPr>
      </w:pPr>
      <w:proofErr w:type="spellStart"/>
      <w:r w:rsidRPr="00D773F7">
        <w:rPr>
          <w:rFonts w:asciiTheme="majorBidi" w:hAnsiTheme="majorBidi" w:cstheme="majorBidi"/>
          <w:i/>
        </w:rPr>
        <w:t>Piehl</w:t>
      </w:r>
      <w:proofErr w:type="spellEnd"/>
      <w:r w:rsidRPr="00D773F7">
        <w:rPr>
          <w:rFonts w:asciiTheme="majorBidi" w:hAnsiTheme="majorBidi" w:cstheme="majorBidi"/>
          <w:i/>
        </w:rPr>
        <w:t xml:space="preserve">, M., A. </w:t>
      </w:r>
      <w:proofErr w:type="spellStart"/>
      <w:r w:rsidRPr="00D773F7">
        <w:rPr>
          <w:rFonts w:asciiTheme="majorBidi" w:hAnsiTheme="majorBidi" w:cstheme="majorBidi"/>
          <w:i/>
        </w:rPr>
        <w:t>Gilotti</w:t>
      </w:r>
      <w:proofErr w:type="spellEnd"/>
      <w:r w:rsidRPr="00D773F7">
        <w:rPr>
          <w:rFonts w:asciiTheme="majorBidi" w:hAnsiTheme="majorBidi" w:cstheme="majorBidi"/>
          <w:i/>
        </w:rPr>
        <w:t xml:space="preserve">, A. Donovan, G. </w:t>
      </w:r>
      <w:proofErr w:type="spellStart"/>
      <w:r w:rsidRPr="00D773F7">
        <w:rPr>
          <w:rFonts w:asciiTheme="majorBidi" w:hAnsiTheme="majorBidi" w:cstheme="majorBidi"/>
          <w:i/>
        </w:rPr>
        <w:t>DeGeorge</w:t>
      </w:r>
      <w:proofErr w:type="spellEnd"/>
      <w:r w:rsidRPr="00D773F7">
        <w:rPr>
          <w:rFonts w:asciiTheme="majorBidi" w:hAnsiTheme="majorBidi" w:cstheme="majorBidi"/>
          <w:i/>
        </w:rPr>
        <w:t xml:space="preserve">, and D. </w:t>
      </w:r>
      <w:proofErr w:type="spellStart"/>
      <w:r w:rsidRPr="00D773F7">
        <w:rPr>
          <w:rFonts w:asciiTheme="majorBidi" w:hAnsiTheme="majorBidi" w:cstheme="majorBidi"/>
          <w:i/>
        </w:rPr>
        <w:t>Cerven</w:t>
      </w:r>
      <w:proofErr w:type="spellEnd"/>
      <w:r w:rsidRPr="00D773F7">
        <w:rPr>
          <w:rFonts w:asciiTheme="majorBidi" w:hAnsiTheme="majorBidi" w:cstheme="majorBidi"/>
          <w:i/>
        </w:rPr>
        <w:t xml:space="preserve">. 2010. Novel cultured porcine corneal irritancy assay with reversibility endpoint. </w:t>
      </w:r>
      <w:proofErr w:type="spellStart"/>
      <w:r w:rsidRPr="00D773F7">
        <w:rPr>
          <w:rFonts w:asciiTheme="majorBidi" w:hAnsiTheme="majorBidi" w:cstheme="majorBidi"/>
          <w:i/>
        </w:rPr>
        <w:t>Toxicol</w:t>
      </w:r>
      <w:proofErr w:type="spellEnd"/>
      <w:r w:rsidRPr="00D773F7">
        <w:rPr>
          <w:rFonts w:asciiTheme="majorBidi" w:hAnsiTheme="majorBidi" w:cstheme="majorBidi"/>
          <w:i/>
        </w:rPr>
        <w:t xml:space="preserve">. In Vitro 24: 231-239. </w:t>
      </w:r>
      <w:r w:rsidR="00144B9A" w:rsidRPr="00D773F7">
        <w:rPr>
          <w:rFonts w:asciiTheme="majorBidi" w:hAnsiTheme="majorBidi" w:cstheme="majorBidi"/>
          <w:i/>
        </w:rPr>
        <w:t>Doi</w:t>
      </w:r>
      <w:r w:rsidRPr="00D773F7">
        <w:rPr>
          <w:rFonts w:asciiTheme="majorBidi" w:hAnsiTheme="majorBidi" w:cstheme="majorBidi"/>
          <w:i/>
        </w:rPr>
        <w:t>:10.1016/j.tiv.2009.08.033.</w:t>
      </w:r>
    </w:p>
    <w:p w14:paraId="6388F26B" w14:textId="4829EBE9" w:rsidR="00F56B65" w:rsidRPr="00D773F7" w:rsidRDefault="00F56B65" w:rsidP="00F56B65">
      <w:pPr>
        <w:tabs>
          <w:tab w:val="left" w:pos="1560"/>
        </w:tabs>
        <w:spacing w:after="160"/>
        <w:ind w:left="2268" w:right="1134"/>
        <w:jc w:val="both"/>
        <w:rPr>
          <w:rFonts w:asciiTheme="majorBidi" w:hAnsiTheme="majorBidi" w:cstheme="majorBidi"/>
          <w:i/>
        </w:rPr>
      </w:pPr>
      <w:proofErr w:type="spellStart"/>
      <w:r w:rsidRPr="00D773F7">
        <w:rPr>
          <w:rFonts w:asciiTheme="majorBidi" w:hAnsiTheme="majorBidi" w:cstheme="majorBidi"/>
          <w:i/>
        </w:rPr>
        <w:t>Piehl</w:t>
      </w:r>
      <w:proofErr w:type="spellEnd"/>
      <w:r w:rsidRPr="00D773F7">
        <w:rPr>
          <w:rFonts w:asciiTheme="majorBidi" w:hAnsiTheme="majorBidi" w:cstheme="majorBidi"/>
          <w:i/>
        </w:rPr>
        <w:t xml:space="preserve">, M., M. </w:t>
      </w:r>
      <w:proofErr w:type="spellStart"/>
      <w:r w:rsidRPr="00D773F7">
        <w:rPr>
          <w:rFonts w:asciiTheme="majorBidi" w:hAnsiTheme="majorBidi" w:cstheme="majorBidi"/>
          <w:i/>
        </w:rPr>
        <w:t>Carathers</w:t>
      </w:r>
      <w:proofErr w:type="spellEnd"/>
      <w:r w:rsidRPr="00D773F7">
        <w:rPr>
          <w:rFonts w:asciiTheme="majorBidi" w:hAnsiTheme="majorBidi" w:cstheme="majorBidi"/>
          <w:i/>
        </w:rPr>
        <w:t xml:space="preserve">, R. Soda, D. </w:t>
      </w:r>
      <w:proofErr w:type="spellStart"/>
      <w:r w:rsidRPr="00D773F7">
        <w:rPr>
          <w:rFonts w:asciiTheme="majorBidi" w:hAnsiTheme="majorBidi" w:cstheme="majorBidi"/>
          <w:i/>
        </w:rPr>
        <w:t>Cerven</w:t>
      </w:r>
      <w:proofErr w:type="spellEnd"/>
      <w:r w:rsidRPr="00D773F7">
        <w:rPr>
          <w:rFonts w:asciiTheme="majorBidi" w:hAnsiTheme="majorBidi" w:cstheme="majorBidi"/>
          <w:i/>
        </w:rPr>
        <w:t xml:space="preserve">, and G. </w:t>
      </w:r>
      <w:proofErr w:type="spellStart"/>
      <w:r w:rsidRPr="00D773F7">
        <w:rPr>
          <w:rFonts w:asciiTheme="majorBidi" w:hAnsiTheme="majorBidi" w:cstheme="majorBidi"/>
          <w:i/>
        </w:rPr>
        <w:t>DeGeorge</w:t>
      </w:r>
      <w:proofErr w:type="spellEnd"/>
      <w:r w:rsidRPr="00D773F7">
        <w:rPr>
          <w:rFonts w:asciiTheme="majorBidi" w:hAnsiTheme="majorBidi" w:cstheme="majorBidi"/>
          <w:i/>
        </w:rPr>
        <w:t>. 2011. Porcine corneal ocular reversibility assay (</w:t>
      </w:r>
      <w:proofErr w:type="spellStart"/>
      <w:r w:rsidRPr="00D773F7">
        <w:rPr>
          <w:rFonts w:asciiTheme="majorBidi" w:hAnsiTheme="majorBidi" w:cstheme="majorBidi"/>
          <w:i/>
        </w:rPr>
        <w:t>PorCORA</w:t>
      </w:r>
      <w:proofErr w:type="spellEnd"/>
      <w:r w:rsidRPr="00D773F7">
        <w:rPr>
          <w:rFonts w:asciiTheme="majorBidi" w:hAnsiTheme="majorBidi" w:cstheme="majorBidi"/>
          <w:i/>
        </w:rPr>
        <w:t xml:space="preserve">) predicts ocular damage and </w:t>
      </w:r>
      <w:r w:rsidRPr="00D773F7">
        <w:rPr>
          <w:rFonts w:asciiTheme="majorBidi" w:hAnsiTheme="majorBidi" w:cstheme="majorBidi"/>
          <w:i/>
        </w:rPr>
        <w:lastRenderedPageBreak/>
        <w:t xml:space="preserve">recovery for global regulatory agency hazard categories. </w:t>
      </w:r>
      <w:proofErr w:type="spellStart"/>
      <w:r w:rsidRPr="00D773F7">
        <w:rPr>
          <w:rFonts w:asciiTheme="majorBidi" w:hAnsiTheme="majorBidi" w:cstheme="majorBidi"/>
          <w:i/>
        </w:rPr>
        <w:t>Toxicol</w:t>
      </w:r>
      <w:proofErr w:type="spellEnd"/>
      <w:r w:rsidRPr="00D773F7">
        <w:rPr>
          <w:rFonts w:asciiTheme="majorBidi" w:hAnsiTheme="majorBidi" w:cstheme="majorBidi"/>
          <w:i/>
        </w:rPr>
        <w:t xml:space="preserve">. In Vitro, 25: 1912-1918. </w:t>
      </w:r>
      <w:r w:rsidR="00144B9A" w:rsidRPr="00D773F7">
        <w:rPr>
          <w:rFonts w:asciiTheme="majorBidi" w:hAnsiTheme="majorBidi" w:cstheme="majorBidi"/>
          <w:i/>
        </w:rPr>
        <w:t>Doi</w:t>
      </w:r>
      <w:r w:rsidRPr="00D773F7">
        <w:rPr>
          <w:rFonts w:asciiTheme="majorBidi" w:hAnsiTheme="majorBidi" w:cstheme="majorBidi"/>
          <w:i/>
        </w:rPr>
        <w:t>:10.1016/j.tiv.2011.06.008.</w:t>
      </w:r>
    </w:p>
    <w:p w14:paraId="17C8DACD" w14:textId="0B4C2AE8" w:rsidR="00F56B65" w:rsidRPr="00D773F7" w:rsidRDefault="00F56B65" w:rsidP="00F56B65">
      <w:pPr>
        <w:tabs>
          <w:tab w:val="left" w:pos="1560"/>
        </w:tabs>
        <w:spacing w:after="160"/>
        <w:ind w:left="2268" w:right="1134"/>
        <w:jc w:val="both"/>
        <w:rPr>
          <w:rFonts w:asciiTheme="majorBidi" w:hAnsiTheme="majorBidi" w:cstheme="majorBidi"/>
          <w:i/>
        </w:rPr>
      </w:pPr>
      <w:r w:rsidRPr="00D773F7">
        <w:rPr>
          <w:rFonts w:asciiTheme="majorBidi" w:hAnsiTheme="majorBidi" w:cstheme="majorBidi"/>
          <w:i/>
        </w:rPr>
        <w:t xml:space="preserve">Reader, S.J., V. Blackwell, R. O’Hara, R.H. Clothier, G. Griffin, and M. Balls. 1989. A vital dye release method for assessing the short-term cytotoxic effects of chemicals and formulations. Altern. Lab. Anim., 17: 28-33. </w:t>
      </w:r>
      <w:r w:rsidR="00144B9A" w:rsidRPr="00D773F7">
        <w:rPr>
          <w:rFonts w:asciiTheme="majorBidi" w:hAnsiTheme="majorBidi" w:cstheme="majorBidi"/>
          <w:i/>
        </w:rPr>
        <w:t>Doi</w:t>
      </w:r>
      <w:r w:rsidRPr="00D773F7">
        <w:rPr>
          <w:rFonts w:asciiTheme="majorBidi" w:hAnsiTheme="majorBidi" w:cstheme="majorBidi"/>
          <w:i/>
        </w:rPr>
        <w:t>: 10.1177/026119298901700106.</w:t>
      </w:r>
    </w:p>
    <w:p w14:paraId="0F7E9B7B" w14:textId="0416B0EB" w:rsidR="00F56B65" w:rsidRPr="00D773F7" w:rsidRDefault="00F56B65" w:rsidP="00F56B65">
      <w:pPr>
        <w:tabs>
          <w:tab w:val="left" w:pos="1560"/>
        </w:tabs>
        <w:spacing w:after="160"/>
        <w:ind w:left="2268" w:right="1134"/>
        <w:jc w:val="both"/>
        <w:rPr>
          <w:rFonts w:asciiTheme="majorBidi" w:hAnsiTheme="majorBidi" w:cstheme="majorBidi"/>
          <w:i/>
        </w:rPr>
      </w:pPr>
      <w:r w:rsidRPr="00D773F7">
        <w:rPr>
          <w:rFonts w:asciiTheme="majorBidi" w:hAnsiTheme="majorBidi" w:cstheme="majorBidi"/>
          <w:i/>
        </w:rPr>
        <w:t xml:space="preserve">Reader, S.J., V. Blackwell, R. O’Hara, R.H. Clothier, G. Griffin, and M. Balls. 1990. Neutral red release from pre-loaded cells as an in vitro approach to testing for eye irritancy potential. </w:t>
      </w:r>
      <w:proofErr w:type="spellStart"/>
      <w:r w:rsidRPr="00D773F7">
        <w:rPr>
          <w:rFonts w:asciiTheme="majorBidi" w:hAnsiTheme="majorBidi" w:cstheme="majorBidi"/>
          <w:i/>
        </w:rPr>
        <w:t>Toxicol</w:t>
      </w:r>
      <w:proofErr w:type="spellEnd"/>
      <w:r w:rsidRPr="00D773F7">
        <w:rPr>
          <w:rFonts w:asciiTheme="majorBidi" w:hAnsiTheme="majorBidi" w:cstheme="majorBidi"/>
          <w:i/>
        </w:rPr>
        <w:t xml:space="preserve">. In Vitro, 4(4-5): 264-266. </w:t>
      </w:r>
      <w:r w:rsidR="00144B9A" w:rsidRPr="00D773F7">
        <w:rPr>
          <w:rFonts w:asciiTheme="majorBidi" w:hAnsiTheme="majorBidi" w:cstheme="majorBidi"/>
          <w:i/>
        </w:rPr>
        <w:t>Doi</w:t>
      </w:r>
      <w:r w:rsidRPr="00D773F7">
        <w:rPr>
          <w:rFonts w:asciiTheme="majorBidi" w:hAnsiTheme="majorBidi" w:cstheme="majorBidi"/>
          <w:i/>
        </w:rPr>
        <w:t>: 10.1016/0887-2333(90)90060-7.</w:t>
      </w:r>
    </w:p>
    <w:p w14:paraId="071F6939" w14:textId="758DE868" w:rsidR="00F56B65" w:rsidRPr="00D773F7" w:rsidRDefault="00F56B65" w:rsidP="00F56B65">
      <w:pPr>
        <w:tabs>
          <w:tab w:val="left" w:pos="1560"/>
        </w:tabs>
        <w:spacing w:after="160"/>
        <w:ind w:left="2268" w:right="1134"/>
        <w:jc w:val="both"/>
        <w:rPr>
          <w:rFonts w:asciiTheme="majorBidi" w:hAnsiTheme="majorBidi" w:cstheme="majorBidi"/>
          <w:i/>
        </w:rPr>
      </w:pPr>
      <w:proofErr w:type="spellStart"/>
      <w:r w:rsidRPr="00D773F7">
        <w:rPr>
          <w:rFonts w:asciiTheme="majorBidi" w:hAnsiTheme="majorBidi" w:cstheme="majorBidi"/>
          <w:i/>
        </w:rPr>
        <w:t>Settivari</w:t>
      </w:r>
      <w:proofErr w:type="spellEnd"/>
      <w:r w:rsidRPr="00D773F7">
        <w:rPr>
          <w:rFonts w:asciiTheme="majorBidi" w:hAnsiTheme="majorBidi" w:cstheme="majorBidi"/>
          <w:i/>
        </w:rPr>
        <w:t xml:space="preserve">, R.S., R.A. Amado, M. </w:t>
      </w:r>
      <w:proofErr w:type="spellStart"/>
      <w:r w:rsidRPr="00D773F7">
        <w:rPr>
          <w:rFonts w:asciiTheme="majorBidi" w:hAnsiTheme="majorBidi" w:cstheme="majorBidi"/>
          <w:i/>
        </w:rPr>
        <w:t>Corvaro</w:t>
      </w:r>
      <w:proofErr w:type="spellEnd"/>
      <w:r w:rsidRPr="00D773F7">
        <w:rPr>
          <w:rFonts w:asciiTheme="majorBidi" w:hAnsiTheme="majorBidi" w:cstheme="majorBidi"/>
          <w:i/>
        </w:rPr>
        <w:t xml:space="preserve">, N.R. Visconti, L. Kan, E.W. Carney, D.R. </w:t>
      </w:r>
      <w:proofErr w:type="spellStart"/>
      <w:r w:rsidRPr="00D773F7">
        <w:rPr>
          <w:rFonts w:asciiTheme="majorBidi" w:hAnsiTheme="majorBidi" w:cstheme="majorBidi"/>
          <w:i/>
        </w:rPr>
        <w:t>Boverhof</w:t>
      </w:r>
      <w:proofErr w:type="spellEnd"/>
      <w:r w:rsidRPr="00D773F7">
        <w:rPr>
          <w:rFonts w:asciiTheme="majorBidi" w:hAnsiTheme="majorBidi" w:cstheme="majorBidi"/>
          <w:i/>
        </w:rPr>
        <w:t xml:space="preserve">, and S.C. </w:t>
      </w:r>
      <w:proofErr w:type="spellStart"/>
      <w:r w:rsidRPr="00D773F7">
        <w:rPr>
          <w:rFonts w:asciiTheme="majorBidi" w:hAnsiTheme="majorBidi" w:cstheme="majorBidi"/>
          <w:i/>
        </w:rPr>
        <w:t>Gehen</w:t>
      </w:r>
      <w:proofErr w:type="spellEnd"/>
      <w:r w:rsidRPr="00D773F7">
        <w:rPr>
          <w:rFonts w:asciiTheme="majorBidi" w:hAnsiTheme="majorBidi" w:cstheme="majorBidi"/>
          <w:i/>
        </w:rPr>
        <w:t xml:space="preserve">. 2016. Tiered application of the neutral red release and </w:t>
      </w:r>
      <w:proofErr w:type="spellStart"/>
      <w:r w:rsidRPr="00D773F7">
        <w:rPr>
          <w:rFonts w:asciiTheme="majorBidi" w:hAnsiTheme="majorBidi" w:cstheme="majorBidi"/>
          <w:i/>
        </w:rPr>
        <w:t>EpiOcular</w:t>
      </w:r>
      <w:proofErr w:type="spellEnd"/>
      <w:r w:rsidRPr="00D773F7">
        <w:rPr>
          <w:rFonts w:asciiTheme="majorBidi" w:hAnsiTheme="majorBidi" w:cstheme="majorBidi"/>
          <w:i/>
        </w:rPr>
        <w:t xml:space="preserve">™ assays for evaluating the eye irritation potential of agrochemical formulations. </w:t>
      </w:r>
      <w:proofErr w:type="spellStart"/>
      <w:r w:rsidRPr="00D773F7">
        <w:rPr>
          <w:rFonts w:asciiTheme="majorBidi" w:hAnsiTheme="majorBidi" w:cstheme="majorBidi"/>
          <w:i/>
        </w:rPr>
        <w:t>Regul</w:t>
      </w:r>
      <w:proofErr w:type="spellEnd"/>
      <w:r w:rsidRPr="00D773F7">
        <w:rPr>
          <w:rFonts w:asciiTheme="majorBidi" w:hAnsiTheme="majorBidi" w:cstheme="majorBidi"/>
          <w:i/>
        </w:rPr>
        <w:t xml:space="preserve">. </w:t>
      </w:r>
      <w:proofErr w:type="spellStart"/>
      <w:r w:rsidRPr="00D773F7">
        <w:rPr>
          <w:rFonts w:asciiTheme="majorBidi" w:hAnsiTheme="majorBidi" w:cstheme="majorBidi"/>
          <w:i/>
        </w:rPr>
        <w:t>Toxicol</w:t>
      </w:r>
      <w:proofErr w:type="spellEnd"/>
      <w:r w:rsidRPr="00D773F7">
        <w:rPr>
          <w:rFonts w:asciiTheme="majorBidi" w:hAnsiTheme="majorBidi" w:cstheme="majorBidi"/>
          <w:i/>
        </w:rPr>
        <w:t xml:space="preserve">. </w:t>
      </w:r>
      <w:proofErr w:type="spellStart"/>
      <w:r w:rsidRPr="00D773F7">
        <w:rPr>
          <w:rFonts w:asciiTheme="majorBidi" w:hAnsiTheme="majorBidi" w:cstheme="majorBidi"/>
          <w:i/>
        </w:rPr>
        <w:t>Pharmacol</w:t>
      </w:r>
      <w:proofErr w:type="spellEnd"/>
      <w:r w:rsidRPr="00D773F7">
        <w:rPr>
          <w:rFonts w:asciiTheme="majorBidi" w:hAnsiTheme="majorBidi" w:cstheme="majorBidi"/>
          <w:i/>
        </w:rPr>
        <w:t xml:space="preserve">., 81: 407-420. </w:t>
      </w:r>
      <w:r w:rsidR="00144B9A" w:rsidRPr="00D773F7">
        <w:rPr>
          <w:rFonts w:asciiTheme="majorBidi" w:hAnsiTheme="majorBidi" w:cstheme="majorBidi"/>
          <w:i/>
        </w:rPr>
        <w:t>Doi</w:t>
      </w:r>
      <w:r w:rsidRPr="00D773F7">
        <w:rPr>
          <w:rFonts w:asciiTheme="majorBidi" w:hAnsiTheme="majorBidi" w:cstheme="majorBidi"/>
          <w:i/>
        </w:rPr>
        <w:t>: 10.1016/j.yrtph.2016.09.028.</w:t>
      </w:r>
    </w:p>
    <w:p w14:paraId="5B145146" w14:textId="6019D118" w:rsidR="00F56B65" w:rsidRPr="00D773F7" w:rsidRDefault="00F56B65" w:rsidP="00F56B65">
      <w:pPr>
        <w:tabs>
          <w:tab w:val="left" w:pos="1560"/>
        </w:tabs>
        <w:spacing w:after="160"/>
        <w:ind w:left="2268" w:right="1134"/>
        <w:jc w:val="both"/>
        <w:rPr>
          <w:rFonts w:asciiTheme="majorBidi" w:hAnsiTheme="majorBidi" w:cstheme="majorBidi"/>
          <w:i/>
        </w:rPr>
      </w:pPr>
      <w:proofErr w:type="spellStart"/>
      <w:r w:rsidRPr="00D773F7">
        <w:rPr>
          <w:rFonts w:asciiTheme="majorBidi" w:hAnsiTheme="majorBidi" w:cstheme="majorBidi"/>
          <w:i/>
        </w:rPr>
        <w:t>Spielmann</w:t>
      </w:r>
      <w:proofErr w:type="spellEnd"/>
      <w:r w:rsidRPr="00D773F7">
        <w:rPr>
          <w:rFonts w:asciiTheme="majorBidi" w:hAnsiTheme="majorBidi" w:cstheme="majorBidi"/>
          <w:i/>
        </w:rPr>
        <w:t xml:space="preserve">, H., S. </w:t>
      </w:r>
      <w:proofErr w:type="spellStart"/>
      <w:r w:rsidRPr="00D773F7">
        <w:rPr>
          <w:rFonts w:asciiTheme="majorBidi" w:hAnsiTheme="majorBidi" w:cstheme="majorBidi"/>
          <w:i/>
        </w:rPr>
        <w:t>Kalweit</w:t>
      </w:r>
      <w:proofErr w:type="spellEnd"/>
      <w:r w:rsidRPr="00D773F7">
        <w:rPr>
          <w:rFonts w:asciiTheme="majorBidi" w:hAnsiTheme="majorBidi" w:cstheme="majorBidi"/>
          <w:i/>
        </w:rPr>
        <w:t xml:space="preserve">, M. </w:t>
      </w:r>
      <w:proofErr w:type="spellStart"/>
      <w:r w:rsidRPr="00D773F7">
        <w:rPr>
          <w:rFonts w:asciiTheme="majorBidi" w:hAnsiTheme="majorBidi" w:cstheme="majorBidi"/>
          <w:i/>
        </w:rPr>
        <w:t>Liebsch</w:t>
      </w:r>
      <w:proofErr w:type="spellEnd"/>
      <w:r w:rsidRPr="00D773F7">
        <w:rPr>
          <w:rFonts w:asciiTheme="majorBidi" w:hAnsiTheme="majorBidi" w:cstheme="majorBidi"/>
          <w:i/>
        </w:rPr>
        <w:t xml:space="preserve">, T. </w:t>
      </w:r>
      <w:proofErr w:type="spellStart"/>
      <w:r w:rsidRPr="00D773F7">
        <w:rPr>
          <w:rFonts w:asciiTheme="majorBidi" w:hAnsiTheme="majorBidi" w:cstheme="majorBidi"/>
          <w:i/>
        </w:rPr>
        <w:t>Wirnsberger</w:t>
      </w:r>
      <w:proofErr w:type="spellEnd"/>
      <w:r w:rsidRPr="00D773F7">
        <w:rPr>
          <w:rFonts w:asciiTheme="majorBidi" w:hAnsiTheme="majorBidi" w:cstheme="majorBidi"/>
          <w:i/>
        </w:rPr>
        <w:t xml:space="preserve">, I. </w:t>
      </w:r>
      <w:proofErr w:type="spellStart"/>
      <w:r w:rsidRPr="00D773F7">
        <w:rPr>
          <w:rFonts w:asciiTheme="majorBidi" w:hAnsiTheme="majorBidi" w:cstheme="majorBidi"/>
          <w:i/>
        </w:rPr>
        <w:t>Gerner</w:t>
      </w:r>
      <w:proofErr w:type="spellEnd"/>
      <w:r w:rsidRPr="00D773F7">
        <w:rPr>
          <w:rFonts w:asciiTheme="majorBidi" w:hAnsiTheme="majorBidi" w:cstheme="majorBidi"/>
          <w:i/>
        </w:rPr>
        <w:t>, E. Bertram-</w:t>
      </w:r>
      <w:proofErr w:type="spellStart"/>
      <w:r w:rsidRPr="00D773F7">
        <w:rPr>
          <w:rFonts w:asciiTheme="majorBidi" w:hAnsiTheme="majorBidi" w:cstheme="majorBidi"/>
          <w:i/>
        </w:rPr>
        <w:t>Neis</w:t>
      </w:r>
      <w:proofErr w:type="spellEnd"/>
      <w:r w:rsidRPr="00D773F7">
        <w:rPr>
          <w:rFonts w:asciiTheme="majorBidi" w:hAnsiTheme="majorBidi" w:cstheme="majorBidi"/>
          <w:i/>
        </w:rPr>
        <w:t xml:space="preserve">, K. </w:t>
      </w:r>
      <w:proofErr w:type="spellStart"/>
      <w:r w:rsidRPr="00D773F7">
        <w:rPr>
          <w:rFonts w:asciiTheme="majorBidi" w:hAnsiTheme="majorBidi" w:cstheme="majorBidi"/>
          <w:i/>
        </w:rPr>
        <w:t>Krauser</w:t>
      </w:r>
      <w:proofErr w:type="spellEnd"/>
      <w:r w:rsidRPr="00D773F7">
        <w:rPr>
          <w:rFonts w:asciiTheme="majorBidi" w:hAnsiTheme="majorBidi" w:cstheme="majorBidi"/>
          <w:i/>
        </w:rPr>
        <w:t xml:space="preserve">, R. </w:t>
      </w:r>
      <w:proofErr w:type="spellStart"/>
      <w:r w:rsidRPr="00D773F7">
        <w:rPr>
          <w:rFonts w:asciiTheme="majorBidi" w:hAnsiTheme="majorBidi" w:cstheme="majorBidi"/>
          <w:i/>
        </w:rPr>
        <w:t>Kreiling</w:t>
      </w:r>
      <w:proofErr w:type="spellEnd"/>
      <w:r w:rsidRPr="00D773F7">
        <w:rPr>
          <w:rFonts w:asciiTheme="majorBidi" w:hAnsiTheme="majorBidi" w:cstheme="majorBidi"/>
          <w:i/>
        </w:rPr>
        <w:t xml:space="preserve">, H.G. </w:t>
      </w:r>
      <w:proofErr w:type="spellStart"/>
      <w:r w:rsidRPr="00D773F7">
        <w:rPr>
          <w:rFonts w:asciiTheme="majorBidi" w:hAnsiTheme="majorBidi" w:cstheme="majorBidi"/>
          <w:i/>
        </w:rPr>
        <w:t>Miltenburger</w:t>
      </w:r>
      <w:proofErr w:type="spellEnd"/>
      <w:r w:rsidRPr="00D773F7">
        <w:rPr>
          <w:rFonts w:asciiTheme="majorBidi" w:hAnsiTheme="majorBidi" w:cstheme="majorBidi"/>
          <w:i/>
        </w:rPr>
        <w:t xml:space="preserve">, W. Pape, and W. </w:t>
      </w:r>
      <w:proofErr w:type="spellStart"/>
      <w:r w:rsidRPr="00D773F7">
        <w:rPr>
          <w:rFonts w:asciiTheme="majorBidi" w:hAnsiTheme="majorBidi" w:cstheme="majorBidi"/>
          <w:i/>
        </w:rPr>
        <w:t>Steiling</w:t>
      </w:r>
      <w:proofErr w:type="spellEnd"/>
      <w:r w:rsidRPr="00D773F7">
        <w:rPr>
          <w:rFonts w:asciiTheme="majorBidi" w:hAnsiTheme="majorBidi" w:cstheme="majorBidi"/>
          <w:i/>
        </w:rPr>
        <w:t xml:space="preserve">. 1993. Validation study of alternatives to the Draize eye irritation test in Germany: Cytotoxicity testing and HET-CAM test with 136 industrial chemicals. </w:t>
      </w:r>
      <w:proofErr w:type="spellStart"/>
      <w:r w:rsidRPr="00D773F7">
        <w:rPr>
          <w:rFonts w:asciiTheme="majorBidi" w:hAnsiTheme="majorBidi" w:cstheme="majorBidi"/>
          <w:i/>
        </w:rPr>
        <w:t>Toxicol</w:t>
      </w:r>
      <w:proofErr w:type="spellEnd"/>
      <w:r w:rsidRPr="00D773F7">
        <w:rPr>
          <w:rFonts w:asciiTheme="majorBidi" w:hAnsiTheme="majorBidi" w:cstheme="majorBidi"/>
          <w:i/>
        </w:rPr>
        <w:t xml:space="preserve">. In Vitro, 7(4): 505-510. </w:t>
      </w:r>
      <w:r w:rsidR="00144B9A" w:rsidRPr="00D773F7">
        <w:rPr>
          <w:rFonts w:asciiTheme="majorBidi" w:hAnsiTheme="majorBidi" w:cstheme="majorBidi"/>
          <w:i/>
        </w:rPr>
        <w:t>Doi</w:t>
      </w:r>
      <w:r w:rsidRPr="00D773F7">
        <w:rPr>
          <w:rFonts w:asciiTheme="majorBidi" w:hAnsiTheme="majorBidi" w:cstheme="majorBidi"/>
          <w:i/>
        </w:rPr>
        <w:t>: 10.1016/0887-2333(93)90055-a.</w:t>
      </w:r>
    </w:p>
    <w:p w14:paraId="357ED2A8" w14:textId="77777777" w:rsidR="00F56B65" w:rsidRPr="00D773F7" w:rsidRDefault="00F56B65" w:rsidP="00F56B65">
      <w:pPr>
        <w:tabs>
          <w:tab w:val="left" w:pos="1560"/>
        </w:tabs>
        <w:spacing w:after="160"/>
        <w:ind w:left="2268" w:right="1134"/>
        <w:jc w:val="both"/>
        <w:rPr>
          <w:rFonts w:asciiTheme="majorBidi" w:hAnsiTheme="majorBidi" w:cstheme="majorBidi"/>
          <w:i/>
        </w:rPr>
      </w:pPr>
      <w:proofErr w:type="spellStart"/>
      <w:r w:rsidRPr="00D773F7">
        <w:rPr>
          <w:rFonts w:asciiTheme="majorBidi" w:hAnsiTheme="majorBidi" w:cstheme="majorBidi"/>
          <w:i/>
        </w:rPr>
        <w:t>Spielmann</w:t>
      </w:r>
      <w:proofErr w:type="spellEnd"/>
      <w:r w:rsidRPr="00D773F7">
        <w:rPr>
          <w:rFonts w:asciiTheme="majorBidi" w:hAnsiTheme="majorBidi" w:cstheme="majorBidi"/>
          <w:i/>
        </w:rPr>
        <w:t xml:space="preserve">, H., M. </w:t>
      </w:r>
      <w:proofErr w:type="spellStart"/>
      <w:r w:rsidRPr="00D773F7">
        <w:rPr>
          <w:rFonts w:asciiTheme="majorBidi" w:hAnsiTheme="majorBidi" w:cstheme="majorBidi"/>
          <w:i/>
        </w:rPr>
        <w:t>Liebsch</w:t>
      </w:r>
      <w:proofErr w:type="spellEnd"/>
      <w:r w:rsidRPr="00D773F7">
        <w:rPr>
          <w:rFonts w:asciiTheme="majorBidi" w:hAnsiTheme="majorBidi" w:cstheme="majorBidi"/>
          <w:i/>
        </w:rPr>
        <w:t xml:space="preserve">, S. </w:t>
      </w:r>
      <w:proofErr w:type="spellStart"/>
      <w:r w:rsidRPr="00D773F7">
        <w:rPr>
          <w:rFonts w:asciiTheme="majorBidi" w:hAnsiTheme="majorBidi" w:cstheme="majorBidi"/>
          <w:i/>
        </w:rPr>
        <w:t>Kalweit</w:t>
      </w:r>
      <w:proofErr w:type="spellEnd"/>
      <w:r w:rsidRPr="00D773F7">
        <w:rPr>
          <w:rFonts w:asciiTheme="majorBidi" w:hAnsiTheme="majorBidi" w:cstheme="majorBidi"/>
          <w:i/>
        </w:rPr>
        <w:t xml:space="preserve">, F. Moldenhauer, T. </w:t>
      </w:r>
      <w:proofErr w:type="spellStart"/>
      <w:r w:rsidRPr="00D773F7">
        <w:rPr>
          <w:rFonts w:asciiTheme="majorBidi" w:hAnsiTheme="majorBidi" w:cstheme="majorBidi"/>
          <w:i/>
        </w:rPr>
        <w:t>Wirnsberger</w:t>
      </w:r>
      <w:proofErr w:type="spellEnd"/>
      <w:r w:rsidRPr="00D773F7">
        <w:rPr>
          <w:rFonts w:asciiTheme="majorBidi" w:hAnsiTheme="majorBidi" w:cstheme="majorBidi"/>
          <w:i/>
        </w:rPr>
        <w:t xml:space="preserve">, H.-G. </w:t>
      </w:r>
      <w:proofErr w:type="spellStart"/>
      <w:r w:rsidRPr="00D773F7">
        <w:rPr>
          <w:rFonts w:asciiTheme="majorBidi" w:hAnsiTheme="majorBidi" w:cstheme="majorBidi"/>
          <w:i/>
        </w:rPr>
        <w:t>Holzhütter</w:t>
      </w:r>
      <w:proofErr w:type="spellEnd"/>
      <w:r w:rsidRPr="00D773F7">
        <w:rPr>
          <w:rFonts w:asciiTheme="majorBidi" w:hAnsiTheme="majorBidi" w:cstheme="majorBidi"/>
          <w:i/>
        </w:rPr>
        <w:t xml:space="preserve">, B. Schneider, S. Glaser, I. </w:t>
      </w:r>
      <w:proofErr w:type="spellStart"/>
      <w:r w:rsidRPr="00D773F7">
        <w:rPr>
          <w:rFonts w:asciiTheme="majorBidi" w:hAnsiTheme="majorBidi" w:cstheme="majorBidi"/>
          <w:i/>
        </w:rPr>
        <w:t>Gerner</w:t>
      </w:r>
      <w:proofErr w:type="spellEnd"/>
      <w:r w:rsidRPr="00D773F7">
        <w:rPr>
          <w:rFonts w:asciiTheme="majorBidi" w:hAnsiTheme="majorBidi" w:cstheme="majorBidi"/>
          <w:i/>
        </w:rPr>
        <w:t xml:space="preserve">, W.J.W. Pape, R. </w:t>
      </w:r>
      <w:proofErr w:type="spellStart"/>
      <w:r w:rsidRPr="00D773F7">
        <w:rPr>
          <w:rFonts w:asciiTheme="majorBidi" w:hAnsiTheme="majorBidi" w:cstheme="majorBidi"/>
          <w:i/>
        </w:rPr>
        <w:t>Kreiling</w:t>
      </w:r>
      <w:proofErr w:type="spellEnd"/>
      <w:r w:rsidRPr="00D773F7">
        <w:rPr>
          <w:rFonts w:asciiTheme="majorBidi" w:hAnsiTheme="majorBidi" w:cstheme="majorBidi"/>
          <w:i/>
        </w:rPr>
        <w:t xml:space="preserve">, K. </w:t>
      </w:r>
      <w:proofErr w:type="spellStart"/>
      <w:r w:rsidRPr="00D773F7">
        <w:rPr>
          <w:rFonts w:asciiTheme="majorBidi" w:hAnsiTheme="majorBidi" w:cstheme="majorBidi"/>
          <w:i/>
        </w:rPr>
        <w:t>Krauser</w:t>
      </w:r>
      <w:proofErr w:type="spellEnd"/>
      <w:r w:rsidRPr="00D773F7">
        <w:rPr>
          <w:rFonts w:asciiTheme="majorBidi" w:hAnsiTheme="majorBidi" w:cstheme="majorBidi"/>
          <w:i/>
        </w:rPr>
        <w:t xml:space="preserve">, H.G. </w:t>
      </w:r>
      <w:proofErr w:type="spellStart"/>
      <w:r w:rsidRPr="00D773F7">
        <w:rPr>
          <w:rFonts w:asciiTheme="majorBidi" w:hAnsiTheme="majorBidi" w:cstheme="majorBidi"/>
          <w:i/>
        </w:rPr>
        <w:t>Miltenburger</w:t>
      </w:r>
      <w:proofErr w:type="spellEnd"/>
      <w:r w:rsidRPr="00D773F7">
        <w:rPr>
          <w:rFonts w:asciiTheme="majorBidi" w:hAnsiTheme="majorBidi" w:cstheme="majorBidi"/>
          <w:i/>
        </w:rPr>
        <w:t xml:space="preserve">, W. </w:t>
      </w:r>
      <w:proofErr w:type="spellStart"/>
      <w:r w:rsidRPr="00D773F7">
        <w:rPr>
          <w:rFonts w:asciiTheme="majorBidi" w:hAnsiTheme="majorBidi" w:cstheme="majorBidi"/>
          <w:i/>
        </w:rPr>
        <w:t>Steiling</w:t>
      </w:r>
      <w:proofErr w:type="spellEnd"/>
      <w:r w:rsidRPr="00D773F7">
        <w:rPr>
          <w:rFonts w:asciiTheme="majorBidi" w:hAnsiTheme="majorBidi" w:cstheme="majorBidi"/>
          <w:i/>
        </w:rPr>
        <w:t xml:space="preserve">, N.P. Luepke, N. Müller, H. Kreuzer, P. </w:t>
      </w:r>
      <w:proofErr w:type="spellStart"/>
      <w:r w:rsidRPr="00D773F7">
        <w:rPr>
          <w:rFonts w:asciiTheme="majorBidi" w:hAnsiTheme="majorBidi" w:cstheme="majorBidi"/>
          <w:i/>
        </w:rPr>
        <w:t>Mürmann</w:t>
      </w:r>
      <w:proofErr w:type="spellEnd"/>
      <w:r w:rsidRPr="00D773F7">
        <w:rPr>
          <w:rFonts w:asciiTheme="majorBidi" w:hAnsiTheme="majorBidi" w:cstheme="majorBidi"/>
          <w:i/>
        </w:rPr>
        <w:t>, J. Spengler, E. Bertram-</w:t>
      </w:r>
      <w:proofErr w:type="spellStart"/>
      <w:r w:rsidRPr="00D773F7">
        <w:rPr>
          <w:rFonts w:asciiTheme="majorBidi" w:hAnsiTheme="majorBidi" w:cstheme="majorBidi"/>
          <w:i/>
        </w:rPr>
        <w:t>Neis</w:t>
      </w:r>
      <w:proofErr w:type="spellEnd"/>
      <w:r w:rsidRPr="00D773F7">
        <w:rPr>
          <w:rFonts w:asciiTheme="majorBidi" w:hAnsiTheme="majorBidi" w:cstheme="majorBidi"/>
          <w:i/>
        </w:rPr>
        <w:t xml:space="preserve">, B. </w:t>
      </w:r>
      <w:proofErr w:type="spellStart"/>
      <w:r w:rsidRPr="00D773F7">
        <w:rPr>
          <w:rFonts w:asciiTheme="majorBidi" w:hAnsiTheme="majorBidi" w:cstheme="majorBidi"/>
          <w:i/>
        </w:rPr>
        <w:t>Siegemund</w:t>
      </w:r>
      <w:proofErr w:type="spellEnd"/>
      <w:r w:rsidRPr="00D773F7">
        <w:rPr>
          <w:rFonts w:asciiTheme="majorBidi" w:hAnsiTheme="majorBidi" w:cstheme="majorBidi"/>
          <w:i/>
        </w:rPr>
        <w:t xml:space="preserve">, and F.J. </w:t>
      </w:r>
      <w:proofErr w:type="spellStart"/>
      <w:r w:rsidRPr="00D773F7">
        <w:rPr>
          <w:rFonts w:asciiTheme="majorBidi" w:hAnsiTheme="majorBidi" w:cstheme="majorBidi"/>
          <w:i/>
        </w:rPr>
        <w:t>Wiebel</w:t>
      </w:r>
      <w:proofErr w:type="spellEnd"/>
      <w:r w:rsidRPr="00D773F7">
        <w:rPr>
          <w:rFonts w:asciiTheme="majorBidi" w:hAnsiTheme="majorBidi" w:cstheme="majorBidi"/>
          <w:i/>
        </w:rPr>
        <w:t>. 1996. Results of a validation study in Germany on two in vitro alternatives to the Draize eye irritation test, HET-CAM test and the 3T3 NRU cytotoxicity test. Altern. Lab. Anim., 24: 741-858.</w:t>
      </w:r>
    </w:p>
    <w:p w14:paraId="5D6443E8" w14:textId="61512BC6" w:rsidR="00F56B65" w:rsidRPr="00D773F7" w:rsidRDefault="00F56B65" w:rsidP="00F56B65">
      <w:pPr>
        <w:tabs>
          <w:tab w:val="left" w:pos="1560"/>
        </w:tabs>
        <w:spacing w:after="160"/>
        <w:ind w:left="2268" w:right="1134"/>
        <w:jc w:val="both"/>
        <w:rPr>
          <w:rFonts w:asciiTheme="majorBidi" w:hAnsiTheme="majorBidi" w:cstheme="majorBidi"/>
          <w:i/>
        </w:rPr>
      </w:pPr>
      <w:proofErr w:type="spellStart"/>
      <w:r w:rsidRPr="00D773F7">
        <w:rPr>
          <w:rFonts w:asciiTheme="majorBidi" w:hAnsiTheme="majorBidi" w:cstheme="majorBidi"/>
          <w:i/>
        </w:rPr>
        <w:t>Spöler</w:t>
      </w:r>
      <w:proofErr w:type="spellEnd"/>
      <w:r w:rsidRPr="00D773F7">
        <w:rPr>
          <w:rFonts w:asciiTheme="majorBidi" w:hAnsiTheme="majorBidi" w:cstheme="majorBidi"/>
          <w:i/>
        </w:rPr>
        <w:t xml:space="preserve">, F., M. </w:t>
      </w:r>
      <w:proofErr w:type="spellStart"/>
      <w:r w:rsidRPr="00D773F7">
        <w:rPr>
          <w:rFonts w:asciiTheme="majorBidi" w:hAnsiTheme="majorBidi" w:cstheme="majorBidi"/>
          <w:i/>
        </w:rPr>
        <w:t>Först</w:t>
      </w:r>
      <w:proofErr w:type="spellEnd"/>
      <w:r w:rsidRPr="00D773F7">
        <w:rPr>
          <w:rFonts w:asciiTheme="majorBidi" w:hAnsiTheme="majorBidi" w:cstheme="majorBidi"/>
          <w:i/>
        </w:rPr>
        <w:t xml:space="preserve">, H. Kurz, M. </w:t>
      </w:r>
      <w:proofErr w:type="spellStart"/>
      <w:r w:rsidRPr="00D773F7">
        <w:rPr>
          <w:rFonts w:asciiTheme="majorBidi" w:hAnsiTheme="majorBidi" w:cstheme="majorBidi"/>
          <w:i/>
        </w:rPr>
        <w:t>Frentz</w:t>
      </w:r>
      <w:proofErr w:type="spellEnd"/>
      <w:r w:rsidRPr="00D773F7">
        <w:rPr>
          <w:rFonts w:asciiTheme="majorBidi" w:hAnsiTheme="majorBidi" w:cstheme="majorBidi"/>
          <w:i/>
        </w:rPr>
        <w:t xml:space="preserve">, and N.F. Schrage. 2007. Dynamic analysis of chemical eye burns using high-resolution optical coherence tomography. J. Biomed. Opt., 12: 041203. </w:t>
      </w:r>
      <w:r w:rsidR="002A3141" w:rsidRPr="00D773F7">
        <w:rPr>
          <w:rFonts w:asciiTheme="majorBidi" w:hAnsiTheme="majorBidi" w:cstheme="majorBidi"/>
          <w:i/>
        </w:rPr>
        <w:t>D</w:t>
      </w:r>
      <w:r w:rsidRPr="00D773F7">
        <w:rPr>
          <w:rFonts w:asciiTheme="majorBidi" w:hAnsiTheme="majorBidi" w:cstheme="majorBidi"/>
          <w:i/>
        </w:rPr>
        <w:t>oi:10.1117/1.2768018.</w:t>
      </w:r>
    </w:p>
    <w:p w14:paraId="6A8E030E" w14:textId="59777489" w:rsidR="00F56B65" w:rsidRPr="00D773F7" w:rsidRDefault="00F56B65" w:rsidP="00F56B65">
      <w:pPr>
        <w:tabs>
          <w:tab w:val="left" w:pos="1560"/>
        </w:tabs>
        <w:spacing w:after="160"/>
        <w:ind w:left="2268" w:right="1134"/>
        <w:jc w:val="both"/>
        <w:rPr>
          <w:rFonts w:asciiTheme="majorBidi" w:hAnsiTheme="majorBidi" w:cstheme="majorBidi"/>
          <w:i/>
        </w:rPr>
      </w:pPr>
      <w:proofErr w:type="spellStart"/>
      <w:r w:rsidRPr="00D773F7">
        <w:rPr>
          <w:rFonts w:asciiTheme="majorBidi" w:hAnsiTheme="majorBidi" w:cstheme="majorBidi"/>
          <w:i/>
        </w:rPr>
        <w:t>Spöler</w:t>
      </w:r>
      <w:proofErr w:type="spellEnd"/>
      <w:r w:rsidRPr="00D773F7">
        <w:rPr>
          <w:rFonts w:asciiTheme="majorBidi" w:hAnsiTheme="majorBidi" w:cstheme="majorBidi"/>
          <w:i/>
        </w:rPr>
        <w:t xml:space="preserve">, F., O. Kray, S. Kray, C. Panfil, and N.F. Schrage. 2015. The Ex Vivo Eye Irritation Test as an alternative test method for serious eye damage/eye irritation. Altern. Lab. Anim., 43(3): 163-179. </w:t>
      </w:r>
      <w:r w:rsidR="00144B9A" w:rsidRPr="00D773F7">
        <w:rPr>
          <w:rFonts w:asciiTheme="majorBidi" w:hAnsiTheme="majorBidi" w:cstheme="majorBidi"/>
          <w:i/>
        </w:rPr>
        <w:t>Doi</w:t>
      </w:r>
      <w:r w:rsidRPr="00D773F7">
        <w:rPr>
          <w:rFonts w:asciiTheme="majorBidi" w:hAnsiTheme="majorBidi" w:cstheme="majorBidi"/>
          <w:i/>
        </w:rPr>
        <w:t>: 10.1177/026119291504300306.</w:t>
      </w:r>
    </w:p>
    <w:p w14:paraId="65181FE1" w14:textId="77777777" w:rsidR="00F56B65" w:rsidRPr="00D773F7" w:rsidRDefault="00F56B65" w:rsidP="00F56B65">
      <w:pPr>
        <w:tabs>
          <w:tab w:val="left" w:pos="1560"/>
        </w:tabs>
        <w:spacing w:after="160"/>
        <w:ind w:left="2268" w:right="1134"/>
        <w:jc w:val="both"/>
        <w:rPr>
          <w:rFonts w:asciiTheme="majorBidi" w:hAnsiTheme="majorBidi" w:cstheme="majorBidi"/>
          <w:i/>
        </w:rPr>
      </w:pPr>
      <w:r w:rsidRPr="00D773F7">
        <w:rPr>
          <w:rFonts w:asciiTheme="majorBidi" w:hAnsiTheme="majorBidi" w:cstheme="majorBidi"/>
          <w:i/>
        </w:rPr>
        <w:t xml:space="preserve">Whittle, E., D. </w:t>
      </w:r>
      <w:proofErr w:type="spellStart"/>
      <w:r w:rsidRPr="00D773F7">
        <w:rPr>
          <w:rFonts w:asciiTheme="majorBidi" w:hAnsiTheme="majorBidi" w:cstheme="majorBidi"/>
          <w:i/>
        </w:rPr>
        <w:t>Basketter</w:t>
      </w:r>
      <w:proofErr w:type="spellEnd"/>
      <w:r w:rsidRPr="00D773F7">
        <w:rPr>
          <w:rFonts w:asciiTheme="majorBidi" w:hAnsiTheme="majorBidi" w:cstheme="majorBidi"/>
          <w:i/>
        </w:rPr>
        <w:t xml:space="preserve">, M. York, L. Kelly, T. Hall, J. McCall, P. Botham, D. Esdaile, and J. Gardner. 1992. Findings of an interlaboratory trial of the enucleated eye method as an alternative eye irritation test. </w:t>
      </w:r>
      <w:proofErr w:type="spellStart"/>
      <w:r w:rsidRPr="00D773F7">
        <w:rPr>
          <w:rFonts w:asciiTheme="majorBidi" w:hAnsiTheme="majorBidi" w:cstheme="majorBidi"/>
          <w:i/>
        </w:rPr>
        <w:t>Toxicol</w:t>
      </w:r>
      <w:proofErr w:type="spellEnd"/>
      <w:r w:rsidRPr="00D773F7">
        <w:rPr>
          <w:rFonts w:asciiTheme="majorBidi" w:hAnsiTheme="majorBidi" w:cstheme="majorBidi"/>
          <w:i/>
        </w:rPr>
        <w:t>. Mech. Methods., 2: 30-41.</w:t>
      </w:r>
    </w:p>
    <w:p w14:paraId="698BD4E0" w14:textId="56BE9E69" w:rsidR="00F56B65" w:rsidRPr="00D773F7" w:rsidRDefault="00F56B65" w:rsidP="00F56B65">
      <w:pPr>
        <w:tabs>
          <w:tab w:val="left" w:pos="1560"/>
        </w:tabs>
        <w:spacing w:after="160"/>
        <w:ind w:left="2268" w:right="1134"/>
        <w:jc w:val="both"/>
        <w:rPr>
          <w:rFonts w:asciiTheme="majorBidi" w:hAnsiTheme="majorBidi" w:cstheme="majorBidi"/>
          <w:i/>
        </w:rPr>
      </w:pPr>
      <w:r w:rsidRPr="00D773F7">
        <w:rPr>
          <w:rFonts w:asciiTheme="majorBidi" w:hAnsiTheme="majorBidi" w:cstheme="majorBidi"/>
          <w:i/>
        </w:rPr>
        <w:t xml:space="preserve">Young, J.R., M.J. How, A.P. Walker, and W.M. Worth. 1988. Classification as corrosive or irritant to skin of preparations containing acidic or alkaline substances, without testing on animals. </w:t>
      </w:r>
      <w:proofErr w:type="spellStart"/>
      <w:r w:rsidRPr="00D773F7">
        <w:rPr>
          <w:rFonts w:asciiTheme="majorBidi" w:hAnsiTheme="majorBidi" w:cstheme="majorBidi"/>
          <w:i/>
        </w:rPr>
        <w:t>Toxicol</w:t>
      </w:r>
      <w:proofErr w:type="spellEnd"/>
      <w:r w:rsidRPr="00D773F7">
        <w:rPr>
          <w:rFonts w:asciiTheme="majorBidi" w:hAnsiTheme="majorBidi" w:cstheme="majorBidi"/>
          <w:i/>
        </w:rPr>
        <w:t xml:space="preserve">. In Vitro, 2(1): 19-26. </w:t>
      </w:r>
      <w:r w:rsidR="00144B9A" w:rsidRPr="00D773F7">
        <w:rPr>
          <w:rFonts w:asciiTheme="majorBidi" w:hAnsiTheme="majorBidi" w:cstheme="majorBidi"/>
          <w:i/>
        </w:rPr>
        <w:t>Doi</w:t>
      </w:r>
      <w:r w:rsidRPr="00D773F7">
        <w:rPr>
          <w:rFonts w:asciiTheme="majorBidi" w:hAnsiTheme="majorBidi" w:cstheme="majorBidi"/>
          <w:i/>
        </w:rPr>
        <w:t>: 10.1016/0887-2333(88)90032-x.</w:t>
      </w:r>
    </w:p>
    <w:p w14:paraId="347282EC" w14:textId="69CFF889" w:rsidR="00F56B65" w:rsidRPr="00D773F7" w:rsidRDefault="00F56B65" w:rsidP="00F56B65">
      <w:pPr>
        <w:tabs>
          <w:tab w:val="left" w:pos="1560"/>
        </w:tabs>
        <w:spacing w:after="160"/>
        <w:ind w:left="2268" w:right="1134"/>
        <w:jc w:val="both"/>
        <w:rPr>
          <w:rFonts w:asciiTheme="majorBidi" w:hAnsiTheme="majorBidi" w:cstheme="majorBidi"/>
          <w:i/>
        </w:rPr>
      </w:pPr>
      <w:proofErr w:type="spellStart"/>
      <w:r w:rsidRPr="00D773F7">
        <w:rPr>
          <w:rFonts w:asciiTheme="majorBidi" w:hAnsiTheme="majorBidi" w:cstheme="majorBidi"/>
          <w:i/>
        </w:rPr>
        <w:t>Zuang</w:t>
      </w:r>
      <w:proofErr w:type="spellEnd"/>
      <w:r w:rsidRPr="00D773F7">
        <w:rPr>
          <w:rFonts w:asciiTheme="majorBidi" w:hAnsiTheme="majorBidi" w:cstheme="majorBidi"/>
          <w:i/>
        </w:rPr>
        <w:t xml:space="preserve">, V. 2001. The neutral red release assay: a review. Altern. Lab. Anim., 29(5): 575-599. </w:t>
      </w:r>
      <w:r w:rsidR="00144B9A" w:rsidRPr="00D773F7">
        <w:rPr>
          <w:rFonts w:asciiTheme="majorBidi" w:hAnsiTheme="majorBidi" w:cstheme="majorBidi"/>
          <w:i/>
        </w:rPr>
        <w:t>Doi</w:t>
      </w:r>
      <w:r w:rsidRPr="00D773F7">
        <w:rPr>
          <w:rFonts w:asciiTheme="majorBidi" w:hAnsiTheme="majorBidi" w:cstheme="majorBidi"/>
          <w:i/>
        </w:rPr>
        <w:t>: 10.1177/026119290102900513.”.</w:t>
      </w:r>
    </w:p>
    <w:p w14:paraId="3E74C815" w14:textId="7D13DD29" w:rsidR="007F4FEC" w:rsidRPr="00D773F7" w:rsidRDefault="00A37832" w:rsidP="00BF30E7">
      <w:pPr>
        <w:pStyle w:val="H1G"/>
        <w:rPr>
          <w:rFonts w:asciiTheme="majorBidi" w:hAnsiTheme="majorBidi" w:cstheme="majorBidi"/>
        </w:rPr>
      </w:pPr>
      <w:r w:rsidRPr="00D773F7">
        <w:rPr>
          <w:rFonts w:asciiTheme="majorBidi" w:hAnsiTheme="majorBidi" w:cstheme="majorBidi"/>
        </w:rPr>
        <w:lastRenderedPageBreak/>
        <w:tab/>
      </w:r>
      <w:r w:rsidRPr="00D773F7">
        <w:rPr>
          <w:rFonts w:asciiTheme="majorBidi" w:hAnsiTheme="majorBidi" w:cstheme="majorBidi"/>
        </w:rPr>
        <w:tab/>
        <w:t>Chapter 3.4</w:t>
      </w:r>
    </w:p>
    <w:p w14:paraId="7C2C565E" w14:textId="6F5D4D2A" w:rsidR="00D34FA0" w:rsidRPr="00D773F7" w:rsidRDefault="00D34FA0" w:rsidP="00BF30E7">
      <w:pPr>
        <w:pStyle w:val="SingleTxtG"/>
        <w:keepNext/>
        <w:keepLines/>
        <w:ind w:left="2268" w:hanging="1134"/>
        <w:rPr>
          <w:rFonts w:asciiTheme="majorBidi" w:hAnsiTheme="majorBidi" w:cstheme="majorBidi"/>
        </w:rPr>
      </w:pPr>
      <w:r w:rsidRPr="00D773F7">
        <w:rPr>
          <w:rFonts w:asciiTheme="majorBidi" w:hAnsiTheme="majorBidi" w:cstheme="majorBidi"/>
        </w:rPr>
        <w:t>3.4.2.1.1.3</w:t>
      </w:r>
      <w:r w:rsidR="00806C04" w:rsidRPr="00D773F7">
        <w:rPr>
          <w:rFonts w:asciiTheme="majorBidi" w:hAnsiTheme="majorBidi" w:cstheme="majorBidi"/>
        </w:rPr>
        <w:tab/>
        <w:t>R</w:t>
      </w:r>
      <w:r w:rsidRPr="00D773F7">
        <w:rPr>
          <w:rFonts w:asciiTheme="majorBidi" w:hAnsiTheme="majorBidi" w:cstheme="majorBidi"/>
        </w:rPr>
        <w:t xml:space="preserve">eplace “approach” with “assessment” twice.  </w:t>
      </w:r>
    </w:p>
    <w:p w14:paraId="483E627B" w14:textId="4EDD479B" w:rsidR="007F4FEC" w:rsidRPr="00D773F7" w:rsidRDefault="007F4FEC" w:rsidP="00BF30E7">
      <w:pPr>
        <w:keepNext/>
        <w:keepLines/>
        <w:tabs>
          <w:tab w:val="left" w:pos="2268"/>
        </w:tabs>
        <w:spacing w:after="120" w:line="240" w:lineRule="auto"/>
        <w:ind w:left="2268" w:hanging="1134"/>
        <w:rPr>
          <w:rFonts w:asciiTheme="majorBidi" w:hAnsiTheme="majorBidi" w:cstheme="majorBidi"/>
        </w:rPr>
      </w:pPr>
      <w:r w:rsidRPr="00D773F7">
        <w:rPr>
          <w:rFonts w:asciiTheme="majorBidi" w:hAnsiTheme="majorBidi" w:cstheme="majorBidi"/>
        </w:rPr>
        <w:t>3.4.2.2.1.2</w:t>
      </w:r>
      <w:r w:rsidRPr="00D773F7">
        <w:rPr>
          <w:rFonts w:asciiTheme="majorBidi" w:hAnsiTheme="majorBidi" w:cstheme="majorBidi"/>
        </w:rPr>
        <w:tab/>
      </w:r>
      <w:r w:rsidR="00310A97" w:rsidRPr="00D773F7">
        <w:rPr>
          <w:rFonts w:asciiTheme="majorBidi" w:hAnsiTheme="majorBidi" w:cstheme="majorBidi"/>
        </w:rPr>
        <w:t>Replace</w:t>
      </w:r>
      <w:r w:rsidRPr="00D773F7">
        <w:rPr>
          <w:rFonts w:asciiTheme="majorBidi" w:hAnsiTheme="majorBidi" w:cstheme="majorBidi"/>
        </w:rPr>
        <w:t xml:space="preserve"> “3.4.2.2.1.3” </w:t>
      </w:r>
      <w:r w:rsidR="00310A97" w:rsidRPr="00D773F7">
        <w:rPr>
          <w:rFonts w:asciiTheme="majorBidi" w:hAnsiTheme="majorBidi" w:cstheme="majorBidi"/>
        </w:rPr>
        <w:t>with</w:t>
      </w:r>
      <w:r w:rsidRPr="00D773F7">
        <w:rPr>
          <w:rFonts w:asciiTheme="majorBidi" w:hAnsiTheme="majorBidi" w:cstheme="majorBidi"/>
        </w:rPr>
        <w:t xml:space="preserve"> “3.4.2.2.2 </w:t>
      </w:r>
      <w:r w:rsidR="00B55E72" w:rsidRPr="00D773F7">
        <w:rPr>
          <w:rFonts w:asciiTheme="majorBidi" w:hAnsiTheme="majorBidi" w:cstheme="majorBidi"/>
        </w:rPr>
        <w:t xml:space="preserve">to </w:t>
      </w:r>
      <w:r w:rsidRPr="00D773F7">
        <w:rPr>
          <w:rFonts w:asciiTheme="majorBidi" w:hAnsiTheme="majorBidi" w:cstheme="majorBidi"/>
        </w:rPr>
        <w:t>3.4.2.2.6”.</w:t>
      </w:r>
    </w:p>
    <w:p w14:paraId="1C54F4BC" w14:textId="77777777" w:rsidR="007F4FEC" w:rsidRPr="00D773F7" w:rsidRDefault="007F4FEC" w:rsidP="00BF30E7">
      <w:pPr>
        <w:pStyle w:val="SingleTxtG"/>
        <w:keepNext/>
        <w:keepLines/>
        <w:spacing w:line="240" w:lineRule="auto"/>
        <w:ind w:left="2268" w:hanging="1134"/>
        <w:rPr>
          <w:rFonts w:asciiTheme="majorBidi" w:hAnsiTheme="majorBidi" w:cstheme="majorBidi"/>
        </w:rPr>
      </w:pPr>
      <w:r w:rsidRPr="00D773F7">
        <w:rPr>
          <w:rFonts w:asciiTheme="majorBidi" w:hAnsiTheme="majorBidi" w:cstheme="majorBidi"/>
        </w:rPr>
        <w:t>3.4.2.2.1.3</w:t>
      </w:r>
      <w:r w:rsidRPr="00D773F7">
        <w:rPr>
          <w:rFonts w:asciiTheme="majorBidi" w:hAnsiTheme="majorBidi" w:cstheme="majorBidi"/>
        </w:rPr>
        <w:tab/>
        <w:t>Replace with the following:</w:t>
      </w:r>
    </w:p>
    <w:p w14:paraId="023D80EE" w14:textId="3AB6F5F5" w:rsidR="007F4FEC" w:rsidRPr="00D773F7" w:rsidRDefault="007F4FEC" w:rsidP="00FF5260">
      <w:pPr>
        <w:pStyle w:val="SingleTxtG"/>
        <w:tabs>
          <w:tab w:val="clear" w:pos="1701"/>
        </w:tabs>
        <w:spacing w:line="240" w:lineRule="auto"/>
        <w:ind w:left="2268"/>
        <w:rPr>
          <w:rFonts w:asciiTheme="majorBidi" w:hAnsiTheme="majorBidi" w:cstheme="majorBidi"/>
        </w:rPr>
      </w:pPr>
      <w:r w:rsidRPr="00D773F7">
        <w:rPr>
          <w:rFonts w:asciiTheme="majorBidi" w:hAnsiTheme="majorBidi" w:cstheme="majorBidi"/>
        </w:rPr>
        <w:t>“3.4.2.2.1.3</w:t>
      </w:r>
      <w:r w:rsidRPr="00D773F7">
        <w:rPr>
          <w:rFonts w:asciiTheme="majorBidi" w:hAnsiTheme="majorBidi" w:cstheme="majorBidi"/>
        </w:rPr>
        <w:tab/>
        <w:t>For classification of skin sensitizers, all available and relevant information is collected and its quality in terms of adequacy and reliability is assessed. Classification should be based on mutually acceptable data/results generated using methods and/or defined approaches that are validated according to international procedures. These include both OECD guidelines and equivalent methods/defined approaches (see 1.3.2.4.3). Sections 3.4.2.2.2 to 3.4.2.2.6 provide classification criteria for the different types of information that may be available.”</w:t>
      </w:r>
      <w:r w:rsidR="00587A8E" w:rsidRPr="00D773F7">
        <w:rPr>
          <w:rFonts w:asciiTheme="majorBidi" w:hAnsiTheme="majorBidi" w:cstheme="majorBidi"/>
        </w:rPr>
        <w:t>.</w:t>
      </w:r>
    </w:p>
    <w:p w14:paraId="0C87D985" w14:textId="13F18A9E" w:rsidR="007F4FEC" w:rsidRPr="00D773F7" w:rsidRDefault="00516CA9" w:rsidP="007F4FEC">
      <w:pPr>
        <w:pStyle w:val="SingleTxtG"/>
        <w:spacing w:line="240" w:lineRule="auto"/>
        <w:rPr>
          <w:rFonts w:asciiTheme="majorBidi" w:hAnsiTheme="majorBidi" w:cstheme="majorBidi"/>
        </w:rPr>
      </w:pPr>
      <w:r w:rsidRPr="00D773F7">
        <w:rPr>
          <w:rFonts w:asciiTheme="majorBidi" w:hAnsiTheme="majorBidi" w:cstheme="majorBidi"/>
        </w:rPr>
        <w:t>Table 3.4.2</w:t>
      </w:r>
      <w:r w:rsidR="007F4FEC" w:rsidRPr="00D773F7">
        <w:rPr>
          <w:rFonts w:asciiTheme="majorBidi" w:hAnsiTheme="majorBidi" w:cstheme="majorBidi"/>
        </w:rPr>
        <w:tab/>
        <w:t>Delete.</w:t>
      </w:r>
    </w:p>
    <w:p w14:paraId="52B0797E" w14:textId="345F9336" w:rsidR="007F4FEC" w:rsidRPr="00D773F7" w:rsidRDefault="007F4FEC" w:rsidP="007F4FEC">
      <w:pPr>
        <w:pStyle w:val="SingleTxtG"/>
        <w:spacing w:line="240" w:lineRule="auto"/>
        <w:rPr>
          <w:rFonts w:asciiTheme="majorBidi" w:hAnsiTheme="majorBidi" w:cstheme="majorBidi"/>
        </w:rPr>
      </w:pPr>
      <w:r w:rsidRPr="00D773F7">
        <w:rPr>
          <w:rFonts w:asciiTheme="majorBidi" w:hAnsiTheme="majorBidi" w:cstheme="majorBidi"/>
        </w:rPr>
        <w:t>3.4.2.2.1.4 and 3.4.2.2.1.5</w:t>
      </w:r>
      <w:r w:rsidRPr="00D773F7">
        <w:rPr>
          <w:rFonts w:asciiTheme="majorBidi" w:hAnsiTheme="majorBidi" w:cstheme="majorBidi"/>
        </w:rPr>
        <w:tab/>
        <w:t xml:space="preserve">Insert the following two </w:t>
      </w:r>
      <w:r w:rsidR="002B696D" w:rsidRPr="00D773F7">
        <w:rPr>
          <w:rFonts w:asciiTheme="majorBidi" w:hAnsiTheme="majorBidi" w:cstheme="majorBidi"/>
        </w:rPr>
        <w:t xml:space="preserve">new </w:t>
      </w:r>
      <w:r w:rsidRPr="00D773F7">
        <w:rPr>
          <w:rFonts w:asciiTheme="majorBidi" w:hAnsiTheme="majorBidi" w:cstheme="majorBidi"/>
        </w:rPr>
        <w:t>paragraphs:</w:t>
      </w:r>
    </w:p>
    <w:p w14:paraId="5731ADC1" w14:textId="27E6162E" w:rsidR="007F4FEC" w:rsidRPr="00D773F7" w:rsidRDefault="007F4FEC" w:rsidP="00FF5260">
      <w:pPr>
        <w:pStyle w:val="GHStext"/>
        <w:tabs>
          <w:tab w:val="left" w:pos="2268"/>
        </w:tabs>
        <w:ind w:left="2268" w:right="1134"/>
        <w:rPr>
          <w:rFonts w:asciiTheme="majorBidi" w:hAnsiTheme="majorBidi" w:cstheme="majorBidi"/>
          <w:color w:val="auto"/>
          <w:lang w:val="en-GB"/>
        </w:rPr>
      </w:pPr>
      <w:r w:rsidRPr="00D773F7">
        <w:rPr>
          <w:rFonts w:asciiTheme="majorBidi" w:eastAsiaTheme="minorHAnsi" w:hAnsiTheme="majorBidi" w:cstheme="majorBidi"/>
          <w:color w:val="auto"/>
          <w:lang w:val="en-GB"/>
        </w:rPr>
        <w:t>“</w:t>
      </w:r>
      <w:r w:rsidRPr="00D773F7">
        <w:rPr>
          <w:rFonts w:asciiTheme="majorBidi" w:hAnsiTheme="majorBidi" w:cstheme="majorBidi"/>
          <w:color w:val="auto"/>
          <w:lang w:val="en-GB"/>
        </w:rPr>
        <w:t>3.4.2.2.1.4</w:t>
      </w:r>
      <w:r w:rsidRPr="00D773F7">
        <w:rPr>
          <w:rFonts w:asciiTheme="majorBidi" w:hAnsiTheme="majorBidi" w:cstheme="majorBidi"/>
          <w:color w:val="auto"/>
          <w:lang w:val="en-GB"/>
        </w:rPr>
        <w:tab/>
        <w:t>A tiered approach (see 3.4.2.2.7) organizes the available information on skin sensitization into levels/tiers and provides for decision-making in a structured and sequential manner. Classification results directly when the information consistently satisfies the criteria. However, where the available information gives inconsistent and/or conflicting results within a tier, classification of a substance or a mixture is made on the basis of the weight</w:t>
      </w:r>
      <w:r w:rsidR="004B7356" w:rsidRPr="00D773F7">
        <w:rPr>
          <w:rFonts w:asciiTheme="majorBidi" w:hAnsiTheme="majorBidi" w:cstheme="majorBidi"/>
          <w:color w:val="auto"/>
          <w:lang w:val="en-GB"/>
        </w:rPr>
        <w:t xml:space="preserve"> </w:t>
      </w:r>
      <w:r w:rsidRPr="00D773F7">
        <w:rPr>
          <w:rFonts w:asciiTheme="majorBidi" w:hAnsiTheme="majorBidi" w:cstheme="majorBidi"/>
          <w:color w:val="auto"/>
          <w:lang w:val="en-GB"/>
        </w:rPr>
        <w:t>of</w:t>
      </w:r>
      <w:r w:rsidR="004B7356" w:rsidRPr="00D773F7">
        <w:rPr>
          <w:rFonts w:asciiTheme="majorBidi" w:hAnsiTheme="majorBidi" w:cstheme="majorBidi"/>
          <w:color w:val="auto"/>
          <w:lang w:val="en-GB"/>
        </w:rPr>
        <w:t xml:space="preserve"> </w:t>
      </w:r>
      <w:r w:rsidRPr="00D773F7">
        <w:rPr>
          <w:rFonts w:asciiTheme="majorBidi" w:hAnsiTheme="majorBidi" w:cstheme="majorBidi"/>
          <w:color w:val="auto"/>
          <w:lang w:val="en-GB"/>
        </w:rPr>
        <w:t xml:space="preserve">evidence within that tier. In some cases when information from different tiers gives inconsistent and/or conflicting results (see 3.4.2.2.7.7) or where data individually are insufficient to conclude on the classification, an overall weight of evidence assessment is used (see </w:t>
      </w:r>
      <w:r w:rsidR="00327B28" w:rsidRPr="00D773F7">
        <w:rPr>
          <w:rFonts w:asciiTheme="majorBidi" w:hAnsiTheme="majorBidi" w:cstheme="majorBidi"/>
          <w:color w:val="auto"/>
          <w:lang w:val="en-GB"/>
        </w:rPr>
        <w:t xml:space="preserve">1.3.2.4.9 and </w:t>
      </w:r>
      <w:r w:rsidRPr="00D773F7">
        <w:rPr>
          <w:rFonts w:asciiTheme="majorBidi" w:hAnsiTheme="majorBidi" w:cstheme="majorBidi"/>
          <w:color w:val="auto"/>
          <w:lang w:val="en-GB"/>
        </w:rPr>
        <w:t xml:space="preserve">3.4.2.2.7.6).  </w:t>
      </w:r>
    </w:p>
    <w:p w14:paraId="27E3B19C" w14:textId="77777777" w:rsidR="007F4FEC" w:rsidRPr="00D773F7" w:rsidRDefault="007F4FEC" w:rsidP="00FF5260">
      <w:pPr>
        <w:pStyle w:val="GHStext"/>
        <w:tabs>
          <w:tab w:val="left" w:pos="2268"/>
        </w:tabs>
        <w:ind w:left="2268" w:right="1134"/>
        <w:rPr>
          <w:rFonts w:asciiTheme="majorBidi" w:hAnsiTheme="majorBidi" w:cstheme="majorBidi"/>
          <w:color w:val="auto"/>
          <w:lang w:val="en-GB"/>
        </w:rPr>
      </w:pPr>
      <w:r w:rsidRPr="00D773F7">
        <w:rPr>
          <w:rFonts w:asciiTheme="majorBidi" w:hAnsiTheme="majorBidi" w:cstheme="majorBidi"/>
          <w:color w:val="auto"/>
          <w:lang w:val="en-GB"/>
        </w:rPr>
        <w:t xml:space="preserve">3.4.2.2.1.5 </w:t>
      </w:r>
      <w:r w:rsidRPr="00D773F7">
        <w:rPr>
          <w:rFonts w:asciiTheme="majorBidi" w:hAnsiTheme="majorBidi" w:cstheme="majorBidi"/>
          <w:color w:val="auto"/>
          <w:lang w:val="en-GB"/>
        </w:rPr>
        <w:tab/>
        <w:t>Guidance on the interpretation of criteria and references to relevant guidance documents are provided in 3.4.5.3.”</w:t>
      </w:r>
    </w:p>
    <w:p w14:paraId="526F7D3A" w14:textId="27334503" w:rsidR="007F4FEC" w:rsidRPr="00D773F7" w:rsidRDefault="007F4FEC" w:rsidP="00FF5260">
      <w:pPr>
        <w:pStyle w:val="SingleTxtG"/>
        <w:spacing w:line="240" w:lineRule="auto"/>
        <w:ind w:left="2268" w:hanging="1134"/>
        <w:rPr>
          <w:rFonts w:asciiTheme="majorBidi" w:hAnsiTheme="majorBidi" w:cstheme="majorBidi"/>
          <w:i/>
        </w:rPr>
      </w:pPr>
      <w:r w:rsidRPr="00D773F7">
        <w:rPr>
          <w:rFonts w:asciiTheme="majorBidi" w:hAnsiTheme="majorBidi" w:cstheme="majorBidi"/>
        </w:rPr>
        <w:t>3.4.2.2.2</w:t>
      </w:r>
      <w:r w:rsidRPr="00D773F7">
        <w:rPr>
          <w:rFonts w:asciiTheme="majorBidi" w:hAnsiTheme="majorBidi" w:cstheme="majorBidi"/>
        </w:rPr>
        <w:tab/>
      </w:r>
      <w:r w:rsidR="009056EF" w:rsidRPr="00D773F7">
        <w:rPr>
          <w:rFonts w:asciiTheme="majorBidi" w:hAnsiTheme="majorBidi" w:cstheme="majorBidi"/>
        </w:rPr>
        <w:t xml:space="preserve">Amend </w:t>
      </w:r>
      <w:r w:rsidRPr="00D773F7">
        <w:rPr>
          <w:rFonts w:asciiTheme="majorBidi" w:hAnsiTheme="majorBidi" w:cstheme="majorBidi"/>
        </w:rPr>
        <w:t xml:space="preserve">the heading </w:t>
      </w:r>
      <w:r w:rsidR="009056EF" w:rsidRPr="00D773F7">
        <w:rPr>
          <w:rFonts w:asciiTheme="majorBidi" w:hAnsiTheme="majorBidi" w:cstheme="majorBidi"/>
        </w:rPr>
        <w:t>to read as follows</w:t>
      </w:r>
      <w:r w:rsidRPr="00D773F7">
        <w:rPr>
          <w:rFonts w:asciiTheme="majorBidi" w:hAnsiTheme="majorBidi" w:cstheme="majorBidi"/>
        </w:rPr>
        <w:t>: .</w:t>
      </w:r>
      <w:r w:rsidR="009056EF" w:rsidRPr="00D773F7">
        <w:rPr>
          <w:rFonts w:asciiTheme="majorBidi" w:hAnsiTheme="majorBidi" w:cstheme="majorBidi"/>
        </w:rPr>
        <w:t>“</w:t>
      </w:r>
      <w:r w:rsidRPr="00D773F7">
        <w:rPr>
          <w:rFonts w:asciiTheme="majorBidi" w:hAnsiTheme="majorBidi" w:cstheme="majorBidi"/>
          <w:i/>
          <w:iCs/>
        </w:rPr>
        <w:t>Classification based on human data</w:t>
      </w:r>
      <w:r w:rsidRPr="00D773F7">
        <w:rPr>
          <w:rFonts w:asciiTheme="majorBidi" w:hAnsiTheme="majorBidi" w:cstheme="majorBidi"/>
          <w:i/>
        </w:rPr>
        <w:t xml:space="preserve"> (</w:t>
      </w:r>
      <w:r w:rsidR="00123673" w:rsidRPr="00D773F7">
        <w:rPr>
          <w:rFonts w:asciiTheme="majorBidi" w:hAnsiTheme="majorBidi" w:cstheme="majorBidi"/>
          <w:i/>
        </w:rPr>
        <w:t>t</w:t>
      </w:r>
      <w:r w:rsidRPr="00D773F7">
        <w:rPr>
          <w:rFonts w:asciiTheme="majorBidi" w:hAnsiTheme="majorBidi" w:cstheme="majorBidi"/>
          <w:i/>
        </w:rPr>
        <w:t xml:space="preserve">ier 1 in </w:t>
      </w:r>
      <w:r w:rsidR="00D5525A" w:rsidRPr="00D773F7">
        <w:rPr>
          <w:rFonts w:asciiTheme="majorBidi" w:hAnsiTheme="majorBidi" w:cstheme="majorBidi"/>
          <w:i/>
        </w:rPr>
        <w:t>f</w:t>
      </w:r>
      <w:r w:rsidRPr="00D773F7">
        <w:rPr>
          <w:rFonts w:asciiTheme="majorBidi" w:hAnsiTheme="majorBidi" w:cstheme="majorBidi"/>
          <w:i/>
        </w:rPr>
        <w:t>igure 3.4.1)”</w:t>
      </w:r>
    </w:p>
    <w:p w14:paraId="1A23F8DB" w14:textId="73855B6F" w:rsidR="007F4FEC" w:rsidRPr="00D773F7" w:rsidRDefault="007F4FEC" w:rsidP="00FF5260">
      <w:pPr>
        <w:keepNext/>
        <w:keepLines/>
        <w:spacing w:before="240" w:after="200"/>
        <w:ind w:left="2268" w:right="1134" w:hanging="1134"/>
        <w:jc w:val="both"/>
        <w:rPr>
          <w:rFonts w:asciiTheme="majorBidi" w:hAnsiTheme="majorBidi" w:cstheme="majorBidi"/>
        </w:rPr>
      </w:pPr>
      <w:r w:rsidRPr="00D773F7">
        <w:rPr>
          <w:rFonts w:asciiTheme="majorBidi" w:hAnsiTheme="majorBidi" w:cstheme="majorBidi"/>
        </w:rPr>
        <w:t>3.4.2.2.2.1</w:t>
      </w:r>
      <w:r w:rsidR="00014605" w:rsidRPr="00D773F7">
        <w:rPr>
          <w:rFonts w:asciiTheme="majorBidi" w:hAnsiTheme="majorBidi" w:cstheme="majorBidi"/>
        </w:rPr>
        <w:t xml:space="preserve"> (new)</w:t>
      </w:r>
      <w:r w:rsidRPr="00D773F7">
        <w:rPr>
          <w:rFonts w:asciiTheme="majorBidi" w:hAnsiTheme="majorBidi" w:cstheme="majorBidi"/>
        </w:rPr>
        <w:tab/>
        <w:t>Insert the following new paragraph</w:t>
      </w:r>
      <w:r w:rsidR="00EB6FCC" w:rsidRPr="00D773F7">
        <w:rPr>
          <w:rFonts w:asciiTheme="majorBidi" w:hAnsiTheme="majorBidi" w:cstheme="majorBidi"/>
        </w:rPr>
        <w:t xml:space="preserve"> and renumber subsequent paragraphs accordingly</w:t>
      </w:r>
      <w:r w:rsidRPr="00D773F7">
        <w:rPr>
          <w:rFonts w:asciiTheme="majorBidi" w:hAnsiTheme="majorBidi" w:cstheme="majorBidi"/>
        </w:rPr>
        <w:t>:</w:t>
      </w:r>
    </w:p>
    <w:p w14:paraId="710EBAC7" w14:textId="2D9A2E65" w:rsidR="007F4FEC" w:rsidRPr="00D773F7" w:rsidRDefault="007F4FEC" w:rsidP="00FF5260">
      <w:pPr>
        <w:keepNext/>
        <w:keepLines/>
        <w:spacing w:before="240" w:after="200"/>
        <w:ind w:left="2268" w:right="1134"/>
        <w:jc w:val="both"/>
        <w:rPr>
          <w:rFonts w:asciiTheme="majorBidi" w:hAnsiTheme="majorBidi" w:cstheme="majorBidi"/>
        </w:rPr>
      </w:pPr>
      <w:r w:rsidRPr="00D773F7">
        <w:rPr>
          <w:rFonts w:asciiTheme="majorBidi" w:hAnsiTheme="majorBidi" w:cstheme="majorBidi"/>
        </w:rPr>
        <w:t>“3.4.2.2.2.1</w:t>
      </w:r>
      <w:r w:rsidRPr="00D773F7">
        <w:rPr>
          <w:rFonts w:asciiTheme="majorBidi" w:hAnsiTheme="majorBidi" w:cstheme="majorBidi"/>
        </w:rPr>
        <w:tab/>
        <w:t xml:space="preserve">A substance is classified as a skin sensitizer in </w:t>
      </w:r>
      <w:r w:rsidR="006B588A" w:rsidRPr="00D773F7">
        <w:rPr>
          <w:rFonts w:asciiTheme="majorBidi" w:hAnsiTheme="majorBidi" w:cstheme="majorBidi"/>
        </w:rPr>
        <w:t>C</w:t>
      </w:r>
      <w:r w:rsidRPr="00D773F7">
        <w:rPr>
          <w:rFonts w:asciiTheme="majorBidi" w:hAnsiTheme="majorBidi" w:cstheme="majorBidi"/>
        </w:rPr>
        <w:t>ategory 1 if there is evidence in humans that the substance can lead to sensitization by skin contact in a substantial number of persons.”</w:t>
      </w:r>
    </w:p>
    <w:p w14:paraId="5D206099" w14:textId="4CAA6F3A" w:rsidR="007F4FEC" w:rsidRPr="00D773F7" w:rsidRDefault="007F4FEC" w:rsidP="007F4FEC">
      <w:pPr>
        <w:pStyle w:val="SingleTxtG"/>
        <w:ind w:left="1701" w:hanging="567"/>
        <w:rPr>
          <w:rFonts w:asciiTheme="majorBidi" w:hAnsiTheme="majorBidi" w:cstheme="majorBidi"/>
        </w:rPr>
      </w:pPr>
      <w:r w:rsidRPr="00D773F7">
        <w:rPr>
          <w:rFonts w:asciiTheme="majorBidi" w:hAnsiTheme="majorBidi" w:cstheme="majorBidi"/>
        </w:rPr>
        <w:t>3.4.2.2.2.2 (former 3.4.2.2.2.1)</w:t>
      </w:r>
      <w:r w:rsidRPr="00D773F7">
        <w:rPr>
          <w:rFonts w:asciiTheme="majorBidi" w:hAnsiTheme="majorBidi" w:cstheme="majorBidi"/>
        </w:rPr>
        <w:tab/>
      </w:r>
      <w:r w:rsidR="00420201" w:rsidRPr="00D773F7">
        <w:rPr>
          <w:rFonts w:asciiTheme="majorBidi" w:hAnsiTheme="majorBidi" w:cstheme="majorBidi"/>
        </w:rPr>
        <w:t>Amend the beginning of the paragraph to read as follows</w:t>
      </w:r>
      <w:r w:rsidRPr="00D773F7">
        <w:rPr>
          <w:rFonts w:asciiTheme="majorBidi" w:hAnsiTheme="majorBidi" w:cstheme="majorBidi"/>
        </w:rPr>
        <w:t>:</w:t>
      </w:r>
    </w:p>
    <w:p w14:paraId="3E26B49C" w14:textId="5BBCF1AE" w:rsidR="007F4FEC" w:rsidRPr="00D773F7" w:rsidRDefault="007F4FEC" w:rsidP="00FF5260">
      <w:pPr>
        <w:pStyle w:val="GHStext"/>
        <w:tabs>
          <w:tab w:val="left" w:pos="2268"/>
        </w:tabs>
        <w:ind w:left="2268" w:right="1134"/>
        <w:rPr>
          <w:rFonts w:asciiTheme="majorBidi" w:hAnsiTheme="majorBidi" w:cstheme="majorBidi"/>
          <w:color w:val="auto"/>
          <w:lang w:val="en-GB"/>
        </w:rPr>
      </w:pPr>
      <w:r w:rsidRPr="00D773F7">
        <w:rPr>
          <w:rFonts w:asciiTheme="majorBidi" w:hAnsiTheme="majorBidi" w:cstheme="majorBidi"/>
          <w:color w:val="auto"/>
          <w:lang w:val="en-GB"/>
        </w:rPr>
        <w:t xml:space="preserve">“Substances showing a high frequency of occurrence in humans, can be presumed to have the potential to produce significant sensitization and are classified in </w:t>
      </w:r>
      <w:r w:rsidR="006774FC" w:rsidRPr="00D773F7">
        <w:rPr>
          <w:rFonts w:asciiTheme="majorBidi" w:hAnsiTheme="majorBidi" w:cstheme="majorBidi"/>
          <w:color w:val="auto"/>
          <w:lang w:val="en-GB"/>
        </w:rPr>
        <w:t>sub</w:t>
      </w:r>
      <w:r w:rsidR="00C93630">
        <w:rPr>
          <w:rFonts w:asciiTheme="majorBidi" w:hAnsiTheme="majorBidi" w:cstheme="majorBidi"/>
          <w:color w:val="auto"/>
          <w:lang w:val="en-GB"/>
        </w:rPr>
        <w:t>-</w:t>
      </w:r>
      <w:r w:rsidRPr="00D773F7">
        <w:rPr>
          <w:rFonts w:asciiTheme="majorBidi" w:hAnsiTheme="majorBidi" w:cstheme="majorBidi"/>
          <w:color w:val="auto"/>
          <w:lang w:val="en-GB"/>
        </w:rPr>
        <w:t>category 1A. Severity of reaction may also be considered.</w:t>
      </w:r>
      <w:r w:rsidR="00420201" w:rsidRPr="00D773F7">
        <w:rPr>
          <w:rFonts w:asciiTheme="majorBidi" w:hAnsiTheme="majorBidi" w:cstheme="majorBidi"/>
          <w:color w:val="auto"/>
          <w:lang w:val="en-GB"/>
        </w:rPr>
        <w:t xml:space="preserve"> Human evidence for sub</w:t>
      </w:r>
      <w:r w:rsidR="00C93630">
        <w:rPr>
          <w:rFonts w:asciiTheme="majorBidi" w:hAnsiTheme="majorBidi" w:cstheme="majorBidi"/>
          <w:color w:val="auto"/>
          <w:lang w:val="en-GB"/>
        </w:rPr>
        <w:t>-</w:t>
      </w:r>
      <w:r w:rsidR="00420201" w:rsidRPr="00D773F7">
        <w:rPr>
          <w:rFonts w:asciiTheme="majorBidi" w:hAnsiTheme="majorBidi" w:cstheme="majorBidi"/>
          <w:color w:val="auto"/>
          <w:lang w:val="en-GB"/>
        </w:rPr>
        <w:t>category 1A can include</w:t>
      </w:r>
      <w:r w:rsidRPr="00D773F7">
        <w:rPr>
          <w:rFonts w:asciiTheme="majorBidi" w:hAnsiTheme="majorBidi" w:cstheme="majorBidi"/>
          <w:color w:val="auto"/>
          <w:lang w:val="en-GB"/>
        </w:rPr>
        <w:t>”</w:t>
      </w:r>
    </w:p>
    <w:p w14:paraId="6DEB9524" w14:textId="7CFDB166" w:rsidR="007F4FEC" w:rsidRPr="00D773F7" w:rsidRDefault="007F4FEC" w:rsidP="007F4FEC">
      <w:pPr>
        <w:pStyle w:val="SingleTxtG"/>
        <w:ind w:left="1701" w:hanging="567"/>
        <w:rPr>
          <w:rFonts w:asciiTheme="majorBidi" w:hAnsiTheme="majorBidi" w:cstheme="majorBidi"/>
        </w:rPr>
      </w:pPr>
      <w:r w:rsidRPr="00D773F7">
        <w:rPr>
          <w:rFonts w:asciiTheme="majorBidi" w:hAnsiTheme="majorBidi" w:cstheme="majorBidi"/>
        </w:rPr>
        <w:t>3.4.2.2.2.3 (former 3.4.2.2.2.2)</w:t>
      </w:r>
      <w:r w:rsidRPr="00D773F7">
        <w:rPr>
          <w:rFonts w:asciiTheme="majorBidi" w:hAnsiTheme="majorBidi" w:cstheme="majorBidi"/>
        </w:rPr>
        <w:tab/>
      </w:r>
      <w:r w:rsidR="005F3D2B" w:rsidRPr="00D773F7">
        <w:rPr>
          <w:rFonts w:asciiTheme="majorBidi" w:hAnsiTheme="majorBidi" w:cstheme="majorBidi"/>
        </w:rPr>
        <w:t>Amend the beginning of the paragraph</w:t>
      </w:r>
      <w:r w:rsidRPr="00D773F7">
        <w:rPr>
          <w:rFonts w:asciiTheme="majorBidi" w:hAnsiTheme="majorBidi" w:cstheme="majorBidi"/>
        </w:rPr>
        <w:t xml:space="preserve"> to read</w:t>
      </w:r>
      <w:r w:rsidR="00C63D92" w:rsidRPr="00D773F7">
        <w:rPr>
          <w:rFonts w:asciiTheme="majorBidi" w:hAnsiTheme="majorBidi" w:cstheme="majorBidi"/>
        </w:rPr>
        <w:t xml:space="preserve"> as follows</w:t>
      </w:r>
      <w:r w:rsidRPr="00D773F7">
        <w:rPr>
          <w:rFonts w:asciiTheme="majorBidi" w:hAnsiTheme="majorBidi" w:cstheme="majorBidi"/>
        </w:rPr>
        <w:t>:</w:t>
      </w:r>
    </w:p>
    <w:p w14:paraId="01C5896E" w14:textId="14BAD709" w:rsidR="007F4FEC" w:rsidRPr="00D773F7" w:rsidRDefault="007F4FEC" w:rsidP="00FF5260">
      <w:pPr>
        <w:pStyle w:val="GHStext"/>
        <w:tabs>
          <w:tab w:val="left" w:pos="2268"/>
        </w:tabs>
        <w:ind w:left="2268" w:right="1134"/>
        <w:rPr>
          <w:rFonts w:asciiTheme="majorBidi" w:hAnsiTheme="majorBidi" w:cstheme="majorBidi"/>
          <w:color w:val="auto"/>
          <w:szCs w:val="20"/>
          <w:lang w:val="en-GB"/>
        </w:rPr>
      </w:pPr>
      <w:r w:rsidRPr="00D773F7">
        <w:rPr>
          <w:rFonts w:asciiTheme="majorBidi" w:hAnsiTheme="majorBidi" w:cstheme="majorBidi"/>
          <w:color w:val="auto"/>
          <w:szCs w:val="20"/>
          <w:lang w:val="en-GB"/>
        </w:rPr>
        <w:t xml:space="preserve">“Substances showing a low to moderate frequency of occurrence in humans can be presumed to have the potential to produce sensitization and are classified in </w:t>
      </w:r>
      <w:r w:rsidR="008311A8" w:rsidRPr="00D773F7">
        <w:rPr>
          <w:rFonts w:asciiTheme="majorBidi" w:hAnsiTheme="majorBidi" w:cstheme="majorBidi"/>
          <w:color w:val="auto"/>
          <w:szCs w:val="20"/>
          <w:lang w:val="en-GB"/>
        </w:rPr>
        <w:t>sub-</w:t>
      </w:r>
      <w:r w:rsidRPr="00D773F7">
        <w:rPr>
          <w:rFonts w:asciiTheme="majorBidi" w:hAnsiTheme="majorBidi" w:cstheme="majorBidi"/>
          <w:color w:val="auto"/>
          <w:szCs w:val="20"/>
          <w:lang w:val="en-GB"/>
        </w:rPr>
        <w:t>category 1B. Severity of reaction may also be considered.</w:t>
      </w:r>
      <w:r w:rsidR="00421EAA" w:rsidRPr="00D773F7">
        <w:rPr>
          <w:rFonts w:asciiTheme="majorBidi" w:hAnsiTheme="majorBidi" w:cstheme="majorBidi"/>
          <w:szCs w:val="20"/>
        </w:rPr>
        <w:t xml:space="preserve"> </w:t>
      </w:r>
      <w:proofErr w:type="spellStart"/>
      <w:r w:rsidR="00421EAA" w:rsidRPr="00D773F7">
        <w:rPr>
          <w:rFonts w:asciiTheme="majorBidi" w:hAnsiTheme="majorBidi" w:cstheme="majorBidi"/>
          <w:szCs w:val="20"/>
        </w:rPr>
        <w:t>Hu</w:t>
      </w:r>
      <w:proofErr w:type="spellEnd"/>
      <w:r w:rsidR="00421EAA" w:rsidRPr="00D773F7">
        <w:rPr>
          <w:rFonts w:asciiTheme="majorBidi" w:hAnsiTheme="majorBidi" w:cstheme="majorBidi"/>
          <w:color w:val="auto"/>
          <w:szCs w:val="20"/>
          <w:lang w:val="en-GB"/>
        </w:rPr>
        <w:t>man evidence for sub</w:t>
      </w:r>
      <w:r w:rsidR="00DD368B" w:rsidRPr="00D773F7">
        <w:rPr>
          <w:rFonts w:asciiTheme="majorBidi" w:hAnsiTheme="majorBidi" w:cstheme="majorBidi"/>
          <w:color w:val="auto"/>
          <w:szCs w:val="20"/>
          <w:lang w:val="en-GB"/>
        </w:rPr>
        <w:t>-</w:t>
      </w:r>
      <w:r w:rsidR="00421EAA" w:rsidRPr="00D773F7">
        <w:rPr>
          <w:rFonts w:asciiTheme="majorBidi" w:hAnsiTheme="majorBidi" w:cstheme="majorBidi"/>
          <w:color w:val="auto"/>
          <w:szCs w:val="20"/>
          <w:lang w:val="en-GB"/>
        </w:rPr>
        <w:t>category 1B can include</w:t>
      </w:r>
      <w:r w:rsidR="00B62E0B" w:rsidRPr="00D773F7">
        <w:rPr>
          <w:rFonts w:asciiTheme="majorBidi" w:hAnsiTheme="majorBidi" w:cstheme="majorBidi"/>
          <w:color w:val="auto"/>
          <w:szCs w:val="20"/>
          <w:lang w:val="en-GB"/>
        </w:rPr>
        <w:t>:</w:t>
      </w:r>
      <w:r w:rsidRPr="00D773F7">
        <w:rPr>
          <w:rFonts w:asciiTheme="majorBidi" w:hAnsiTheme="majorBidi" w:cstheme="majorBidi"/>
          <w:color w:val="auto"/>
          <w:szCs w:val="20"/>
          <w:lang w:val="en-GB"/>
        </w:rPr>
        <w:t>”</w:t>
      </w:r>
    </w:p>
    <w:p w14:paraId="3D5662B0" w14:textId="7F971DA5" w:rsidR="007F4FEC" w:rsidRPr="00D773F7" w:rsidRDefault="007F4FEC" w:rsidP="00FF5260">
      <w:pPr>
        <w:pStyle w:val="SingleTxtG"/>
        <w:spacing w:line="240" w:lineRule="auto"/>
        <w:ind w:left="2268" w:hanging="1134"/>
        <w:rPr>
          <w:rFonts w:asciiTheme="majorBidi" w:hAnsiTheme="majorBidi" w:cstheme="majorBidi"/>
        </w:rPr>
      </w:pPr>
      <w:r w:rsidRPr="00D773F7">
        <w:rPr>
          <w:rFonts w:asciiTheme="majorBidi" w:hAnsiTheme="majorBidi" w:cstheme="majorBidi"/>
        </w:rPr>
        <w:t>3.4.2.2.3</w:t>
      </w:r>
      <w:r w:rsidRPr="00D773F7">
        <w:rPr>
          <w:rFonts w:asciiTheme="majorBidi" w:hAnsiTheme="majorBidi" w:cstheme="majorBidi"/>
        </w:rPr>
        <w:tab/>
      </w:r>
      <w:r w:rsidR="009A1C4B" w:rsidRPr="00D773F7">
        <w:rPr>
          <w:rFonts w:asciiTheme="majorBidi" w:hAnsiTheme="majorBidi" w:cstheme="majorBidi"/>
        </w:rPr>
        <w:t xml:space="preserve">Amend </w:t>
      </w:r>
      <w:r w:rsidRPr="00D773F7">
        <w:rPr>
          <w:rFonts w:asciiTheme="majorBidi" w:hAnsiTheme="majorBidi" w:cstheme="majorBidi"/>
        </w:rPr>
        <w:t xml:space="preserve">the heading </w:t>
      </w:r>
      <w:r w:rsidR="009A1C4B" w:rsidRPr="00D773F7">
        <w:rPr>
          <w:rFonts w:asciiTheme="majorBidi" w:hAnsiTheme="majorBidi" w:cstheme="majorBidi"/>
        </w:rPr>
        <w:t>to read as follows</w:t>
      </w:r>
      <w:r w:rsidRPr="00D773F7">
        <w:rPr>
          <w:rFonts w:asciiTheme="majorBidi" w:hAnsiTheme="majorBidi" w:cstheme="majorBidi"/>
        </w:rPr>
        <w:t>: “</w:t>
      </w:r>
      <w:r w:rsidRPr="00D773F7">
        <w:rPr>
          <w:rFonts w:asciiTheme="majorBidi" w:hAnsiTheme="majorBidi" w:cstheme="majorBidi"/>
          <w:i/>
          <w:iCs/>
        </w:rPr>
        <w:t>Classification based on standard animal data (</w:t>
      </w:r>
      <w:r w:rsidR="00123673" w:rsidRPr="00D773F7">
        <w:rPr>
          <w:rFonts w:asciiTheme="majorBidi" w:hAnsiTheme="majorBidi" w:cstheme="majorBidi"/>
          <w:i/>
          <w:iCs/>
        </w:rPr>
        <w:t>t</w:t>
      </w:r>
      <w:r w:rsidRPr="00D773F7">
        <w:rPr>
          <w:rFonts w:asciiTheme="majorBidi" w:hAnsiTheme="majorBidi" w:cstheme="majorBidi"/>
          <w:i/>
          <w:iCs/>
        </w:rPr>
        <w:t xml:space="preserve">ier 1 in </w:t>
      </w:r>
      <w:r w:rsidR="00D5525A" w:rsidRPr="00D773F7">
        <w:rPr>
          <w:rFonts w:asciiTheme="majorBidi" w:hAnsiTheme="majorBidi" w:cstheme="majorBidi"/>
          <w:i/>
          <w:iCs/>
        </w:rPr>
        <w:t>f</w:t>
      </w:r>
      <w:r w:rsidRPr="00D773F7">
        <w:rPr>
          <w:rFonts w:asciiTheme="majorBidi" w:hAnsiTheme="majorBidi" w:cstheme="majorBidi"/>
          <w:i/>
          <w:iCs/>
        </w:rPr>
        <w:t>igure 3.4.1)</w:t>
      </w:r>
      <w:r w:rsidRPr="00D773F7">
        <w:rPr>
          <w:rFonts w:asciiTheme="majorBidi" w:hAnsiTheme="majorBidi" w:cstheme="majorBidi"/>
        </w:rPr>
        <w:t>”</w:t>
      </w:r>
    </w:p>
    <w:p w14:paraId="440EE46D" w14:textId="7766356B" w:rsidR="00304C93" w:rsidRPr="00D773F7" w:rsidRDefault="003F0FA7" w:rsidP="00310982">
      <w:pPr>
        <w:pStyle w:val="Bullet1G"/>
        <w:numPr>
          <w:ilvl w:val="0"/>
          <w:numId w:val="0"/>
        </w:numPr>
        <w:ind w:left="2268" w:hanging="1134"/>
        <w:rPr>
          <w:rFonts w:asciiTheme="majorBidi" w:hAnsiTheme="majorBidi" w:cstheme="majorBidi"/>
        </w:rPr>
      </w:pPr>
      <w:r w:rsidRPr="00D773F7">
        <w:rPr>
          <w:rFonts w:asciiTheme="majorBidi" w:hAnsiTheme="majorBidi" w:cstheme="majorBidi"/>
        </w:rPr>
        <w:t>3.4.2.2.3.1</w:t>
      </w:r>
      <w:r w:rsidRPr="00D773F7">
        <w:rPr>
          <w:rFonts w:asciiTheme="majorBidi" w:hAnsiTheme="majorBidi" w:cstheme="majorBidi"/>
        </w:rPr>
        <w:tab/>
        <w:t xml:space="preserve">Amend </w:t>
      </w:r>
      <w:r w:rsidR="00310982" w:rsidRPr="00D773F7">
        <w:rPr>
          <w:rFonts w:asciiTheme="majorBidi" w:hAnsiTheme="majorBidi" w:cstheme="majorBidi"/>
        </w:rPr>
        <w:t xml:space="preserve">the paragraph and insert a new table 3.4.2 </w:t>
      </w:r>
      <w:r w:rsidRPr="00D773F7">
        <w:rPr>
          <w:rFonts w:asciiTheme="majorBidi" w:hAnsiTheme="majorBidi" w:cstheme="majorBidi"/>
        </w:rPr>
        <w:t>to read as follows:</w:t>
      </w:r>
    </w:p>
    <w:p w14:paraId="1946DACB" w14:textId="2D48EBF6" w:rsidR="00FA1AD5" w:rsidRPr="00D773F7" w:rsidRDefault="003F0FA7" w:rsidP="00FF5260">
      <w:pPr>
        <w:pStyle w:val="SingleTxtG"/>
        <w:ind w:left="2268"/>
        <w:rPr>
          <w:rFonts w:asciiTheme="majorBidi" w:hAnsiTheme="majorBidi" w:cstheme="majorBidi"/>
        </w:rPr>
      </w:pPr>
      <w:r w:rsidRPr="00D773F7">
        <w:rPr>
          <w:rFonts w:asciiTheme="majorBidi" w:hAnsiTheme="majorBidi" w:cstheme="majorBidi"/>
        </w:rPr>
        <w:t>“</w:t>
      </w:r>
      <w:r w:rsidR="00310982" w:rsidRPr="00D773F7">
        <w:rPr>
          <w:rFonts w:asciiTheme="majorBidi" w:hAnsiTheme="majorBidi" w:cstheme="majorBidi"/>
        </w:rPr>
        <w:t>3.4.2.2.3.1</w:t>
      </w:r>
      <w:r w:rsidR="00310982" w:rsidRPr="00D773F7">
        <w:rPr>
          <w:rFonts w:asciiTheme="majorBidi" w:hAnsiTheme="majorBidi" w:cstheme="majorBidi"/>
        </w:rPr>
        <w:tab/>
      </w:r>
      <w:r w:rsidRPr="00D773F7">
        <w:rPr>
          <w:rFonts w:asciiTheme="majorBidi" w:hAnsiTheme="majorBidi" w:cstheme="majorBidi"/>
        </w:rPr>
        <w:t>A substance is classified as a skin sensitizer if there are positive results from an appropriate animal test.</w:t>
      </w:r>
      <w:r w:rsidR="00FA1AD5" w:rsidRPr="00D773F7">
        <w:rPr>
          <w:rFonts w:asciiTheme="majorBidi" w:hAnsiTheme="majorBidi" w:cstheme="majorBidi"/>
        </w:rPr>
        <w:t xml:space="preserve"> For Category 1, when an adjuvant type </w:t>
      </w:r>
      <w:r w:rsidR="00FA1AD5" w:rsidRPr="00D773F7">
        <w:rPr>
          <w:rFonts w:asciiTheme="majorBidi" w:hAnsiTheme="majorBidi" w:cstheme="majorBidi"/>
        </w:rPr>
        <w:lastRenderedPageBreak/>
        <w:t xml:space="preserve">test method for skin sensitization is used, a response of at least 30% of the animals is considered as positive. For a non-adjuvant Guinea pig test method a response of at least 15% of </w:t>
      </w:r>
      <w:r w:rsidR="00FA1AD5" w:rsidRPr="00D773F7">
        <w:rPr>
          <w:rFonts w:asciiTheme="majorBidi" w:hAnsiTheme="majorBidi" w:cstheme="majorBidi"/>
          <w:spacing w:val="3"/>
        </w:rPr>
        <w:t xml:space="preserve">the animals is considered positive. For Category 1, a stimulation index of three or more is considered a positive </w:t>
      </w:r>
      <w:r w:rsidR="00FA1AD5" w:rsidRPr="00D773F7">
        <w:rPr>
          <w:rFonts w:asciiTheme="majorBidi" w:hAnsiTheme="majorBidi" w:cstheme="majorBidi"/>
        </w:rPr>
        <w:t xml:space="preserve">response in the </w:t>
      </w:r>
      <w:proofErr w:type="spellStart"/>
      <w:r w:rsidR="00FA1AD5" w:rsidRPr="00D773F7">
        <w:rPr>
          <w:rFonts w:asciiTheme="majorBidi" w:hAnsiTheme="majorBidi" w:cstheme="majorBidi"/>
        </w:rPr>
        <w:t>radioisotopic</w:t>
      </w:r>
      <w:proofErr w:type="spellEnd"/>
      <w:r w:rsidR="00FA1AD5" w:rsidRPr="00D773F7">
        <w:rPr>
          <w:rFonts w:asciiTheme="majorBidi" w:hAnsiTheme="majorBidi" w:cstheme="majorBidi"/>
        </w:rPr>
        <w:t xml:space="preserve"> local lymph node assay (LLNA)</w:t>
      </w:r>
      <w:r w:rsidR="00FA1AD5" w:rsidRPr="00D773F7">
        <w:rPr>
          <w:rFonts w:asciiTheme="majorBidi" w:hAnsiTheme="majorBidi" w:cstheme="majorBidi"/>
          <w:lang w:eastAsia="ja-JP"/>
        </w:rPr>
        <w:t>.</w:t>
      </w:r>
      <w:r w:rsidR="00FA1AD5" w:rsidRPr="00D773F7">
        <w:rPr>
          <w:rFonts w:asciiTheme="majorBidi" w:hAnsiTheme="majorBidi" w:cstheme="majorBidi"/>
        </w:rPr>
        <w:t xml:space="preserve"> For the non-radioactive modifications to the LLNA, </w:t>
      </w:r>
      <w:r w:rsidR="00FA1AD5" w:rsidRPr="00D773F7">
        <w:rPr>
          <w:rFonts w:asciiTheme="majorBidi" w:hAnsiTheme="majorBidi" w:cstheme="majorBidi"/>
          <w:spacing w:val="3"/>
        </w:rPr>
        <w:t>a stimulation index of</w:t>
      </w:r>
      <w:r w:rsidR="00FA1AD5" w:rsidRPr="00D773F7">
        <w:rPr>
          <w:rFonts w:asciiTheme="majorBidi" w:hAnsiTheme="majorBidi" w:cstheme="majorBidi"/>
        </w:rPr>
        <w:t xml:space="preserve"> 1.8 or more in the LLNA: DA, 1.6 or more in the LLNA: </w:t>
      </w:r>
      <w:proofErr w:type="spellStart"/>
      <w:r w:rsidR="00FA1AD5" w:rsidRPr="00D773F7">
        <w:rPr>
          <w:rFonts w:asciiTheme="majorBidi" w:hAnsiTheme="majorBidi" w:cstheme="majorBidi"/>
        </w:rPr>
        <w:t>BrdU</w:t>
      </w:r>
      <w:proofErr w:type="spellEnd"/>
      <w:r w:rsidR="00FA1AD5" w:rsidRPr="00D773F7">
        <w:rPr>
          <w:rFonts w:asciiTheme="majorBidi" w:hAnsiTheme="majorBidi" w:cstheme="majorBidi"/>
        </w:rPr>
        <w:t xml:space="preserve">-ELISA, and </w:t>
      </w:r>
      <w:r w:rsidR="00FA1AD5" w:rsidRPr="00D773F7">
        <w:rPr>
          <w:rFonts w:asciiTheme="majorBidi" w:hAnsiTheme="majorBidi" w:cstheme="majorBidi"/>
          <w:lang w:eastAsia="ja-JP"/>
        </w:rPr>
        <w:t xml:space="preserve">2.7 or more in </w:t>
      </w:r>
      <w:r w:rsidR="00FA1AD5" w:rsidRPr="00D773F7">
        <w:rPr>
          <w:rFonts w:asciiTheme="majorBidi" w:hAnsiTheme="majorBidi" w:cstheme="majorBidi"/>
        </w:rPr>
        <w:t xml:space="preserve">the LLNA: </w:t>
      </w:r>
      <w:proofErr w:type="spellStart"/>
      <w:r w:rsidR="00FA1AD5" w:rsidRPr="00D773F7">
        <w:rPr>
          <w:rFonts w:asciiTheme="majorBidi" w:hAnsiTheme="majorBidi" w:cstheme="majorBidi"/>
        </w:rPr>
        <w:t>BrdU</w:t>
      </w:r>
      <w:proofErr w:type="spellEnd"/>
      <w:r w:rsidR="00FA1AD5" w:rsidRPr="00D773F7">
        <w:rPr>
          <w:rFonts w:asciiTheme="majorBidi" w:hAnsiTheme="majorBidi" w:cstheme="majorBidi"/>
        </w:rPr>
        <w:t xml:space="preserve">-FCM are considered positive. Test methods for skin sensitization are described in the OECD Guideline 406 </w:t>
      </w:r>
      <w:r w:rsidR="00FA1AD5" w:rsidRPr="00D773F7">
        <w:rPr>
          <w:rFonts w:asciiTheme="majorBidi" w:hAnsiTheme="majorBidi" w:cstheme="majorBidi"/>
          <w:spacing w:val="-2"/>
        </w:rPr>
        <w:t xml:space="preserve">(the Guinea Pig Maximisation test and the Buehler guinea pig test) and in </w:t>
      </w:r>
      <w:r w:rsidR="001966B8" w:rsidRPr="00D773F7">
        <w:rPr>
          <w:rFonts w:asciiTheme="majorBidi" w:hAnsiTheme="majorBidi" w:cstheme="majorBidi"/>
          <w:spacing w:val="-2"/>
        </w:rPr>
        <w:t>g</w:t>
      </w:r>
      <w:r w:rsidR="00FA1AD5" w:rsidRPr="00D773F7">
        <w:rPr>
          <w:rFonts w:asciiTheme="majorBidi" w:hAnsiTheme="majorBidi" w:cstheme="majorBidi"/>
          <w:spacing w:val="-2"/>
        </w:rPr>
        <w:t xml:space="preserve">uidelines 429/442A/442B (Local Lymph Node Assays). </w:t>
      </w:r>
      <w:r w:rsidR="00FA1AD5" w:rsidRPr="00D773F7">
        <w:rPr>
          <w:rFonts w:asciiTheme="majorBidi" w:hAnsiTheme="majorBidi" w:cstheme="majorBidi"/>
          <w:spacing w:val="-2"/>
          <w:lang w:eastAsia="ja-JP"/>
        </w:rPr>
        <w:t xml:space="preserve"> </w:t>
      </w:r>
      <w:r w:rsidR="00FA1AD5" w:rsidRPr="00D773F7">
        <w:rPr>
          <w:rFonts w:asciiTheme="majorBidi" w:hAnsiTheme="majorBidi" w:cstheme="majorBidi"/>
          <w:spacing w:val="-2"/>
        </w:rPr>
        <w:t xml:space="preserve">Other </w:t>
      </w:r>
      <w:r w:rsidR="00FA1AD5" w:rsidRPr="00D773F7">
        <w:rPr>
          <w:rFonts w:asciiTheme="majorBidi" w:hAnsiTheme="majorBidi" w:cstheme="majorBidi"/>
          <w:spacing w:val="4"/>
        </w:rPr>
        <w:t xml:space="preserve">methods may be used provided that they are well-validated and scientific justification is given. The Mouse Ear </w:t>
      </w:r>
      <w:r w:rsidR="00FA1AD5" w:rsidRPr="00D773F7">
        <w:rPr>
          <w:rFonts w:asciiTheme="majorBidi" w:hAnsiTheme="majorBidi" w:cstheme="majorBidi"/>
        </w:rPr>
        <w:t>Swelling Test (MEST), appears to be a reliable screening test to detect moderate to strong sensitizers, and can be used as a first stage in the assessment of skin sensitization potential.</w:t>
      </w:r>
    </w:p>
    <w:p w14:paraId="03EC50EB" w14:textId="31A1B322" w:rsidR="00EE3EDC" w:rsidRPr="00D773F7" w:rsidRDefault="00EE3EDC" w:rsidP="00EE3EDC">
      <w:pPr>
        <w:spacing w:before="216" w:after="120" w:line="240" w:lineRule="exact"/>
        <w:jc w:val="center"/>
        <w:rPr>
          <w:rFonts w:asciiTheme="majorBidi" w:hAnsiTheme="majorBidi" w:cstheme="majorBidi"/>
          <w:b/>
          <w:bCs/>
          <w:color w:val="000000" w:themeColor="text1"/>
        </w:rPr>
      </w:pPr>
      <w:r w:rsidRPr="00D773F7">
        <w:rPr>
          <w:rFonts w:asciiTheme="majorBidi" w:hAnsiTheme="majorBidi" w:cstheme="majorBidi"/>
          <w:b/>
          <w:bCs/>
          <w:color w:val="000000" w:themeColor="text1"/>
        </w:rPr>
        <w:t>Table 3.4.</w:t>
      </w:r>
      <w:r w:rsidR="0021665E" w:rsidRPr="00D773F7">
        <w:rPr>
          <w:rFonts w:asciiTheme="majorBidi" w:hAnsiTheme="majorBidi" w:cstheme="majorBidi"/>
          <w:b/>
          <w:bCs/>
          <w:color w:val="000000" w:themeColor="text1"/>
        </w:rPr>
        <w:t>2</w:t>
      </w:r>
      <w:r w:rsidRPr="00D773F7">
        <w:rPr>
          <w:rFonts w:asciiTheme="majorBidi" w:hAnsiTheme="majorBidi" w:cstheme="majorBidi"/>
          <w:b/>
          <w:bCs/>
          <w:color w:val="000000" w:themeColor="text1"/>
        </w:rPr>
        <w:t xml:space="preserve">: Animal test results for </w:t>
      </w:r>
      <w:r w:rsidR="00BB0581" w:rsidRPr="00D773F7">
        <w:rPr>
          <w:rFonts w:asciiTheme="majorBidi" w:hAnsiTheme="majorBidi" w:cstheme="majorBidi"/>
          <w:b/>
          <w:bCs/>
          <w:color w:val="000000" w:themeColor="text1"/>
        </w:rPr>
        <w:t>C</w:t>
      </w:r>
      <w:r w:rsidRPr="00D773F7">
        <w:rPr>
          <w:rFonts w:asciiTheme="majorBidi" w:hAnsiTheme="majorBidi" w:cstheme="majorBidi"/>
          <w:b/>
          <w:bCs/>
          <w:color w:val="000000" w:themeColor="text1"/>
        </w:rPr>
        <w:t>ategory 1</w:t>
      </w:r>
    </w:p>
    <w:tbl>
      <w:tblPr>
        <w:tblStyle w:val="TableGrid"/>
        <w:tblW w:w="0" w:type="auto"/>
        <w:tblInd w:w="1413" w:type="dxa"/>
        <w:tblLook w:val="04A0" w:firstRow="1" w:lastRow="0" w:firstColumn="1" w:lastColumn="0" w:noHBand="0" w:noVBand="1"/>
      </w:tblPr>
      <w:tblGrid>
        <w:gridCol w:w="3401"/>
        <w:gridCol w:w="4395"/>
      </w:tblGrid>
      <w:tr w:rsidR="003B6703" w:rsidRPr="00D773F7" w14:paraId="31C11112" w14:textId="77777777" w:rsidTr="00E84C90">
        <w:tc>
          <w:tcPr>
            <w:tcW w:w="3401" w:type="dxa"/>
          </w:tcPr>
          <w:p w14:paraId="3C5B8B47" w14:textId="22BB09AC" w:rsidR="0051672C" w:rsidRPr="00D773F7" w:rsidRDefault="0051672C" w:rsidP="00FF5260">
            <w:pPr>
              <w:jc w:val="center"/>
              <w:rPr>
                <w:rFonts w:asciiTheme="majorBidi" w:hAnsiTheme="majorBidi" w:cstheme="majorBidi"/>
              </w:rPr>
            </w:pPr>
            <w:r w:rsidRPr="00D773F7">
              <w:rPr>
                <w:rFonts w:asciiTheme="majorBidi" w:eastAsia="MS PMincho" w:hAnsiTheme="majorBidi" w:cstheme="majorBidi"/>
                <w:b/>
                <w:bCs/>
                <w:color w:val="000000" w:themeColor="text1"/>
              </w:rPr>
              <w:t>Assay</w:t>
            </w:r>
          </w:p>
        </w:tc>
        <w:tc>
          <w:tcPr>
            <w:tcW w:w="4395" w:type="dxa"/>
          </w:tcPr>
          <w:p w14:paraId="1EFAF405" w14:textId="38E735A7" w:rsidR="0051672C" w:rsidRPr="00D773F7" w:rsidRDefault="0051672C" w:rsidP="00FF5260">
            <w:pPr>
              <w:jc w:val="center"/>
              <w:rPr>
                <w:rFonts w:asciiTheme="majorBidi" w:hAnsiTheme="majorBidi" w:cstheme="majorBidi"/>
              </w:rPr>
            </w:pPr>
            <w:r w:rsidRPr="00D773F7">
              <w:rPr>
                <w:rFonts w:asciiTheme="majorBidi" w:eastAsia="MS PMincho" w:hAnsiTheme="majorBidi" w:cstheme="majorBidi"/>
                <w:b/>
                <w:bCs/>
                <w:color w:val="000000" w:themeColor="text1"/>
              </w:rPr>
              <w:t>Criteria</w:t>
            </w:r>
          </w:p>
        </w:tc>
      </w:tr>
      <w:tr w:rsidR="003B6703" w:rsidRPr="00D773F7" w14:paraId="25AC005D" w14:textId="77777777" w:rsidTr="00E84C90">
        <w:tc>
          <w:tcPr>
            <w:tcW w:w="3401" w:type="dxa"/>
          </w:tcPr>
          <w:p w14:paraId="12A4F0A5" w14:textId="2D8C7DDB" w:rsidR="0051672C" w:rsidRPr="00D773F7" w:rsidRDefault="0051672C" w:rsidP="00FF5260">
            <w:pPr>
              <w:ind w:left="145"/>
              <w:rPr>
                <w:rFonts w:asciiTheme="majorBidi" w:hAnsiTheme="majorBidi" w:cstheme="majorBidi"/>
              </w:rPr>
            </w:pPr>
            <w:r w:rsidRPr="00D773F7">
              <w:rPr>
                <w:rFonts w:asciiTheme="majorBidi" w:eastAsia="MS PMincho" w:hAnsiTheme="majorBidi" w:cstheme="majorBidi"/>
                <w:color w:val="000000" w:themeColor="text1"/>
              </w:rPr>
              <w:t>Local lymph node assay</w:t>
            </w:r>
          </w:p>
        </w:tc>
        <w:tc>
          <w:tcPr>
            <w:tcW w:w="4395" w:type="dxa"/>
          </w:tcPr>
          <w:p w14:paraId="5CB0B372" w14:textId="47545633" w:rsidR="0051672C" w:rsidRPr="00D773F7" w:rsidRDefault="0051672C" w:rsidP="00FF5260">
            <w:pPr>
              <w:ind w:left="143"/>
              <w:rPr>
                <w:rFonts w:asciiTheme="majorBidi" w:hAnsiTheme="majorBidi" w:cstheme="majorBidi"/>
              </w:rPr>
            </w:pPr>
            <w:r w:rsidRPr="00D773F7">
              <w:rPr>
                <w:rFonts w:asciiTheme="majorBidi" w:eastAsia="MS PMincho" w:hAnsiTheme="majorBidi" w:cstheme="majorBidi"/>
                <w:color w:val="000000" w:themeColor="text1"/>
              </w:rPr>
              <w:t>SI ≥ 3</w:t>
            </w:r>
          </w:p>
        </w:tc>
      </w:tr>
      <w:tr w:rsidR="003B6703" w:rsidRPr="00D773F7" w14:paraId="7CAD4D12" w14:textId="77777777" w:rsidTr="00E84C90">
        <w:tc>
          <w:tcPr>
            <w:tcW w:w="3401" w:type="dxa"/>
          </w:tcPr>
          <w:p w14:paraId="2F6AC0BE" w14:textId="047D7496" w:rsidR="0051672C" w:rsidRPr="00D773F7" w:rsidRDefault="0051672C" w:rsidP="00FF5260">
            <w:pPr>
              <w:ind w:left="145"/>
              <w:rPr>
                <w:rFonts w:asciiTheme="majorBidi" w:hAnsiTheme="majorBidi" w:cstheme="majorBidi"/>
              </w:rPr>
            </w:pPr>
            <w:r w:rsidRPr="00D773F7">
              <w:rPr>
                <w:rFonts w:asciiTheme="majorBidi" w:eastAsia="MS PMincho" w:hAnsiTheme="majorBidi" w:cstheme="majorBidi"/>
                <w:color w:val="000000" w:themeColor="text1"/>
              </w:rPr>
              <w:t>Local lymph node assay: DA</w:t>
            </w:r>
          </w:p>
        </w:tc>
        <w:tc>
          <w:tcPr>
            <w:tcW w:w="4395" w:type="dxa"/>
          </w:tcPr>
          <w:p w14:paraId="2D71024F" w14:textId="4D9945EA" w:rsidR="0051672C" w:rsidRPr="00D773F7" w:rsidRDefault="0051672C" w:rsidP="00FF5260">
            <w:pPr>
              <w:ind w:left="143"/>
              <w:rPr>
                <w:rFonts w:asciiTheme="majorBidi" w:hAnsiTheme="majorBidi" w:cstheme="majorBidi"/>
              </w:rPr>
            </w:pPr>
            <w:r w:rsidRPr="00D773F7">
              <w:rPr>
                <w:rFonts w:asciiTheme="majorBidi" w:eastAsia="MS PMincho" w:hAnsiTheme="majorBidi" w:cstheme="majorBidi"/>
                <w:color w:val="000000" w:themeColor="text1"/>
              </w:rPr>
              <w:t>SI ≥ 1.8</w:t>
            </w:r>
          </w:p>
        </w:tc>
      </w:tr>
      <w:tr w:rsidR="003B6703" w:rsidRPr="00D773F7" w14:paraId="145357BD" w14:textId="77777777" w:rsidTr="00E84C90">
        <w:tc>
          <w:tcPr>
            <w:tcW w:w="3401" w:type="dxa"/>
          </w:tcPr>
          <w:p w14:paraId="331593DB" w14:textId="6EE50420" w:rsidR="0051672C" w:rsidRPr="00D773F7" w:rsidRDefault="0051672C" w:rsidP="00FF5260">
            <w:pPr>
              <w:ind w:left="145"/>
              <w:rPr>
                <w:rFonts w:asciiTheme="majorBidi" w:hAnsiTheme="majorBidi" w:cstheme="majorBidi"/>
              </w:rPr>
            </w:pPr>
            <w:r w:rsidRPr="00D773F7">
              <w:rPr>
                <w:rFonts w:asciiTheme="majorBidi" w:eastAsia="MS PMincho" w:hAnsiTheme="majorBidi" w:cstheme="majorBidi"/>
                <w:color w:val="000000" w:themeColor="text1"/>
              </w:rPr>
              <w:t xml:space="preserve">Local lymph node assay: </w:t>
            </w:r>
            <w:proofErr w:type="spellStart"/>
            <w:r w:rsidRPr="00D773F7">
              <w:rPr>
                <w:rFonts w:asciiTheme="majorBidi" w:eastAsia="MS PMincho" w:hAnsiTheme="majorBidi" w:cstheme="majorBidi"/>
                <w:color w:val="000000" w:themeColor="text1"/>
              </w:rPr>
              <w:t>BrdU</w:t>
            </w:r>
            <w:proofErr w:type="spellEnd"/>
            <w:r w:rsidRPr="00D773F7">
              <w:rPr>
                <w:rFonts w:asciiTheme="majorBidi" w:eastAsia="MS PMincho" w:hAnsiTheme="majorBidi" w:cstheme="majorBidi"/>
                <w:color w:val="000000" w:themeColor="text1"/>
              </w:rPr>
              <w:t>-ELISA</w:t>
            </w:r>
          </w:p>
        </w:tc>
        <w:tc>
          <w:tcPr>
            <w:tcW w:w="4395" w:type="dxa"/>
          </w:tcPr>
          <w:p w14:paraId="5DD6018A" w14:textId="204F6A94" w:rsidR="0051672C" w:rsidRPr="00D773F7" w:rsidRDefault="0051672C" w:rsidP="00FF5260">
            <w:pPr>
              <w:ind w:left="143"/>
              <w:rPr>
                <w:rFonts w:asciiTheme="majorBidi" w:hAnsiTheme="majorBidi" w:cstheme="majorBidi"/>
              </w:rPr>
            </w:pPr>
            <w:r w:rsidRPr="00D773F7">
              <w:rPr>
                <w:rFonts w:asciiTheme="majorBidi" w:eastAsia="MS PMincho" w:hAnsiTheme="majorBidi" w:cstheme="majorBidi"/>
                <w:color w:val="000000" w:themeColor="text1"/>
              </w:rPr>
              <w:t>SI ≥ 1.6</w:t>
            </w:r>
          </w:p>
        </w:tc>
      </w:tr>
      <w:tr w:rsidR="003B6703" w:rsidRPr="00D773F7" w14:paraId="3ED5D364" w14:textId="77777777" w:rsidTr="00E84C90">
        <w:tc>
          <w:tcPr>
            <w:tcW w:w="3401" w:type="dxa"/>
          </w:tcPr>
          <w:p w14:paraId="5AB53B8F" w14:textId="545C4585" w:rsidR="0051672C" w:rsidRPr="00D773F7" w:rsidRDefault="0051672C" w:rsidP="00FF5260">
            <w:pPr>
              <w:ind w:left="145"/>
              <w:rPr>
                <w:rFonts w:asciiTheme="majorBidi" w:hAnsiTheme="majorBidi" w:cstheme="majorBidi"/>
              </w:rPr>
            </w:pPr>
            <w:r w:rsidRPr="00D773F7">
              <w:rPr>
                <w:rFonts w:asciiTheme="majorBidi" w:eastAsia="MS PMincho" w:hAnsiTheme="majorBidi" w:cstheme="majorBidi"/>
                <w:color w:val="000000" w:themeColor="text1"/>
              </w:rPr>
              <w:t xml:space="preserve">Local lymph node assay: </w:t>
            </w:r>
            <w:proofErr w:type="spellStart"/>
            <w:r w:rsidRPr="00D773F7">
              <w:rPr>
                <w:rFonts w:asciiTheme="majorBidi" w:eastAsia="MS PMincho" w:hAnsiTheme="majorBidi" w:cstheme="majorBidi"/>
                <w:color w:val="000000" w:themeColor="text1"/>
              </w:rPr>
              <w:t>BrdU</w:t>
            </w:r>
            <w:proofErr w:type="spellEnd"/>
            <w:r w:rsidRPr="00D773F7">
              <w:rPr>
                <w:rFonts w:asciiTheme="majorBidi" w:eastAsia="MS PMincho" w:hAnsiTheme="majorBidi" w:cstheme="majorBidi"/>
                <w:color w:val="000000" w:themeColor="text1"/>
              </w:rPr>
              <w:t>-FCM</w:t>
            </w:r>
          </w:p>
        </w:tc>
        <w:tc>
          <w:tcPr>
            <w:tcW w:w="4395" w:type="dxa"/>
          </w:tcPr>
          <w:p w14:paraId="75BAC9F8" w14:textId="0361C892" w:rsidR="0051672C" w:rsidRPr="00D773F7" w:rsidRDefault="0051672C" w:rsidP="00FF5260">
            <w:pPr>
              <w:ind w:left="143"/>
              <w:rPr>
                <w:rFonts w:asciiTheme="majorBidi" w:hAnsiTheme="majorBidi" w:cstheme="majorBidi"/>
              </w:rPr>
            </w:pPr>
            <w:r w:rsidRPr="00D773F7">
              <w:rPr>
                <w:rFonts w:asciiTheme="majorBidi" w:eastAsia="MS PMincho" w:hAnsiTheme="majorBidi" w:cstheme="majorBidi"/>
                <w:color w:val="000000" w:themeColor="text1"/>
              </w:rPr>
              <w:t>SI ≥ 2.7</w:t>
            </w:r>
          </w:p>
        </w:tc>
      </w:tr>
      <w:tr w:rsidR="003B6703" w:rsidRPr="00D773F7" w14:paraId="367DAEA0" w14:textId="77777777" w:rsidTr="00E84C90">
        <w:tc>
          <w:tcPr>
            <w:tcW w:w="3401" w:type="dxa"/>
          </w:tcPr>
          <w:p w14:paraId="378117A3" w14:textId="558FBBCD" w:rsidR="0051672C" w:rsidRPr="00D773F7" w:rsidRDefault="0051672C" w:rsidP="00FF5260">
            <w:pPr>
              <w:ind w:left="145"/>
              <w:rPr>
                <w:rFonts w:asciiTheme="majorBidi" w:hAnsiTheme="majorBidi" w:cstheme="majorBidi"/>
              </w:rPr>
            </w:pPr>
            <w:r w:rsidRPr="00D773F7">
              <w:rPr>
                <w:rFonts w:asciiTheme="majorBidi" w:hAnsiTheme="majorBidi" w:cstheme="majorBidi"/>
                <w:color w:val="000000" w:themeColor="text1"/>
              </w:rPr>
              <w:t>Adjuvant Guinea pig test method</w:t>
            </w:r>
          </w:p>
        </w:tc>
        <w:tc>
          <w:tcPr>
            <w:tcW w:w="4395" w:type="dxa"/>
          </w:tcPr>
          <w:p w14:paraId="6E749131" w14:textId="5888B684" w:rsidR="0051672C" w:rsidRPr="00D773F7" w:rsidRDefault="0051672C" w:rsidP="00FF5260">
            <w:pPr>
              <w:ind w:left="143"/>
              <w:rPr>
                <w:rFonts w:asciiTheme="majorBidi" w:hAnsiTheme="majorBidi" w:cstheme="majorBidi"/>
              </w:rPr>
            </w:pPr>
            <w:r w:rsidRPr="00D773F7">
              <w:rPr>
                <w:rFonts w:asciiTheme="majorBidi" w:eastAsia="MS PMincho" w:hAnsiTheme="majorBidi" w:cstheme="majorBidi"/>
                <w:color w:val="000000" w:themeColor="text1"/>
              </w:rPr>
              <w:t>≥ 30% responding at any intradermal induction dose</w:t>
            </w:r>
          </w:p>
        </w:tc>
      </w:tr>
      <w:tr w:rsidR="00FD1ECE" w:rsidRPr="00D773F7" w14:paraId="3916B976" w14:textId="77777777" w:rsidTr="00E84C90">
        <w:tc>
          <w:tcPr>
            <w:tcW w:w="3401" w:type="dxa"/>
          </w:tcPr>
          <w:p w14:paraId="3F0DE997" w14:textId="4985548E" w:rsidR="0051672C" w:rsidRPr="00D773F7" w:rsidRDefault="0051672C" w:rsidP="00FF5260">
            <w:pPr>
              <w:ind w:left="145"/>
              <w:rPr>
                <w:rFonts w:asciiTheme="majorBidi" w:hAnsiTheme="majorBidi" w:cstheme="majorBidi"/>
                <w:color w:val="000000" w:themeColor="text1"/>
              </w:rPr>
            </w:pPr>
            <w:r w:rsidRPr="00D773F7">
              <w:rPr>
                <w:rFonts w:asciiTheme="majorBidi" w:hAnsiTheme="majorBidi" w:cstheme="majorBidi"/>
                <w:color w:val="000000" w:themeColor="text1"/>
              </w:rPr>
              <w:t>Non-adjuvant Guinea pig test method</w:t>
            </w:r>
          </w:p>
        </w:tc>
        <w:tc>
          <w:tcPr>
            <w:tcW w:w="4395" w:type="dxa"/>
          </w:tcPr>
          <w:p w14:paraId="13C71A3A" w14:textId="172591EE" w:rsidR="0051672C" w:rsidRPr="00D773F7" w:rsidRDefault="0051672C" w:rsidP="00FF5260">
            <w:pPr>
              <w:ind w:left="143"/>
              <w:rPr>
                <w:rFonts w:asciiTheme="majorBidi" w:eastAsia="MS PMincho" w:hAnsiTheme="majorBidi" w:cstheme="majorBidi"/>
                <w:color w:val="000000" w:themeColor="text1"/>
              </w:rPr>
            </w:pPr>
            <w:r w:rsidRPr="00D773F7">
              <w:rPr>
                <w:rFonts w:asciiTheme="majorBidi" w:eastAsia="MS PMincho" w:hAnsiTheme="majorBidi" w:cstheme="majorBidi"/>
                <w:color w:val="000000" w:themeColor="text1"/>
              </w:rPr>
              <w:t>≥ 15% responding at any topical induction dose</w:t>
            </w:r>
          </w:p>
        </w:tc>
      </w:tr>
    </w:tbl>
    <w:p w14:paraId="3AD6FF0A" w14:textId="615CFE32" w:rsidR="00304C93" w:rsidRPr="00D773F7" w:rsidRDefault="0046503B" w:rsidP="007C30E3">
      <w:pPr>
        <w:pStyle w:val="Bullet1G"/>
        <w:numPr>
          <w:ilvl w:val="0"/>
          <w:numId w:val="0"/>
        </w:numPr>
        <w:ind w:left="1701" w:hanging="170"/>
        <w:jc w:val="right"/>
        <w:rPr>
          <w:rFonts w:asciiTheme="majorBidi" w:hAnsiTheme="majorBidi" w:cstheme="majorBidi"/>
        </w:rPr>
      </w:pPr>
      <w:r w:rsidRPr="00D773F7">
        <w:rPr>
          <w:rFonts w:asciiTheme="majorBidi" w:hAnsiTheme="majorBidi" w:cstheme="majorBidi"/>
        </w:rPr>
        <w:t>”</w:t>
      </w:r>
      <w:r w:rsidR="00C30B0F" w:rsidRPr="00D773F7">
        <w:rPr>
          <w:rFonts w:asciiTheme="majorBidi" w:hAnsiTheme="majorBidi" w:cstheme="majorBidi"/>
        </w:rPr>
        <w:t>.</w:t>
      </w:r>
    </w:p>
    <w:p w14:paraId="429EF389" w14:textId="43D8BC39" w:rsidR="007F4FEC" w:rsidRPr="00D773F7" w:rsidRDefault="007F4FEC" w:rsidP="00C17E19">
      <w:pPr>
        <w:pStyle w:val="GHStext"/>
        <w:tabs>
          <w:tab w:val="left" w:pos="2268"/>
        </w:tabs>
        <w:ind w:left="2268" w:right="1134" w:hanging="1134"/>
        <w:rPr>
          <w:rFonts w:asciiTheme="majorBidi" w:hAnsiTheme="majorBidi" w:cstheme="majorBidi"/>
          <w:color w:val="auto"/>
          <w:lang w:val="en-GB"/>
        </w:rPr>
      </w:pPr>
      <w:r w:rsidRPr="00D773F7">
        <w:rPr>
          <w:rFonts w:asciiTheme="majorBidi" w:hAnsiTheme="majorBidi" w:cstheme="majorBidi"/>
          <w:color w:val="auto"/>
          <w:lang w:val="en-GB"/>
        </w:rPr>
        <w:t>3.4.2.2.3.2</w:t>
      </w:r>
      <w:r w:rsidRPr="00D773F7">
        <w:rPr>
          <w:rFonts w:asciiTheme="majorBidi" w:hAnsiTheme="majorBidi" w:cstheme="majorBidi"/>
          <w:color w:val="auto"/>
          <w:lang w:val="en-GB"/>
        </w:rPr>
        <w:tab/>
      </w:r>
      <w:r w:rsidR="00DC2909" w:rsidRPr="00D773F7">
        <w:rPr>
          <w:rFonts w:asciiTheme="majorBidi" w:hAnsiTheme="majorBidi" w:cstheme="majorBidi"/>
          <w:color w:val="auto"/>
          <w:lang w:val="en-GB"/>
        </w:rPr>
        <w:t xml:space="preserve">Amend </w:t>
      </w:r>
      <w:r w:rsidRPr="00D773F7">
        <w:rPr>
          <w:rFonts w:asciiTheme="majorBidi" w:hAnsiTheme="majorBidi" w:cstheme="majorBidi"/>
          <w:color w:val="auto"/>
          <w:lang w:val="en-GB"/>
        </w:rPr>
        <w:t>to read</w:t>
      </w:r>
      <w:r w:rsidR="00AD2C94" w:rsidRPr="00D773F7">
        <w:rPr>
          <w:rFonts w:asciiTheme="majorBidi" w:hAnsiTheme="majorBidi" w:cstheme="majorBidi"/>
          <w:color w:val="auto"/>
          <w:lang w:val="en-GB"/>
        </w:rPr>
        <w:t xml:space="preserve"> as follows</w:t>
      </w:r>
      <w:r w:rsidR="008338D3" w:rsidRPr="00D773F7">
        <w:rPr>
          <w:rFonts w:asciiTheme="majorBidi" w:hAnsiTheme="majorBidi" w:cstheme="majorBidi"/>
          <w:color w:val="auto"/>
          <w:lang w:val="en-GB"/>
        </w:rPr>
        <w:t xml:space="preserve"> (current table 3.4.3 remains unchanged)</w:t>
      </w:r>
      <w:r w:rsidRPr="00D773F7">
        <w:rPr>
          <w:rFonts w:asciiTheme="majorBidi" w:hAnsiTheme="majorBidi" w:cstheme="majorBidi"/>
          <w:color w:val="auto"/>
          <w:lang w:val="en-GB"/>
        </w:rPr>
        <w:t xml:space="preserve">: </w:t>
      </w:r>
    </w:p>
    <w:p w14:paraId="66F19CEB" w14:textId="3B759F61" w:rsidR="007F4FEC" w:rsidRPr="00D773F7" w:rsidRDefault="00C17E19" w:rsidP="00C17E19">
      <w:pPr>
        <w:pStyle w:val="SingleTxtG"/>
        <w:tabs>
          <w:tab w:val="clear" w:pos="1701"/>
        </w:tabs>
        <w:ind w:left="2268" w:hanging="1134"/>
        <w:rPr>
          <w:rFonts w:asciiTheme="majorBidi" w:hAnsiTheme="majorBidi" w:cstheme="majorBidi"/>
        </w:rPr>
      </w:pPr>
      <w:r w:rsidRPr="00D773F7">
        <w:rPr>
          <w:rFonts w:asciiTheme="majorBidi" w:hAnsiTheme="majorBidi" w:cstheme="majorBidi"/>
        </w:rPr>
        <w:tab/>
      </w:r>
      <w:r w:rsidR="007F4FEC" w:rsidRPr="00D773F7">
        <w:rPr>
          <w:rFonts w:asciiTheme="majorBidi" w:hAnsiTheme="majorBidi" w:cstheme="majorBidi"/>
        </w:rPr>
        <w:t>“</w:t>
      </w:r>
      <w:r w:rsidR="008338D3" w:rsidRPr="00D773F7">
        <w:rPr>
          <w:rFonts w:asciiTheme="majorBidi" w:hAnsiTheme="majorBidi" w:cstheme="majorBidi"/>
        </w:rPr>
        <w:t>3.4.2.2.3.2</w:t>
      </w:r>
      <w:r w:rsidR="008338D3" w:rsidRPr="00D773F7">
        <w:rPr>
          <w:rFonts w:asciiTheme="majorBidi" w:hAnsiTheme="majorBidi" w:cstheme="majorBidi"/>
        </w:rPr>
        <w:tab/>
      </w:r>
      <w:r w:rsidR="007F4FEC" w:rsidRPr="00D773F7">
        <w:rPr>
          <w:rFonts w:asciiTheme="majorBidi" w:hAnsiTheme="majorBidi" w:cstheme="majorBidi"/>
        </w:rPr>
        <w:t xml:space="preserve">Substances showing a high potency in animals, can be presumed to have the potential to produce significant sensitization in humans and are classified in </w:t>
      </w:r>
      <w:r w:rsidR="006774FC" w:rsidRPr="00D773F7">
        <w:rPr>
          <w:rFonts w:asciiTheme="majorBidi" w:hAnsiTheme="majorBidi" w:cstheme="majorBidi"/>
        </w:rPr>
        <w:t>sub-</w:t>
      </w:r>
      <w:r w:rsidR="007F4FEC" w:rsidRPr="00D773F7">
        <w:rPr>
          <w:rFonts w:asciiTheme="majorBidi" w:hAnsiTheme="majorBidi" w:cstheme="majorBidi"/>
        </w:rPr>
        <w:t>category 1A. Severity of reactions may also be considered.</w:t>
      </w:r>
      <w:r w:rsidR="00660CB6" w:rsidRPr="00D773F7">
        <w:rPr>
          <w:rFonts w:asciiTheme="majorBidi" w:hAnsiTheme="majorBidi" w:cstheme="majorBidi"/>
        </w:rPr>
        <w:t xml:space="preserve"> Animal test results for sub-category 1A can include data with values indicated in </w:t>
      </w:r>
      <w:r w:rsidR="001806B2" w:rsidRPr="00D773F7">
        <w:rPr>
          <w:rFonts w:asciiTheme="majorBidi" w:hAnsiTheme="majorBidi" w:cstheme="majorBidi"/>
        </w:rPr>
        <w:t>t</w:t>
      </w:r>
      <w:r w:rsidR="00660CB6" w:rsidRPr="00D773F7">
        <w:rPr>
          <w:rFonts w:asciiTheme="majorBidi" w:hAnsiTheme="majorBidi" w:cstheme="majorBidi"/>
        </w:rPr>
        <w:t>able 3.4.3 below:</w:t>
      </w:r>
      <w:r w:rsidR="008338D3" w:rsidRPr="00D773F7">
        <w:rPr>
          <w:rFonts w:asciiTheme="majorBidi" w:hAnsiTheme="majorBidi" w:cstheme="majorBidi"/>
        </w:rPr>
        <w:t>”</w:t>
      </w:r>
    </w:p>
    <w:p w14:paraId="7A296A83" w14:textId="64EFDF78" w:rsidR="008338D3" w:rsidRPr="00D773F7" w:rsidRDefault="000253BF" w:rsidP="005B78B1">
      <w:pPr>
        <w:pStyle w:val="SingleTxtG"/>
        <w:spacing w:before="120"/>
        <w:rPr>
          <w:rFonts w:asciiTheme="majorBidi" w:hAnsiTheme="majorBidi" w:cstheme="majorBidi"/>
          <w:color w:val="000000" w:themeColor="text1"/>
        </w:rPr>
      </w:pPr>
      <w:r w:rsidRPr="00D773F7">
        <w:rPr>
          <w:rFonts w:asciiTheme="majorBidi" w:hAnsiTheme="majorBidi" w:cstheme="majorBidi"/>
          <w:color w:val="000000" w:themeColor="text1"/>
        </w:rPr>
        <w:t>Note to table 3.4.3</w:t>
      </w:r>
      <w:r w:rsidRPr="00D773F7">
        <w:rPr>
          <w:rFonts w:asciiTheme="majorBidi" w:hAnsiTheme="majorBidi" w:cstheme="majorBidi"/>
          <w:color w:val="000000" w:themeColor="text1"/>
        </w:rPr>
        <w:tab/>
        <w:t>Add the following</w:t>
      </w:r>
      <w:r w:rsidR="005B78B1" w:rsidRPr="00D773F7">
        <w:rPr>
          <w:rFonts w:asciiTheme="majorBidi" w:hAnsiTheme="majorBidi" w:cstheme="majorBidi"/>
          <w:color w:val="000000" w:themeColor="text1"/>
        </w:rPr>
        <w:t xml:space="preserve"> new note under current table 3.4.3:</w:t>
      </w:r>
    </w:p>
    <w:p w14:paraId="3827C75D" w14:textId="3798C0CE" w:rsidR="00A2641E" w:rsidRPr="00D773F7" w:rsidRDefault="008338D3" w:rsidP="00A2641E">
      <w:pPr>
        <w:pStyle w:val="SingleTxtG"/>
        <w:spacing w:before="120"/>
        <w:ind w:left="2268"/>
        <w:rPr>
          <w:rFonts w:asciiTheme="majorBidi" w:hAnsiTheme="majorBidi" w:cstheme="majorBidi"/>
          <w:i/>
          <w:iCs/>
          <w:color w:val="000000" w:themeColor="text1"/>
          <w:spacing w:val="-6"/>
        </w:rPr>
      </w:pPr>
      <w:r w:rsidRPr="00D773F7">
        <w:rPr>
          <w:rFonts w:asciiTheme="majorBidi" w:hAnsiTheme="majorBidi" w:cstheme="majorBidi"/>
          <w:color w:val="000000" w:themeColor="text1"/>
        </w:rPr>
        <w:t xml:space="preserve"> </w:t>
      </w:r>
      <w:r w:rsidR="00A2641E" w:rsidRPr="00D773F7">
        <w:rPr>
          <w:rFonts w:asciiTheme="majorBidi" w:hAnsiTheme="majorBidi" w:cstheme="majorBidi"/>
          <w:color w:val="000000" w:themeColor="text1"/>
        </w:rPr>
        <w:t>“</w:t>
      </w:r>
      <w:r w:rsidR="00A2641E" w:rsidRPr="00D773F7">
        <w:rPr>
          <w:rFonts w:asciiTheme="majorBidi" w:hAnsiTheme="majorBidi" w:cstheme="majorBidi"/>
          <w:b/>
          <w:bCs/>
          <w:i/>
          <w:iCs/>
          <w:color w:val="000000" w:themeColor="text1"/>
          <w:spacing w:val="-6"/>
        </w:rPr>
        <w:t>Note:</w:t>
      </w:r>
      <w:r w:rsidR="00A2641E" w:rsidRPr="00D773F7">
        <w:rPr>
          <w:rFonts w:asciiTheme="majorBidi" w:hAnsiTheme="majorBidi" w:cstheme="majorBidi"/>
          <w:i/>
          <w:iCs/>
          <w:color w:val="000000" w:themeColor="text1"/>
          <w:spacing w:val="-6"/>
        </w:rPr>
        <w:t xml:space="preserve"> </w:t>
      </w:r>
      <w:r w:rsidR="00A2641E" w:rsidRPr="00D773F7">
        <w:rPr>
          <w:rFonts w:asciiTheme="majorBidi" w:hAnsiTheme="majorBidi" w:cstheme="majorBidi"/>
          <w:color w:val="000000" w:themeColor="text1"/>
        </w:rPr>
        <w:t xml:space="preserve"> </w:t>
      </w:r>
      <w:r w:rsidR="00A2641E" w:rsidRPr="00D773F7">
        <w:rPr>
          <w:rFonts w:asciiTheme="majorBidi" w:hAnsiTheme="majorBidi" w:cstheme="majorBidi"/>
          <w:i/>
          <w:iCs/>
          <w:color w:val="000000" w:themeColor="text1"/>
          <w:spacing w:val="-6"/>
        </w:rPr>
        <w:t xml:space="preserve">For the LLNA: </w:t>
      </w:r>
      <w:proofErr w:type="spellStart"/>
      <w:r w:rsidR="00A2641E" w:rsidRPr="00D773F7">
        <w:rPr>
          <w:rFonts w:asciiTheme="majorBidi" w:hAnsiTheme="majorBidi" w:cstheme="majorBidi"/>
          <w:i/>
          <w:iCs/>
          <w:color w:val="000000" w:themeColor="text1"/>
          <w:spacing w:val="-6"/>
        </w:rPr>
        <w:t>BrdU</w:t>
      </w:r>
      <w:proofErr w:type="spellEnd"/>
      <w:r w:rsidR="00A2641E" w:rsidRPr="00D773F7">
        <w:rPr>
          <w:rFonts w:asciiTheme="majorBidi" w:hAnsiTheme="majorBidi" w:cstheme="majorBidi"/>
          <w:i/>
          <w:iCs/>
          <w:color w:val="000000" w:themeColor="text1"/>
          <w:spacing w:val="-6"/>
        </w:rPr>
        <w:t>-ELISA</w:t>
      </w:r>
      <w:r w:rsidR="00A2641E" w:rsidRPr="00D773F7">
        <w:rPr>
          <w:rFonts w:asciiTheme="majorBidi" w:eastAsia="MS Mincho" w:hAnsiTheme="majorBidi" w:cstheme="majorBidi"/>
          <w:i/>
          <w:iCs/>
          <w:color w:val="000000" w:themeColor="text1"/>
          <w:spacing w:val="-6"/>
          <w:lang w:eastAsia="ja-JP"/>
        </w:rPr>
        <w:t>,</w:t>
      </w:r>
      <w:r w:rsidR="00A2641E" w:rsidRPr="00D773F7">
        <w:rPr>
          <w:rFonts w:asciiTheme="majorBidi" w:hAnsiTheme="majorBidi" w:cstheme="majorBidi"/>
          <w:i/>
          <w:iCs/>
          <w:color w:val="000000" w:themeColor="text1"/>
          <w:spacing w:val="-6"/>
        </w:rPr>
        <w:t xml:space="preserve"> sub-categorization criteria (1A: </w:t>
      </w:r>
      <w:r w:rsidR="00A2641E" w:rsidRPr="00D773F7">
        <w:rPr>
          <w:rFonts w:asciiTheme="majorBidi" w:hAnsiTheme="majorBidi" w:cstheme="majorBidi"/>
          <w:i/>
          <w:iCs/>
          <w:color w:val="000000" w:themeColor="text1"/>
          <w:spacing w:val="-8"/>
        </w:rPr>
        <w:t>EC1.6 value ≤ 6%, 1B: EC1.6 value &gt; 6%, Maeda and Takeyoshi, 2019; Kobayashi et al., 2020</w:t>
      </w:r>
      <w:r w:rsidR="00A2641E" w:rsidRPr="00D773F7">
        <w:rPr>
          <w:rFonts w:asciiTheme="majorBidi" w:hAnsiTheme="majorBidi" w:cstheme="majorBidi"/>
          <w:i/>
          <w:iCs/>
          <w:color w:val="000000" w:themeColor="text1"/>
          <w:spacing w:val="-6"/>
        </w:rPr>
        <w:t xml:space="preserve">) have been proposed and </w:t>
      </w:r>
      <w:bookmarkStart w:id="13" w:name="_Hlk119053222"/>
      <w:r w:rsidR="00A2641E" w:rsidRPr="00D773F7">
        <w:rPr>
          <w:rFonts w:asciiTheme="majorBidi" w:hAnsiTheme="majorBidi" w:cstheme="majorBidi"/>
          <w:i/>
          <w:iCs/>
          <w:color w:val="000000" w:themeColor="text1"/>
          <w:spacing w:val="-6"/>
        </w:rPr>
        <w:t>validated</w:t>
      </w:r>
      <w:bookmarkEnd w:id="13"/>
      <w:r w:rsidR="00A2641E" w:rsidRPr="00D773F7">
        <w:rPr>
          <w:rFonts w:asciiTheme="majorBidi" w:hAnsiTheme="majorBidi" w:cstheme="majorBidi"/>
          <w:i/>
          <w:iCs/>
          <w:color w:val="000000" w:themeColor="text1"/>
          <w:spacing w:val="-6"/>
        </w:rPr>
        <w:t xml:space="preserve"> by OECD, but no sub-categorization criteria have yet been agreed internationally. </w:t>
      </w:r>
      <w:r w:rsidR="00A2641E" w:rsidRPr="00D773F7">
        <w:rPr>
          <w:rFonts w:asciiTheme="majorBidi" w:hAnsiTheme="majorBidi" w:cstheme="majorBidi"/>
          <w:i/>
          <w:iCs/>
          <w:color w:val="000000" w:themeColor="text1"/>
        </w:rPr>
        <w:t>Validated sub-categorization criteria may still be accepted by some competent authorities. A competent authority may decide which sub-categorization criteria, if any, should be applied for these test methods.</w:t>
      </w:r>
    </w:p>
    <w:p w14:paraId="6917FB4C" w14:textId="12929807" w:rsidR="00A2641E" w:rsidRPr="00D773F7" w:rsidRDefault="00A2641E" w:rsidP="00A2641E">
      <w:pPr>
        <w:pStyle w:val="SingleTxtG"/>
        <w:spacing w:before="120"/>
        <w:ind w:left="2268"/>
        <w:rPr>
          <w:rFonts w:asciiTheme="majorBidi" w:hAnsiTheme="majorBidi" w:cstheme="majorBidi"/>
          <w:color w:val="000000" w:themeColor="text1"/>
        </w:rPr>
      </w:pPr>
      <w:r w:rsidRPr="00D773F7">
        <w:rPr>
          <w:rFonts w:asciiTheme="majorBidi" w:hAnsiTheme="majorBidi" w:cstheme="majorBidi"/>
          <w:i/>
          <w:iCs/>
          <w:color w:val="000000" w:themeColor="text1"/>
          <w:spacing w:val="-6"/>
        </w:rPr>
        <w:tab/>
        <w:t xml:space="preserve">As for the LLNA: DA and LLNA: </w:t>
      </w:r>
      <w:proofErr w:type="spellStart"/>
      <w:r w:rsidRPr="00D773F7">
        <w:rPr>
          <w:rFonts w:asciiTheme="majorBidi" w:hAnsiTheme="majorBidi" w:cstheme="majorBidi"/>
          <w:i/>
          <w:iCs/>
          <w:color w:val="000000" w:themeColor="text1"/>
          <w:spacing w:val="-6"/>
        </w:rPr>
        <w:t>BrdU</w:t>
      </w:r>
      <w:proofErr w:type="spellEnd"/>
      <w:r w:rsidRPr="00D773F7">
        <w:rPr>
          <w:rFonts w:asciiTheme="majorBidi" w:hAnsiTheme="majorBidi" w:cstheme="majorBidi"/>
          <w:i/>
          <w:iCs/>
          <w:color w:val="000000" w:themeColor="text1"/>
          <w:spacing w:val="-6"/>
        </w:rPr>
        <w:t>-FCM, there are currently no validated and internationally agreed criteria for subcategorization of skin sensitizers. Therefore, these test methods can only be used to conclude on either classification in category 1 or no classification</w:t>
      </w:r>
      <w:r w:rsidRPr="00D773F7">
        <w:rPr>
          <w:rFonts w:asciiTheme="majorBidi" w:hAnsiTheme="majorBidi" w:cstheme="majorBidi"/>
          <w:color w:val="000000" w:themeColor="text1"/>
          <w:spacing w:val="-6"/>
        </w:rPr>
        <w:t>.</w:t>
      </w:r>
      <w:r w:rsidRPr="00D773F7">
        <w:rPr>
          <w:rFonts w:asciiTheme="majorBidi" w:hAnsiTheme="majorBidi" w:cstheme="majorBidi"/>
          <w:color w:val="000000" w:themeColor="text1"/>
        </w:rPr>
        <w:t>”</w:t>
      </w:r>
      <w:r w:rsidR="00D82E62" w:rsidRPr="00D773F7">
        <w:rPr>
          <w:rFonts w:asciiTheme="majorBidi" w:hAnsiTheme="majorBidi" w:cstheme="majorBidi"/>
          <w:color w:val="000000" w:themeColor="text1"/>
        </w:rPr>
        <w:t>.</w:t>
      </w:r>
    </w:p>
    <w:p w14:paraId="18516B01" w14:textId="6748E5EE" w:rsidR="00EC2AD0" w:rsidRPr="00D773F7" w:rsidRDefault="002E6F96" w:rsidP="00C17E19">
      <w:pPr>
        <w:pStyle w:val="SingleTxtG"/>
        <w:tabs>
          <w:tab w:val="clear" w:pos="1701"/>
        </w:tabs>
        <w:spacing w:before="120"/>
        <w:ind w:left="2268" w:hanging="1134"/>
        <w:rPr>
          <w:rFonts w:asciiTheme="majorBidi" w:hAnsiTheme="majorBidi" w:cstheme="majorBidi"/>
          <w:color w:val="000000" w:themeColor="text1"/>
        </w:rPr>
      </w:pPr>
      <w:r w:rsidRPr="00D773F7">
        <w:rPr>
          <w:rFonts w:asciiTheme="majorBidi" w:hAnsiTheme="majorBidi" w:cstheme="majorBidi"/>
          <w:color w:val="000000" w:themeColor="text1"/>
        </w:rPr>
        <w:t xml:space="preserve">3.4.2.2.3.3 </w:t>
      </w:r>
      <w:r w:rsidRPr="00D773F7">
        <w:rPr>
          <w:rFonts w:asciiTheme="majorBidi" w:hAnsiTheme="majorBidi" w:cstheme="majorBidi"/>
          <w:color w:val="000000" w:themeColor="text1"/>
        </w:rPr>
        <w:tab/>
      </w:r>
      <w:r w:rsidR="0031580E" w:rsidRPr="00D773F7">
        <w:rPr>
          <w:rFonts w:asciiTheme="majorBidi" w:hAnsiTheme="majorBidi" w:cstheme="majorBidi"/>
          <w:color w:val="000000" w:themeColor="text1"/>
        </w:rPr>
        <w:t>Amend to read as follows</w:t>
      </w:r>
      <w:r w:rsidR="00AA4F71" w:rsidRPr="00D773F7">
        <w:rPr>
          <w:rFonts w:asciiTheme="majorBidi" w:hAnsiTheme="majorBidi" w:cstheme="majorBidi"/>
          <w:color w:val="000000" w:themeColor="text1"/>
        </w:rPr>
        <w:t xml:space="preserve"> (current table 3.4.4 remains unchanged)</w:t>
      </w:r>
      <w:r w:rsidR="0031580E" w:rsidRPr="00D773F7">
        <w:rPr>
          <w:rFonts w:asciiTheme="majorBidi" w:hAnsiTheme="majorBidi" w:cstheme="majorBidi"/>
          <w:color w:val="000000" w:themeColor="text1"/>
        </w:rPr>
        <w:t xml:space="preserve">: </w:t>
      </w:r>
    </w:p>
    <w:p w14:paraId="1F626339" w14:textId="5312615C" w:rsidR="002709BF" w:rsidRPr="00D773F7" w:rsidRDefault="0031580E" w:rsidP="00C30B0F">
      <w:pPr>
        <w:pStyle w:val="Bullet1G"/>
        <w:numPr>
          <w:ilvl w:val="0"/>
          <w:numId w:val="0"/>
        </w:numPr>
        <w:spacing w:before="240"/>
        <w:ind w:left="2268"/>
        <w:rPr>
          <w:rFonts w:asciiTheme="majorBidi" w:hAnsiTheme="majorBidi" w:cstheme="majorBidi"/>
        </w:rPr>
      </w:pPr>
      <w:r w:rsidRPr="00D773F7">
        <w:rPr>
          <w:rFonts w:asciiTheme="majorBidi" w:hAnsiTheme="majorBidi" w:cstheme="majorBidi"/>
          <w:color w:val="000000" w:themeColor="text1"/>
        </w:rPr>
        <w:t>“</w:t>
      </w:r>
      <w:r w:rsidR="00AA4F71" w:rsidRPr="00D773F7">
        <w:rPr>
          <w:rFonts w:asciiTheme="majorBidi" w:hAnsiTheme="majorBidi" w:cstheme="majorBidi"/>
          <w:lang w:val="fr-FR"/>
        </w:rPr>
        <w:t xml:space="preserve">3.4.2.2.3.3 </w:t>
      </w:r>
      <w:r w:rsidR="00AA4F71" w:rsidRPr="00D773F7">
        <w:rPr>
          <w:rFonts w:asciiTheme="majorBidi" w:hAnsiTheme="majorBidi" w:cstheme="majorBidi"/>
          <w:lang w:val="fr-FR"/>
        </w:rPr>
        <w:tab/>
      </w:r>
      <w:r w:rsidR="002709BF" w:rsidRPr="00D773F7">
        <w:rPr>
          <w:rFonts w:asciiTheme="majorBidi" w:hAnsiTheme="majorBidi" w:cstheme="majorBidi"/>
        </w:rPr>
        <w:t xml:space="preserve">Substances showing a </w:t>
      </w:r>
      <w:r w:rsidR="00AD0E8B" w:rsidRPr="00D773F7">
        <w:rPr>
          <w:rFonts w:asciiTheme="majorBidi" w:hAnsiTheme="majorBidi" w:cstheme="majorBidi"/>
        </w:rPr>
        <w:t>low to moderate</w:t>
      </w:r>
      <w:r w:rsidR="002709BF" w:rsidRPr="00D773F7">
        <w:rPr>
          <w:rFonts w:asciiTheme="majorBidi" w:hAnsiTheme="majorBidi" w:cstheme="majorBidi"/>
        </w:rPr>
        <w:t xml:space="preserve"> potency in animals, can be presumed to have the potential to produce significant sensitization in humans and are classified in </w:t>
      </w:r>
      <w:r w:rsidR="008311A8" w:rsidRPr="00D773F7">
        <w:rPr>
          <w:rFonts w:asciiTheme="majorBidi" w:hAnsiTheme="majorBidi" w:cstheme="majorBidi"/>
        </w:rPr>
        <w:t>sub-</w:t>
      </w:r>
      <w:r w:rsidR="002709BF" w:rsidRPr="00D773F7">
        <w:rPr>
          <w:rFonts w:asciiTheme="majorBidi" w:hAnsiTheme="majorBidi" w:cstheme="majorBidi"/>
        </w:rPr>
        <w:t xml:space="preserve">category 1B. Severity of reactions may also be considered. </w:t>
      </w:r>
      <w:r w:rsidR="002709BF" w:rsidRPr="00D773F7">
        <w:rPr>
          <w:rFonts w:asciiTheme="majorBidi" w:hAnsiTheme="majorBidi" w:cstheme="majorBidi"/>
          <w:spacing w:val="-4"/>
        </w:rPr>
        <w:t xml:space="preserve">Animal test results for sub-category 1B can include data with values indicated in </w:t>
      </w:r>
      <w:r w:rsidR="001806B2" w:rsidRPr="00D773F7">
        <w:rPr>
          <w:rFonts w:asciiTheme="majorBidi" w:hAnsiTheme="majorBidi" w:cstheme="majorBidi"/>
          <w:spacing w:val="-4"/>
        </w:rPr>
        <w:t>t</w:t>
      </w:r>
      <w:r w:rsidR="002709BF" w:rsidRPr="00D773F7">
        <w:rPr>
          <w:rFonts w:asciiTheme="majorBidi" w:hAnsiTheme="majorBidi" w:cstheme="majorBidi"/>
          <w:spacing w:val="-4"/>
        </w:rPr>
        <w:t>able 3.4.4 below:</w:t>
      </w:r>
      <w:r w:rsidR="00AA4F71" w:rsidRPr="00D773F7">
        <w:rPr>
          <w:rFonts w:asciiTheme="majorBidi" w:hAnsiTheme="majorBidi" w:cstheme="majorBidi"/>
          <w:spacing w:val="-4"/>
        </w:rPr>
        <w:t>”.</w:t>
      </w:r>
    </w:p>
    <w:p w14:paraId="01D144B4" w14:textId="77777777" w:rsidR="00320FB1" w:rsidRPr="00D773F7" w:rsidRDefault="00AA4F71" w:rsidP="00AA4F71">
      <w:pPr>
        <w:pStyle w:val="SingleTxtG"/>
        <w:spacing w:before="120"/>
        <w:rPr>
          <w:rFonts w:asciiTheme="majorBidi" w:hAnsiTheme="majorBidi" w:cstheme="majorBidi"/>
          <w:color w:val="000000" w:themeColor="text1"/>
        </w:rPr>
      </w:pPr>
      <w:r w:rsidRPr="00D773F7">
        <w:rPr>
          <w:rFonts w:asciiTheme="majorBidi" w:hAnsiTheme="majorBidi" w:cstheme="majorBidi"/>
          <w:color w:val="000000" w:themeColor="text1"/>
        </w:rPr>
        <w:t>Note to table 3.4.4</w:t>
      </w:r>
      <w:r w:rsidRPr="00D773F7">
        <w:rPr>
          <w:rFonts w:asciiTheme="majorBidi" w:hAnsiTheme="majorBidi" w:cstheme="majorBidi"/>
          <w:color w:val="000000" w:themeColor="text1"/>
        </w:rPr>
        <w:tab/>
      </w:r>
      <w:r w:rsidR="00320FB1" w:rsidRPr="00D773F7">
        <w:rPr>
          <w:rFonts w:asciiTheme="majorBidi" w:hAnsiTheme="majorBidi" w:cstheme="majorBidi"/>
          <w:color w:val="000000" w:themeColor="text1"/>
        </w:rPr>
        <w:t>Add the following new note under current table 3.4.4:</w:t>
      </w:r>
    </w:p>
    <w:p w14:paraId="4116DE9E" w14:textId="6359A9BB" w:rsidR="00236E81" w:rsidRPr="00D773F7" w:rsidRDefault="00AA4F71" w:rsidP="00320FB1">
      <w:pPr>
        <w:pStyle w:val="SingleTxtG"/>
        <w:spacing w:before="120"/>
        <w:ind w:left="2268"/>
        <w:rPr>
          <w:rFonts w:asciiTheme="majorBidi" w:hAnsiTheme="majorBidi" w:cstheme="majorBidi"/>
          <w:i/>
          <w:iCs/>
          <w:color w:val="000000" w:themeColor="text1"/>
          <w:spacing w:val="-6"/>
        </w:rPr>
      </w:pPr>
      <w:r w:rsidRPr="00D773F7">
        <w:rPr>
          <w:rFonts w:asciiTheme="majorBidi" w:hAnsiTheme="majorBidi" w:cstheme="majorBidi"/>
          <w:color w:val="000000" w:themeColor="text1"/>
        </w:rPr>
        <w:t xml:space="preserve"> </w:t>
      </w:r>
      <w:r w:rsidR="00236E81" w:rsidRPr="00D773F7">
        <w:rPr>
          <w:rFonts w:asciiTheme="majorBidi" w:hAnsiTheme="majorBidi" w:cstheme="majorBidi"/>
          <w:color w:val="000000" w:themeColor="text1"/>
        </w:rPr>
        <w:t>“</w:t>
      </w:r>
      <w:r w:rsidR="00236E81" w:rsidRPr="00D773F7">
        <w:rPr>
          <w:rFonts w:asciiTheme="majorBidi" w:hAnsiTheme="majorBidi" w:cstheme="majorBidi"/>
          <w:b/>
          <w:bCs/>
          <w:i/>
          <w:iCs/>
          <w:color w:val="000000" w:themeColor="text1"/>
          <w:spacing w:val="-6"/>
        </w:rPr>
        <w:t>Note:</w:t>
      </w:r>
      <w:r w:rsidR="00236E81" w:rsidRPr="00D773F7">
        <w:rPr>
          <w:rFonts w:asciiTheme="majorBidi" w:hAnsiTheme="majorBidi" w:cstheme="majorBidi"/>
          <w:i/>
          <w:iCs/>
          <w:color w:val="000000" w:themeColor="text1"/>
          <w:spacing w:val="-6"/>
        </w:rPr>
        <w:t xml:space="preserve"> </w:t>
      </w:r>
      <w:r w:rsidR="00236E81" w:rsidRPr="00D773F7">
        <w:rPr>
          <w:rFonts w:asciiTheme="majorBidi" w:hAnsiTheme="majorBidi" w:cstheme="majorBidi"/>
          <w:color w:val="000000" w:themeColor="text1"/>
        </w:rPr>
        <w:t xml:space="preserve"> </w:t>
      </w:r>
      <w:r w:rsidR="00236E81" w:rsidRPr="00D773F7">
        <w:rPr>
          <w:rFonts w:asciiTheme="majorBidi" w:hAnsiTheme="majorBidi" w:cstheme="majorBidi"/>
          <w:i/>
          <w:iCs/>
          <w:color w:val="000000" w:themeColor="text1"/>
          <w:spacing w:val="-6"/>
        </w:rPr>
        <w:t xml:space="preserve">For the LLNA: </w:t>
      </w:r>
      <w:proofErr w:type="spellStart"/>
      <w:r w:rsidR="00236E81" w:rsidRPr="00D773F7">
        <w:rPr>
          <w:rFonts w:asciiTheme="majorBidi" w:hAnsiTheme="majorBidi" w:cstheme="majorBidi"/>
          <w:i/>
          <w:iCs/>
          <w:color w:val="000000" w:themeColor="text1"/>
          <w:spacing w:val="-6"/>
        </w:rPr>
        <w:t>BrdU</w:t>
      </w:r>
      <w:proofErr w:type="spellEnd"/>
      <w:r w:rsidR="00236E81" w:rsidRPr="00D773F7">
        <w:rPr>
          <w:rFonts w:asciiTheme="majorBidi" w:hAnsiTheme="majorBidi" w:cstheme="majorBidi"/>
          <w:i/>
          <w:iCs/>
          <w:color w:val="000000" w:themeColor="text1"/>
          <w:spacing w:val="-6"/>
        </w:rPr>
        <w:t>-ELISA</w:t>
      </w:r>
      <w:r w:rsidR="00236E81" w:rsidRPr="00D773F7">
        <w:rPr>
          <w:rFonts w:asciiTheme="majorBidi" w:eastAsia="MS Mincho" w:hAnsiTheme="majorBidi" w:cstheme="majorBidi"/>
          <w:i/>
          <w:iCs/>
          <w:color w:val="000000" w:themeColor="text1"/>
          <w:spacing w:val="-6"/>
          <w:lang w:eastAsia="ja-JP"/>
        </w:rPr>
        <w:t>,</w:t>
      </w:r>
      <w:r w:rsidR="00236E81" w:rsidRPr="00D773F7">
        <w:rPr>
          <w:rFonts w:asciiTheme="majorBidi" w:hAnsiTheme="majorBidi" w:cstheme="majorBidi"/>
          <w:i/>
          <w:iCs/>
          <w:color w:val="000000" w:themeColor="text1"/>
          <w:spacing w:val="-6"/>
        </w:rPr>
        <w:t xml:space="preserve"> sub-categorization criteria (1A: </w:t>
      </w:r>
      <w:r w:rsidR="00236E81" w:rsidRPr="00D773F7">
        <w:rPr>
          <w:rFonts w:asciiTheme="majorBidi" w:hAnsiTheme="majorBidi" w:cstheme="majorBidi"/>
          <w:i/>
          <w:iCs/>
          <w:color w:val="000000" w:themeColor="text1"/>
          <w:spacing w:val="-8"/>
        </w:rPr>
        <w:t xml:space="preserve">EC1.6 value </w:t>
      </w:r>
      <w:r w:rsidR="00F6299A" w:rsidRPr="00D773F7">
        <w:rPr>
          <w:rFonts w:asciiTheme="majorBidi" w:hAnsiTheme="majorBidi" w:cstheme="majorBidi"/>
          <w:i/>
          <w:iCs/>
          <w:color w:val="000000" w:themeColor="text1"/>
          <w:spacing w:val="-8"/>
        </w:rPr>
        <w:t>≤</w:t>
      </w:r>
      <w:r w:rsidR="00001943" w:rsidRPr="00D773F7">
        <w:rPr>
          <w:rFonts w:asciiTheme="majorBidi" w:hAnsiTheme="majorBidi" w:cstheme="majorBidi"/>
          <w:i/>
          <w:iCs/>
          <w:color w:val="000000" w:themeColor="text1"/>
          <w:spacing w:val="-8"/>
        </w:rPr>
        <w:t> </w:t>
      </w:r>
      <w:r w:rsidR="00236E81" w:rsidRPr="00D773F7">
        <w:rPr>
          <w:rFonts w:asciiTheme="majorBidi" w:hAnsiTheme="majorBidi" w:cstheme="majorBidi"/>
          <w:i/>
          <w:iCs/>
          <w:color w:val="000000" w:themeColor="text1"/>
          <w:spacing w:val="-8"/>
        </w:rPr>
        <w:t xml:space="preserve">6%, 1B: EC1.6 value </w:t>
      </w:r>
      <w:r w:rsidR="00F6299A" w:rsidRPr="00D773F7">
        <w:rPr>
          <w:rFonts w:asciiTheme="majorBidi" w:hAnsiTheme="majorBidi" w:cstheme="majorBidi"/>
          <w:i/>
          <w:iCs/>
          <w:color w:val="000000" w:themeColor="text1"/>
          <w:spacing w:val="-8"/>
        </w:rPr>
        <w:t>&gt;</w:t>
      </w:r>
      <w:r w:rsidR="00236E81" w:rsidRPr="00D773F7">
        <w:rPr>
          <w:rFonts w:asciiTheme="majorBidi" w:hAnsiTheme="majorBidi" w:cstheme="majorBidi"/>
          <w:i/>
          <w:iCs/>
          <w:color w:val="000000" w:themeColor="text1"/>
          <w:spacing w:val="-8"/>
        </w:rPr>
        <w:t xml:space="preserve"> 6%, Maeda and Takeyoshi, 2019; Kobayashi et al., 2020</w:t>
      </w:r>
      <w:r w:rsidR="00236E81" w:rsidRPr="00D773F7">
        <w:rPr>
          <w:rFonts w:asciiTheme="majorBidi" w:hAnsiTheme="majorBidi" w:cstheme="majorBidi"/>
          <w:i/>
          <w:iCs/>
          <w:color w:val="000000" w:themeColor="text1"/>
          <w:spacing w:val="-6"/>
        </w:rPr>
        <w:t xml:space="preserve">) have been proposed and validated by OECD, but no sub-categorization criteria have </w:t>
      </w:r>
      <w:r w:rsidR="00236E81" w:rsidRPr="00D773F7">
        <w:rPr>
          <w:rFonts w:asciiTheme="majorBidi" w:hAnsiTheme="majorBidi" w:cstheme="majorBidi"/>
          <w:i/>
          <w:iCs/>
          <w:color w:val="000000" w:themeColor="text1"/>
          <w:spacing w:val="-6"/>
        </w:rPr>
        <w:lastRenderedPageBreak/>
        <w:t xml:space="preserve">yet been agreed internationally. </w:t>
      </w:r>
      <w:r w:rsidR="00236E81" w:rsidRPr="00D773F7">
        <w:rPr>
          <w:rFonts w:asciiTheme="majorBidi" w:hAnsiTheme="majorBidi" w:cstheme="majorBidi"/>
          <w:i/>
          <w:iCs/>
          <w:color w:val="000000" w:themeColor="text1"/>
        </w:rPr>
        <w:t>Validated sub-categorization criteria may still be accepted by some competent authorities. A competent authority may decide which sub-categorization criteria, if any, should be applied for these test methods.</w:t>
      </w:r>
    </w:p>
    <w:p w14:paraId="25671B1C" w14:textId="31C4F0EB" w:rsidR="00236E81" w:rsidRPr="00D773F7" w:rsidRDefault="00236E81" w:rsidP="00236E81">
      <w:pPr>
        <w:pStyle w:val="SingleTxtG"/>
        <w:spacing w:before="120"/>
        <w:ind w:left="2268"/>
        <w:rPr>
          <w:rFonts w:asciiTheme="majorBidi" w:hAnsiTheme="majorBidi" w:cstheme="majorBidi"/>
          <w:color w:val="000000" w:themeColor="text1"/>
        </w:rPr>
      </w:pPr>
      <w:r w:rsidRPr="00D773F7">
        <w:rPr>
          <w:rFonts w:asciiTheme="majorBidi" w:hAnsiTheme="majorBidi" w:cstheme="majorBidi"/>
          <w:i/>
          <w:iCs/>
          <w:color w:val="000000" w:themeColor="text1"/>
          <w:spacing w:val="-6"/>
        </w:rPr>
        <w:tab/>
        <w:t xml:space="preserve">As for the LLNA: DA and LLNA: </w:t>
      </w:r>
      <w:proofErr w:type="spellStart"/>
      <w:r w:rsidRPr="00D773F7">
        <w:rPr>
          <w:rFonts w:asciiTheme="majorBidi" w:hAnsiTheme="majorBidi" w:cstheme="majorBidi"/>
          <w:i/>
          <w:iCs/>
          <w:color w:val="000000" w:themeColor="text1"/>
          <w:spacing w:val="-6"/>
        </w:rPr>
        <w:t>BrdU</w:t>
      </w:r>
      <w:proofErr w:type="spellEnd"/>
      <w:r w:rsidRPr="00D773F7">
        <w:rPr>
          <w:rFonts w:asciiTheme="majorBidi" w:hAnsiTheme="majorBidi" w:cstheme="majorBidi"/>
          <w:i/>
          <w:iCs/>
          <w:color w:val="000000" w:themeColor="text1"/>
          <w:spacing w:val="-6"/>
        </w:rPr>
        <w:t>-FCM, there are currently no validated and internationally agreed criteria for subcategorization of skin sensitizers. Therefore, these test methods can only be used to conclude on either classification in category 1 or no classification</w:t>
      </w:r>
      <w:r w:rsidRPr="00D773F7">
        <w:rPr>
          <w:rFonts w:asciiTheme="majorBidi" w:hAnsiTheme="majorBidi" w:cstheme="majorBidi"/>
          <w:color w:val="000000" w:themeColor="text1"/>
          <w:spacing w:val="-6"/>
        </w:rPr>
        <w:t>.</w:t>
      </w:r>
      <w:r w:rsidRPr="00D773F7">
        <w:rPr>
          <w:rFonts w:asciiTheme="majorBidi" w:hAnsiTheme="majorBidi" w:cstheme="majorBidi"/>
          <w:color w:val="000000" w:themeColor="text1"/>
        </w:rPr>
        <w:t>”</w:t>
      </w:r>
      <w:r w:rsidR="00A35F38" w:rsidRPr="00D773F7">
        <w:rPr>
          <w:rFonts w:asciiTheme="majorBidi" w:hAnsiTheme="majorBidi" w:cstheme="majorBidi"/>
          <w:color w:val="000000" w:themeColor="text1"/>
        </w:rPr>
        <w:t>.</w:t>
      </w:r>
    </w:p>
    <w:p w14:paraId="3A9ED806" w14:textId="32D9B39C" w:rsidR="007F4FEC" w:rsidRPr="00D773F7" w:rsidRDefault="007F4FEC" w:rsidP="00C17E19">
      <w:pPr>
        <w:pStyle w:val="SingleTxtG"/>
        <w:tabs>
          <w:tab w:val="clear" w:pos="1701"/>
        </w:tabs>
        <w:spacing w:before="120"/>
        <w:ind w:left="2268" w:hanging="1134"/>
        <w:rPr>
          <w:rFonts w:asciiTheme="majorBidi" w:hAnsiTheme="majorBidi" w:cstheme="majorBidi"/>
          <w:color w:val="000000" w:themeColor="text1"/>
        </w:rPr>
      </w:pPr>
      <w:r w:rsidRPr="00D773F7">
        <w:rPr>
          <w:rFonts w:asciiTheme="majorBidi" w:hAnsiTheme="majorBidi" w:cstheme="majorBidi"/>
          <w:color w:val="000000" w:themeColor="text1"/>
        </w:rPr>
        <w:t>3.4.2.2.4</w:t>
      </w:r>
      <w:r w:rsidRPr="00D773F7">
        <w:rPr>
          <w:rFonts w:asciiTheme="majorBidi" w:hAnsiTheme="majorBidi" w:cstheme="majorBidi"/>
          <w:color w:val="000000" w:themeColor="text1"/>
        </w:rPr>
        <w:tab/>
        <w:t xml:space="preserve">Replace 3.4.2.2.4 </w:t>
      </w:r>
      <w:r w:rsidR="00163FB8" w:rsidRPr="00D773F7">
        <w:rPr>
          <w:rFonts w:asciiTheme="majorBidi" w:hAnsiTheme="majorBidi" w:cstheme="majorBidi"/>
          <w:color w:val="000000" w:themeColor="text1"/>
        </w:rPr>
        <w:t>(</w:t>
      </w:r>
      <w:r w:rsidRPr="00D773F7">
        <w:rPr>
          <w:rFonts w:asciiTheme="majorBidi" w:hAnsiTheme="majorBidi" w:cstheme="majorBidi"/>
          <w:color w:val="000000" w:themeColor="text1"/>
        </w:rPr>
        <w:t>heading</w:t>
      </w:r>
      <w:r w:rsidR="00163FB8" w:rsidRPr="00D773F7">
        <w:rPr>
          <w:rFonts w:asciiTheme="majorBidi" w:hAnsiTheme="majorBidi" w:cstheme="majorBidi"/>
          <w:color w:val="000000" w:themeColor="text1"/>
        </w:rPr>
        <w:t>)</w:t>
      </w:r>
      <w:r w:rsidRPr="00D773F7">
        <w:rPr>
          <w:rFonts w:asciiTheme="majorBidi" w:hAnsiTheme="majorBidi" w:cstheme="majorBidi"/>
          <w:color w:val="000000" w:themeColor="text1"/>
        </w:rPr>
        <w:t xml:space="preserve"> and paragraphs 3.4.2.2.4.1 </w:t>
      </w:r>
      <w:r w:rsidR="00477DBF" w:rsidRPr="00D773F7">
        <w:rPr>
          <w:rFonts w:asciiTheme="majorBidi" w:hAnsiTheme="majorBidi" w:cstheme="majorBidi"/>
          <w:color w:val="000000" w:themeColor="text1"/>
        </w:rPr>
        <w:t xml:space="preserve">to </w:t>
      </w:r>
      <w:r w:rsidRPr="00D773F7">
        <w:rPr>
          <w:rFonts w:asciiTheme="majorBidi" w:hAnsiTheme="majorBidi" w:cstheme="majorBidi"/>
          <w:color w:val="000000" w:themeColor="text1"/>
        </w:rPr>
        <w:t>3.4.2.2.4.3 (including the related new footnotes 3 and 4)</w:t>
      </w:r>
      <w:r w:rsidR="002B1848" w:rsidRPr="00D773F7">
        <w:rPr>
          <w:rFonts w:asciiTheme="majorBidi" w:hAnsiTheme="majorBidi" w:cstheme="majorBidi"/>
          <w:color w:val="000000" w:themeColor="text1"/>
        </w:rPr>
        <w:t xml:space="preserve"> with the following</w:t>
      </w:r>
      <w:r w:rsidRPr="00D773F7">
        <w:rPr>
          <w:rFonts w:asciiTheme="majorBidi" w:hAnsiTheme="majorBidi" w:cstheme="majorBidi"/>
          <w:color w:val="000000" w:themeColor="text1"/>
        </w:rPr>
        <w:t>:</w:t>
      </w:r>
    </w:p>
    <w:p w14:paraId="7AD22762" w14:textId="720FF895" w:rsidR="007F4FEC" w:rsidRPr="00D773F7" w:rsidRDefault="007F4FEC" w:rsidP="00C17E19">
      <w:pPr>
        <w:pStyle w:val="GHSHeading5"/>
        <w:widowControl/>
        <w:tabs>
          <w:tab w:val="clear" w:pos="1418"/>
          <w:tab w:val="clear" w:pos="1985"/>
          <w:tab w:val="clear" w:pos="2552"/>
          <w:tab w:val="clear" w:pos="3119"/>
          <w:tab w:val="left" w:pos="2268"/>
          <w:tab w:val="left" w:pos="2835"/>
        </w:tabs>
        <w:spacing w:before="240" w:after="240"/>
        <w:ind w:left="2268" w:right="1134"/>
        <w:rPr>
          <w:rFonts w:asciiTheme="majorBidi" w:hAnsiTheme="majorBidi" w:cstheme="majorBidi"/>
          <w:color w:val="auto"/>
          <w:sz w:val="20"/>
          <w:szCs w:val="20"/>
        </w:rPr>
      </w:pPr>
      <w:r w:rsidRPr="00D773F7">
        <w:rPr>
          <w:rFonts w:asciiTheme="majorBidi" w:hAnsiTheme="majorBidi" w:cstheme="majorBidi"/>
          <w:color w:val="auto"/>
          <w:sz w:val="20"/>
          <w:szCs w:val="20"/>
        </w:rPr>
        <w:t>“3.4.2.2.4</w:t>
      </w:r>
      <w:r w:rsidRPr="00D773F7">
        <w:rPr>
          <w:rFonts w:asciiTheme="majorBidi" w:hAnsiTheme="majorBidi" w:cstheme="majorBidi"/>
          <w:color w:val="auto"/>
          <w:sz w:val="20"/>
          <w:szCs w:val="20"/>
        </w:rPr>
        <w:tab/>
      </w:r>
      <w:r w:rsidRPr="00D773F7">
        <w:rPr>
          <w:rFonts w:asciiTheme="majorBidi" w:hAnsiTheme="majorBidi" w:cstheme="majorBidi"/>
          <w:bCs/>
          <w:i/>
          <w:color w:val="auto"/>
          <w:sz w:val="20"/>
          <w:szCs w:val="20"/>
        </w:rPr>
        <w:t>Classification based on defined approaches (</w:t>
      </w:r>
      <w:r w:rsidR="00123673" w:rsidRPr="00D773F7">
        <w:rPr>
          <w:rFonts w:asciiTheme="majorBidi" w:hAnsiTheme="majorBidi" w:cstheme="majorBidi"/>
          <w:bCs/>
          <w:i/>
          <w:color w:val="auto"/>
          <w:sz w:val="20"/>
          <w:szCs w:val="20"/>
        </w:rPr>
        <w:t>t</w:t>
      </w:r>
      <w:r w:rsidRPr="00D773F7">
        <w:rPr>
          <w:rFonts w:asciiTheme="majorBidi" w:hAnsiTheme="majorBidi" w:cstheme="majorBidi"/>
          <w:bCs/>
          <w:i/>
          <w:color w:val="auto"/>
          <w:sz w:val="20"/>
          <w:szCs w:val="20"/>
        </w:rPr>
        <w:t xml:space="preserve">ier 1 or </w:t>
      </w:r>
      <w:r w:rsidR="00123673" w:rsidRPr="00D773F7">
        <w:rPr>
          <w:rFonts w:asciiTheme="majorBidi" w:hAnsiTheme="majorBidi" w:cstheme="majorBidi"/>
          <w:bCs/>
          <w:i/>
          <w:color w:val="auto"/>
          <w:sz w:val="20"/>
          <w:szCs w:val="20"/>
        </w:rPr>
        <w:t>t</w:t>
      </w:r>
      <w:r w:rsidRPr="00D773F7">
        <w:rPr>
          <w:rFonts w:asciiTheme="majorBidi" w:hAnsiTheme="majorBidi" w:cstheme="majorBidi"/>
          <w:bCs/>
          <w:i/>
          <w:color w:val="auto"/>
          <w:sz w:val="20"/>
          <w:szCs w:val="20"/>
        </w:rPr>
        <w:t xml:space="preserve">ier 2 in </w:t>
      </w:r>
      <w:r w:rsidR="00D5525A" w:rsidRPr="00D773F7">
        <w:rPr>
          <w:rFonts w:asciiTheme="majorBidi" w:hAnsiTheme="majorBidi" w:cstheme="majorBidi"/>
          <w:bCs/>
          <w:i/>
          <w:color w:val="auto"/>
          <w:sz w:val="20"/>
          <w:szCs w:val="20"/>
        </w:rPr>
        <w:t>f</w:t>
      </w:r>
      <w:r w:rsidRPr="00D773F7">
        <w:rPr>
          <w:rFonts w:asciiTheme="majorBidi" w:hAnsiTheme="majorBidi" w:cstheme="majorBidi"/>
          <w:bCs/>
          <w:i/>
          <w:color w:val="auto"/>
          <w:sz w:val="20"/>
          <w:szCs w:val="20"/>
        </w:rPr>
        <w:t>igure 3.4.1)</w:t>
      </w:r>
    </w:p>
    <w:p w14:paraId="6B3DC632" w14:textId="45EDF3B4" w:rsidR="007F4FEC" w:rsidRPr="00D773F7" w:rsidRDefault="007F4FEC" w:rsidP="00C17E19">
      <w:pPr>
        <w:pStyle w:val="Default"/>
        <w:tabs>
          <w:tab w:val="left" w:pos="2835"/>
        </w:tabs>
        <w:spacing w:after="240"/>
        <w:ind w:left="2268" w:right="1134"/>
        <w:jc w:val="both"/>
        <w:rPr>
          <w:rFonts w:asciiTheme="majorBidi" w:hAnsiTheme="majorBidi" w:cstheme="majorBidi"/>
          <w:color w:val="auto"/>
          <w:sz w:val="20"/>
          <w:szCs w:val="20"/>
        </w:rPr>
      </w:pPr>
      <w:r w:rsidRPr="00D773F7">
        <w:rPr>
          <w:rFonts w:asciiTheme="majorBidi" w:hAnsiTheme="majorBidi" w:cstheme="majorBidi"/>
          <w:color w:val="auto"/>
          <w:sz w:val="20"/>
          <w:szCs w:val="20"/>
        </w:rPr>
        <w:t>3.4.2.2.4.1</w:t>
      </w:r>
      <w:r w:rsidRPr="00D773F7">
        <w:rPr>
          <w:rFonts w:asciiTheme="majorBidi" w:hAnsiTheme="majorBidi" w:cstheme="majorBidi"/>
          <w:color w:val="auto"/>
          <w:sz w:val="20"/>
          <w:szCs w:val="20"/>
        </w:rPr>
        <w:tab/>
        <w:t xml:space="preserve">Defined approaches consist of a rule-based combination of data obtained from a predefined set of different information sources (e.g. </w:t>
      </w:r>
      <w:r w:rsidRPr="00D773F7">
        <w:rPr>
          <w:rFonts w:asciiTheme="majorBidi" w:hAnsiTheme="majorBidi" w:cstheme="majorBidi"/>
          <w:i/>
          <w:color w:val="auto"/>
          <w:sz w:val="20"/>
          <w:szCs w:val="20"/>
        </w:rPr>
        <w:t xml:space="preserve">in </w:t>
      </w:r>
      <w:proofErr w:type="spellStart"/>
      <w:r w:rsidRPr="00D773F7">
        <w:rPr>
          <w:rFonts w:asciiTheme="majorBidi" w:hAnsiTheme="majorBidi" w:cstheme="majorBidi"/>
          <w:i/>
          <w:color w:val="auto"/>
          <w:sz w:val="20"/>
          <w:szCs w:val="20"/>
        </w:rPr>
        <w:t>chemico</w:t>
      </w:r>
      <w:proofErr w:type="spellEnd"/>
      <w:r w:rsidRPr="00D773F7">
        <w:rPr>
          <w:rFonts w:asciiTheme="majorBidi" w:hAnsiTheme="majorBidi" w:cstheme="majorBidi"/>
          <w:i/>
          <w:color w:val="auto"/>
          <w:sz w:val="20"/>
          <w:szCs w:val="20"/>
        </w:rPr>
        <w:t xml:space="preserve"> </w:t>
      </w:r>
      <w:r w:rsidRPr="00D773F7">
        <w:rPr>
          <w:rFonts w:asciiTheme="majorBidi" w:hAnsiTheme="majorBidi" w:cstheme="majorBidi"/>
          <w:color w:val="auto"/>
          <w:sz w:val="20"/>
          <w:szCs w:val="20"/>
        </w:rPr>
        <w:t>methods</w:t>
      </w:r>
      <w:r w:rsidRPr="00D773F7">
        <w:rPr>
          <w:rFonts w:asciiTheme="majorBidi" w:hAnsiTheme="majorBidi" w:cstheme="majorBidi"/>
          <w:i/>
          <w:iCs/>
          <w:color w:val="auto"/>
          <w:sz w:val="20"/>
          <w:szCs w:val="20"/>
        </w:rPr>
        <w:t xml:space="preserve">, </w:t>
      </w:r>
      <w:r w:rsidRPr="00D773F7">
        <w:rPr>
          <w:rFonts w:asciiTheme="majorBidi" w:hAnsiTheme="majorBidi" w:cstheme="majorBidi"/>
          <w:color w:val="auto"/>
          <w:sz w:val="20"/>
          <w:szCs w:val="20"/>
        </w:rPr>
        <w:t>in vitro</w:t>
      </w:r>
      <w:r w:rsidRPr="00D773F7">
        <w:rPr>
          <w:rFonts w:asciiTheme="majorBidi" w:hAnsiTheme="majorBidi" w:cstheme="majorBidi"/>
          <w:i/>
          <w:iCs/>
          <w:color w:val="auto"/>
          <w:sz w:val="20"/>
          <w:szCs w:val="20"/>
        </w:rPr>
        <w:t xml:space="preserve"> </w:t>
      </w:r>
      <w:r w:rsidRPr="00D773F7">
        <w:rPr>
          <w:rFonts w:asciiTheme="majorBidi" w:hAnsiTheme="majorBidi" w:cstheme="majorBidi"/>
          <w:color w:val="auto"/>
          <w:sz w:val="20"/>
          <w:szCs w:val="20"/>
        </w:rPr>
        <w:t xml:space="preserve">methods, </w:t>
      </w:r>
      <w:proofErr w:type="spellStart"/>
      <w:r w:rsidRPr="00D773F7">
        <w:rPr>
          <w:rFonts w:asciiTheme="majorBidi" w:hAnsiTheme="majorBidi" w:cstheme="majorBidi"/>
          <w:color w:val="auto"/>
          <w:sz w:val="20"/>
          <w:szCs w:val="20"/>
        </w:rPr>
        <w:t>physico</w:t>
      </w:r>
      <w:proofErr w:type="spellEnd"/>
      <w:r w:rsidRPr="00D773F7">
        <w:rPr>
          <w:rFonts w:asciiTheme="majorBidi" w:hAnsiTheme="majorBidi" w:cstheme="majorBidi"/>
          <w:color w:val="auto"/>
          <w:sz w:val="20"/>
          <w:szCs w:val="20"/>
        </w:rPr>
        <w:t xml:space="preserve">-chemical properties, non-test methods). It is recognized that most single </w:t>
      </w:r>
      <w:r w:rsidRPr="00D773F7">
        <w:rPr>
          <w:rFonts w:asciiTheme="majorBidi" w:hAnsiTheme="majorBidi" w:cstheme="majorBidi"/>
          <w:iCs/>
          <w:color w:val="auto"/>
          <w:sz w:val="20"/>
          <w:szCs w:val="20"/>
        </w:rPr>
        <w:t>non animal</w:t>
      </w:r>
      <w:r w:rsidRPr="00D773F7">
        <w:rPr>
          <w:rFonts w:asciiTheme="majorBidi" w:hAnsiTheme="majorBidi" w:cstheme="majorBidi"/>
          <w:color w:val="auto"/>
          <w:sz w:val="20"/>
          <w:szCs w:val="20"/>
        </w:rPr>
        <w:t xml:space="preserve"> methods are not able to replace </w:t>
      </w:r>
      <w:r w:rsidRPr="00D773F7">
        <w:rPr>
          <w:rFonts w:asciiTheme="majorBidi" w:hAnsiTheme="majorBidi" w:cstheme="majorBidi"/>
          <w:iCs/>
          <w:color w:val="auto"/>
          <w:sz w:val="20"/>
          <w:szCs w:val="20"/>
        </w:rPr>
        <w:t>in vivo</w:t>
      </w:r>
      <w:r w:rsidRPr="00D773F7">
        <w:rPr>
          <w:rFonts w:asciiTheme="majorBidi" w:hAnsiTheme="majorBidi" w:cstheme="majorBidi"/>
          <w:color w:val="auto"/>
          <w:sz w:val="20"/>
          <w:szCs w:val="20"/>
        </w:rPr>
        <w:t xml:space="preserve"> methods fully for most regulatory endpoints. Thus, defined approaches can be useful strategies of combining data for classifying substances and mixtures. Results obtained with a defined approach validated according to international procedures, such as OECD Guideline 497 or an equivalent approach, are conclusive for classification for skin sensitization if the criteria of the defined approach are fulfilled (see </w:t>
      </w:r>
      <w:r w:rsidR="001806B2" w:rsidRPr="00D773F7">
        <w:rPr>
          <w:rFonts w:asciiTheme="majorBidi" w:hAnsiTheme="majorBidi" w:cstheme="majorBidi"/>
          <w:color w:val="auto"/>
          <w:sz w:val="20"/>
          <w:szCs w:val="20"/>
        </w:rPr>
        <w:t>t</w:t>
      </w:r>
      <w:r w:rsidRPr="00D773F7">
        <w:rPr>
          <w:rFonts w:asciiTheme="majorBidi" w:hAnsiTheme="majorBidi" w:cstheme="majorBidi"/>
          <w:color w:val="auto"/>
          <w:sz w:val="20"/>
          <w:szCs w:val="20"/>
        </w:rPr>
        <w:t>able 3.4.</w:t>
      </w:r>
      <w:r w:rsidR="008F4575" w:rsidRPr="00D773F7">
        <w:rPr>
          <w:rFonts w:asciiTheme="majorBidi" w:hAnsiTheme="majorBidi" w:cstheme="majorBidi"/>
          <w:color w:val="auto"/>
          <w:sz w:val="20"/>
          <w:szCs w:val="20"/>
        </w:rPr>
        <w:t>7</w:t>
      </w:r>
      <w:r w:rsidRPr="00D773F7">
        <w:rPr>
          <w:rFonts w:asciiTheme="majorBidi" w:hAnsiTheme="majorBidi" w:cstheme="majorBidi"/>
          <w:color w:val="auto"/>
          <w:sz w:val="20"/>
          <w:szCs w:val="20"/>
        </w:rPr>
        <w:t>)</w:t>
      </w:r>
      <w:r w:rsidRPr="00D773F7">
        <w:rPr>
          <w:rFonts w:asciiTheme="majorBidi" w:hAnsiTheme="majorBidi" w:cstheme="majorBidi"/>
          <w:color w:val="auto"/>
          <w:sz w:val="20"/>
          <w:szCs w:val="20"/>
          <w:vertAlign w:val="superscript"/>
        </w:rPr>
        <w:t>3</w:t>
      </w:r>
      <w:r w:rsidRPr="00D773F7">
        <w:rPr>
          <w:rFonts w:asciiTheme="majorBidi" w:hAnsiTheme="majorBidi" w:cstheme="majorBidi"/>
          <w:color w:val="auto"/>
          <w:sz w:val="20"/>
          <w:szCs w:val="20"/>
        </w:rPr>
        <w:t xml:space="preserve">. </w:t>
      </w:r>
      <w:r w:rsidRPr="00D773F7">
        <w:rPr>
          <w:rFonts w:asciiTheme="majorBidi" w:hAnsiTheme="majorBidi" w:cstheme="majorBidi"/>
          <w:iCs/>
          <w:color w:val="auto"/>
          <w:sz w:val="20"/>
          <w:szCs w:val="20"/>
        </w:rPr>
        <w:t>D</w:t>
      </w:r>
      <w:r w:rsidRPr="00D773F7">
        <w:rPr>
          <w:rFonts w:asciiTheme="majorBidi" w:hAnsiTheme="majorBidi" w:cstheme="majorBidi"/>
          <w:color w:val="auto"/>
          <w:sz w:val="20"/>
          <w:szCs w:val="20"/>
        </w:rPr>
        <w:t>ata from a defined approach can only be used for classification when the tested substance is within the applicability domain of the defined approach used. Additional limitations described in the published literature should also be taken into consideration.</w:t>
      </w:r>
    </w:p>
    <w:p w14:paraId="3BE96613" w14:textId="6617F02F" w:rsidR="007F4FEC" w:rsidRPr="00D773F7" w:rsidRDefault="007F4FEC" w:rsidP="00C17E19">
      <w:pPr>
        <w:pStyle w:val="Default"/>
        <w:tabs>
          <w:tab w:val="left" w:pos="2835"/>
        </w:tabs>
        <w:spacing w:after="240"/>
        <w:ind w:left="2268" w:right="1134"/>
        <w:jc w:val="both"/>
        <w:rPr>
          <w:rFonts w:asciiTheme="majorBidi" w:hAnsiTheme="majorBidi" w:cstheme="majorBidi"/>
          <w:color w:val="auto"/>
          <w:sz w:val="20"/>
          <w:szCs w:val="20"/>
        </w:rPr>
      </w:pPr>
      <w:r w:rsidRPr="00D773F7">
        <w:rPr>
          <w:rFonts w:asciiTheme="majorBidi" w:hAnsiTheme="majorBidi" w:cstheme="majorBidi"/>
          <w:color w:val="auto"/>
          <w:sz w:val="20"/>
          <w:szCs w:val="20"/>
        </w:rPr>
        <w:t>3.4.2.2.4.2</w:t>
      </w:r>
      <w:r w:rsidRPr="00D773F7">
        <w:rPr>
          <w:rFonts w:asciiTheme="majorBidi" w:hAnsiTheme="majorBidi" w:cstheme="majorBidi"/>
          <w:color w:val="auto"/>
          <w:sz w:val="20"/>
          <w:szCs w:val="20"/>
        </w:rPr>
        <w:tab/>
        <w:t xml:space="preserve">Where the results from defined approaches are assigned a level of confidence as for example in OECD Guideline 497, a low confidence outcome of a defined approach </w:t>
      </w:r>
      <w:r w:rsidR="00605CA1" w:rsidRPr="00D773F7">
        <w:rPr>
          <w:rFonts w:asciiTheme="majorBidi" w:hAnsiTheme="majorBidi" w:cstheme="majorBidi"/>
          <w:color w:val="auto"/>
          <w:sz w:val="20"/>
          <w:szCs w:val="20"/>
        </w:rPr>
        <w:t xml:space="preserve">in </w:t>
      </w:r>
      <w:r w:rsidR="00123673" w:rsidRPr="00D773F7">
        <w:rPr>
          <w:rFonts w:asciiTheme="majorBidi" w:hAnsiTheme="majorBidi" w:cstheme="majorBidi"/>
          <w:color w:val="auto"/>
          <w:sz w:val="20"/>
          <w:szCs w:val="20"/>
        </w:rPr>
        <w:t>t</w:t>
      </w:r>
      <w:r w:rsidR="00605CA1" w:rsidRPr="00D773F7">
        <w:rPr>
          <w:rFonts w:asciiTheme="majorBidi" w:hAnsiTheme="majorBidi" w:cstheme="majorBidi"/>
          <w:color w:val="auto"/>
          <w:sz w:val="20"/>
          <w:szCs w:val="20"/>
        </w:rPr>
        <w:t xml:space="preserve">ier 1 is inconclusive and thus </w:t>
      </w:r>
      <w:r w:rsidRPr="00D773F7">
        <w:rPr>
          <w:rFonts w:asciiTheme="majorBidi" w:hAnsiTheme="majorBidi" w:cstheme="majorBidi"/>
          <w:color w:val="auto"/>
          <w:sz w:val="20"/>
          <w:szCs w:val="20"/>
        </w:rPr>
        <w:t xml:space="preserve">cannot be used on its own to classify but may be considered in combination with other data in </w:t>
      </w:r>
      <w:r w:rsidR="00123673" w:rsidRPr="00D773F7">
        <w:rPr>
          <w:rFonts w:asciiTheme="majorBidi" w:hAnsiTheme="majorBidi" w:cstheme="majorBidi"/>
          <w:color w:val="auto"/>
          <w:sz w:val="20"/>
          <w:szCs w:val="20"/>
        </w:rPr>
        <w:t>t</w:t>
      </w:r>
      <w:r w:rsidRPr="00D773F7">
        <w:rPr>
          <w:rFonts w:asciiTheme="majorBidi" w:hAnsiTheme="majorBidi" w:cstheme="majorBidi"/>
          <w:color w:val="auto"/>
          <w:sz w:val="20"/>
          <w:szCs w:val="20"/>
        </w:rPr>
        <w:t>ier 2.</w:t>
      </w:r>
    </w:p>
    <w:p w14:paraId="03FDAEC3" w14:textId="1EB56AE2" w:rsidR="007F4FEC" w:rsidRPr="00D773F7" w:rsidRDefault="007F4FEC" w:rsidP="00C17E19">
      <w:pPr>
        <w:pStyle w:val="GHSHeading5"/>
        <w:widowControl/>
        <w:tabs>
          <w:tab w:val="clear" w:pos="1418"/>
          <w:tab w:val="clear" w:pos="1985"/>
          <w:tab w:val="clear" w:pos="2552"/>
          <w:tab w:val="clear" w:pos="3119"/>
          <w:tab w:val="left" w:pos="2268"/>
          <w:tab w:val="left" w:pos="2835"/>
        </w:tabs>
        <w:spacing w:before="240" w:after="240"/>
        <w:ind w:left="2268" w:right="1134"/>
        <w:rPr>
          <w:rFonts w:asciiTheme="majorBidi" w:hAnsiTheme="majorBidi" w:cstheme="majorBidi"/>
          <w:color w:val="auto"/>
          <w:sz w:val="20"/>
          <w:szCs w:val="20"/>
        </w:rPr>
      </w:pPr>
      <w:r w:rsidRPr="00D773F7">
        <w:rPr>
          <w:rFonts w:asciiTheme="majorBidi" w:hAnsiTheme="majorBidi" w:cstheme="majorBidi"/>
          <w:color w:val="auto"/>
          <w:sz w:val="20"/>
          <w:szCs w:val="20"/>
        </w:rPr>
        <w:t>3.4.2.2.4.3</w:t>
      </w:r>
      <w:r w:rsidRPr="00D773F7">
        <w:rPr>
          <w:rFonts w:asciiTheme="majorBidi" w:hAnsiTheme="majorBidi" w:cstheme="majorBidi"/>
          <w:color w:val="auto"/>
          <w:sz w:val="20"/>
          <w:szCs w:val="20"/>
        </w:rPr>
        <w:tab/>
      </w:r>
      <w:r w:rsidR="00BE1E39" w:rsidRPr="00D773F7">
        <w:rPr>
          <w:rFonts w:asciiTheme="majorBidi" w:hAnsiTheme="majorBidi" w:cstheme="majorBidi"/>
          <w:color w:val="auto"/>
          <w:sz w:val="20"/>
          <w:szCs w:val="20"/>
        </w:rPr>
        <w:t>Individual evidence used within a defined approach should not also be used outside of that defined approach</w:t>
      </w:r>
      <w:r w:rsidRPr="00D773F7">
        <w:rPr>
          <w:rFonts w:asciiTheme="majorBidi" w:hAnsiTheme="majorBidi" w:cstheme="majorBidi"/>
          <w:color w:val="auto"/>
          <w:sz w:val="20"/>
          <w:szCs w:val="20"/>
        </w:rPr>
        <w:t>.</w:t>
      </w:r>
    </w:p>
    <w:p w14:paraId="362629BC" w14:textId="3259E388" w:rsidR="007F4FEC" w:rsidRPr="00D773F7" w:rsidRDefault="007F4FEC" w:rsidP="00C17E19">
      <w:pPr>
        <w:pStyle w:val="GHSHeading5"/>
        <w:widowControl/>
        <w:tabs>
          <w:tab w:val="clear" w:pos="1418"/>
          <w:tab w:val="clear" w:pos="1985"/>
          <w:tab w:val="clear" w:pos="2552"/>
          <w:tab w:val="clear" w:pos="3119"/>
          <w:tab w:val="left" w:pos="2268"/>
          <w:tab w:val="left" w:pos="2835"/>
        </w:tabs>
        <w:spacing w:before="240" w:after="240"/>
        <w:ind w:left="2268" w:right="1134"/>
        <w:rPr>
          <w:rFonts w:asciiTheme="majorBidi" w:hAnsiTheme="majorBidi" w:cstheme="majorBidi"/>
          <w:bCs/>
          <w:color w:val="auto"/>
          <w:sz w:val="20"/>
          <w:szCs w:val="20"/>
        </w:rPr>
      </w:pPr>
      <w:r w:rsidRPr="00D773F7">
        <w:rPr>
          <w:rFonts w:asciiTheme="majorBidi" w:hAnsiTheme="majorBidi" w:cstheme="majorBidi"/>
          <w:color w:val="auto"/>
          <w:sz w:val="20"/>
          <w:szCs w:val="20"/>
        </w:rPr>
        <w:t>3.4.2.2.5</w:t>
      </w:r>
      <w:r w:rsidRPr="00D773F7">
        <w:rPr>
          <w:rFonts w:asciiTheme="majorBidi" w:hAnsiTheme="majorBidi" w:cstheme="majorBidi"/>
          <w:color w:val="auto"/>
          <w:sz w:val="20"/>
          <w:szCs w:val="20"/>
        </w:rPr>
        <w:tab/>
      </w:r>
      <w:r w:rsidRPr="00D773F7">
        <w:rPr>
          <w:rFonts w:asciiTheme="majorBidi" w:hAnsiTheme="majorBidi" w:cstheme="majorBidi"/>
          <w:bCs/>
          <w:i/>
          <w:color w:val="auto"/>
          <w:sz w:val="20"/>
          <w:szCs w:val="20"/>
        </w:rPr>
        <w:t xml:space="preserve">Classification based on in </w:t>
      </w:r>
      <w:proofErr w:type="spellStart"/>
      <w:r w:rsidRPr="00D773F7">
        <w:rPr>
          <w:rFonts w:asciiTheme="majorBidi" w:hAnsiTheme="majorBidi" w:cstheme="majorBidi"/>
          <w:bCs/>
          <w:i/>
          <w:color w:val="auto"/>
          <w:sz w:val="20"/>
          <w:szCs w:val="20"/>
        </w:rPr>
        <w:t>chemico</w:t>
      </w:r>
      <w:proofErr w:type="spellEnd"/>
      <w:r w:rsidRPr="00D773F7">
        <w:rPr>
          <w:rFonts w:asciiTheme="majorBidi" w:hAnsiTheme="majorBidi" w:cstheme="majorBidi"/>
          <w:bCs/>
          <w:i/>
          <w:color w:val="auto"/>
          <w:sz w:val="20"/>
          <w:szCs w:val="20"/>
        </w:rPr>
        <w:t>/in vitro data (</w:t>
      </w:r>
      <w:r w:rsidR="00123673" w:rsidRPr="00D773F7">
        <w:rPr>
          <w:rFonts w:asciiTheme="majorBidi" w:hAnsiTheme="majorBidi" w:cstheme="majorBidi"/>
          <w:bCs/>
          <w:i/>
          <w:color w:val="auto"/>
          <w:sz w:val="20"/>
          <w:szCs w:val="20"/>
        </w:rPr>
        <w:t>t</w:t>
      </w:r>
      <w:r w:rsidRPr="00D773F7">
        <w:rPr>
          <w:rFonts w:asciiTheme="majorBidi" w:hAnsiTheme="majorBidi" w:cstheme="majorBidi"/>
          <w:bCs/>
          <w:i/>
          <w:color w:val="auto"/>
          <w:sz w:val="20"/>
          <w:szCs w:val="20"/>
        </w:rPr>
        <w:t xml:space="preserve">ier 1 or </w:t>
      </w:r>
      <w:r w:rsidR="00123673" w:rsidRPr="00D773F7">
        <w:rPr>
          <w:rFonts w:asciiTheme="majorBidi" w:hAnsiTheme="majorBidi" w:cstheme="majorBidi"/>
          <w:bCs/>
          <w:i/>
          <w:color w:val="auto"/>
          <w:sz w:val="20"/>
          <w:szCs w:val="20"/>
        </w:rPr>
        <w:t>t</w:t>
      </w:r>
      <w:r w:rsidRPr="00D773F7">
        <w:rPr>
          <w:rFonts w:asciiTheme="majorBidi" w:hAnsiTheme="majorBidi" w:cstheme="majorBidi"/>
          <w:bCs/>
          <w:i/>
          <w:color w:val="auto"/>
          <w:sz w:val="20"/>
          <w:szCs w:val="20"/>
        </w:rPr>
        <w:t xml:space="preserve">ier 2 in </w:t>
      </w:r>
      <w:r w:rsidR="001244CC" w:rsidRPr="00D773F7">
        <w:rPr>
          <w:rFonts w:asciiTheme="majorBidi" w:hAnsiTheme="majorBidi" w:cstheme="majorBidi"/>
          <w:bCs/>
          <w:i/>
          <w:color w:val="auto"/>
          <w:sz w:val="20"/>
          <w:szCs w:val="20"/>
        </w:rPr>
        <w:t>f</w:t>
      </w:r>
      <w:r w:rsidRPr="00D773F7">
        <w:rPr>
          <w:rFonts w:asciiTheme="majorBidi" w:hAnsiTheme="majorBidi" w:cstheme="majorBidi"/>
          <w:bCs/>
          <w:i/>
          <w:color w:val="auto"/>
          <w:sz w:val="20"/>
          <w:szCs w:val="20"/>
        </w:rPr>
        <w:t>igure 3.4.1)</w:t>
      </w:r>
    </w:p>
    <w:p w14:paraId="711BE24B" w14:textId="3BED874E" w:rsidR="007F4FEC" w:rsidRPr="00D773F7" w:rsidRDefault="007F4FEC" w:rsidP="00C17E19">
      <w:pPr>
        <w:spacing w:after="240" w:line="240" w:lineRule="auto"/>
        <w:ind w:left="2268" w:right="1134"/>
        <w:jc w:val="both"/>
        <w:rPr>
          <w:rFonts w:asciiTheme="majorBidi" w:hAnsiTheme="majorBidi" w:cstheme="majorBidi"/>
        </w:rPr>
      </w:pPr>
      <w:r w:rsidRPr="00D773F7">
        <w:rPr>
          <w:rFonts w:asciiTheme="majorBidi" w:hAnsiTheme="majorBidi" w:cstheme="majorBidi"/>
        </w:rPr>
        <w:t>3.4.2.2.5.1</w:t>
      </w:r>
      <w:r w:rsidRPr="00D773F7">
        <w:rPr>
          <w:rFonts w:asciiTheme="majorBidi" w:hAnsiTheme="majorBidi" w:cstheme="majorBidi"/>
        </w:rPr>
        <w:tab/>
        <w:t xml:space="preserve">The currently available </w:t>
      </w:r>
      <w:r w:rsidRPr="00D773F7">
        <w:rPr>
          <w:rFonts w:asciiTheme="majorBidi" w:hAnsiTheme="majorBidi" w:cstheme="majorBidi"/>
          <w:i/>
          <w:iCs/>
        </w:rPr>
        <w:t xml:space="preserve">in </w:t>
      </w:r>
      <w:proofErr w:type="spellStart"/>
      <w:r w:rsidRPr="00D773F7">
        <w:rPr>
          <w:rFonts w:asciiTheme="majorBidi" w:hAnsiTheme="majorBidi" w:cstheme="majorBidi"/>
          <w:i/>
          <w:iCs/>
        </w:rPr>
        <w:t>chemico</w:t>
      </w:r>
      <w:proofErr w:type="spellEnd"/>
      <w:r w:rsidRPr="00D773F7">
        <w:rPr>
          <w:rFonts w:asciiTheme="majorBidi" w:hAnsiTheme="majorBidi" w:cstheme="majorBidi"/>
          <w:i/>
          <w:iCs/>
        </w:rPr>
        <w:t>/</w:t>
      </w:r>
      <w:r w:rsidRPr="00D773F7">
        <w:rPr>
          <w:rFonts w:asciiTheme="majorBidi" w:hAnsiTheme="majorBidi" w:cstheme="majorBidi"/>
        </w:rPr>
        <w:t>in vitro methods address specific biological mechanisms leading to the acquisition of skin sensitization as described, for example, in the OECD Adverse Outcome Pathway for Skin Sensitisation (see OECD</w:t>
      </w:r>
      <w:r w:rsidR="00F518D7" w:rsidRPr="00D773F7">
        <w:rPr>
          <w:rFonts w:asciiTheme="majorBidi" w:hAnsiTheme="majorBidi" w:cstheme="majorBidi"/>
        </w:rPr>
        <w:t xml:space="preserve"> (</w:t>
      </w:r>
      <w:r w:rsidRPr="00D773F7">
        <w:rPr>
          <w:rFonts w:asciiTheme="majorBidi" w:hAnsiTheme="majorBidi" w:cstheme="majorBidi"/>
        </w:rPr>
        <w:t>2014)</w:t>
      </w:r>
      <w:r w:rsidR="00F518D7" w:rsidRPr="00D773F7">
        <w:rPr>
          <w:rFonts w:asciiTheme="majorBidi" w:hAnsiTheme="majorBidi" w:cstheme="majorBidi"/>
        </w:rPr>
        <w:t>)</w:t>
      </w:r>
      <w:r w:rsidRPr="00D773F7">
        <w:rPr>
          <w:rFonts w:asciiTheme="majorBidi" w:hAnsiTheme="majorBidi" w:cstheme="majorBidi"/>
        </w:rPr>
        <w:t xml:space="preserve">. Individual test methods that are validated according to international procedures and are accepted as stand-alone methods, can be used to conclude on the classification in </w:t>
      </w:r>
      <w:r w:rsidR="00123673" w:rsidRPr="00D773F7">
        <w:rPr>
          <w:rFonts w:asciiTheme="majorBidi" w:hAnsiTheme="majorBidi" w:cstheme="majorBidi"/>
        </w:rPr>
        <w:t>t</w:t>
      </w:r>
      <w:r w:rsidRPr="00D773F7">
        <w:rPr>
          <w:rFonts w:asciiTheme="majorBidi" w:hAnsiTheme="majorBidi" w:cstheme="majorBidi"/>
        </w:rPr>
        <w:t xml:space="preserve">ier 1. A competent authority may decide whether to use the method described in Appendix III to OECD Test Guideline 442C as a stand-alone method to discriminate between </w:t>
      </w:r>
      <w:r w:rsidR="006774FC" w:rsidRPr="00D773F7">
        <w:rPr>
          <w:rFonts w:asciiTheme="majorBidi" w:hAnsiTheme="majorBidi" w:cstheme="majorBidi"/>
        </w:rPr>
        <w:t>sub-</w:t>
      </w:r>
      <w:r w:rsidRPr="00D773F7">
        <w:rPr>
          <w:rFonts w:asciiTheme="majorBidi" w:hAnsiTheme="majorBidi" w:cstheme="majorBidi"/>
        </w:rPr>
        <w:t xml:space="preserve">category 1A and those not categorized as </w:t>
      </w:r>
      <w:r w:rsidR="006774FC" w:rsidRPr="00D773F7">
        <w:rPr>
          <w:rFonts w:asciiTheme="majorBidi" w:hAnsiTheme="majorBidi" w:cstheme="majorBidi"/>
        </w:rPr>
        <w:t>sub-</w:t>
      </w:r>
      <w:r w:rsidRPr="00D773F7">
        <w:rPr>
          <w:rFonts w:asciiTheme="majorBidi" w:hAnsiTheme="majorBidi" w:cstheme="majorBidi"/>
        </w:rPr>
        <w:t>category 1A (see 3.4.5.3.5).</w:t>
      </w:r>
    </w:p>
    <w:p w14:paraId="55C53EA5" w14:textId="07747044" w:rsidR="007F4FEC" w:rsidRPr="00D773F7" w:rsidRDefault="007F4FEC" w:rsidP="00C17E19">
      <w:pPr>
        <w:pStyle w:val="Default"/>
        <w:tabs>
          <w:tab w:val="left" w:pos="2835"/>
          <w:tab w:val="left" w:pos="3402"/>
        </w:tabs>
        <w:spacing w:after="240"/>
        <w:ind w:left="2268" w:right="1134"/>
        <w:jc w:val="both"/>
        <w:rPr>
          <w:rFonts w:asciiTheme="majorBidi" w:hAnsiTheme="majorBidi" w:cstheme="majorBidi"/>
          <w:color w:val="auto"/>
          <w:sz w:val="20"/>
          <w:szCs w:val="20"/>
        </w:rPr>
      </w:pPr>
      <w:r w:rsidRPr="00D773F7">
        <w:rPr>
          <w:rFonts w:asciiTheme="majorBidi" w:hAnsiTheme="majorBidi" w:cstheme="majorBidi"/>
          <w:color w:val="auto"/>
          <w:sz w:val="20"/>
          <w:szCs w:val="20"/>
        </w:rPr>
        <w:t>3.4.2.2.5.2</w:t>
      </w:r>
      <w:r w:rsidRPr="00D773F7">
        <w:rPr>
          <w:rFonts w:asciiTheme="majorBidi" w:hAnsiTheme="majorBidi" w:cstheme="majorBidi"/>
          <w:color w:val="auto"/>
          <w:sz w:val="20"/>
          <w:szCs w:val="20"/>
        </w:rPr>
        <w:tab/>
        <w:t>Other non</w:t>
      </w:r>
      <w:r w:rsidR="00B43D42" w:rsidRPr="00D773F7">
        <w:rPr>
          <w:rFonts w:asciiTheme="majorBidi" w:hAnsiTheme="majorBidi" w:cstheme="majorBidi"/>
          <w:color w:val="auto"/>
          <w:sz w:val="20"/>
          <w:szCs w:val="20"/>
        </w:rPr>
        <w:t xml:space="preserve"> </w:t>
      </w:r>
      <w:r w:rsidRPr="00D773F7">
        <w:rPr>
          <w:rFonts w:asciiTheme="majorBidi" w:hAnsiTheme="majorBidi" w:cstheme="majorBidi"/>
          <w:color w:val="auto"/>
          <w:sz w:val="20"/>
          <w:szCs w:val="20"/>
        </w:rPr>
        <w:t xml:space="preserve">stand-alone </w:t>
      </w:r>
      <w:r w:rsidRPr="00D773F7">
        <w:rPr>
          <w:rFonts w:asciiTheme="majorBidi" w:hAnsiTheme="majorBidi" w:cstheme="majorBidi"/>
          <w:i/>
          <w:color w:val="auto"/>
          <w:sz w:val="20"/>
          <w:szCs w:val="20"/>
        </w:rPr>
        <w:t>in</w:t>
      </w:r>
      <w:r w:rsidRPr="00D773F7">
        <w:rPr>
          <w:rFonts w:asciiTheme="majorBidi" w:hAnsiTheme="majorBidi" w:cstheme="majorBidi"/>
          <w:color w:val="auto"/>
          <w:sz w:val="20"/>
          <w:szCs w:val="20"/>
        </w:rPr>
        <w:t xml:space="preserve"> </w:t>
      </w:r>
      <w:proofErr w:type="spellStart"/>
      <w:r w:rsidRPr="00D773F7">
        <w:rPr>
          <w:rFonts w:asciiTheme="majorBidi" w:hAnsiTheme="majorBidi" w:cstheme="majorBidi"/>
          <w:i/>
          <w:iCs/>
          <w:color w:val="auto"/>
          <w:sz w:val="20"/>
          <w:szCs w:val="20"/>
        </w:rPr>
        <w:t>chemico</w:t>
      </w:r>
      <w:proofErr w:type="spellEnd"/>
      <w:r w:rsidRPr="00D773F7">
        <w:rPr>
          <w:rFonts w:asciiTheme="majorBidi" w:hAnsiTheme="majorBidi" w:cstheme="majorBidi"/>
          <w:i/>
          <w:iCs/>
          <w:color w:val="auto"/>
          <w:sz w:val="20"/>
          <w:szCs w:val="20"/>
        </w:rPr>
        <w:t>/</w:t>
      </w:r>
      <w:r w:rsidRPr="00D773F7">
        <w:rPr>
          <w:rFonts w:asciiTheme="majorBidi" w:hAnsiTheme="majorBidi" w:cstheme="majorBidi"/>
          <w:color w:val="auto"/>
          <w:sz w:val="20"/>
          <w:szCs w:val="20"/>
        </w:rPr>
        <w:t xml:space="preserve">in vitro methods that are validated according to international procedures such as OECD </w:t>
      </w:r>
      <w:r w:rsidR="001B3393" w:rsidRPr="00D773F7">
        <w:rPr>
          <w:rFonts w:asciiTheme="majorBidi" w:hAnsiTheme="majorBidi" w:cstheme="majorBidi"/>
          <w:color w:val="auto"/>
          <w:sz w:val="20"/>
          <w:szCs w:val="20"/>
        </w:rPr>
        <w:t>t</w:t>
      </w:r>
      <w:r w:rsidRPr="00D773F7">
        <w:rPr>
          <w:rFonts w:asciiTheme="majorBidi" w:hAnsiTheme="majorBidi" w:cstheme="majorBidi"/>
          <w:color w:val="auto"/>
          <w:sz w:val="20"/>
          <w:szCs w:val="20"/>
        </w:rPr>
        <w:t xml:space="preserve">est </w:t>
      </w:r>
      <w:r w:rsidR="001B3393" w:rsidRPr="00D773F7">
        <w:rPr>
          <w:rFonts w:asciiTheme="majorBidi" w:hAnsiTheme="majorBidi" w:cstheme="majorBidi"/>
          <w:color w:val="auto"/>
          <w:sz w:val="20"/>
          <w:szCs w:val="20"/>
        </w:rPr>
        <w:t>g</w:t>
      </w:r>
      <w:r w:rsidRPr="00D773F7">
        <w:rPr>
          <w:rFonts w:asciiTheme="majorBidi" w:hAnsiTheme="majorBidi" w:cstheme="majorBidi"/>
          <w:color w:val="auto"/>
          <w:sz w:val="20"/>
          <w:szCs w:val="20"/>
        </w:rPr>
        <w:t xml:space="preserve">uidelines 442C (Annex I and II), 442D and 442E, are accepted as supportive evidence and should within </w:t>
      </w:r>
      <w:r w:rsidR="00123673" w:rsidRPr="00D773F7">
        <w:rPr>
          <w:rFonts w:asciiTheme="majorBidi" w:hAnsiTheme="majorBidi" w:cstheme="majorBidi"/>
          <w:color w:val="auto"/>
          <w:sz w:val="20"/>
          <w:szCs w:val="20"/>
        </w:rPr>
        <w:t>t</w:t>
      </w:r>
      <w:r w:rsidRPr="00D773F7">
        <w:rPr>
          <w:rFonts w:asciiTheme="majorBidi" w:hAnsiTheme="majorBidi" w:cstheme="majorBidi"/>
          <w:color w:val="auto"/>
          <w:sz w:val="20"/>
          <w:szCs w:val="20"/>
        </w:rPr>
        <w:t xml:space="preserve">ier 1 only be used in combination with other types of data in defined approaches. The use of these methods in </w:t>
      </w:r>
      <w:r w:rsidR="00FC4913" w:rsidRPr="00D773F7">
        <w:rPr>
          <w:rFonts w:asciiTheme="majorBidi" w:hAnsiTheme="majorBidi" w:cstheme="majorBidi"/>
          <w:color w:val="auto"/>
          <w:sz w:val="20"/>
          <w:szCs w:val="20"/>
        </w:rPr>
        <w:t>t</w:t>
      </w:r>
      <w:r w:rsidRPr="00D773F7">
        <w:rPr>
          <w:rFonts w:asciiTheme="majorBidi" w:hAnsiTheme="majorBidi" w:cstheme="majorBidi"/>
          <w:color w:val="auto"/>
          <w:sz w:val="20"/>
          <w:szCs w:val="20"/>
        </w:rPr>
        <w:t xml:space="preserve">ier 2 is described in 3.4.2.2.7.5. </w:t>
      </w:r>
    </w:p>
    <w:p w14:paraId="0B013342" w14:textId="06B28BA3" w:rsidR="007F4FEC" w:rsidRPr="00D773F7" w:rsidRDefault="007F4FEC" w:rsidP="00C17E19">
      <w:pPr>
        <w:pStyle w:val="Default"/>
        <w:tabs>
          <w:tab w:val="left" w:pos="2835"/>
          <w:tab w:val="left" w:pos="3402"/>
        </w:tabs>
        <w:spacing w:after="240"/>
        <w:ind w:left="2268" w:right="1134"/>
        <w:jc w:val="both"/>
        <w:rPr>
          <w:rFonts w:asciiTheme="majorBidi" w:hAnsiTheme="majorBidi" w:cstheme="majorBidi"/>
          <w:color w:val="auto"/>
          <w:sz w:val="20"/>
          <w:szCs w:val="20"/>
        </w:rPr>
      </w:pPr>
      <w:r w:rsidRPr="00D773F7">
        <w:rPr>
          <w:rFonts w:asciiTheme="majorBidi" w:hAnsiTheme="majorBidi" w:cstheme="majorBidi"/>
          <w:color w:val="auto"/>
          <w:sz w:val="20"/>
          <w:szCs w:val="20"/>
        </w:rPr>
        <w:t>3.4.2.2.5.3</w:t>
      </w:r>
      <w:r w:rsidRPr="00D773F7">
        <w:rPr>
          <w:rFonts w:asciiTheme="majorBidi" w:hAnsiTheme="majorBidi" w:cstheme="majorBidi"/>
          <w:color w:val="auto"/>
          <w:sz w:val="20"/>
          <w:szCs w:val="20"/>
        </w:rPr>
        <w:tab/>
        <w:t xml:space="preserve">Other validated </w:t>
      </w:r>
      <w:r w:rsidRPr="00D773F7">
        <w:rPr>
          <w:rFonts w:asciiTheme="majorBidi" w:hAnsiTheme="majorBidi" w:cstheme="majorBidi"/>
          <w:i/>
          <w:iCs/>
          <w:color w:val="auto"/>
          <w:sz w:val="20"/>
          <w:szCs w:val="20"/>
        </w:rPr>
        <w:t xml:space="preserve">in </w:t>
      </w:r>
      <w:proofErr w:type="spellStart"/>
      <w:r w:rsidRPr="00D773F7">
        <w:rPr>
          <w:rFonts w:asciiTheme="majorBidi" w:hAnsiTheme="majorBidi" w:cstheme="majorBidi"/>
          <w:i/>
          <w:iCs/>
          <w:color w:val="auto"/>
          <w:sz w:val="20"/>
          <w:szCs w:val="20"/>
        </w:rPr>
        <w:t>chemico</w:t>
      </w:r>
      <w:proofErr w:type="spellEnd"/>
      <w:r w:rsidRPr="00D773F7">
        <w:rPr>
          <w:rFonts w:asciiTheme="majorBidi" w:hAnsiTheme="majorBidi" w:cstheme="majorBidi"/>
          <w:i/>
          <w:iCs/>
          <w:color w:val="auto"/>
          <w:sz w:val="20"/>
          <w:szCs w:val="20"/>
        </w:rPr>
        <w:t>/</w:t>
      </w:r>
      <w:r w:rsidRPr="00D773F7">
        <w:rPr>
          <w:rFonts w:asciiTheme="majorBidi" w:hAnsiTheme="majorBidi" w:cstheme="majorBidi"/>
          <w:color w:val="auto"/>
          <w:sz w:val="20"/>
          <w:szCs w:val="20"/>
        </w:rPr>
        <w:t>in vitro</w:t>
      </w:r>
      <w:r w:rsidRPr="00D773F7">
        <w:rPr>
          <w:rFonts w:asciiTheme="majorBidi" w:hAnsiTheme="majorBidi" w:cstheme="majorBidi"/>
          <w:i/>
          <w:iCs/>
          <w:color w:val="auto"/>
          <w:sz w:val="20"/>
          <w:szCs w:val="20"/>
        </w:rPr>
        <w:t xml:space="preserve"> </w:t>
      </w:r>
      <w:r w:rsidRPr="00D773F7">
        <w:rPr>
          <w:rFonts w:asciiTheme="majorBidi" w:hAnsiTheme="majorBidi" w:cstheme="majorBidi"/>
          <w:color w:val="auto"/>
          <w:sz w:val="20"/>
          <w:szCs w:val="20"/>
        </w:rPr>
        <w:t>test methods accepted by some competent authorities are described in 3.4.5.3.6.</w:t>
      </w:r>
      <w:r w:rsidR="00075AB0" w:rsidRPr="00D773F7">
        <w:rPr>
          <w:rFonts w:asciiTheme="majorBidi" w:hAnsiTheme="majorBidi" w:cstheme="majorBidi"/>
          <w:color w:val="auto"/>
          <w:sz w:val="20"/>
          <w:szCs w:val="20"/>
        </w:rPr>
        <w:t>2</w:t>
      </w:r>
      <w:r w:rsidRPr="00D773F7">
        <w:rPr>
          <w:rFonts w:asciiTheme="majorBidi" w:hAnsiTheme="majorBidi" w:cstheme="majorBidi"/>
          <w:color w:val="auto"/>
          <w:sz w:val="20"/>
          <w:szCs w:val="20"/>
          <w:vertAlign w:val="superscript"/>
        </w:rPr>
        <w:t>4</w:t>
      </w:r>
      <w:r w:rsidRPr="00D773F7">
        <w:rPr>
          <w:rFonts w:asciiTheme="majorBidi" w:hAnsiTheme="majorBidi" w:cstheme="majorBidi"/>
          <w:color w:val="auto"/>
          <w:sz w:val="20"/>
          <w:szCs w:val="20"/>
        </w:rPr>
        <w:t xml:space="preserve">. A competent </w:t>
      </w:r>
      <w:r w:rsidRPr="00D773F7">
        <w:rPr>
          <w:rFonts w:asciiTheme="majorBidi" w:hAnsiTheme="majorBidi" w:cstheme="majorBidi"/>
          <w:color w:val="auto"/>
          <w:sz w:val="20"/>
          <w:szCs w:val="20"/>
        </w:rPr>
        <w:lastRenderedPageBreak/>
        <w:t>authority may decide which classification criteria, if any, should be applied for these test methods to conclude on classification.</w:t>
      </w:r>
    </w:p>
    <w:p w14:paraId="4818335B" w14:textId="77777777" w:rsidR="007F4FEC" w:rsidRPr="00D773F7" w:rsidRDefault="007F4FEC" w:rsidP="00C17E19">
      <w:pPr>
        <w:pStyle w:val="GHSHeading5"/>
        <w:keepNext w:val="0"/>
        <w:keepLines w:val="0"/>
        <w:widowControl/>
        <w:tabs>
          <w:tab w:val="clear" w:pos="1418"/>
          <w:tab w:val="clear" w:pos="1985"/>
          <w:tab w:val="clear" w:pos="2552"/>
          <w:tab w:val="clear" w:pos="3119"/>
          <w:tab w:val="left" w:pos="2268"/>
          <w:tab w:val="left" w:pos="2835"/>
          <w:tab w:val="left" w:pos="3402"/>
        </w:tabs>
        <w:autoSpaceDE w:val="0"/>
        <w:autoSpaceDN w:val="0"/>
        <w:adjustRightInd w:val="0"/>
        <w:spacing w:after="240"/>
        <w:ind w:left="2268" w:right="1134"/>
        <w:rPr>
          <w:rFonts w:asciiTheme="majorBidi" w:hAnsiTheme="majorBidi" w:cstheme="majorBidi"/>
          <w:color w:val="auto"/>
          <w:sz w:val="20"/>
          <w:szCs w:val="20"/>
        </w:rPr>
      </w:pPr>
      <w:r w:rsidRPr="00D773F7">
        <w:rPr>
          <w:rFonts w:asciiTheme="majorBidi" w:hAnsiTheme="majorBidi" w:cstheme="majorBidi"/>
          <w:color w:val="auto"/>
          <w:sz w:val="20"/>
          <w:szCs w:val="20"/>
        </w:rPr>
        <w:t>3.4.2.2.5.4</w:t>
      </w:r>
      <w:r w:rsidRPr="00D773F7">
        <w:rPr>
          <w:rFonts w:asciiTheme="majorBidi" w:hAnsiTheme="majorBidi" w:cstheme="majorBidi"/>
          <w:color w:val="auto"/>
          <w:sz w:val="20"/>
          <w:szCs w:val="20"/>
        </w:rPr>
        <w:tab/>
      </w:r>
      <w:r w:rsidRPr="00D773F7">
        <w:rPr>
          <w:rFonts w:asciiTheme="majorBidi" w:hAnsiTheme="majorBidi" w:cstheme="majorBidi"/>
          <w:i/>
          <w:iCs/>
          <w:color w:val="auto"/>
          <w:sz w:val="20"/>
          <w:szCs w:val="20"/>
        </w:rPr>
        <w:t xml:space="preserve">In </w:t>
      </w:r>
      <w:proofErr w:type="spellStart"/>
      <w:r w:rsidRPr="00D773F7">
        <w:rPr>
          <w:rFonts w:asciiTheme="majorBidi" w:hAnsiTheme="majorBidi" w:cstheme="majorBidi"/>
          <w:i/>
          <w:iCs/>
          <w:color w:val="auto"/>
          <w:sz w:val="20"/>
          <w:szCs w:val="20"/>
        </w:rPr>
        <w:t>chemico</w:t>
      </w:r>
      <w:proofErr w:type="spellEnd"/>
      <w:r w:rsidRPr="00D773F7">
        <w:rPr>
          <w:rFonts w:asciiTheme="majorBidi" w:hAnsiTheme="majorBidi" w:cstheme="majorBidi"/>
          <w:i/>
          <w:iCs/>
          <w:color w:val="auto"/>
          <w:sz w:val="20"/>
          <w:szCs w:val="20"/>
        </w:rPr>
        <w:t>/</w:t>
      </w:r>
      <w:r w:rsidRPr="00D773F7">
        <w:rPr>
          <w:rFonts w:asciiTheme="majorBidi" w:hAnsiTheme="majorBidi" w:cstheme="majorBidi"/>
          <w:color w:val="auto"/>
          <w:sz w:val="20"/>
          <w:szCs w:val="20"/>
        </w:rPr>
        <w:t>in vitro</w:t>
      </w:r>
      <w:r w:rsidRPr="00D773F7">
        <w:rPr>
          <w:rFonts w:asciiTheme="majorBidi" w:hAnsiTheme="majorBidi" w:cstheme="majorBidi"/>
          <w:i/>
          <w:iCs/>
          <w:color w:val="auto"/>
          <w:sz w:val="20"/>
          <w:szCs w:val="20"/>
        </w:rPr>
        <w:t xml:space="preserve"> </w:t>
      </w:r>
      <w:r w:rsidRPr="00D773F7">
        <w:rPr>
          <w:rFonts w:asciiTheme="majorBidi" w:hAnsiTheme="majorBidi" w:cstheme="majorBidi"/>
          <w:color w:val="auto"/>
          <w:sz w:val="20"/>
          <w:szCs w:val="20"/>
        </w:rPr>
        <w:t>data can only be used for classification when the tested substance is within the applicability domain of the test method(s) used. Additional limitations described in the published literature should also be taken into consideration.</w:t>
      </w:r>
    </w:p>
    <w:p w14:paraId="637715BB" w14:textId="346E8EE9" w:rsidR="007F4FEC" w:rsidRPr="00D773F7" w:rsidRDefault="007F4FEC" w:rsidP="00C17E19">
      <w:pPr>
        <w:pStyle w:val="GHSHeading5"/>
        <w:keepNext w:val="0"/>
        <w:keepLines w:val="0"/>
        <w:widowControl/>
        <w:tabs>
          <w:tab w:val="clear" w:pos="1418"/>
          <w:tab w:val="clear" w:pos="1985"/>
          <w:tab w:val="clear" w:pos="2552"/>
          <w:tab w:val="clear" w:pos="3119"/>
          <w:tab w:val="left" w:pos="2268"/>
          <w:tab w:val="left" w:pos="2835"/>
          <w:tab w:val="left" w:pos="3402"/>
        </w:tabs>
        <w:spacing w:before="240" w:after="240"/>
        <w:ind w:left="2268" w:right="1134"/>
        <w:rPr>
          <w:rFonts w:asciiTheme="majorBidi" w:hAnsiTheme="majorBidi" w:cstheme="majorBidi"/>
          <w:color w:val="auto"/>
          <w:sz w:val="20"/>
          <w:szCs w:val="20"/>
        </w:rPr>
      </w:pPr>
      <w:r w:rsidRPr="00D773F7">
        <w:rPr>
          <w:rFonts w:asciiTheme="majorBidi" w:hAnsiTheme="majorBidi" w:cstheme="majorBidi"/>
          <w:color w:val="auto"/>
          <w:sz w:val="20"/>
          <w:szCs w:val="20"/>
        </w:rPr>
        <w:t>3.4.2.2.6</w:t>
      </w:r>
      <w:r w:rsidRPr="00D773F7">
        <w:rPr>
          <w:rFonts w:asciiTheme="majorBidi" w:hAnsiTheme="majorBidi" w:cstheme="majorBidi"/>
          <w:color w:val="auto"/>
          <w:sz w:val="20"/>
          <w:szCs w:val="20"/>
        </w:rPr>
        <w:tab/>
      </w:r>
      <w:r w:rsidRPr="00D773F7">
        <w:rPr>
          <w:rFonts w:asciiTheme="majorBidi" w:hAnsiTheme="majorBidi" w:cstheme="majorBidi"/>
          <w:i/>
          <w:iCs/>
          <w:color w:val="auto"/>
          <w:sz w:val="20"/>
          <w:szCs w:val="20"/>
        </w:rPr>
        <w:t>Classification based on non-test methods (</w:t>
      </w:r>
      <w:r w:rsidR="00FC4913" w:rsidRPr="00D773F7">
        <w:rPr>
          <w:rFonts w:asciiTheme="majorBidi" w:hAnsiTheme="majorBidi" w:cstheme="majorBidi"/>
          <w:i/>
          <w:iCs/>
          <w:color w:val="auto"/>
          <w:sz w:val="20"/>
          <w:szCs w:val="20"/>
        </w:rPr>
        <w:t>t</w:t>
      </w:r>
      <w:r w:rsidRPr="00D773F7">
        <w:rPr>
          <w:rFonts w:asciiTheme="majorBidi" w:hAnsiTheme="majorBidi" w:cstheme="majorBidi"/>
          <w:i/>
          <w:iCs/>
          <w:color w:val="auto"/>
          <w:sz w:val="20"/>
          <w:szCs w:val="20"/>
        </w:rPr>
        <w:t xml:space="preserve">ier 2 in </w:t>
      </w:r>
      <w:r w:rsidR="00C1403F" w:rsidRPr="00D773F7">
        <w:rPr>
          <w:rFonts w:asciiTheme="majorBidi" w:hAnsiTheme="majorBidi" w:cstheme="majorBidi"/>
          <w:i/>
          <w:iCs/>
          <w:color w:val="auto"/>
          <w:sz w:val="20"/>
          <w:szCs w:val="20"/>
        </w:rPr>
        <w:t>f</w:t>
      </w:r>
      <w:r w:rsidRPr="00D773F7">
        <w:rPr>
          <w:rFonts w:asciiTheme="majorBidi" w:hAnsiTheme="majorBidi" w:cstheme="majorBidi"/>
          <w:i/>
          <w:iCs/>
          <w:color w:val="auto"/>
          <w:sz w:val="20"/>
          <w:szCs w:val="20"/>
        </w:rPr>
        <w:t>igure 3.4.1)</w:t>
      </w:r>
    </w:p>
    <w:p w14:paraId="6A898172" w14:textId="44A79EA6" w:rsidR="007F4FEC" w:rsidRPr="00D773F7" w:rsidRDefault="007F4FEC" w:rsidP="00C17E19">
      <w:pPr>
        <w:pStyle w:val="GHSHeading5"/>
        <w:keepNext w:val="0"/>
        <w:keepLines w:val="0"/>
        <w:widowControl/>
        <w:tabs>
          <w:tab w:val="clear" w:pos="1418"/>
          <w:tab w:val="clear" w:pos="1985"/>
          <w:tab w:val="clear" w:pos="2552"/>
          <w:tab w:val="clear" w:pos="3119"/>
          <w:tab w:val="left" w:pos="2268"/>
          <w:tab w:val="left" w:pos="2835"/>
          <w:tab w:val="left" w:pos="3402"/>
        </w:tabs>
        <w:spacing w:before="240" w:after="240"/>
        <w:ind w:left="2268" w:right="1134"/>
        <w:rPr>
          <w:rFonts w:asciiTheme="majorBidi" w:hAnsiTheme="majorBidi" w:cstheme="majorBidi"/>
          <w:color w:val="auto"/>
        </w:rPr>
      </w:pPr>
      <w:r w:rsidRPr="00D773F7">
        <w:rPr>
          <w:rFonts w:asciiTheme="majorBidi" w:hAnsiTheme="majorBidi" w:cstheme="majorBidi"/>
          <w:color w:val="auto"/>
          <w:sz w:val="20"/>
          <w:szCs w:val="20"/>
        </w:rPr>
        <w:t>3.4.2.2.6.1</w:t>
      </w:r>
      <w:r w:rsidRPr="00D773F7">
        <w:rPr>
          <w:rFonts w:asciiTheme="majorBidi" w:hAnsiTheme="majorBidi" w:cstheme="majorBidi"/>
          <w:color w:val="auto"/>
          <w:sz w:val="20"/>
          <w:szCs w:val="20"/>
        </w:rPr>
        <w:tab/>
        <w:t>Classification, including the conclusion not classified, can be based on non-test methods, with due consideration of reliability and applicability, on a case-by-case basis. Non-test methods include computer models predicting qualitative structure activity relationships (structural alerts, SAR) or quantitative structure-activity relationships (QSARs), computer expert systems, and read-across using analogue and category approaches.</w:t>
      </w:r>
      <w:r w:rsidRPr="00D773F7">
        <w:rPr>
          <w:rFonts w:asciiTheme="majorBidi" w:hAnsiTheme="majorBidi" w:cstheme="majorBidi"/>
          <w:color w:val="auto"/>
        </w:rPr>
        <w:t xml:space="preserve"> </w:t>
      </w:r>
    </w:p>
    <w:p w14:paraId="3837DC70" w14:textId="5A32AEAD" w:rsidR="007F4FEC" w:rsidRPr="00D773F7" w:rsidRDefault="007F4FEC" w:rsidP="00C17E19">
      <w:pPr>
        <w:pStyle w:val="GHSHeading5"/>
        <w:keepNext w:val="0"/>
        <w:keepLines w:val="0"/>
        <w:widowControl/>
        <w:tabs>
          <w:tab w:val="clear" w:pos="1418"/>
          <w:tab w:val="clear" w:pos="1985"/>
          <w:tab w:val="clear" w:pos="2552"/>
          <w:tab w:val="clear" w:pos="3119"/>
          <w:tab w:val="left" w:pos="2268"/>
          <w:tab w:val="left" w:pos="2835"/>
          <w:tab w:val="left" w:pos="3402"/>
        </w:tabs>
        <w:spacing w:before="240" w:after="240"/>
        <w:ind w:left="2268" w:right="1134"/>
        <w:rPr>
          <w:rFonts w:asciiTheme="majorBidi" w:hAnsiTheme="majorBidi" w:cstheme="majorBidi"/>
          <w:color w:val="auto"/>
          <w:sz w:val="20"/>
          <w:szCs w:val="20"/>
        </w:rPr>
      </w:pPr>
      <w:r w:rsidRPr="00D773F7">
        <w:rPr>
          <w:rFonts w:asciiTheme="majorBidi" w:hAnsiTheme="majorBidi" w:cstheme="majorBidi"/>
          <w:color w:val="auto"/>
          <w:sz w:val="20"/>
          <w:szCs w:val="20"/>
        </w:rPr>
        <w:t xml:space="preserve">3.4.2.2.6.2 </w:t>
      </w:r>
      <w:r w:rsidRPr="00D773F7">
        <w:rPr>
          <w:rFonts w:asciiTheme="majorBidi" w:hAnsiTheme="majorBidi" w:cstheme="majorBidi"/>
          <w:color w:val="auto"/>
          <w:sz w:val="20"/>
          <w:szCs w:val="20"/>
        </w:rPr>
        <w:tab/>
        <w:t xml:space="preserve">Read-across using analogue or category approaches requires sufficiently reliable test data on similar substance(s) and justification of the similarity of the tested substance(s) with the substance to be classified. Where adequate justification of the read-across approach is provided, it has in general higher weight than (Q)SARs. </w:t>
      </w:r>
    </w:p>
    <w:p w14:paraId="52108F5A" w14:textId="77777777" w:rsidR="007F4FEC" w:rsidRPr="00D773F7" w:rsidRDefault="007F4FEC" w:rsidP="00C17E19">
      <w:pPr>
        <w:pStyle w:val="GHSHeading5"/>
        <w:keepNext w:val="0"/>
        <w:keepLines w:val="0"/>
        <w:widowControl/>
        <w:tabs>
          <w:tab w:val="clear" w:pos="1418"/>
          <w:tab w:val="clear" w:pos="1985"/>
          <w:tab w:val="clear" w:pos="2552"/>
          <w:tab w:val="clear" w:pos="3119"/>
          <w:tab w:val="left" w:pos="2268"/>
          <w:tab w:val="left" w:pos="3402"/>
        </w:tabs>
        <w:autoSpaceDE w:val="0"/>
        <w:autoSpaceDN w:val="0"/>
        <w:adjustRightInd w:val="0"/>
        <w:spacing w:after="240"/>
        <w:ind w:left="2268" w:right="1134"/>
        <w:rPr>
          <w:rFonts w:asciiTheme="majorBidi" w:hAnsiTheme="majorBidi" w:cstheme="majorBidi"/>
          <w:color w:val="auto"/>
          <w:sz w:val="20"/>
          <w:szCs w:val="20"/>
        </w:rPr>
      </w:pPr>
      <w:r w:rsidRPr="00D773F7">
        <w:rPr>
          <w:rFonts w:asciiTheme="majorBidi" w:hAnsiTheme="majorBidi" w:cstheme="majorBidi"/>
          <w:color w:val="auto"/>
          <w:sz w:val="20"/>
          <w:szCs w:val="20"/>
        </w:rPr>
        <w:t xml:space="preserve">3.4.2.2.6.3 </w:t>
      </w:r>
      <w:r w:rsidRPr="00D773F7">
        <w:rPr>
          <w:rFonts w:asciiTheme="majorBidi" w:hAnsiTheme="majorBidi" w:cstheme="majorBidi"/>
          <w:color w:val="auto"/>
          <w:sz w:val="20"/>
          <w:szCs w:val="20"/>
        </w:rPr>
        <w:tab/>
        <w:t>Classification based on (Q)SARs requires sufficient data and validation of the model. The validity of the computer models and the prediction should be assessed using internationally recognized principles for the validation of (Q)SARs. With respect to reliability, lack of alerts in a SAR or expert system is not sufficient evidence for no classification.</w:t>
      </w:r>
    </w:p>
    <w:p w14:paraId="6058414A" w14:textId="77777777" w:rsidR="007F4FEC" w:rsidRPr="00D773F7" w:rsidRDefault="007F4FEC" w:rsidP="00C17E19">
      <w:pPr>
        <w:pStyle w:val="GHSHeading5"/>
        <w:keepNext w:val="0"/>
        <w:keepLines w:val="0"/>
        <w:tabs>
          <w:tab w:val="clear" w:pos="1418"/>
          <w:tab w:val="clear" w:pos="1985"/>
          <w:tab w:val="clear" w:pos="2552"/>
          <w:tab w:val="clear" w:pos="3119"/>
          <w:tab w:val="left" w:pos="2268"/>
          <w:tab w:val="left" w:pos="3402"/>
        </w:tabs>
        <w:spacing w:before="240" w:after="240"/>
        <w:ind w:left="2268" w:right="1134"/>
        <w:rPr>
          <w:rFonts w:asciiTheme="majorBidi" w:hAnsiTheme="majorBidi" w:cstheme="majorBidi"/>
          <w:color w:val="auto"/>
          <w:sz w:val="20"/>
          <w:szCs w:val="20"/>
        </w:rPr>
      </w:pPr>
      <w:r w:rsidRPr="00D773F7">
        <w:rPr>
          <w:rFonts w:asciiTheme="majorBidi" w:hAnsiTheme="majorBidi" w:cstheme="majorBidi"/>
          <w:color w:val="auto"/>
          <w:sz w:val="20"/>
          <w:szCs w:val="20"/>
        </w:rPr>
        <w:t>3.4.2.2.6.4</w:t>
      </w:r>
      <w:r w:rsidRPr="00D773F7">
        <w:rPr>
          <w:rFonts w:asciiTheme="majorBidi" w:hAnsiTheme="majorBidi" w:cstheme="majorBidi"/>
          <w:color w:val="auto"/>
          <w:sz w:val="20"/>
          <w:szCs w:val="20"/>
        </w:rPr>
        <w:tab/>
        <w:t xml:space="preserve">For conclusions on no classification from read-across and (Q)SARs the adequacy and robustness of the scientific reasoning and of the supporting evidence should be well substantiated and normally requires multiple negative substances with good structural and physical (related to </w:t>
      </w:r>
      <w:proofErr w:type="spellStart"/>
      <w:r w:rsidRPr="00D773F7">
        <w:rPr>
          <w:rFonts w:asciiTheme="majorBidi" w:hAnsiTheme="majorBidi" w:cstheme="majorBidi"/>
          <w:color w:val="auto"/>
          <w:sz w:val="20"/>
          <w:szCs w:val="20"/>
        </w:rPr>
        <w:t>toxicokinetics</w:t>
      </w:r>
      <w:proofErr w:type="spellEnd"/>
      <w:r w:rsidRPr="00D773F7">
        <w:rPr>
          <w:rFonts w:asciiTheme="majorBidi" w:hAnsiTheme="majorBidi" w:cstheme="majorBidi"/>
          <w:color w:val="auto"/>
          <w:sz w:val="20"/>
          <w:szCs w:val="20"/>
        </w:rPr>
        <w:t>) similarity to the substance being classified, as well as a clear absence of positive substances with good structural and physical similarity to the substance being classified.</w:t>
      </w:r>
    </w:p>
    <w:p w14:paraId="34CDACAB" w14:textId="4CD0A8C1" w:rsidR="007F4FEC" w:rsidRPr="00D773F7" w:rsidRDefault="007F4FEC" w:rsidP="00C17E19">
      <w:pPr>
        <w:pStyle w:val="GHSHeading5"/>
        <w:keepNext w:val="0"/>
        <w:keepLines w:val="0"/>
        <w:widowControl/>
        <w:tabs>
          <w:tab w:val="clear" w:pos="1418"/>
          <w:tab w:val="clear" w:pos="1985"/>
          <w:tab w:val="clear" w:pos="2552"/>
          <w:tab w:val="clear" w:pos="3119"/>
          <w:tab w:val="left" w:pos="3402"/>
        </w:tabs>
        <w:spacing w:before="240" w:after="240"/>
        <w:ind w:left="2268" w:right="1134"/>
        <w:rPr>
          <w:rFonts w:asciiTheme="majorBidi" w:hAnsiTheme="majorBidi" w:cstheme="majorBidi"/>
          <w:strike/>
          <w:color w:val="auto"/>
          <w:sz w:val="20"/>
          <w:szCs w:val="20"/>
        </w:rPr>
      </w:pPr>
      <w:r w:rsidRPr="00D773F7">
        <w:rPr>
          <w:rFonts w:asciiTheme="majorBidi" w:hAnsiTheme="majorBidi" w:cstheme="majorBidi"/>
          <w:color w:val="auto"/>
          <w:sz w:val="20"/>
          <w:szCs w:val="20"/>
        </w:rPr>
        <w:t>3.4.2.2.7</w:t>
      </w:r>
      <w:r w:rsidRPr="00D773F7">
        <w:rPr>
          <w:rFonts w:asciiTheme="majorBidi" w:hAnsiTheme="majorBidi" w:cstheme="majorBidi"/>
          <w:color w:val="auto"/>
          <w:sz w:val="20"/>
          <w:szCs w:val="20"/>
        </w:rPr>
        <w:tab/>
      </w:r>
      <w:r w:rsidRPr="00D773F7">
        <w:rPr>
          <w:rFonts w:asciiTheme="majorBidi" w:hAnsiTheme="majorBidi" w:cstheme="majorBidi"/>
          <w:bCs/>
          <w:i/>
          <w:color w:val="auto"/>
          <w:sz w:val="20"/>
          <w:szCs w:val="20"/>
        </w:rPr>
        <w:t>Classification in a tiered approach</w:t>
      </w:r>
      <w:r w:rsidRPr="00D773F7">
        <w:rPr>
          <w:rFonts w:asciiTheme="majorBidi" w:hAnsiTheme="majorBidi" w:cstheme="majorBidi"/>
          <w:bCs/>
          <w:color w:val="auto"/>
          <w:sz w:val="20"/>
          <w:szCs w:val="20"/>
        </w:rPr>
        <w:t xml:space="preserve"> </w:t>
      </w:r>
      <w:r w:rsidRPr="00D773F7">
        <w:rPr>
          <w:rFonts w:asciiTheme="majorBidi" w:hAnsiTheme="majorBidi" w:cstheme="majorBidi"/>
          <w:bCs/>
          <w:i/>
          <w:iCs/>
          <w:color w:val="auto"/>
          <w:sz w:val="20"/>
          <w:szCs w:val="20"/>
        </w:rPr>
        <w:t>(</w:t>
      </w:r>
      <w:r w:rsidR="00C1403F" w:rsidRPr="00D773F7">
        <w:rPr>
          <w:rFonts w:asciiTheme="majorBidi" w:hAnsiTheme="majorBidi" w:cstheme="majorBidi"/>
          <w:bCs/>
          <w:i/>
          <w:iCs/>
          <w:color w:val="auto"/>
          <w:sz w:val="20"/>
          <w:szCs w:val="20"/>
        </w:rPr>
        <w:t>f</w:t>
      </w:r>
      <w:r w:rsidRPr="00D773F7">
        <w:rPr>
          <w:rFonts w:asciiTheme="majorBidi" w:hAnsiTheme="majorBidi" w:cstheme="majorBidi"/>
          <w:bCs/>
          <w:i/>
          <w:iCs/>
          <w:color w:val="auto"/>
          <w:sz w:val="20"/>
          <w:szCs w:val="20"/>
        </w:rPr>
        <w:t>igure 3.4.1)</w:t>
      </w:r>
      <w:r w:rsidRPr="00D773F7">
        <w:rPr>
          <w:rFonts w:asciiTheme="majorBidi" w:hAnsiTheme="majorBidi" w:cstheme="majorBidi"/>
          <w:strike/>
          <w:color w:val="auto"/>
          <w:sz w:val="20"/>
          <w:szCs w:val="20"/>
        </w:rPr>
        <w:t xml:space="preserve"> </w:t>
      </w:r>
    </w:p>
    <w:p w14:paraId="5165EE77" w14:textId="623E06E1" w:rsidR="007F4FEC" w:rsidRPr="00D773F7" w:rsidRDefault="007F4FEC" w:rsidP="00C17E19">
      <w:pPr>
        <w:pStyle w:val="GHSHeading5"/>
        <w:keepNext w:val="0"/>
        <w:keepLines w:val="0"/>
        <w:widowControl/>
        <w:tabs>
          <w:tab w:val="clear" w:pos="1418"/>
          <w:tab w:val="clear" w:pos="1985"/>
          <w:tab w:val="clear" w:pos="2552"/>
          <w:tab w:val="clear" w:pos="3119"/>
          <w:tab w:val="left" w:pos="3402"/>
        </w:tabs>
        <w:spacing w:before="240" w:after="240"/>
        <w:ind w:left="2268" w:right="1134"/>
        <w:rPr>
          <w:rFonts w:asciiTheme="majorBidi" w:hAnsiTheme="majorBidi" w:cstheme="majorBidi"/>
          <w:color w:val="auto"/>
          <w:sz w:val="20"/>
          <w:szCs w:val="20"/>
        </w:rPr>
      </w:pPr>
      <w:r w:rsidRPr="00D773F7">
        <w:rPr>
          <w:rFonts w:asciiTheme="majorBidi" w:hAnsiTheme="majorBidi" w:cstheme="majorBidi"/>
          <w:color w:val="auto"/>
          <w:sz w:val="20"/>
          <w:szCs w:val="20"/>
        </w:rPr>
        <w:t>3.4.2.2.7.1</w:t>
      </w:r>
      <w:r w:rsidRPr="00D773F7">
        <w:rPr>
          <w:rFonts w:asciiTheme="majorBidi" w:hAnsiTheme="majorBidi" w:cstheme="majorBidi"/>
          <w:color w:val="auto"/>
          <w:sz w:val="20"/>
          <w:szCs w:val="20"/>
        </w:rPr>
        <w:tab/>
        <w:t>A tiered approach to the evaluation of information should be considered, where applicable (</w:t>
      </w:r>
      <w:r w:rsidR="00C1403F" w:rsidRPr="00D773F7">
        <w:rPr>
          <w:rFonts w:asciiTheme="majorBidi" w:hAnsiTheme="majorBidi" w:cstheme="majorBidi"/>
          <w:color w:val="auto"/>
          <w:sz w:val="20"/>
          <w:szCs w:val="20"/>
        </w:rPr>
        <w:t>f</w:t>
      </w:r>
      <w:r w:rsidRPr="00D773F7">
        <w:rPr>
          <w:rFonts w:asciiTheme="majorBidi" w:hAnsiTheme="majorBidi" w:cstheme="majorBidi"/>
          <w:color w:val="auto"/>
          <w:sz w:val="20"/>
          <w:szCs w:val="20"/>
        </w:rPr>
        <w:t>igure 3.4.1), recognizing that not all tiers as well as information within a tier may be relevant. However, all available and relevant information of sufficient quality needs to be examined for consistency with respect to the resulting classification.</w:t>
      </w:r>
    </w:p>
    <w:p w14:paraId="4281EBF5" w14:textId="77777777" w:rsidR="007F4FEC" w:rsidRPr="00D773F7" w:rsidRDefault="007F4FEC" w:rsidP="00C17E19">
      <w:pPr>
        <w:tabs>
          <w:tab w:val="left" w:pos="3402"/>
        </w:tabs>
        <w:spacing w:before="120" w:after="240"/>
        <w:ind w:left="2268" w:right="1134"/>
        <w:jc w:val="both"/>
        <w:rPr>
          <w:rFonts w:asciiTheme="majorBidi" w:hAnsiTheme="majorBidi" w:cstheme="majorBidi"/>
        </w:rPr>
      </w:pPr>
      <w:r w:rsidRPr="00D773F7">
        <w:rPr>
          <w:rFonts w:asciiTheme="majorBidi" w:hAnsiTheme="majorBidi" w:cstheme="majorBidi"/>
        </w:rPr>
        <w:t>3.4.2.2.7.2</w:t>
      </w:r>
      <w:r w:rsidRPr="00D773F7">
        <w:rPr>
          <w:rFonts w:asciiTheme="majorBidi" w:hAnsiTheme="majorBidi" w:cstheme="majorBidi"/>
        </w:rPr>
        <w:tab/>
        <w:t xml:space="preserve">Tier 1 - Classification based on human data, standard animal data, defined approaches or stand-alone </w:t>
      </w:r>
      <w:r w:rsidRPr="00D773F7">
        <w:rPr>
          <w:rFonts w:asciiTheme="majorBidi" w:hAnsiTheme="majorBidi" w:cstheme="majorBidi"/>
          <w:i/>
          <w:iCs/>
        </w:rPr>
        <w:t xml:space="preserve">in </w:t>
      </w:r>
      <w:proofErr w:type="spellStart"/>
      <w:r w:rsidRPr="00D773F7">
        <w:rPr>
          <w:rFonts w:asciiTheme="majorBidi" w:hAnsiTheme="majorBidi" w:cstheme="majorBidi"/>
          <w:i/>
          <w:iCs/>
        </w:rPr>
        <w:t>chemico</w:t>
      </w:r>
      <w:proofErr w:type="spellEnd"/>
      <w:r w:rsidRPr="00D773F7">
        <w:rPr>
          <w:rFonts w:asciiTheme="majorBidi" w:hAnsiTheme="majorBidi" w:cstheme="majorBidi"/>
          <w:i/>
          <w:iCs/>
        </w:rPr>
        <w:t>/</w:t>
      </w:r>
      <w:r w:rsidRPr="00D773F7">
        <w:rPr>
          <w:rFonts w:asciiTheme="majorBidi" w:hAnsiTheme="majorBidi" w:cstheme="majorBidi"/>
        </w:rPr>
        <w:t xml:space="preserve">in vitro methods </w:t>
      </w:r>
    </w:p>
    <w:p w14:paraId="0D45E522" w14:textId="0CCBBC76" w:rsidR="007F4FEC" w:rsidRPr="00D773F7" w:rsidRDefault="00E24A03" w:rsidP="00C17E19">
      <w:pPr>
        <w:tabs>
          <w:tab w:val="left" w:pos="3402"/>
        </w:tabs>
        <w:spacing w:before="120" w:after="240"/>
        <w:ind w:left="2268" w:right="1134"/>
        <w:jc w:val="both"/>
        <w:rPr>
          <w:rFonts w:asciiTheme="majorBidi" w:hAnsiTheme="majorBidi" w:cstheme="majorBidi"/>
        </w:rPr>
      </w:pPr>
      <w:r w:rsidRPr="00D773F7">
        <w:rPr>
          <w:rFonts w:asciiTheme="majorBidi" w:hAnsiTheme="majorBidi" w:cstheme="majorBidi"/>
        </w:rPr>
        <w:tab/>
      </w:r>
      <w:r w:rsidR="007F4FEC" w:rsidRPr="00D773F7">
        <w:rPr>
          <w:rFonts w:asciiTheme="majorBidi" w:hAnsiTheme="majorBidi" w:cstheme="majorBidi"/>
        </w:rPr>
        <w:t xml:space="preserve">For classification of a substance, evidence in </w:t>
      </w:r>
      <w:r w:rsidR="00FC4913" w:rsidRPr="00D773F7">
        <w:rPr>
          <w:rFonts w:asciiTheme="majorBidi" w:hAnsiTheme="majorBidi" w:cstheme="majorBidi"/>
        </w:rPr>
        <w:t>t</w:t>
      </w:r>
      <w:r w:rsidR="007F4FEC" w:rsidRPr="00D773F7">
        <w:rPr>
          <w:rFonts w:asciiTheme="majorBidi" w:hAnsiTheme="majorBidi" w:cstheme="majorBidi"/>
        </w:rPr>
        <w:t xml:space="preserve">ier 1 may include data from any or all of the following lines of evidence. </w:t>
      </w:r>
      <w:r w:rsidR="007F4FEC" w:rsidRPr="00D773F7">
        <w:rPr>
          <w:rFonts w:asciiTheme="majorBidi" w:hAnsiTheme="majorBidi" w:cstheme="majorBidi"/>
          <w:bCs/>
        </w:rPr>
        <w:t xml:space="preserve">Where information from data within </w:t>
      </w:r>
      <w:r w:rsidR="001D46AA" w:rsidRPr="00D773F7">
        <w:rPr>
          <w:rFonts w:asciiTheme="majorBidi" w:hAnsiTheme="majorBidi" w:cstheme="majorBidi"/>
          <w:bCs/>
        </w:rPr>
        <w:t>t</w:t>
      </w:r>
      <w:r w:rsidR="007F4FEC" w:rsidRPr="00D773F7">
        <w:rPr>
          <w:rFonts w:asciiTheme="majorBidi" w:hAnsiTheme="majorBidi" w:cstheme="majorBidi"/>
          <w:bCs/>
        </w:rPr>
        <w:t>ier 1 is inconsistent and/or conflicting, the conclusion is determined</w:t>
      </w:r>
      <w:r w:rsidR="007F4FEC" w:rsidRPr="00D773F7">
        <w:rPr>
          <w:rFonts w:asciiTheme="majorBidi" w:hAnsiTheme="majorBidi" w:cstheme="majorBidi"/>
        </w:rPr>
        <w:t xml:space="preserve"> in a weight of evidence assessment: </w:t>
      </w:r>
    </w:p>
    <w:p w14:paraId="4D73F5A2" w14:textId="675F284B" w:rsidR="007F4FEC" w:rsidRPr="00D773F7" w:rsidRDefault="007F4FEC" w:rsidP="00C17E19">
      <w:pPr>
        <w:pStyle w:val="NormalWeb"/>
        <w:tabs>
          <w:tab w:val="left" w:pos="3402"/>
        </w:tabs>
        <w:spacing w:beforeAutospacing="0" w:after="240" w:afterAutospacing="0"/>
        <w:ind w:left="2835" w:right="1134" w:hanging="567"/>
        <w:jc w:val="both"/>
        <w:rPr>
          <w:rFonts w:asciiTheme="majorBidi" w:hAnsiTheme="majorBidi" w:cstheme="majorBidi"/>
          <w:snapToGrid w:val="0"/>
          <w:sz w:val="20"/>
          <w:szCs w:val="20"/>
        </w:rPr>
      </w:pPr>
      <w:r w:rsidRPr="00D773F7">
        <w:rPr>
          <w:rFonts w:asciiTheme="majorBidi" w:hAnsiTheme="majorBidi" w:cstheme="majorBidi"/>
          <w:snapToGrid w:val="0"/>
          <w:sz w:val="20"/>
          <w:szCs w:val="20"/>
        </w:rPr>
        <w:t>(a)</w:t>
      </w:r>
      <w:r w:rsidRPr="00D773F7">
        <w:rPr>
          <w:rFonts w:asciiTheme="majorBidi" w:hAnsiTheme="majorBidi" w:cstheme="majorBidi"/>
          <w:snapToGrid w:val="0"/>
          <w:sz w:val="20"/>
          <w:szCs w:val="20"/>
        </w:rPr>
        <w:tab/>
        <w:t>Experimental studies in humans (e.g., predictive patch testing, HRIPT, HMT (see paragraph 1.3.2.4.7, criteria in 3.4.2.2.2.2 (a) and 3.4.2.2.2.3</w:t>
      </w:r>
      <w:r w:rsidR="00B53D6C">
        <w:rPr>
          <w:rFonts w:asciiTheme="majorBidi" w:hAnsiTheme="majorBidi" w:cstheme="majorBidi"/>
          <w:snapToGrid w:val="0"/>
          <w:sz w:val="20"/>
          <w:szCs w:val="20"/>
        </w:rPr>
        <w:t> </w:t>
      </w:r>
      <w:r w:rsidRPr="00D773F7">
        <w:rPr>
          <w:rFonts w:asciiTheme="majorBidi" w:hAnsiTheme="majorBidi" w:cstheme="majorBidi"/>
          <w:snapToGrid w:val="0"/>
          <w:sz w:val="20"/>
          <w:szCs w:val="20"/>
        </w:rPr>
        <w:t xml:space="preserve">(a) and guidance </w:t>
      </w:r>
      <w:r w:rsidR="00BC490E" w:rsidRPr="00D773F7">
        <w:rPr>
          <w:rFonts w:asciiTheme="majorBidi" w:hAnsiTheme="majorBidi" w:cstheme="majorBidi"/>
          <w:snapToGrid w:val="0"/>
          <w:sz w:val="20"/>
          <w:szCs w:val="20"/>
        </w:rPr>
        <w:t xml:space="preserve">in </w:t>
      </w:r>
      <w:r w:rsidRPr="00D773F7">
        <w:rPr>
          <w:rFonts w:asciiTheme="majorBidi" w:hAnsiTheme="majorBidi" w:cstheme="majorBidi"/>
          <w:snapToGrid w:val="0"/>
          <w:sz w:val="20"/>
          <w:szCs w:val="20"/>
        </w:rPr>
        <w:t>3.4.5.3.2);</w:t>
      </w:r>
    </w:p>
    <w:p w14:paraId="74A32F1A" w14:textId="4DD402FA" w:rsidR="007F4FEC" w:rsidRPr="00D773F7" w:rsidRDefault="007F4FEC" w:rsidP="00C17E19">
      <w:pPr>
        <w:pStyle w:val="NormalWeb"/>
        <w:tabs>
          <w:tab w:val="left" w:pos="3402"/>
        </w:tabs>
        <w:spacing w:beforeAutospacing="0" w:after="240" w:afterAutospacing="0"/>
        <w:ind w:left="2835" w:right="1134" w:hanging="567"/>
        <w:jc w:val="both"/>
        <w:rPr>
          <w:rFonts w:asciiTheme="majorBidi" w:hAnsiTheme="majorBidi" w:cstheme="majorBidi"/>
          <w:snapToGrid w:val="0"/>
          <w:sz w:val="20"/>
          <w:szCs w:val="20"/>
        </w:rPr>
      </w:pPr>
      <w:r w:rsidRPr="00D773F7">
        <w:rPr>
          <w:rFonts w:asciiTheme="majorBidi" w:hAnsiTheme="majorBidi" w:cstheme="majorBidi"/>
          <w:snapToGrid w:val="0"/>
          <w:sz w:val="20"/>
          <w:szCs w:val="20"/>
        </w:rPr>
        <w:t>(b)</w:t>
      </w:r>
      <w:r w:rsidRPr="00D773F7">
        <w:rPr>
          <w:rFonts w:asciiTheme="majorBidi" w:hAnsiTheme="majorBidi" w:cstheme="majorBidi"/>
          <w:snapToGrid w:val="0"/>
          <w:sz w:val="20"/>
          <w:szCs w:val="20"/>
        </w:rPr>
        <w:tab/>
        <w:t>Epidemiological studies (e.g., case control studies, prospective studies) assessing allergic contact dermatitis (see paragraph 1.3.2.4.7, criteria in 3.4.2.2.2.2 (b</w:t>
      </w:r>
      <w:r w:rsidR="00FD5AFE" w:rsidRPr="00D773F7">
        <w:rPr>
          <w:rFonts w:asciiTheme="majorBidi" w:hAnsiTheme="majorBidi" w:cstheme="majorBidi"/>
          <w:snapToGrid w:val="0"/>
          <w:sz w:val="20"/>
          <w:szCs w:val="20"/>
        </w:rPr>
        <w:t>)</w:t>
      </w:r>
      <w:r w:rsidRPr="00D773F7">
        <w:rPr>
          <w:rFonts w:asciiTheme="majorBidi" w:hAnsiTheme="majorBidi" w:cstheme="majorBidi"/>
          <w:snapToGrid w:val="0"/>
          <w:sz w:val="20"/>
          <w:szCs w:val="20"/>
        </w:rPr>
        <w:t xml:space="preserve"> and </w:t>
      </w:r>
      <w:r w:rsidR="00EB077F" w:rsidRPr="00D773F7">
        <w:rPr>
          <w:rFonts w:asciiTheme="majorBidi" w:hAnsiTheme="majorBidi" w:cstheme="majorBidi"/>
          <w:snapToGrid w:val="0"/>
          <w:sz w:val="20"/>
          <w:szCs w:val="20"/>
        </w:rPr>
        <w:t>(</w:t>
      </w:r>
      <w:r w:rsidRPr="00D773F7">
        <w:rPr>
          <w:rFonts w:asciiTheme="majorBidi" w:hAnsiTheme="majorBidi" w:cstheme="majorBidi"/>
          <w:snapToGrid w:val="0"/>
          <w:sz w:val="20"/>
          <w:szCs w:val="20"/>
        </w:rPr>
        <w:t>c) and 3.4.2.2.2.3 (b</w:t>
      </w:r>
      <w:r w:rsidR="00BC490E" w:rsidRPr="00D773F7">
        <w:rPr>
          <w:rFonts w:asciiTheme="majorBidi" w:hAnsiTheme="majorBidi" w:cstheme="majorBidi"/>
          <w:snapToGrid w:val="0"/>
          <w:sz w:val="20"/>
          <w:szCs w:val="20"/>
        </w:rPr>
        <w:t>)</w:t>
      </w:r>
      <w:r w:rsidRPr="00D773F7">
        <w:rPr>
          <w:rFonts w:asciiTheme="majorBidi" w:hAnsiTheme="majorBidi" w:cstheme="majorBidi"/>
          <w:snapToGrid w:val="0"/>
          <w:sz w:val="20"/>
          <w:szCs w:val="20"/>
        </w:rPr>
        <w:t xml:space="preserve"> and </w:t>
      </w:r>
      <w:r w:rsidR="00BC490E" w:rsidRPr="00D773F7">
        <w:rPr>
          <w:rFonts w:asciiTheme="majorBidi" w:hAnsiTheme="majorBidi" w:cstheme="majorBidi"/>
          <w:snapToGrid w:val="0"/>
          <w:sz w:val="20"/>
          <w:szCs w:val="20"/>
        </w:rPr>
        <w:t>(</w:t>
      </w:r>
      <w:r w:rsidRPr="00D773F7">
        <w:rPr>
          <w:rFonts w:asciiTheme="majorBidi" w:hAnsiTheme="majorBidi" w:cstheme="majorBidi"/>
          <w:snapToGrid w:val="0"/>
          <w:sz w:val="20"/>
          <w:szCs w:val="20"/>
        </w:rPr>
        <w:t xml:space="preserve">c) and guidance </w:t>
      </w:r>
      <w:r w:rsidR="00BC490E" w:rsidRPr="00D773F7">
        <w:rPr>
          <w:rFonts w:asciiTheme="majorBidi" w:hAnsiTheme="majorBidi" w:cstheme="majorBidi"/>
          <w:snapToGrid w:val="0"/>
          <w:sz w:val="20"/>
          <w:szCs w:val="20"/>
        </w:rPr>
        <w:t>in</w:t>
      </w:r>
      <w:r w:rsidR="00B53D6C">
        <w:rPr>
          <w:rFonts w:asciiTheme="majorBidi" w:hAnsiTheme="majorBidi" w:cstheme="majorBidi"/>
          <w:snapToGrid w:val="0"/>
          <w:sz w:val="20"/>
          <w:szCs w:val="20"/>
        </w:rPr>
        <w:t> </w:t>
      </w:r>
      <w:r w:rsidRPr="00D773F7">
        <w:rPr>
          <w:rFonts w:asciiTheme="majorBidi" w:hAnsiTheme="majorBidi" w:cstheme="majorBidi"/>
          <w:snapToGrid w:val="0"/>
          <w:sz w:val="20"/>
          <w:szCs w:val="20"/>
        </w:rPr>
        <w:t>3.4.5.3.2);</w:t>
      </w:r>
    </w:p>
    <w:p w14:paraId="3352DDD3" w14:textId="11C9F7C1" w:rsidR="007F4FEC" w:rsidRPr="00D773F7" w:rsidRDefault="007F4FEC" w:rsidP="00C17E19">
      <w:pPr>
        <w:pStyle w:val="NormalWeb"/>
        <w:tabs>
          <w:tab w:val="left" w:pos="3402"/>
        </w:tabs>
        <w:spacing w:beforeAutospacing="0" w:after="240" w:afterAutospacing="0"/>
        <w:ind w:left="2835" w:right="1134" w:hanging="567"/>
        <w:jc w:val="both"/>
        <w:rPr>
          <w:rFonts w:asciiTheme="majorBidi" w:hAnsiTheme="majorBidi" w:cstheme="majorBidi"/>
          <w:snapToGrid w:val="0"/>
          <w:sz w:val="20"/>
          <w:szCs w:val="20"/>
        </w:rPr>
      </w:pPr>
      <w:r w:rsidRPr="00D773F7">
        <w:rPr>
          <w:rFonts w:asciiTheme="majorBidi" w:hAnsiTheme="majorBidi" w:cstheme="majorBidi"/>
          <w:snapToGrid w:val="0"/>
          <w:sz w:val="20"/>
          <w:szCs w:val="20"/>
        </w:rPr>
        <w:lastRenderedPageBreak/>
        <w:t>(c)</w:t>
      </w:r>
      <w:r w:rsidRPr="00D773F7">
        <w:rPr>
          <w:rFonts w:asciiTheme="majorBidi" w:hAnsiTheme="majorBidi" w:cstheme="majorBidi"/>
          <w:snapToGrid w:val="0"/>
          <w:sz w:val="20"/>
          <w:szCs w:val="20"/>
        </w:rPr>
        <w:tab/>
        <w:t>Well-documented cases of allergic contact dermatitis (see criteria in</w:t>
      </w:r>
      <w:r w:rsidR="00B53D6C">
        <w:rPr>
          <w:rFonts w:asciiTheme="majorBidi" w:hAnsiTheme="majorBidi" w:cstheme="majorBidi"/>
          <w:snapToGrid w:val="0"/>
          <w:sz w:val="20"/>
          <w:szCs w:val="20"/>
        </w:rPr>
        <w:t> </w:t>
      </w:r>
      <w:r w:rsidRPr="00D773F7">
        <w:rPr>
          <w:rFonts w:asciiTheme="majorBidi" w:hAnsiTheme="majorBidi" w:cstheme="majorBidi"/>
          <w:snapToGrid w:val="0"/>
          <w:sz w:val="20"/>
          <w:szCs w:val="20"/>
        </w:rPr>
        <w:t xml:space="preserve">3.4.2.2.2.2 (b) and 3.4.2.2.2.3 (b) and guidance </w:t>
      </w:r>
      <w:r w:rsidR="00CB4AE1" w:rsidRPr="00D773F7">
        <w:rPr>
          <w:rFonts w:asciiTheme="majorBidi" w:hAnsiTheme="majorBidi" w:cstheme="majorBidi"/>
          <w:snapToGrid w:val="0"/>
          <w:sz w:val="20"/>
          <w:szCs w:val="20"/>
        </w:rPr>
        <w:t xml:space="preserve">in </w:t>
      </w:r>
      <w:r w:rsidRPr="00D773F7">
        <w:rPr>
          <w:rFonts w:asciiTheme="majorBidi" w:hAnsiTheme="majorBidi" w:cstheme="majorBidi"/>
          <w:snapToGrid w:val="0"/>
          <w:sz w:val="20"/>
          <w:szCs w:val="20"/>
        </w:rPr>
        <w:t>3.4.5.3.2);</w:t>
      </w:r>
    </w:p>
    <w:p w14:paraId="0D14B85B" w14:textId="01E70EC0" w:rsidR="007F4FEC" w:rsidRPr="00D773F7" w:rsidRDefault="007F4FEC" w:rsidP="00C17E19">
      <w:pPr>
        <w:pStyle w:val="NormalWeb"/>
        <w:tabs>
          <w:tab w:val="left" w:pos="3402"/>
        </w:tabs>
        <w:spacing w:beforeAutospacing="0" w:after="240" w:afterAutospacing="0"/>
        <w:ind w:left="2835" w:right="1134" w:hanging="567"/>
        <w:jc w:val="both"/>
        <w:rPr>
          <w:rFonts w:asciiTheme="majorBidi" w:hAnsiTheme="majorBidi" w:cstheme="majorBidi"/>
          <w:snapToGrid w:val="0"/>
          <w:sz w:val="20"/>
          <w:szCs w:val="20"/>
        </w:rPr>
      </w:pPr>
      <w:r w:rsidRPr="00D773F7">
        <w:rPr>
          <w:rFonts w:asciiTheme="majorBidi" w:hAnsiTheme="majorBidi" w:cstheme="majorBidi"/>
          <w:snapToGrid w:val="0"/>
          <w:sz w:val="20"/>
          <w:szCs w:val="20"/>
        </w:rPr>
        <w:t>(d)</w:t>
      </w:r>
      <w:r w:rsidRPr="00D773F7">
        <w:rPr>
          <w:rFonts w:asciiTheme="majorBidi" w:hAnsiTheme="majorBidi" w:cstheme="majorBidi"/>
          <w:snapToGrid w:val="0"/>
          <w:sz w:val="20"/>
          <w:szCs w:val="20"/>
        </w:rPr>
        <w:tab/>
        <w:t xml:space="preserve">Appropriate animal studies (see criteria in 3.4.2.2.3, and guidance </w:t>
      </w:r>
      <w:r w:rsidR="00CB4AE1" w:rsidRPr="00D773F7">
        <w:rPr>
          <w:rFonts w:asciiTheme="majorBidi" w:hAnsiTheme="majorBidi" w:cstheme="majorBidi"/>
          <w:snapToGrid w:val="0"/>
          <w:sz w:val="20"/>
          <w:szCs w:val="20"/>
        </w:rPr>
        <w:t>in</w:t>
      </w:r>
      <w:r w:rsidR="00B53D6C">
        <w:rPr>
          <w:rFonts w:asciiTheme="majorBidi" w:hAnsiTheme="majorBidi" w:cstheme="majorBidi"/>
          <w:snapToGrid w:val="0"/>
          <w:sz w:val="20"/>
          <w:szCs w:val="20"/>
        </w:rPr>
        <w:t> </w:t>
      </w:r>
      <w:r w:rsidRPr="00D773F7">
        <w:rPr>
          <w:rFonts w:asciiTheme="majorBidi" w:hAnsiTheme="majorBidi" w:cstheme="majorBidi"/>
          <w:snapToGrid w:val="0"/>
          <w:sz w:val="20"/>
          <w:szCs w:val="20"/>
        </w:rPr>
        <w:t>3.4.5.3.3);</w:t>
      </w:r>
    </w:p>
    <w:p w14:paraId="6EF12038" w14:textId="434DD8C7" w:rsidR="007F4FEC" w:rsidRPr="00D773F7" w:rsidRDefault="007F4FEC" w:rsidP="00C17E19">
      <w:pPr>
        <w:pStyle w:val="NormalWeb"/>
        <w:tabs>
          <w:tab w:val="left" w:pos="3402"/>
        </w:tabs>
        <w:spacing w:beforeAutospacing="0" w:after="240" w:afterAutospacing="0"/>
        <w:ind w:left="2835" w:right="1134" w:hanging="567"/>
        <w:jc w:val="both"/>
        <w:rPr>
          <w:rFonts w:asciiTheme="majorBidi" w:hAnsiTheme="majorBidi" w:cstheme="majorBidi"/>
          <w:snapToGrid w:val="0"/>
          <w:sz w:val="20"/>
          <w:szCs w:val="20"/>
        </w:rPr>
      </w:pPr>
      <w:r w:rsidRPr="00D773F7">
        <w:rPr>
          <w:rFonts w:asciiTheme="majorBidi" w:hAnsiTheme="majorBidi" w:cstheme="majorBidi"/>
          <w:snapToGrid w:val="0"/>
          <w:sz w:val="20"/>
          <w:szCs w:val="20"/>
        </w:rPr>
        <w:t>(e)</w:t>
      </w:r>
      <w:r w:rsidRPr="00D773F7">
        <w:rPr>
          <w:rFonts w:asciiTheme="majorBidi" w:hAnsiTheme="majorBidi" w:cstheme="majorBidi"/>
          <w:snapToGrid w:val="0"/>
          <w:sz w:val="20"/>
          <w:szCs w:val="20"/>
        </w:rPr>
        <w:tab/>
        <w:t xml:space="preserve">Defined approaches validated according to international procedures (see 3.4.2.2.4, guidance </w:t>
      </w:r>
      <w:r w:rsidR="003E1FB4" w:rsidRPr="00D773F7">
        <w:rPr>
          <w:rFonts w:asciiTheme="majorBidi" w:hAnsiTheme="majorBidi" w:cstheme="majorBidi"/>
          <w:snapToGrid w:val="0"/>
          <w:sz w:val="20"/>
          <w:szCs w:val="20"/>
        </w:rPr>
        <w:t xml:space="preserve">in </w:t>
      </w:r>
      <w:r w:rsidRPr="00D773F7">
        <w:rPr>
          <w:rFonts w:asciiTheme="majorBidi" w:hAnsiTheme="majorBidi" w:cstheme="majorBidi"/>
          <w:snapToGrid w:val="0"/>
          <w:sz w:val="20"/>
          <w:szCs w:val="20"/>
        </w:rPr>
        <w:t xml:space="preserve">3.4.5.3.4 and </w:t>
      </w:r>
      <w:r w:rsidR="001806B2" w:rsidRPr="00D773F7">
        <w:rPr>
          <w:rFonts w:asciiTheme="majorBidi" w:hAnsiTheme="majorBidi" w:cstheme="majorBidi"/>
          <w:snapToGrid w:val="0"/>
          <w:sz w:val="20"/>
          <w:szCs w:val="20"/>
        </w:rPr>
        <w:t>t</w:t>
      </w:r>
      <w:r w:rsidRPr="00D773F7">
        <w:rPr>
          <w:rFonts w:asciiTheme="majorBidi" w:hAnsiTheme="majorBidi" w:cstheme="majorBidi"/>
          <w:snapToGrid w:val="0"/>
          <w:sz w:val="20"/>
          <w:szCs w:val="20"/>
        </w:rPr>
        <w:t>able 3.4.</w:t>
      </w:r>
      <w:r w:rsidR="003A73A2" w:rsidRPr="00D773F7">
        <w:rPr>
          <w:rFonts w:asciiTheme="majorBidi" w:hAnsiTheme="majorBidi" w:cstheme="majorBidi"/>
          <w:snapToGrid w:val="0"/>
          <w:sz w:val="20"/>
          <w:szCs w:val="20"/>
        </w:rPr>
        <w:t>7</w:t>
      </w:r>
      <w:r w:rsidRPr="00D773F7">
        <w:rPr>
          <w:rFonts w:asciiTheme="majorBidi" w:hAnsiTheme="majorBidi" w:cstheme="majorBidi"/>
          <w:snapToGrid w:val="0"/>
          <w:sz w:val="20"/>
          <w:szCs w:val="20"/>
        </w:rPr>
        <w:t>);</w:t>
      </w:r>
    </w:p>
    <w:p w14:paraId="336E0825" w14:textId="4D5145F1" w:rsidR="007F4FEC" w:rsidRPr="00D773F7" w:rsidRDefault="007F4FEC" w:rsidP="00C17E19">
      <w:pPr>
        <w:pStyle w:val="NormalWeb"/>
        <w:tabs>
          <w:tab w:val="left" w:pos="3402"/>
        </w:tabs>
        <w:spacing w:beforeAutospacing="0" w:after="240" w:afterAutospacing="0"/>
        <w:ind w:left="2835" w:right="1134" w:hanging="567"/>
        <w:jc w:val="both"/>
        <w:rPr>
          <w:rFonts w:asciiTheme="majorBidi" w:hAnsiTheme="majorBidi" w:cstheme="majorBidi"/>
          <w:snapToGrid w:val="0"/>
          <w:sz w:val="20"/>
          <w:szCs w:val="20"/>
        </w:rPr>
      </w:pPr>
      <w:r w:rsidRPr="00D773F7">
        <w:rPr>
          <w:rFonts w:asciiTheme="majorBidi" w:hAnsiTheme="majorBidi" w:cstheme="majorBidi"/>
          <w:snapToGrid w:val="0"/>
          <w:sz w:val="20"/>
          <w:szCs w:val="20"/>
        </w:rPr>
        <w:t>(f)</w:t>
      </w:r>
      <w:r w:rsidRPr="00D773F7">
        <w:rPr>
          <w:rFonts w:asciiTheme="majorBidi" w:hAnsiTheme="majorBidi" w:cstheme="majorBidi"/>
          <w:snapToGrid w:val="0"/>
          <w:sz w:val="20"/>
          <w:szCs w:val="20"/>
        </w:rPr>
        <w:tab/>
        <w:t xml:space="preserve">Stand-alone </w:t>
      </w:r>
      <w:r w:rsidRPr="00D773F7">
        <w:rPr>
          <w:rFonts w:asciiTheme="majorBidi" w:hAnsiTheme="majorBidi" w:cstheme="majorBidi"/>
          <w:i/>
          <w:snapToGrid w:val="0"/>
          <w:sz w:val="20"/>
          <w:szCs w:val="20"/>
        </w:rPr>
        <w:t xml:space="preserve">in </w:t>
      </w:r>
      <w:proofErr w:type="spellStart"/>
      <w:r w:rsidRPr="00D773F7">
        <w:rPr>
          <w:rFonts w:asciiTheme="majorBidi" w:hAnsiTheme="majorBidi" w:cstheme="majorBidi"/>
          <w:i/>
          <w:snapToGrid w:val="0"/>
          <w:sz w:val="20"/>
          <w:szCs w:val="20"/>
        </w:rPr>
        <w:t>chemico</w:t>
      </w:r>
      <w:proofErr w:type="spellEnd"/>
      <w:r w:rsidRPr="00D773F7">
        <w:rPr>
          <w:rFonts w:asciiTheme="majorBidi" w:hAnsiTheme="majorBidi" w:cstheme="majorBidi"/>
          <w:i/>
          <w:snapToGrid w:val="0"/>
          <w:sz w:val="20"/>
          <w:szCs w:val="20"/>
        </w:rPr>
        <w:t>/</w:t>
      </w:r>
      <w:r w:rsidRPr="00D773F7">
        <w:rPr>
          <w:rFonts w:asciiTheme="majorBidi" w:hAnsiTheme="majorBidi" w:cstheme="majorBidi"/>
          <w:iCs/>
          <w:snapToGrid w:val="0"/>
          <w:sz w:val="20"/>
          <w:szCs w:val="20"/>
        </w:rPr>
        <w:t>in vitro</w:t>
      </w:r>
      <w:r w:rsidRPr="00D773F7">
        <w:rPr>
          <w:rFonts w:asciiTheme="majorBidi" w:hAnsiTheme="majorBidi" w:cstheme="majorBidi"/>
          <w:snapToGrid w:val="0"/>
          <w:sz w:val="20"/>
          <w:szCs w:val="20"/>
        </w:rPr>
        <w:t xml:space="preserve"> methods validated according to international procedures (see 3.4.2.2.5, guidance </w:t>
      </w:r>
      <w:r w:rsidR="00CB4AE1" w:rsidRPr="00D773F7">
        <w:rPr>
          <w:rFonts w:asciiTheme="majorBidi" w:hAnsiTheme="majorBidi" w:cstheme="majorBidi"/>
          <w:snapToGrid w:val="0"/>
          <w:sz w:val="20"/>
          <w:szCs w:val="20"/>
        </w:rPr>
        <w:t xml:space="preserve">in </w:t>
      </w:r>
      <w:r w:rsidRPr="00D773F7">
        <w:rPr>
          <w:rFonts w:asciiTheme="majorBidi" w:hAnsiTheme="majorBidi" w:cstheme="majorBidi"/>
          <w:snapToGrid w:val="0"/>
          <w:sz w:val="20"/>
          <w:szCs w:val="20"/>
        </w:rPr>
        <w:t xml:space="preserve">3.4.5.3.5 and </w:t>
      </w:r>
      <w:r w:rsidR="001806B2" w:rsidRPr="00D773F7">
        <w:rPr>
          <w:rFonts w:asciiTheme="majorBidi" w:hAnsiTheme="majorBidi" w:cstheme="majorBidi"/>
          <w:snapToGrid w:val="0"/>
          <w:sz w:val="20"/>
          <w:szCs w:val="20"/>
        </w:rPr>
        <w:t>t</w:t>
      </w:r>
      <w:r w:rsidRPr="00D773F7">
        <w:rPr>
          <w:rFonts w:asciiTheme="majorBidi" w:hAnsiTheme="majorBidi" w:cstheme="majorBidi"/>
          <w:snapToGrid w:val="0"/>
          <w:sz w:val="20"/>
          <w:szCs w:val="20"/>
        </w:rPr>
        <w:t>able</w:t>
      </w:r>
      <w:r w:rsidR="001806B2" w:rsidRPr="00D773F7">
        <w:rPr>
          <w:rFonts w:asciiTheme="majorBidi" w:hAnsiTheme="majorBidi" w:cstheme="majorBidi"/>
          <w:snapToGrid w:val="0"/>
          <w:sz w:val="20"/>
          <w:szCs w:val="20"/>
        </w:rPr>
        <w:t> </w:t>
      </w:r>
      <w:r w:rsidRPr="00D773F7">
        <w:rPr>
          <w:rFonts w:asciiTheme="majorBidi" w:hAnsiTheme="majorBidi" w:cstheme="majorBidi"/>
          <w:snapToGrid w:val="0"/>
          <w:sz w:val="20"/>
          <w:szCs w:val="20"/>
        </w:rPr>
        <w:t>3.4.</w:t>
      </w:r>
      <w:r w:rsidR="00A36644" w:rsidRPr="00D773F7">
        <w:rPr>
          <w:rFonts w:asciiTheme="majorBidi" w:hAnsiTheme="majorBidi" w:cstheme="majorBidi"/>
          <w:snapToGrid w:val="0"/>
          <w:sz w:val="20"/>
          <w:szCs w:val="20"/>
        </w:rPr>
        <w:t>8</w:t>
      </w:r>
      <w:r w:rsidRPr="00D773F7">
        <w:rPr>
          <w:rFonts w:asciiTheme="majorBidi" w:hAnsiTheme="majorBidi" w:cstheme="majorBidi"/>
          <w:snapToGrid w:val="0"/>
          <w:sz w:val="20"/>
          <w:szCs w:val="20"/>
        </w:rPr>
        <w:t>).</w:t>
      </w:r>
    </w:p>
    <w:p w14:paraId="1F3B3A67" w14:textId="0134541C" w:rsidR="007F4FEC" w:rsidRPr="00D773F7" w:rsidRDefault="007F4FEC" w:rsidP="00E24A03">
      <w:pPr>
        <w:keepNext/>
        <w:keepLines/>
        <w:tabs>
          <w:tab w:val="left" w:pos="3402"/>
        </w:tabs>
        <w:spacing w:after="120" w:line="240" w:lineRule="auto"/>
        <w:ind w:left="2268" w:right="1134"/>
        <w:jc w:val="both"/>
        <w:rPr>
          <w:rFonts w:asciiTheme="majorBidi" w:hAnsiTheme="majorBidi" w:cstheme="majorBidi"/>
          <w:lang w:eastAsia="en-US"/>
        </w:rPr>
      </w:pPr>
      <w:r w:rsidRPr="00D773F7">
        <w:rPr>
          <w:rFonts w:asciiTheme="majorBidi" w:hAnsiTheme="majorBidi" w:cstheme="majorBidi"/>
        </w:rPr>
        <w:t xml:space="preserve">3.4.2.2.7.3 </w:t>
      </w:r>
      <w:r w:rsidRPr="00D773F7">
        <w:rPr>
          <w:rFonts w:asciiTheme="majorBidi" w:hAnsiTheme="majorBidi" w:cstheme="majorBidi"/>
        </w:rPr>
        <w:tab/>
        <w:t xml:space="preserve">Tier 2 - </w:t>
      </w:r>
      <w:r w:rsidRPr="00D773F7">
        <w:rPr>
          <w:rFonts w:asciiTheme="majorBidi" w:hAnsiTheme="majorBidi" w:cstheme="majorBidi"/>
          <w:bCs/>
        </w:rPr>
        <w:t xml:space="preserve">Classification based on inconclusive data from </w:t>
      </w:r>
      <w:r w:rsidR="00FC4913" w:rsidRPr="00D773F7">
        <w:rPr>
          <w:rFonts w:asciiTheme="majorBidi" w:hAnsiTheme="majorBidi" w:cstheme="majorBidi"/>
          <w:bCs/>
        </w:rPr>
        <w:t>t</w:t>
      </w:r>
      <w:r w:rsidRPr="00D773F7">
        <w:rPr>
          <w:rFonts w:asciiTheme="majorBidi" w:hAnsiTheme="majorBidi" w:cstheme="majorBidi"/>
          <w:bCs/>
        </w:rPr>
        <w:t>ier 1, non</w:t>
      </w:r>
      <w:r w:rsidR="005D6783" w:rsidRPr="00D773F7">
        <w:rPr>
          <w:rFonts w:asciiTheme="majorBidi" w:hAnsiTheme="majorBidi" w:cstheme="majorBidi"/>
          <w:bCs/>
        </w:rPr>
        <w:t xml:space="preserve"> </w:t>
      </w:r>
      <w:r w:rsidRPr="00D773F7">
        <w:rPr>
          <w:rFonts w:asciiTheme="majorBidi" w:hAnsiTheme="majorBidi" w:cstheme="majorBidi"/>
          <w:bCs/>
        </w:rPr>
        <w:t>stand</w:t>
      </w:r>
      <w:r w:rsidR="005D6783" w:rsidRPr="00D773F7">
        <w:rPr>
          <w:rFonts w:asciiTheme="majorBidi" w:hAnsiTheme="majorBidi" w:cstheme="majorBidi"/>
          <w:bCs/>
        </w:rPr>
        <w:t>-</w:t>
      </w:r>
      <w:r w:rsidRPr="00D773F7">
        <w:rPr>
          <w:rFonts w:asciiTheme="majorBidi" w:hAnsiTheme="majorBidi" w:cstheme="majorBidi"/>
          <w:bCs/>
        </w:rPr>
        <w:t xml:space="preserve">alone </w:t>
      </w:r>
      <w:r w:rsidRPr="00D773F7">
        <w:rPr>
          <w:rFonts w:asciiTheme="majorBidi" w:hAnsiTheme="majorBidi" w:cstheme="majorBidi"/>
          <w:bCs/>
          <w:i/>
          <w:iCs/>
        </w:rPr>
        <w:t xml:space="preserve">in </w:t>
      </w:r>
      <w:proofErr w:type="spellStart"/>
      <w:r w:rsidRPr="00D773F7">
        <w:rPr>
          <w:rFonts w:asciiTheme="majorBidi" w:hAnsiTheme="majorBidi" w:cstheme="majorBidi"/>
          <w:bCs/>
          <w:i/>
          <w:iCs/>
        </w:rPr>
        <w:t>chemico</w:t>
      </w:r>
      <w:proofErr w:type="spellEnd"/>
      <w:r w:rsidRPr="00D773F7">
        <w:rPr>
          <w:rFonts w:asciiTheme="majorBidi" w:hAnsiTheme="majorBidi" w:cstheme="majorBidi"/>
          <w:bCs/>
          <w:i/>
          <w:iCs/>
        </w:rPr>
        <w:t>/</w:t>
      </w:r>
      <w:r w:rsidRPr="00D773F7">
        <w:rPr>
          <w:rFonts w:asciiTheme="majorBidi" w:hAnsiTheme="majorBidi" w:cstheme="majorBidi"/>
          <w:bCs/>
        </w:rPr>
        <w:t>in vitro methods</w:t>
      </w:r>
      <w:r w:rsidR="00E51777" w:rsidRPr="00D773F7">
        <w:rPr>
          <w:rFonts w:asciiTheme="majorBidi" w:hAnsiTheme="majorBidi" w:cstheme="majorBidi"/>
          <w:bCs/>
        </w:rPr>
        <w:t xml:space="preserve"> or </w:t>
      </w:r>
      <w:r w:rsidRPr="00D773F7">
        <w:rPr>
          <w:rFonts w:asciiTheme="majorBidi" w:hAnsiTheme="majorBidi" w:cstheme="majorBidi"/>
          <w:bCs/>
        </w:rPr>
        <w:t>non-test methods</w:t>
      </w:r>
      <w:r w:rsidR="009B3B1C" w:rsidRPr="00D773F7">
        <w:rPr>
          <w:rFonts w:asciiTheme="majorBidi" w:hAnsiTheme="majorBidi" w:cstheme="majorBidi"/>
          <w:bCs/>
        </w:rPr>
        <w:t>.</w:t>
      </w:r>
      <w:r w:rsidRPr="00D773F7">
        <w:rPr>
          <w:rFonts w:asciiTheme="majorBidi" w:hAnsiTheme="majorBidi" w:cstheme="majorBidi"/>
          <w:bCs/>
        </w:rPr>
        <w:t xml:space="preserve"> </w:t>
      </w:r>
    </w:p>
    <w:p w14:paraId="3E3C356B" w14:textId="3D4B410D" w:rsidR="007F4FEC" w:rsidRPr="00D773F7" w:rsidRDefault="007F4FEC" w:rsidP="00E24A03">
      <w:pPr>
        <w:keepNext/>
        <w:keepLines/>
        <w:tabs>
          <w:tab w:val="left" w:pos="3402"/>
        </w:tabs>
        <w:spacing w:after="240"/>
        <w:ind w:left="2268" w:right="1134"/>
        <w:jc w:val="both"/>
        <w:rPr>
          <w:rFonts w:asciiTheme="majorBidi" w:hAnsiTheme="majorBidi" w:cstheme="majorBidi"/>
        </w:rPr>
      </w:pPr>
      <w:r w:rsidRPr="00D773F7">
        <w:rPr>
          <w:rFonts w:asciiTheme="majorBidi" w:hAnsiTheme="majorBidi" w:cstheme="majorBidi"/>
        </w:rPr>
        <w:tab/>
        <w:t xml:space="preserve">In case a definitive conclusion on classification, including sub-categorization where required by a competent authority, cannot be derived from </w:t>
      </w:r>
      <w:r w:rsidR="00FC4913" w:rsidRPr="00D773F7">
        <w:rPr>
          <w:rFonts w:asciiTheme="majorBidi" w:hAnsiTheme="majorBidi" w:cstheme="majorBidi"/>
        </w:rPr>
        <w:t>t</w:t>
      </w:r>
      <w:r w:rsidRPr="00D773F7">
        <w:rPr>
          <w:rFonts w:asciiTheme="majorBidi" w:hAnsiTheme="majorBidi" w:cstheme="majorBidi"/>
        </w:rPr>
        <w:t>ier 1, additional lines of evidence shall be considered in a weight</w:t>
      </w:r>
      <w:r w:rsidR="004B7356" w:rsidRPr="00D773F7">
        <w:rPr>
          <w:rFonts w:asciiTheme="majorBidi" w:hAnsiTheme="majorBidi" w:cstheme="majorBidi"/>
        </w:rPr>
        <w:t xml:space="preserve"> </w:t>
      </w:r>
      <w:r w:rsidRPr="00D773F7">
        <w:rPr>
          <w:rFonts w:asciiTheme="majorBidi" w:hAnsiTheme="majorBidi" w:cstheme="majorBidi"/>
        </w:rPr>
        <w:t>of</w:t>
      </w:r>
      <w:r w:rsidR="004B7356" w:rsidRPr="00D773F7">
        <w:rPr>
          <w:rFonts w:asciiTheme="majorBidi" w:hAnsiTheme="majorBidi" w:cstheme="majorBidi"/>
        </w:rPr>
        <w:t xml:space="preserve"> </w:t>
      </w:r>
      <w:r w:rsidRPr="00D773F7">
        <w:rPr>
          <w:rFonts w:asciiTheme="majorBidi" w:hAnsiTheme="majorBidi" w:cstheme="majorBidi"/>
        </w:rPr>
        <w:t xml:space="preserve">evidence </w:t>
      </w:r>
      <w:r w:rsidR="003018B9">
        <w:rPr>
          <w:rFonts w:asciiTheme="majorBidi" w:hAnsiTheme="majorBidi" w:cstheme="majorBidi"/>
        </w:rPr>
        <w:t xml:space="preserve">assessment </w:t>
      </w:r>
      <w:r w:rsidRPr="00D773F7">
        <w:rPr>
          <w:rFonts w:asciiTheme="majorBidi" w:hAnsiTheme="majorBidi" w:cstheme="majorBidi"/>
        </w:rPr>
        <w:t xml:space="preserve">in </w:t>
      </w:r>
      <w:r w:rsidR="00FC4913" w:rsidRPr="00D773F7">
        <w:rPr>
          <w:rFonts w:asciiTheme="majorBidi" w:hAnsiTheme="majorBidi" w:cstheme="majorBidi"/>
        </w:rPr>
        <w:t>t</w:t>
      </w:r>
      <w:r w:rsidRPr="00D773F7">
        <w:rPr>
          <w:rFonts w:asciiTheme="majorBidi" w:hAnsiTheme="majorBidi" w:cstheme="majorBidi"/>
        </w:rPr>
        <w:t>ier 2. These may include:</w:t>
      </w:r>
    </w:p>
    <w:p w14:paraId="26DA25F6" w14:textId="0863DCC7" w:rsidR="007F4FEC" w:rsidRPr="00D773F7" w:rsidRDefault="007F4FEC" w:rsidP="00CF73B7">
      <w:pPr>
        <w:pStyle w:val="NormalWeb"/>
        <w:tabs>
          <w:tab w:val="left" w:pos="3402"/>
        </w:tabs>
        <w:spacing w:beforeAutospacing="0" w:after="240" w:afterAutospacing="0"/>
        <w:ind w:left="2835" w:right="1134" w:hanging="567"/>
        <w:jc w:val="both"/>
        <w:rPr>
          <w:rFonts w:asciiTheme="majorBidi" w:hAnsiTheme="majorBidi" w:cstheme="majorBidi"/>
          <w:snapToGrid w:val="0"/>
          <w:sz w:val="20"/>
          <w:szCs w:val="20"/>
        </w:rPr>
      </w:pPr>
      <w:r w:rsidRPr="00D773F7">
        <w:rPr>
          <w:rFonts w:asciiTheme="majorBidi" w:hAnsiTheme="majorBidi" w:cstheme="majorBidi"/>
          <w:snapToGrid w:val="0"/>
          <w:sz w:val="20"/>
          <w:szCs w:val="20"/>
        </w:rPr>
        <w:t>(a)</w:t>
      </w:r>
      <w:r w:rsidRPr="00D773F7">
        <w:rPr>
          <w:rFonts w:asciiTheme="majorBidi" w:hAnsiTheme="majorBidi" w:cstheme="majorBidi"/>
          <w:snapToGrid w:val="0"/>
          <w:sz w:val="20"/>
          <w:szCs w:val="20"/>
        </w:rPr>
        <w:tab/>
        <w:t>Data from non</w:t>
      </w:r>
      <w:r w:rsidR="00002208" w:rsidRPr="00D773F7">
        <w:rPr>
          <w:rFonts w:asciiTheme="majorBidi" w:hAnsiTheme="majorBidi" w:cstheme="majorBidi"/>
          <w:snapToGrid w:val="0"/>
          <w:sz w:val="20"/>
          <w:szCs w:val="20"/>
        </w:rPr>
        <w:t xml:space="preserve"> </w:t>
      </w:r>
      <w:r w:rsidRPr="00D773F7">
        <w:rPr>
          <w:rFonts w:asciiTheme="majorBidi" w:hAnsiTheme="majorBidi" w:cstheme="majorBidi"/>
          <w:snapToGrid w:val="0"/>
          <w:sz w:val="20"/>
          <w:szCs w:val="20"/>
        </w:rPr>
        <w:t>stand</w:t>
      </w:r>
      <w:r w:rsidR="00002208" w:rsidRPr="00D773F7">
        <w:rPr>
          <w:rFonts w:asciiTheme="majorBidi" w:hAnsiTheme="majorBidi" w:cstheme="majorBidi"/>
          <w:snapToGrid w:val="0"/>
          <w:sz w:val="20"/>
          <w:szCs w:val="20"/>
        </w:rPr>
        <w:t>-</w:t>
      </w:r>
      <w:r w:rsidRPr="00D773F7">
        <w:rPr>
          <w:rFonts w:asciiTheme="majorBidi" w:hAnsiTheme="majorBidi" w:cstheme="majorBidi"/>
          <w:snapToGrid w:val="0"/>
          <w:sz w:val="20"/>
          <w:szCs w:val="20"/>
        </w:rPr>
        <w:t xml:space="preserve">alone </w:t>
      </w:r>
      <w:r w:rsidRPr="00D773F7">
        <w:rPr>
          <w:rFonts w:asciiTheme="majorBidi" w:hAnsiTheme="majorBidi" w:cstheme="majorBidi"/>
          <w:i/>
          <w:iCs/>
          <w:snapToGrid w:val="0"/>
          <w:sz w:val="20"/>
          <w:szCs w:val="20"/>
        </w:rPr>
        <w:t xml:space="preserve">in </w:t>
      </w:r>
      <w:proofErr w:type="spellStart"/>
      <w:r w:rsidRPr="00D773F7">
        <w:rPr>
          <w:rFonts w:asciiTheme="majorBidi" w:hAnsiTheme="majorBidi" w:cstheme="majorBidi"/>
          <w:i/>
          <w:iCs/>
          <w:snapToGrid w:val="0"/>
          <w:sz w:val="20"/>
          <w:szCs w:val="20"/>
        </w:rPr>
        <w:t>chemico</w:t>
      </w:r>
      <w:proofErr w:type="spellEnd"/>
      <w:r w:rsidRPr="00D773F7">
        <w:rPr>
          <w:rFonts w:asciiTheme="majorBidi" w:hAnsiTheme="majorBidi" w:cstheme="majorBidi"/>
          <w:snapToGrid w:val="0"/>
          <w:sz w:val="20"/>
          <w:szCs w:val="20"/>
        </w:rPr>
        <w:t>/in vitro methods (see 3.4.2.2.5 and 3.4.5.3.5);</w:t>
      </w:r>
    </w:p>
    <w:p w14:paraId="19EF0AE9" w14:textId="037BA081" w:rsidR="007F4FEC" w:rsidRPr="00D773F7" w:rsidRDefault="007F4FEC" w:rsidP="00CF73B7">
      <w:pPr>
        <w:pStyle w:val="NormalWeb"/>
        <w:tabs>
          <w:tab w:val="left" w:pos="3402"/>
        </w:tabs>
        <w:spacing w:beforeAutospacing="0" w:after="240" w:afterAutospacing="0"/>
        <w:ind w:left="2835" w:right="1134" w:hanging="567"/>
        <w:jc w:val="both"/>
        <w:rPr>
          <w:rFonts w:asciiTheme="majorBidi" w:hAnsiTheme="majorBidi" w:cstheme="majorBidi"/>
          <w:snapToGrid w:val="0"/>
          <w:sz w:val="20"/>
          <w:szCs w:val="20"/>
        </w:rPr>
      </w:pPr>
      <w:r w:rsidRPr="00D773F7">
        <w:rPr>
          <w:rFonts w:asciiTheme="majorBidi" w:hAnsiTheme="majorBidi" w:cstheme="majorBidi"/>
          <w:snapToGrid w:val="0"/>
          <w:sz w:val="20"/>
          <w:szCs w:val="20"/>
        </w:rPr>
        <w:t>(b)</w:t>
      </w:r>
      <w:r w:rsidRPr="00D773F7">
        <w:rPr>
          <w:rFonts w:asciiTheme="majorBidi" w:hAnsiTheme="majorBidi" w:cstheme="majorBidi"/>
          <w:snapToGrid w:val="0"/>
          <w:sz w:val="20"/>
          <w:szCs w:val="20"/>
        </w:rPr>
        <w:tab/>
        <w:t>Data from non-test methods (see 3.</w:t>
      </w:r>
      <w:r w:rsidR="00AC434C" w:rsidRPr="00D773F7">
        <w:rPr>
          <w:rFonts w:asciiTheme="majorBidi" w:hAnsiTheme="majorBidi" w:cstheme="majorBidi"/>
          <w:snapToGrid w:val="0"/>
          <w:sz w:val="20"/>
          <w:szCs w:val="20"/>
        </w:rPr>
        <w:t>4</w:t>
      </w:r>
      <w:r w:rsidRPr="00D773F7">
        <w:rPr>
          <w:rFonts w:asciiTheme="majorBidi" w:hAnsiTheme="majorBidi" w:cstheme="majorBidi"/>
          <w:snapToGrid w:val="0"/>
          <w:sz w:val="20"/>
          <w:szCs w:val="20"/>
        </w:rPr>
        <w:t>.2.2.6)</w:t>
      </w:r>
      <w:r w:rsidR="00A96D99">
        <w:rPr>
          <w:rFonts w:asciiTheme="majorBidi" w:hAnsiTheme="majorBidi" w:cstheme="majorBidi"/>
          <w:snapToGrid w:val="0"/>
          <w:sz w:val="20"/>
          <w:szCs w:val="20"/>
        </w:rPr>
        <w:t>.</w:t>
      </w:r>
    </w:p>
    <w:p w14:paraId="5E49843C" w14:textId="563770F5" w:rsidR="007F4FEC" w:rsidRPr="00D773F7" w:rsidRDefault="007F4FEC" w:rsidP="00DC4889">
      <w:pPr>
        <w:keepNext/>
        <w:keepLines/>
        <w:tabs>
          <w:tab w:val="left" w:pos="2835"/>
        </w:tabs>
        <w:spacing w:after="240"/>
        <w:ind w:left="2268" w:right="1134"/>
        <w:jc w:val="both"/>
        <w:rPr>
          <w:rFonts w:asciiTheme="majorBidi" w:hAnsiTheme="majorBidi" w:cstheme="majorBidi"/>
        </w:rPr>
      </w:pPr>
      <w:r w:rsidRPr="00D773F7">
        <w:rPr>
          <w:rFonts w:asciiTheme="majorBidi" w:hAnsiTheme="majorBidi" w:cstheme="majorBidi"/>
        </w:rPr>
        <w:t>3.4.2.2.7.4</w:t>
      </w:r>
      <w:r w:rsidRPr="00D773F7">
        <w:rPr>
          <w:rFonts w:asciiTheme="majorBidi" w:hAnsiTheme="majorBidi" w:cstheme="majorBidi"/>
        </w:rPr>
        <w:tab/>
        <w:t>Evidence from non</w:t>
      </w:r>
      <w:r w:rsidR="00AA3EA5" w:rsidRPr="00D773F7">
        <w:rPr>
          <w:rFonts w:asciiTheme="majorBidi" w:hAnsiTheme="majorBidi" w:cstheme="majorBidi"/>
        </w:rPr>
        <w:t xml:space="preserve"> </w:t>
      </w:r>
      <w:r w:rsidRPr="00D773F7">
        <w:rPr>
          <w:rFonts w:asciiTheme="majorBidi" w:hAnsiTheme="majorBidi" w:cstheme="majorBidi"/>
        </w:rPr>
        <w:t>stand</w:t>
      </w:r>
      <w:r w:rsidR="00AA3EA5" w:rsidRPr="00D773F7">
        <w:rPr>
          <w:rFonts w:asciiTheme="majorBidi" w:hAnsiTheme="majorBidi" w:cstheme="majorBidi"/>
        </w:rPr>
        <w:t>-</w:t>
      </w:r>
      <w:r w:rsidRPr="00D773F7">
        <w:rPr>
          <w:rFonts w:asciiTheme="majorBidi" w:hAnsiTheme="majorBidi" w:cstheme="majorBidi"/>
        </w:rPr>
        <w:t xml:space="preserve">alone </w:t>
      </w:r>
      <w:r w:rsidRPr="00D773F7">
        <w:rPr>
          <w:rFonts w:asciiTheme="majorBidi" w:hAnsiTheme="majorBidi" w:cstheme="majorBidi"/>
          <w:i/>
          <w:iCs/>
        </w:rPr>
        <w:t xml:space="preserve">in </w:t>
      </w:r>
      <w:proofErr w:type="spellStart"/>
      <w:r w:rsidRPr="00D773F7">
        <w:rPr>
          <w:rFonts w:asciiTheme="majorBidi" w:hAnsiTheme="majorBidi" w:cstheme="majorBidi"/>
          <w:i/>
          <w:iCs/>
        </w:rPr>
        <w:t>chemico</w:t>
      </w:r>
      <w:proofErr w:type="spellEnd"/>
      <w:r w:rsidRPr="00D773F7">
        <w:rPr>
          <w:rFonts w:asciiTheme="majorBidi" w:hAnsiTheme="majorBidi" w:cstheme="majorBidi"/>
          <w:i/>
          <w:iCs/>
        </w:rPr>
        <w:t>/</w:t>
      </w:r>
      <w:r w:rsidRPr="00D773F7">
        <w:rPr>
          <w:rFonts w:asciiTheme="majorBidi" w:hAnsiTheme="majorBidi" w:cstheme="majorBidi"/>
        </w:rPr>
        <w:t xml:space="preserve">in vitro methods and from non-test methods should not be considered at this stage if this data is already used in a defined approach under 3.4.2.2.7.2. </w:t>
      </w:r>
    </w:p>
    <w:p w14:paraId="4562ED5B" w14:textId="70ABB1DC" w:rsidR="007F4FEC" w:rsidRPr="00D773F7" w:rsidRDefault="007F4FEC" w:rsidP="00CF73B7">
      <w:pPr>
        <w:tabs>
          <w:tab w:val="left" w:pos="2835"/>
        </w:tabs>
        <w:spacing w:after="240"/>
        <w:ind w:left="2268" w:right="1134"/>
        <w:jc w:val="both"/>
        <w:rPr>
          <w:rFonts w:asciiTheme="majorBidi" w:hAnsiTheme="majorBidi" w:cstheme="majorBidi"/>
          <w:iCs/>
        </w:rPr>
      </w:pPr>
      <w:r w:rsidRPr="00D773F7">
        <w:rPr>
          <w:rFonts w:asciiTheme="majorBidi" w:hAnsiTheme="majorBidi" w:cstheme="majorBidi"/>
          <w:iCs/>
        </w:rPr>
        <w:t>3.4.2.2.7.5</w:t>
      </w:r>
      <w:r w:rsidRPr="00D773F7">
        <w:rPr>
          <w:rFonts w:asciiTheme="majorBidi" w:hAnsiTheme="majorBidi" w:cstheme="majorBidi"/>
          <w:iCs/>
        </w:rPr>
        <w:tab/>
        <w:t>Individual non</w:t>
      </w:r>
      <w:r w:rsidR="00002208" w:rsidRPr="00D773F7">
        <w:rPr>
          <w:rFonts w:asciiTheme="majorBidi" w:hAnsiTheme="majorBidi" w:cstheme="majorBidi"/>
          <w:iCs/>
        </w:rPr>
        <w:t xml:space="preserve"> </w:t>
      </w:r>
      <w:r w:rsidRPr="00D773F7">
        <w:rPr>
          <w:rFonts w:asciiTheme="majorBidi" w:hAnsiTheme="majorBidi" w:cstheme="majorBidi"/>
          <w:iCs/>
        </w:rPr>
        <w:t>stand</w:t>
      </w:r>
      <w:r w:rsidR="00002208" w:rsidRPr="00D773F7">
        <w:rPr>
          <w:rFonts w:asciiTheme="majorBidi" w:hAnsiTheme="majorBidi" w:cstheme="majorBidi"/>
          <w:iCs/>
        </w:rPr>
        <w:t>-</w:t>
      </w:r>
      <w:r w:rsidRPr="00D773F7">
        <w:rPr>
          <w:rFonts w:asciiTheme="majorBidi" w:hAnsiTheme="majorBidi" w:cstheme="majorBidi"/>
          <w:iCs/>
        </w:rPr>
        <w:t xml:space="preserve">alone </w:t>
      </w:r>
      <w:r w:rsidRPr="00D773F7">
        <w:rPr>
          <w:rFonts w:asciiTheme="majorBidi" w:hAnsiTheme="majorBidi" w:cstheme="majorBidi"/>
          <w:i/>
          <w:iCs/>
        </w:rPr>
        <w:t xml:space="preserve">in </w:t>
      </w:r>
      <w:proofErr w:type="spellStart"/>
      <w:r w:rsidRPr="00D773F7">
        <w:rPr>
          <w:rFonts w:asciiTheme="majorBidi" w:hAnsiTheme="majorBidi" w:cstheme="majorBidi"/>
          <w:i/>
          <w:iCs/>
        </w:rPr>
        <w:t>chemico</w:t>
      </w:r>
      <w:proofErr w:type="spellEnd"/>
      <w:r w:rsidRPr="00D773F7">
        <w:rPr>
          <w:rFonts w:asciiTheme="majorBidi" w:hAnsiTheme="majorBidi" w:cstheme="majorBidi"/>
          <w:i/>
          <w:iCs/>
        </w:rPr>
        <w:t>/</w:t>
      </w:r>
      <w:r w:rsidRPr="00D773F7">
        <w:rPr>
          <w:rFonts w:asciiTheme="majorBidi" w:hAnsiTheme="majorBidi" w:cstheme="majorBidi"/>
        </w:rPr>
        <w:t>in vitro</w:t>
      </w:r>
      <w:r w:rsidRPr="00D773F7">
        <w:rPr>
          <w:rFonts w:asciiTheme="majorBidi" w:hAnsiTheme="majorBidi" w:cstheme="majorBidi"/>
          <w:iCs/>
        </w:rPr>
        <w:t xml:space="preserve"> methods validated according to international procedures</w:t>
      </w:r>
      <w:r w:rsidR="00807E58" w:rsidRPr="00D773F7">
        <w:rPr>
          <w:rFonts w:asciiTheme="majorBidi" w:hAnsiTheme="majorBidi" w:cstheme="majorBidi"/>
          <w:iCs/>
        </w:rPr>
        <w:t xml:space="preserve"> and</w:t>
      </w:r>
      <w:r w:rsidRPr="00D773F7">
        <w:rPr>
          <w:rFonts w:asciiTheme="majorBidi" w:hAnsiTheme="majorBidi" w:cstheme="majorBidi"/>
          <w:iCs/>
        </w:rPr>
        <w:t xml:space="preserve"> non-test methods (including read-across) can be applied in a weight</w:t>
      </w:r>
      <w:r w:rsidR="004B7356" w:rsidRPr="00D773F7">
        <w:rPr>
          <w:rFonts w:asciiTheme="majorBidi" w:hAnsiTheme="majorBidi" w:cstheme="majorBidi"/>
          <w:iCs/>
        </w:rPr>
        <w:t xml:space="preserve"> </w:t>
      </w:r>
      <w:r w:rsidRPr="00D773F7">
        <w:rPr>
          <w:rFonts w:asciiTheme="majorBidi" w:hAnsiTheme="majorBidi" w:cstheme="majorBidi"/>
          <w:iCs/>
        </w:rPr>
        <w:t>of</w:t>
      </w:r>
      <w:r w:rsidR="004B7356" w:rsidRPr="00D773F7">
        <w:rPr>
          <w:rFonts w:asciiTheme="majorBidi" w:hAnsiTheme="majorBidi" w:cstheme="majorBidi"/>
          <w:iCs/>
        </w:rPr>
        <w:t xml:space="preserve"> </w:t>
      </w:r>
      <w:r w:rsidRPr="00D773F7">
        <w:rPr>
          <w:rFonts w:asciiTheme="majorBidi" w:hAnsiTheme="majorBidi" w:cstheme="majorBidi"/>
          <w:iCs/>
        </w:rPr>
        <w:t>evidence assessment together with inconclusive data from</w:t>
      </w:r>
      <w:r w:rsidR="00E12303" w:rsidRPr="00D773F7">
        <w:rPr>
          <w:rFonts w:asciiTheme="majorBidi" w:hAnsiTheme="majorBidi" w:cstheme="majorBidi"/>
          <w:iCs/>
        </w:rPr>
        <w:t xml:space="preserve"> </w:t>
      </w:r>
      <w:r w:rsidR="00FC4913" w:rsidRPr="00D773F7">
        <w:rPr>
          <w:rFonts w:asciiTheme="majorBidi" w:hAnsiTheme="majorBidi" w:cstheme="majorBidi"/>
          <w:iCs/>
        </w:rPr>
        <w:t>t</w:t>
      </w:r>
      <w:r w:rsidRPr="00D773F7">
        <w:rPr>
          <w:rFonts w:asciiTheme="majorBidi" w:hAnsiTheme="majorBidi" w:cstheme="majorBidi"/>
          <w:iCs/>
        </w:rPr>
        <w:t xml:space="preserve">ier 1 and should be used in this second </w:t>
      </w:r>
      <w:r w:rsidR="00E12303" w:rsidRPr="00D773F7">
        <w:rPr>
          <w:rFonts w:asciiTheme="majorBidi" w:hAnsiTheme="majorBidi" w:cstheme="majorBidi"/>
          <w:iCs/>
        </w:rPr>
        <w:t>t</w:t>
      </w:r>
      <w:r w:rsidRPr="00D773F7">
        <w:rPr>
          <w:rFonts w:asciiTheme="majorBidi" w:hAnsiTheme="majorBidi" w:cstheme="majorBidi"/>
          <w:iCs/>
        </w:rPr>
        <w:t>ier because they can usually not be used as stand-alone (with the exception of good quality read-across). However, a competent authority may decide that a positive result with one of these non</w:t>
      </w:r>
      <w:r w:rsidR="00002208" w:rsidRPr="00D773F7">
        <w:rPr>
          <w:rFonts w:asciiTheme="majorBidi" w:hAnsiTheme="majorBidi" w:cstheme="majorBidi"/>
          <w:iCs/>
        </w:rPr>
        <w:t xml:space="preserve"> </w:t>
      </w:r>
      <w:r w:rsidRPr="00D773F7">
        <w:rPr>
          <w:rFonts w:asciiTheme="majorBidi" w:hAnsiTheme="majorBidi" w:cstheme="majorBidi"/>
          <w:iCs/>
        </w:rPr>
        <w:t>stand</w:t>
      </w:r>
      <w:r w:rsidR="00002208" w:rsidRPr="00D773F7">
        <w:rPr>
          <w:rFonts w:asciiTheme="majorBidi" w:hAnsiTheme="majorBidi" w:cstheme="majorBidi"/>
          <w:iCs/>
        </w:rPr>
        <w:t>-</w:t>
      </w:r>
      <w:r w:rsidRPr="00D773F7">
        <w:rPr>
          <w:rFonts w:asciiTheme="majorBidi" w:hAnsiTheme="majorBidi" w:cstheme="majorBidi"/>
          <w:iCs/>
        </w:rPr>
        <w:t xml:space="preserve">alone </w:t>
      </w:r>
      <w:r w:rsidRPr="00D773F7">
        <w:rPr>
          <w:rFonts w:asciiTheme="majorBidi" w:hAnsiTheme="majorBidi" w:cstheme="majorBidi"/>
          <w:i/>
        </w:rPr>
        <w:t>in</w:t>
      </w:r>
      <w:r w:rsidRPr="00D773F7">
        <w:rPr>
          <w:rFonts w:asciiTheme="majorBidi" w:hAnsiTheme="majorBidi" w:cstheme="majorBidi"/>
          <w:iCs/>
        </w:rPr>
        <w:t xml:space="preserve"> </w:t>
      </w:r>
      <w:proofErr w:type="spellStart"/>
      <w:r w:rsidRPr="00D773F7">
        <w:rPr>
          <w:rFonts w:asciiTheme="majorBidi" w:hAnsiTheme="majorBidi" w:cstheme="majorBidi"/>
          <w:i/>
        </w:rPr>
        <w:t>chemico</w:t>
      </w:r>
      <w:proofErr w:type="spellEnd"/>
      <w:r w:rsidRPr="00D773F7">
        <w:rPr>
          <w:rFonts w:asciiTheme="majorBidi" w:hAnsiTheme="majorBidi" w:cstheme="majorBidi"/>
          <w:i/>
        </w:rPr>
        <w:t>/</w:t>
      </w:r>
      <w:r w:rsidRPr="00D773F7">
        <w:rPr>
          <w:rFonts w:asciiTheme="majorBidi" w:hAnsiTheme="majorBidi" w:cstheme="majorBidi"/>
          <w:iCs/>
        </w:rPr>
        <w:t xml:space="preserve">in vitro methods, may be used on its own to classify in </w:t>
      </w:r>
      <w:r w:rsidR="00B337B0" w:rsidRPr="00D773F7">
        <w:rPr>
          <w:rFonts w:asciiTheme="majorBidi" w:hAnsiTheme="majorBidi" w:cstheme="majorBidi"/>
          <w:iCs/>
        </w:rPr>
        <w:t xml:space="preserve">Category </w:t>
      </w:r>
      <w:r w:rsidRPr="00D773F7">
        <w:rPr>
          <w:rFonts w:asciiTheme="majorBidi" w:hAnsiTheme="majorBidi" w:cstheme="majorBidi"/>
          <w:iCs/>
        </w:rPr>
        <w:t xml:space="preserve">1 (see </w:t>
      </w:r>
      <w:r w:rsidR="001806B2" w:rsidRPr="00D773F7">
        <w:rPr>
          <w:rFonts w:asciiTheme="majorBidi" w:hAnsiTheme="majorBidi" w:cstheme="majorBidi"/>
          <w:iCs/>
        </w:rPr>
        <w:t>t</w:t>
      </w:r>
      <w:r w:rsidRPr="00D773F7">
        <w:rPr>
          <w:rFonts w:asciiTheme="majorBidi" w:hAnsiTheme="majorBidi" w:cstheme="majorBidi"/>
          <w:iCs/>
        </w:rPr>
        <w:t>able 3.4.</w:t>
      </w:r>
      <w:r w:rsidR="00A36644" w:rsidRPr="00D773F7">
        <w:rPr>
          <w:rFonts w:asciiTheme="majorBidi" w:hAnsiTheme="majorBidi" w:cstheme="majorBidi"/>
          <w:iCs/>
        </w:rPr>
        <w:t>8</w:t>
      </w:r>
      <w:r w:rsidRPr="00D773F7">
        <w:rPr>
          <w:rFonts w:asciiTheme="majorBidi" w:hAnsiTheme="majorBidi" w:cstheme="majorBidi"/>
          <w:iCs/>
        </w:rPr>
        <w:t>).</w:t>
      </w:r>
    </w:p>
    <w:p w14:paraId="7F389AB1" w14:textId="1DCB06B0" w:rsidR="007F4FEC" w:rsidRPr="00D773F7" w:rsidRDefault="007F4FEC" w:rsidP="00CF73B7">
      <w:pPr>
        <w:tabs>
          <w:tab w:val="left" w:pos="2835"/>
        </w:tabs>
        <w:spacing w:after="240"/>
        <w:ind w:left="2268" w:right="1134"/>
        <w:jc w:val="both"/>
        <w:rPr>
          <w:rFonts w:asciiTheme="majorBidi" w:hAnsiTheme="majorBidi" w:cstheme="majorBidi"/>
        </w:rPr>
      </w:pPr>
      <w:r w:rsidRPr="00D773F7">
        <w:rPr>
          <w:rFonts w:asciiTheme="majorBidi" w:hAnsiTheme="majorBidi" w:cstheme="majorBidi"/>
        </w:rPr>
        <w:t>3.4.2.2.7.6</w:t>
      </w:r>
      <w:r w:rsidRPr="00D773F7">
        <w:rPr>
          <w:rFonts w:asciiTheme="majorBidi" w:hAnsiTheme="majorBidi" w:cstheme="majorBidi"/>
        </w:rPr>
        <w:tab/>
        <w:t xml:space="preserve">Tier 3 - </w:t>
      </w:r>
      <w:r w:rsidRPr="00D773F7">
        <w:rPr>
          <w:rFonts w:asciiTheme="majorBidi" w:hAnsiTheme="majorBidi" w:cstheme="majorBidi"/>
          <w:bCs/>
        </w:rPr>
        <w:t>Classification based on overall weight</w:t>
      </w:r>
      <w:r w:rsidR="00151D47" w:rsidRPr="00D773F7">
        <w:rPr>
          <w:rFonts w:asciiTheme="majorBidi" w:hAnsiTheme="majorBidi" w:cstheme="majorBidi"/>
          <w:bCs/>
        </w:rPr>
        <w:t xml:space="preserve"> </w:t>
      </w:r>
      <w:r w:rsidRPr="00D773F7">
        <w:rPr>
          <w:rFonts w:asciiTheme="majorBidi" w:hAnsiTheme="majorBidi" w:cstheme="majorBidi"/>
          <w:bCs/>
        </w:rPr>
        <w:t>of</w:t>
      </w:r>
      <w:r w:rsidR="00151D47" w:rsidRPr="00D773F7">
        <w:rPr>
          <w:rFonts w:asciiTheme="majorBidi" w:hAnsiTheme="majorBidi" w:cstheme="majorBidi"/>
          <w:bCs/>
        </w:rPr>
        <w:t xml:space="preserve"> </w:t>
      </w:r>
      <w:r w:rsidRPr="00D773F7">
        <w:rPr>
          <w:rFonts w:asciiTheme="majorBidi" w:hAnsiTheme="majorBidi" w:cstheme="majorBidi"/>
          <w:bCs/>
        </w:rPr>
        <w:t xml:space="preserve">evidence </w:t>
      </w:r>
      <w:r w:rsidR="0010125D" w:rsidRPr="00D773F7">
        <w:rPr>
          <w:rFonts w:asciiTheme="majorBidi" w:hAnsiTheme="majorBidi" w:cstheme="majorBidi"/>
          <w:bCs/>
        </w:rPr>
        <w:t xml:space="preserve">assessment </w:t>
      </w:r>
      <w:r w:rsidRPr="00D773F7">
        <w:rPr>
          <w:rFonts w:asciiTheme="majorBidi" w:hAnsiTheme="majorBidi" w:cstheme="majorBidi"/>
          <w:bCs/>
        </w:rPr>
        <w:t xml:space="preserve">including additional indicators </w:t>
      </w:r>
    </w:p>
    <w:p w14:paraId="399361F3" w14:textId="10CC61A3" w:rsidR="007F4FEC" w:rsidRPr="00D773F7" w:rsidRDefault="007F4FEC" w:rsidP="00CF73B7">
      <w:pPr>
        <w:tabs>
          <w:tab w:val="left" w:pos="3402"/>
        </w:tabs>
        <w:spacing w:after="240"/>
        <w:ind w:left="2268" w:right="1134"/>
        <w:jc w:val="both"/>
        <w:rPr>
          <w:rFonts w:asciiTheme="majorBidi" w:hAnsiTheme="majorBidi" w:cstheme="majorBidi"/>
          <w:strike/>
        </w:rPr>
      </w:pPr>
      <w:r w:rsidRPr="00D773F7">
        <w:rPr>
          <w:rFonts w:asciiTheme="majorBidi" w:hAnsiTheme="majorBidi" w:cstheme="majorBidi"/>
        </w:rPr>
        <w:tab/>
        <w:t>In case a definitive conclusion on classification including sub-categorization where required by a competent authority cannot be derived from the previous tiers, an overall weight</w:t>
      </w:r>
      <w:r w:rsidR="004B7356" w:rsidRPr="00D773F7">
        <w:rPr>
          <w:rFonts w:asciiTheme="majorBidi" w:hAnsiTheme="majorBidi" w:cstheme="majorBidi"/>
        </w:rPr>
        <w:t xml:space="preserve"> </w:t>
      </w:r>
      <w:r w:rsidRPr="00D773F7">
        <w:rPr>
          <w:rFonts w:asciiTheme="majorBidi" w:hAnsiTheme="majorBidi" w:cstheme="majorBidi"/>
        </w:rPr>
        <w:t>of</w:t>
      </w:r>
      <w:r w:rsidR="004B7356" w:rsidRPr="00D773F7">
        <w:rPr>
          <w:rFonts w:asciiTheme="majorBidi" w:hAnsiTheme="majorBidi" w:cstheme="majorBidi"/>
        </w:rPr>
        <w:t xml:space="preserve"> </w:t>
      </w:r>
      <w:r w:rsidRPr="00D773F7">
        <w:rPr>
          <w:rFonts w:asciiTheme="majorBidi" w:hAnsiTheme="majorBidi" w:cstheme="majorBidi"/>
        </w:rPr>
        <w:t xml:space="preserve">evidence assessment using expert judgment should be used that may include a combination of two or more indicators of skin sensitization as listed below. </w:t>
      </w:r>
    </w:p>
    <w:p w14:paraId="6621859C" w14:textId="77777777" w:rsidR="007F4FEC" w:rsidRPr="00D773F7" w:rsidRDefault="007F4FEC" w:rsidP="00C17E19">
      <w:pPr>
        <w:pStyle w:val="NormalWeb"/>
        <w:tabs>
          <w:tab w:val="left" w:pos="3402"/>
        </w:tabs>
        <w:spacing w:beforeAutospacing="0" w:after="240" w:afterAutospacing="0"/>
        <w:ind w:left="2835" w:right="1134" w:hanging="567"/>
        <w:jc w:val="both"/>
        <w:rPr>
          <w:rFonts w:asciiTheme="majorBidi" w:hAnsiTheme="majorBidi" w:cstheme="majorBidi"/>
          <w:snapToGrid w:val="0"/>
          <w:sz w:val="20"/>
          <w:szCs w:val="20"/>
        </w:rPr>
      </w:pPr>
      <w:r w:rsidRPr="00D773F7">
        <w:rPr>
          <w:rFonts w:asciiTheme="majorBidi" w:hAnsiTheme="majorBidi" w:cstheme="majorBidi"/>
          <w:snapToGrid w:val="0"/>
          <w:sz w:val="20"/>
          <w:szCs w:val="20"/>
        </w:rPr>
        <w:t>(a)</w:t>
      </w:r>
      <w:r w:rsidRPr="00D773F7">
        <w:rPr>
          <w:rFonts w:asciiTheme="majorBidi" w:hAnsiTheme="majorBidi" w:cstheme="majorBidi"/>
          <w:snapToGrid w:val="0"/>
          <w:sz w:val="20"/>
          <w:szCs w:val="20"/>
        </w:rPr>
        <w:tab/>
        <w:t>Isolated episodes of allergic contact dermatitis;</w:t>
      </w:r>
    </w:p>
    <w:p w14:paraId="2F0FA5D0" w14:textId="77777777" w:rsidR="007F4FEC" w:rsidRPr="00D773F7" w:rsidRDefault="007F4FEC" w:rsidP="00C17E19">
      <w:pPr>
        <w:pStyle w:val="NormalWeb"/>
        <w:tabs>
          <w:tab w:val="left" w:pos="3402"/>
        </w:tabs>
        <w:spacing w:beforeAutospacing="0" w:after="240" w:afterAutospacing="0"/>
        <w:ind w:left="2835" w:right="1134" w:hanging="567"/>
        <w:jc w:val="both"/>
        <w:rPr>
          <w:rFonts w:asciiTheme="majorBidi" w:hAnsiTheme="majorBidi" w:cstheme="majorBidi"/>
          <w:snapToGrid w:val="0"/>
          <w:sz w:val="20"/>
          <w:szCs w:val="20"/>
        </w:rPr>
      </w:pPr>
      <w:r w:rsidRPr="00D773F7">
        <w:rPr>
          <w:rFonts w:asciiTheme="majorBidi" w:hAnsiTheme="majorBidi" w:cstheme="majorBidi"/>
          <w:snapToGrid w:val="0"/>
          <w:sz w:val="20"/>
          <w:szCs w:val="20"/>
        </w:rPr>
        <w:t>(b)</w:t>
      </w:r>
      <w:r w:rsidRPr="00D773F7">
        <w:rPr>
          <w:rFonts w:asciiTheme="majorBidi" w:hAnsiTheme="majorBidi" w:cstheme="majorBidi"/>
          <w:snapToGrid w:val="0"/>
          <w:sz w:val="20"/>
          <w:szCs w:val="20"/>
        </w:rPr>
        <w:tab/>
        <w:t>Epidemiological studies of limited power, e.g. where chance, bias or confounders have not been ruled out fully with reasonable confidence;</w:t>
      </w:r>
    </w:p>
    <w:p w14:paraId="0658E4DF" w14:textId="77777777" w:rsidR="007F4FEC" w:rsidRPr="00D773F7" w:rsidRDefault="007F4FEC" w:rsidP="00C17E19">
      <w:pPr>
        <w:pStyle w:val="NormalWeb"/>
        <w:tabs>
          <w:tab w:val="left" w:pos="3402"/>
        </w:tabs>
        <w:spacing w:beforeAutospacing="0" w:after="240" w:afterAutospacing="0"/>
        <w:ind w:left="2835" w:right="1134" w:hanging="567"/>
        <w:jc w:val="both"/>
        <w:rPr>
          <w:rFonts w:asciiTheme="majorBidi" w:hAnsiTheme="majorBidi" w:cstheme="majorBidi"/>
          <w:snapToGrid w:val="0"/>
          <w:sz w:val="20"/>
          <w:szCs w:val="20"/>
        </w:rPr>
      </w:pPr>
      <w:r w:rsidRPr="00D773F7">
        <w:rPr>
          <w:rFonts w:asciiTheme="majorBidi" w:hAnsiTheme="majorBidi" w:cstheme="majorBidi"/>
          <w:snapToGrid w:val="0"/>
          <w:sz w:val="20"/>
          <w:szCs w:val="20"/>
        </w:rPr>
        <w:t>(c)</w:t>
      </w:r>
      <w:r w:rsidRPr="00D773F7">
        <w:rPr>
          <w:rFonts w:asciiTheme="majorBidi" w:hAnsiTheme="majorBidi" w:cstheme="majorBidi"/>
          <w:snapToGrid w:val="0"/>
          <w:sz w:val="20"/>
          <w:szCs w:val="20"/>
        </w:rPr>
        <w:tab/>
        <w:t>Data from animal tests, performed according to existing guidelines, which do not meet the criteria for a positive result described in 3.4.2.2.3, but which are sufficiently close to the limit to be considered significant;</w:t>
      </w:r>
    </w:p>
    <w:p w14:paraId="1B50FD5B" w14:textId="38C91682" w:rsidR="007F4FEC" w:rsidRPr="00D773F7" w:rsidRDefault="007F4FEC" w:rsidP="00C17E19">
      <w:pPr>
        <w:pStyle w:val="NormalWeb"/>
        <w:tabs>
          <w:tab w:val="left" w:pos="3402"/>
        </w:tabs>
        <w:spacing w:beforeAutospacing="0" w:after="240" w:afterAutospacing="0"/>
        <w:ind w:left="2835" w:right="1134" w:hanging="567"/>
        <w:jc w:val="both"/>
        <w:rPr>
          <w:rFonts w:asciiTheme="majorBidi" w:hAnsiTheme="majorBidi" w:cstheme="majorBidi"/>
          <w:snapToGrid w:val="0"/>
          <w:sz w:val="20"/>
          <w:szCs w:val="20"/>
        </w:rPr>
      </w:pPr>
      <w:r w:rsidRPr="00D773F7">
        <w:rPr>
          <w:rFonts w:asciiTheme="majorBidi" w:hAnsiTheme="majorBidi" w:cstheme="majorBidi"/>
          <w:snapToGrid w:val="0"/>
          <w:sz w:val="20"/>
          <w:szCs w:val="20"/>
        </w:rPr>
        <w:t>(d)</w:t>
      </w:r>
      <w:r w:rsidRPr="00D773F7">
        <w:rPr>
          <w:rFonts w:asciiTheme="majorBidi" w:hAnsiTheme="majorBidi" w:cstheme="majorBidi"/>
          <w:snapToGrid w:val="0"/>
          <w:sz w:val="20"/>
          <w:szCs w:val="20"/>
        </w:rPr>
        <w:tab/>
        <w:t>Data from non-standard methods</w:t>
      </w:r>
      <w:r w:rsidR="005D0BEA">
        <w:rPr>
          <w:rFonts w:asciiTheme="majorBidi" w:hAnsiTheme="majorBidi" w:cstheme="majorBidi"/>
          <w:snapToGrid w:val="0"/>
          <w:sz w:val="20"/>
          <w:szCs w:val="20"/>
        </w:rPr>
        <w:t>.</w:t>
      </w:r>
    </w:p>
    <w:p w14:paraId="0D144455" w14:textId="7737EF8F" w:rsidR="007F4FEC" w:rsidRPr="00D773F7" w:rsidRDefault="007F4FEC" w:rsidP="00CF73B7">
      <w:pPr>
        <w:tabs>
          <w:tab w:val="left" w:pos="3402"/>
        </w:tabs>
        <w:spacing w:after="240" w:line="240" w:lineRule="auto"/>
        <w:ind w:left="2268" w:right="1134"/>
        <w:jc w:val="both"/>
        <w:rPr>
          <w:rFonts w:asciiTheme="majorBidi" w:eastAsiaTheme="minorEastAsia" w:hAnsiTheme="majorBidi" w:cstheme="majorBidi"/>
        </w:rPr>
      </w:pPr>
      <w:r w:rsidRPr="00D773F7">
        <w:rPr>
          <w:rFonts w:asciiTheme="majorBidi" w:hAnsiTheme="majorBidi" w:cstheme="majorBidi"/>
        </w:rPr>
        <w:lastRenderedPageBreak/>
        <w:t xml:space="preserve">3.4.2.2.7.7 </w:t>
      </w:r>
      <w:r w:rsidRPr="00D773F7">
        <w:rPr>
          <w:rFonts w:asciiTheme="majorBidi" w:hAnsiTheme="majorBidi" w:cstheme="majorBidi"/>
        </w:rPr>
        <w:tab/>
        <w:t xml:space="preserve">Where information from the various tiers is inconsistent and/or conflicting with respect to the resulting classification, information of sufficient quality from a higher tier is generally given a higher weight than information from a lower tier. However, when information from a lower tier would result in a stricter classification than information from a higher tier and there is concern for misclassification, then classification is determined by an overall weight of evidence assessment (i.e. in </w:t>
      </w:r>
      <w:r w:rsidR="00FC4913" w:rsidRPr="00D773F7">
        <w:rPr>
          <w:rFonts w:asciiTheme="majorBidi" w:hAnsiTheme="majorBidi" w:cstheme="majorBidi"/>
        </w:rPr>
        <w:t>t</w:t>
      </w:r>
      <w:r w:rsidRPr="00D773F7">
        <w:rPr>
          <w:rFonts w:asciiTheme="majorBidi" w:hAnsiTheme="majorBidi" w:cstheme="majorBidi"/>
        </w:rPr>
        <w:t xml:space="preserve">ier 3). For example, having consulted the guidance in 3.4.5.3 as appropriate, </w:t>
      </w:r>
      <w:r w:rsidRPr="00D773F7">
        <w:rPr>
          <w:rFonts w:asciiTheme="majorBidi" w:eastAsiaTheme="minorEastAsia" w:hAnsiTheme="majorBidi" w:cstheme="majorBidi"/>
        </w:rPr>
        <w:t>classifiers concerned with a negative result for skin sensitization in a Buehler</w:t>
      </w:r>
      <w:r w:rsidRPr="00D773F7">
        <w:rPr>
          <w:rFonts w:asciiTheme="majorBidi" w:eastAsiaTheme="minorEastAsia" w:hAnsiTheme="majorBidi" w:cstheme="majorBidi"/>
          <w:i/>
          <w:iCs/>
        </w:rPr>
        <w:t xml:space="preserve"> </w:t>
      </w:r>
      <w:r w:rsidRPr="00D773F7">
        <w:rPr>
          <w:rFonts w:asciiTheme="majorBidi" w:eastAsiaTheme="minorEastAsia" w:hAnsiTheme="majorBidi" w:cstheme="majorBidi"/>
        </w:rPr>
        <w:t xml:space="preserve">study when there is a clear positive result in humans for very similar substances (from read-across) would utilise an overall weight of evidence </w:t>
      </w:r>
      <w:r w:rsidR="00CC54A9" w:rsidRPr="00D773F7">
        <w:rPr>
          <w:rFonts w:asciiTheme="majorBidi" w:eastAsiaTheme="minorEastAsia" w:hAnsiTheme="majorBidi" w:cstheme="majorBidi"/>
        </w:rPr>
        <w:t>assessment</w:t>
      </w:r>
      <w:r w:rsidRPr="00D773F7">
        <w:rPr>
          <w:rFonts w:asciiTheme="majorBidi" w:eastAsiaTheme="minorEastAsia" w:hAnsiTheme="majorBidi" w:cstheme="majorBidi"/>
        </w:rPr>
        <w:t>.”</w:t>
      </w:r>
      <w:r w:rsidR="00E24A03" w:rsidRPr="00D773F7">
        <w:rPr>
          <w:rFonts w:asciiTheme="majorBidi" w:eastAsiaTheme="minorEastAsia" w:hAnsiTheme="majorBidi" w:cstheme="majorBidi"/>
        </w:rPr>
        <w:t>.</w:t>
      </w:r>
    </w:p>
    <w:p w14:paraId="49965B69" w14:textId="77777777" w:rsidR="00882D17" w:rsidRPr="00D773F7" w:rsidRDefault="007F4FEC" w:rsidP="00CF73B7">
      <w:pPr>
        <w:pStyle w:val="SingleTxtG"/>
        <w:tabs>
          <w:tab w:val="clear" w:pos="1701"/>
          <w:tab w:val="clear" w:pos="2835"/>
          <w:tab w:val="left" w:pos="3402"/>
        </w:tabs>
        <w:spacing w:before="120"/>
        <w:ind w:left="2268" w:hanging="1134"/>
        <w:rPr>
          <w:rFonts w:asciiTheme="majorBidi" w:hAnsiTheme="majorBidi" w:cstheme="majorBidi"/>
          <w:color w:val="000000" w:themeColor="text1"/>
        </w:rPr>
      </w:pPr>
      <w:r w:rsidRPr="00D773F7">
        <w:rPr>
          <w:rFonts w:asciiTheme="majorBidi" w:hAnsiTheme="majorBidi" w:cstheme="majorBidi"/>
          <w:color w:val="000000" w:themeColor="text1"/>
        </w:rPr>
        <w:t>3.4.2.2.4.4</w:t>
      </w:r>
      <w:r w:rsidRPr="00D773F7">
        <w:rPr>
          <w:rFonts w:asciiTheme="majorBidi" w:hAnsiTheme="majorBidi" w:cstheme="majorBidi"/>
          <w:color w:val="000000" w:themeColor="text1"/>
        </w:rPr>
        <w:tab/>
        <w:t xml:space="preserve">Current paragraph 3.4.2.2.4.4 </w:t>
      </w:r>
      <w:r w:rsidR="0073053D" w:rsidRPr="00D773F7">
        <w:rPr>
          <w:rFonts w:asciiTheme="majorBidi" w:hAnsiTheme="majorBidi" w:cstheme="majorBidi"/>
          <w:color w:val="000000" w:themeColor="text1"/>
        </w:rPr>
        <w:t>“</w:t>
      </w:r>
      <w:r w:rsidRPr="00D773F7">
        <w:rPr>
          <w:rFonts w:asciiTheme="majorBidi" w:hAnsiTheme="majorBidi" w:cstheme="majorBidi"/>
          <w:color w:val="000000" w:themeColor="text1"/>
        </w:rPr>
        <w:t>Immunological contact urticaria</w:t>
      </w:r>
      <w:r w:rsidR="0073053D" w:rsidRPr="00D773F7">
        <w:rPr>
          <w:rFonts w:asciiTheme="majorBidi" w:hAnsiTheme="majorBidi" w:cstheme="majorBidi"/>
          <w:color w:val="000000" w:themeColor="text1"/>
        </w:rPr>
        <w:t>”</w:t>
      </w:r>
      <w:r w:rsidRPr="00D773F7">
        <w:rPr>
          <w:rFonts w:asciiTheme="majorBidi" w:hAnsiTheme="majorBidi" w:cstheme="majorBidi"/>
          <w:color w:val="000000" w:themeColor="text1"/>
        </w:rPr>
        <w:t xml:space="preserve"> becomes new section 3.4.2.2.8</w:t>
      </w:r>
      <w:r w:rsidR="00691744" w:rsidRPr="00D773F7">
        <w:rPr>
          <w:rFonts w:asciiTheme="majorBidi" w:hAnsiTheme="majorBidi" w:cstheme="majorBidi"/>
          <w:color w:val="000000" w:themeColor="text1"/>
        </w:rPr>
        <w:t xml:space="preserve">. </w:t>
      </w:r>
      <w:r w:rsidR="00CB0DB1" w:rsidRPr="00D773F7">
        <w:rPr>
          <w:rFonts w:asciiTheme="majorBidi" w:hAnsiTheme="majorBidi" w:cstheme="majorBidi"/>
          <w:color w:val="000000" w:themeColor="text1"/>
        </w:rPr>
        <w:t xml:space="preserve">Renumber </w:t>
      </w:r>
      <w:r w:rsidRPr="00D773F7">
        <w:rPr>
          <w:rFonts w:asciiTheme="majorBidi" w:hAnsiTheme="majorBidi" w:cstheme="majorBidi"/>
          <w:color w:val="000000" w:themeColor="text1"/>
        </w:rPr>
        <w:t xml:space="preserve">the two sub-paragraphs under this heading as </w:t>
      </w:r>
      <w:r w:rsidR="00882D17" w:rsidRPr="00D773F7">
        <w:rPr>
          <w:rFonts w:asciiTheme="majorBidi" w:hAnsiTheme="majorBidi" w:cstheme="majorBidi"/>
          <w:color w:val="000000" w:themeColor="text1"/>
        </w:rPr>
        <w:t>follows:</w:t>
      </w:r>
    </w:p>
    <w:p w14:paraId="1CCE50BC" w14:textId="1571420F" w:rsidR="00882D17" w:rsidRPr="00D773F7" w:rsidRDefault="00882D17" w:rsidP="00CF73B7">
      <w:pPr>
        <w:pStyle w:val="SingleTxtG"/>
        <w:tabs>
          <w:tab w:val="clear" w:pos="1701"/>
          <w:tab w:val="clear" w:pos="2835"/>
          <w:tab w:val="left" w:pos="3402"/>
        </w:tabs>
        <w:spacing w:before="120"/>
        <w:ind w:left="2268" w:hanging="1134"/>
        <w:rPr>
          <w:rFonts w:asciiTheme="majorBidi" w:hAnsiTheme="majorBidi" w:cstheme="majorBidi"/>
          <w:color w:val="000000" w:themeColor="text1"/>
        </w:rPr>
      </w:pPr>
      <w:r w:rsidRPr="00D773F7">
        <w:rPr>
          <w:rFonts w:asciiTheme="majorBidi" w:hAnsiTheme="majorBidi" w:cstheme="majorBidi"/>
          <w:color w:val="000000" w:themeColor="text1"/>
        </w:rPr>
        <w:tab/>
      </w:r>
      <w:r w:rsidR="007F4FEC" w:rsidRPr="00D773F7">
        <w:rPr>
          <w:rFonts w:asciiTheme="majorBidi" w:hAnsiTheme="majorBidi" w:cstheme="majorBidi"/>
          <w:color w:val="000000" w:themeColor="text1"/>
        </w:rPr>
        <w:t>3.4.2.2.8.1</w:t>
      </w:r>
      <w:r w:rsidR="00C97D79" w:rsidRPr="00D773F7">
        <w:rPr>
          <w:rFonts w:asciiTheme="majorBidi" w:hAnsiTheme="majorBidi" w:cstheme="majorBidi"/>
          <w:color w:val="000000" w:themeColor="text1"/>
        </w:rPr>
        <w:t xml:space="preserve"> </w:t>
      </w:r>
      <w:r w:rsidR="007F4FEC" w:rsidRPr="00D773F7">
        <w:rPr>
          <w:rFonts w:asciiTheme="majorBidi" w:hAnsiTheme="majorBidi" w:cstheme="majorBidi"/>
          <w:color w:val="000000" w:themeColor="text1"/>
        </w:rPr>
        <w:t>Substances meeting the criteria for….”</w:t>
      </w:r>
    </w:p>
    <w:p w14:paraId="06348E42" w14:textId="35000235" w:rsidR="007F4FEC" w:rsidRPr="00D773F7" w:rsidRDefault="00882D17" w:rsidP="00CF73B7">
      <w:pPr>
        <w:pStyle w:val="SingleTxtG"/>
        <w:tabs>
          <w:tab w:val="clear" w:pos="1701"/>
          <w:tab w:val="clear" w:pos="2835"/>
          <w:tab w:val="left" w:pos="3402"/>
        </w:tabs>
        <w:spacing w:before="120"/>
        <w:ind w:left="2268" w:hanging="1134"/>
        <w:rPr>
          <w:rFonts w:asciiTheme="majorBidi" w:hAnsiTheme="majorBidi" w:cstheme="majorBidi"/>
          <w:color w:val="000000" w:themeColor="text1"/>
        </w:rPr>
      </w:pPr>
      <w:r w:rsidRPr="00D773F7">
        <w:rPr>
          <w:rFonts w:asciiTheme="majorBidi" w:hAnsiTheme="majorBidi" w:cstheme="majorBidi"/>
          <w:color w:val="000000" w:themeColor="text1"/>
        </w:rPr>
        <w:tab/>
      </w:r>
      <w:r w:rsidR="007F4FEC" w:rsidRPr="00D773F7">
        <w:rPr>
          <w:rFonts w:asciiTheme="majorBidi" w:hAnsiTheme="majorBidi" w:cstheme="majorBidi"/>
          <w:color w:val="000000" w:themeColor="text1"/>
        </w:rPr>
        <w:t>3.4.2.2.8.2</w:t>
      </w:r>
      <w:r w:rsidR="00C97D79" w:rsidRPr="00D773F7">
        <w:rPr>
          <w:rFonts w:asciiTheme="majorBidi" w:hAnsiTheme="majorBidi" w:cstheme="majorBidi"/>
          <w:color w:val="000000" w:themeColor="text1"/>
        </w:rPr>
        <w:t xml:space="preserve"> </w:t>
      </w:r>
      <w:r w:rsidR="007F4FEC" w:rsidRPr="00D773F7">
        <w:rPr>
          <w:rFonts w:asciiTheme="majorBidi" w:hAnsiTheme="majorBidi" w:cstheme="majorBidi"/>
          <w:color w:val="000000" w:themeColor="text1"/>
        </w:rPr>
        <w:t>There is no recognized animal model available…”</w:t>
      </w:r>
    </w:p>
    <w:p w14:paraId="2942242A" w14:textId="223B965D" w:rsidR="007F4FEC" w:rsidRPr="00D773F7" w:rsidRDefault="004A2102" w:rsidP="00E24A03">
      <w:pPr>
        <w:pStyle w:val="SingleTxtG"/>
        <w:ind w:left="2268" w:hanging="1134"/>
        <w:rPr>
          <w:rFonts w:asciiTheme="majorBidi" w:hAnsiTheme="majorBidi" w:cstheme="majorBidi"/>
        </w:rPr>
      </w:pPr>
      <w:r w:rsidRPr="00D773F7">
        <w:rPr>
          <w:rFonts w:asciiTheme="majorBidi" w:hAnsiTheme="majorBidi" w:cstheme="majorBidi"/>
        </w:rPr>
        <w:t xml:space="preserve">Footnotes </w:t>
      </w:r>
      <w:r w:rsidR="00032F2C" w:rsidRPr="00D773F7">
        <w:rPr>
          <w:rFonts w:asciiTheme="majorBidi" w:hAnsiTheme="majorBidi" w:cstheme="majorBidi"/>
        </w:rPr>
        <w:t>3 and 4</w:t>
      </w:r>
      <w:r w:rsidR="00032F2C" w:rsidRPr="00D773F7">
        <w:rPr>
          <w:rFonts w:asciiTheme="majorBidi" w:hAnsiTheme="majorBidi" w:cstheme="majorBidi"/>
        </w:rPr>
        <w:tab/>
      </w:r>
      <w:r w:rsidR="007F4FEC" w:rsidRPr="00D773F7">
        <w:rPr>
          <w:rFonts w:asciiTheme="majorBidi" w:hAnsiTheme="majorBidi" w:cstheme="majorBidi"/>
        </w:rPr>
        <w:t>Insert the following new footnotes 3 and 4 at the bottom of the page in relation to paragraphs</w:t>
      </w:r>
      <w:r w:rsidR="007F4FEC" w:rsidRPr="00D773F7">
        <w:rPr>
          <w:rStyle w:val="Funotenzeichen2"/>
          <w:rFonts w:asciiTheme="majorBidi" w:hAnsiTheme="majorBidi" w:cstheme="majorBidi"/>
        </w:rPr>
        <w:t xml:space="preserve"> </w:t>
      </w:r>
      <w:r w:rsidR="007F4FEC" w:rsidRPr="00D773F7">
        <w:rPr>
          <w:rFonts w:asciiTheme="majorBidi" w:hAnsiTheme="majorBidi" w:cstheme="majorBidi"/>
        </w:rPr>
        <w:t>3.4.2.2.4.1 (for footnote 3) and 3.4.2.2.5.3 (for</w:t>
      </w:r>
      <w:r w:rsidR="00E24A03" w:rsidRPr="00D773F7">
        <w:rPr>
          <w:rFonts w:asciiTheme="majorBidi" w:hAnsiTheme="majorBidi" w:cstheme="majorBidi"/>
        </w:rPr>
        <w:t> </w:t>
      </w:r>
      <w:r w:rsidR="007F4FEC" w:rsidRPr="00D773F7">
        <w:rPr>
          <w:rFonts w:asciiTheme="majorBidi" w:hAnsiTheme="majorBidi" w:cstheme="majorBidi"/>
        </w:rPr>
        <w:t>footnote</w:t>
      </w:r>
      <w:r w:rsidR="00E24A03" w:rsidRPr="00D773F7">
        <w:rPr>
          <w:rFonts w:asciiTheme="majorBidi" w:hAnsiTheme="majorBidi" w:cstheme="majorBidi"/>
        </w:rPr>
        <w:t> </w:t>
      </w:r>
      <w:r w:rsidR="007F4FEC" w:rsidRPr="00D773F7">
        <w:rPr>
          <w:rFonts w:asciiTheme="majorBidi" w:hAnsiTheme="majorBidi" w:cstheme="majorBidi"/>
        </w:rPr>
        <w:t>4)</w:t>
      </w:r>
      <w:r w:rsidR="007F4FEC" w:rsidRPr="00D773F7">
        <w:rPr>
          <w:rStyle w:val="Funotenzeichen2"/>
          <w:rFonts w:asciiTheme="majorBidi" w:hAnsiTheme="majorBidi" w:cstheme="majorBidi"/>
        </w:rPr>
        <w:t>:</w:t>
      </w:r>
    </w:p>
    <w:p w14:paraId="69721CD9" w14:textId="6BAD7FB7" w:rsidR="007F4FEC" w:rsidRPr="00D773F7" w:rsidRDefault="007F4FEC" w:rsidP="00CF73B7">
      <w:pPr>
        <w:pStyle w:val="GHStext"/>
        <w:tabs>
          <w:tab w:val="left" w:pos="3119"/>
        </w:tabs>
        <w:ind w:left="2268" w:right="1134"/>
        <w:rPr>
          <w:rFonts w:asciiTheme="majorBidi" w:hAnsiTheme="majorBidi" w:cstheme="majorBidi"/>
          <w:color w:val="auto"/>
          <w:lang w:val="en-GB"/>
        </w:rPr>
      </w:pPr>
      <w:r w:rsidRPr="00D773F7">
        <w:rPr>
          <w:rFonts w:asciiTheme="majorBidi" w:hAnsiTheme="majorBidi" w:cstheme="majorBidi"/>
          <w:color w:val="auto"/>
          <w:lang w:val="en-GB"/>
        </w:rPr>
        <w:t>“</w:t>
      </w:r>
      <w:r w:rsidRPr="00D773F7">
        <w:rPr>
          <w:rFonts w:asciiTheme="majorBidi" w:hAnsiTheme="majorBidi" w:cstheme="majorBidi"/>
          <w:color w:val="auto"/>
          <w:vertAlign w:val="superscript"/>
          <w:lang w:val="en-GB"/>
        </w:rPr>
        <w:t>3</w:t>
      </w:r>
      <w:r w:rsidRPr="00D773F7">
        <w:rPr>
          <w:rFonts w:asciiTheme="majorBidi" w:hAnsiTheme="majorBidi" w:cstheme="majorBidi"/>
          <w:color w:val="auto"/>
          <w:lang w:val="en-GB"/>
        </w:rPr>
        <w:t xml:space="preserve"> </w:t>
      </w:r>
      <w:r w:rsidRPr="00D773F7">
        <w:rPr>
          <w:rFonts w:asciiTheme="majorBidi" w:hAnsiTheme="majorBidi" w:cstheme="majorBidi"/>
          <w:i/>
          <w:iCs/>
          <w:color w:val="auto"/>
          <w:lang w:val="en-GB"/>
        </w:rPr>
        <w:t xml:space="preserve">Additional defined approaches have been proposed for skin sensitization (OECD </w:t>
      </w:r>
      <w:r w:rsidR="00AD5851" w:rsidRPr="00D773F7">
        <w:rPr>
          <w:rFonts w:asciiTheme="majorBidi" w:hAnsiTheme="majorBidi" w:cstheme="majorBidi"/>
          <w:i/>
          <w:iCs/>
          <w:color w:val="auto"/>
          <w:lang w:val="en-GB"/>
        </w:rPr>
        <w:t>2017</w:t>
      </w:r>
      <w:r w:rsidRPr="00D773F7">
        <w:rPr>
          <w:rFonts w:asciiTheme="majorBidi" w:hAnsiTheme="majorBidi" w:cstheme="majorBidi"/>
          <w:i/>
          <w:iCs/>
          <w:color w:val="auto"/>
          <w:lang w:val="en-GB"/>
        </w:rPr>
        <w:t>) but no classification criteria have yet been agreed internationally.</w:t>
      </w:r>
      <w:r w:rsidRPr="00D773F7">
        <w:rPr>
          <w:rFonts w:asciiTheme="majorBidi" w:hAnsiTheme="majorBidi" w:cstheme="majorBidi"/>
          <w:color w:val="auto"/>
          <w:lang w:val="en-GB"/>
        </w:rPr>
        <w:t>”</w:t>
      </w:r>
    </w:p>
    <w:p w14:paraId="59C99682" w14:textId="7A09766E" w:rsidR="007F4FEC" w:rsidRPr="00D773F7" w:rsidRDefault="007F4FEC" w:rsidP="00CF73B7">
      <w:pPr>
        <w:spacing w:after="240" w:line="240" w:lineRule="auto"/>
        <w:ind w:left="2268" w:right="1134"/>
        <w:jc w:val="both"/>
        <w:rPr>
          <w:rFonts w:asciiTheme="majorBidi" w:hAnsiTheme="majorBidi" w:cstheme="majorBidi"/>
        </w:rPr>
      </w:pPr>
      <w:r w:rsidRPr="00D773F7">
        <w:rPr>
          <w:rFonts w:asciiTheme="majorBidi" w:hAnsiTheme="majorBidi" w:cstheme="majorBidi"/>
          <w:sz w:val="18"/>
          <w:szCs w:val="18"/>
        </w:rPr>
        <w:t>“</w:t>
      </w:r>
      <w:r w:rsidRPr="00D773F7">
        <w:rPr>
          <w:rFonts w:asciiTheme="majorBidi" w:hAnsiTheme="majorBidi" w:cstheme="majorBidi"/>
          <w:sz w:val="18"/>
          <w:szCs w:val="18"/>
          <w:vertAlign w:val="superscript"/>
        </w:rPr>
        <w:t>4</w:t>
      </w:r>
      <w:r w:rsidRPr="00D773F7">
        <w:rPr>
          <w:rFonts w:asciiTheme="majorBidi" w:hAnsiTheme="majorBidi" w:cstheme="majorBidi"/>
          <w:sz w:val="18"/>
          <w:szCs w:val="18"/>
        </w:rPr>
        <w:t xml:space="preserve"> </w:t>
      </w:r>
      <w:r w:rsidRPr="00D773F7">
        <w:rPr>
          <w:rFonts w:asciiTheme="majorBidi" w:hAnsiTheme="majorBidi" w:cstheme="majorBidi"/>
          <w:i/>
          <w:iCs/>
        </w:rPr>
        <w:t xml:space="preserve">Additional in </w:t>
      </w:r>
      <w:proofErr w:type="spellStart"/>
      <w:r w:rsidRPr="00D773F7">
        <w:rPr>
          <w:rFonts w:asciiTheme="majorBidi" w:hAnsiTheme="majorBidi" w:cstheme="majorBidi"/>
          <w:i/>
          <w:iCs/>
        </w:rPr>
        <w:t>chemico</w:t>
      </w:r>
      <w:proofErr w:type="spellEnd"/>
      <w:r w:rsidRPr="00D773F7">
        <w:rPr>
          <w:rFonts w:asciiTheme="majorBidi" w:hAnsiTheme="majorBidi" w:cstheme="majorBidi"/>
          <w:i/>
          <w:iCs/>
        </w:rPr>
        <w:t>/in vitro methods have been proposed for skin sensitization (see 3.4.5.3.6.</w:t>
      </w:r>
      <w:r w:rsidR="00CB50CB" w:rsidRPr="00D773F7">
        <w:rPr>
          <w:rFonts w:asciiTheme="majorBidi" w:hAnsiTheme="majorBidi" w:cstheme="majorBidi"/>
          <w:i/>
          <w:iCs/>
        </w:rPr>
        <w:t>2</w:t>
      </w:r>
      <w:r w:rsidRPr="00D773F7">
        <w:rPr>
          <w:rFonts w:asciiTheme="majorBidi" w:hAnsiTheme="majorBidi" w:cstheme="majorBidi"/>
          <w:i/>
          <w:iCs/>
        </w:rPr>
        <w:t>) but no classification criteria have yet been agreed internationally.</w:t>
      </w:r>
      <w:r w:rsidRPr="00D773F7">
        <w:rPr>
          <w:rFonts w:asciiTheme="majorBidi" w:hAnsiTheme="majorBidi" w:cstheme="majorBidi"/>
        </w:rPr>
        <w:t>”</w:t>
      </w:r>
    </w:p>
    <w:p w14:paraId="47DB621E" w14:textId="77777777" w:rsidR="00AE4FBF" w:rsidRDefault="00AE4FBF">
      <w:pPr>
        <w:rPr>
          <w:rFonts w:asciiTheme="majorBidi" w:hAnsiTheme="majorBidi" w:cstheme="majorBidi"/>
        </w:rPr>
      </w:pPr>
      <w:r>
        <w:rPr>
          <w:rFonts w:asciiTheme="majorBidi" w:hAnsiTheme="majorBidi" w:cstheme="majorBidi"/>
        </w:rPr>
        <w:br w:type="page"/>
      </w:r>
    </w:p>
    <w:p w14:paraId="259FE5BA" w14:textId="4E37A5AB" w:rsidR="007F4FEC" w:rsidRPr="00D773F7" w:rsidRDefault="007F4FEC" w:rsidP="00AE4FBF">
      <w:pPr>
        <w:keepNext/>
        <w:keepLines/>
        <w:spacing w:after="240" w:line="240" w:lineRule="auto"/>
        <w:ind w:left="1134" w:right="1134"/>
        <w:rPr>
          <w:rFonts w:asciiTheme="majorBidi" w:eastAsia="Times New Roman" w:hAnsiTheme="majorBidi" w:cstheme="majorBidi"/>
          <w:iCs/>
        </w:rPr>
      </w:pPr>
      <w:r w:rsidRPr="00D773F7">
        <w:rPr>
          <w:rFonts w:asciiTheme="majorBidi" w:hAnsiTheme="majorBidi" w:cstheme="majorBidi"/>
        </w:rPr>
        <w:lastRenderedPageBreak/>
        <w:t>Figure 3.4.1</w:t>
      </w:r>
      <w:r w:rsidRPr="00D773F7">
        <w:rPr>
          <w:rFonts w:asciiTheme="majorBidi" w:hAnsiTheme="majorBidi" w:cstheme="majorBidi"/>
        </w:rPr>
        <w:tab/>
      </w:r>
      <w:r w:rsidRPr="00D773F7">
        <w:rPr>
          <w:rFonts w:asciiTheme="majorBidi" w:eastAsia="Times New Roman" w:hAnsiTheme="majorBidi" w:cstheme="majorBidi"/>
          <w:iCs/>
        </w:rPr>
        <w:t xml:space="preserve">Insert </w:t>
      </w:r>
      <w:r w:rsidR="0060711B" w:rsidRPr="00D773F7">
        <w:rPr>
          <w:rFonts w:asciiTheme="majorBidi" w:eastAsia="Times New Roman" w:hAnsiTheme="majorBidi" w:cstheme="majorBidi"/>
          <w:iCs/>
        </w:rPr>
        <w:t xml:space="preserve">the following </w:t>
      </w:r>
      <w:r w:rsidRPr="00D773F7">
        <w:rPr>
          <w:rFonts w:asciiTheme="majorBidi" w:eastAsia="Times New Roman" w:hAnsiTheme="majorBidi" w:cstheme="majorBidi"/>
          <w:iCs/>
        </w:rPr>
        <w:t xml:space="preserve">new </w:t>
      </w:r>
      <w:r w:rsidR="00C1403F" w:rsidRPr="00D773F7">
        <w:rPr>
          <w:rFonts w:asciiTheme="majorBidi" w:eastAsia="Times New Roman" w:hAnsiTheme="majorBidi" w:cstheme="majorBidi"/>
          <w:iCs/>
        </w:rPr>
        <w:t>f</w:t>
      </w:r>
      <w:r w:rsidRPr="00D773F7">
        <w:rPr>
          <w:rFonts w:asciiTheme="majorBidi" w:eastAsia="Times New Roman" w:hAnsiTheme="majorBidi" w:cstheme="majorBidi"/>
          <w:iCs/>
        </w:rPr>
        <w:t xml:space="preserve">igure 3.4.1 </w:t>
      </w:r>
      <w:r w:rsidR="00E52D8A" w:rsidRPr="00D773F7">
        <w:rPr>
          <w:rFonts w:asciiTheme="majorBidi" w:eastAsia="Times New Roman" w:hAnsiTheme="majorBidi" w:cstheme="majorBidi"/>
          <w:iCs/>
        </w:rPr>
        <w:t xml:space="preserve">and related notes </w:t>
      </w:r>
      <w:r w:rsidRPr="00D773F7">
        <w:rPr>
          <w:rFonts w:asciiTheme="majorBidi" w:eastAsia="Times New Roman" w:hAnsiTheme="majorBidi" w:cstheme="majorBidi"/>
          <w:iCs/>
        </w:rPr>
        <w:t xml:space="preserve">after </w:t>
      </w:r>
      <w:r w:rsidR="007F43EC" w:rsidRPr="00D773F7">
        <w:rPr>
          <w:rFonts w:asciiTheme="majorBidi" w:eastAsia="Times New Roman" w:hAnsiTheme="majorBidi" w:cstheme="majorBidi"/>
          <w:iCs/>
        </w:rPr>
        <w:t>section</w:t>
      </w:r>
      <w:r w:rsidRPr="00D773F7">
        <w:rPr>
          <w:rFonts w:asciiTheme="majorBidi" w:eastAsia="Times New Roman" w:hAnsiTheme="majorBidi" w:cstheme="majorBidi"/>
          <w:iCs/>
        </w:rPr>
        <w:t xml:space="preserve"> 3.4.2.2.8 (former 3.4.2.2.4.4): </w:t>
      </w:r>
    </w:p>
    <w:p w14:paraId="7050D0FE" w14:textId="77777777" w:rsidR="007F4FEC" w:rsidRPr="00D773F7" w:rsidRDefault="007F4FEC" w:rsidP="007F4FEC">
      <w:pPr>
        <w:spacing w:after="200" w:line="276" w:lineRule="auto"/>
        <w:jc w:val="center"/>
        <w:rPr>
          <w:rFonts w:asciiTheme="majorBidi" w:hAnsiTheme="majorBidi" w:cstheme="majorBidi"/>
          <w:b/>
          <w:bCs/>
        </w:rPr>
      </w:pPr>
      <w:r w:rsidRPr="00D773F7">
        <w:rPr>
          <w:rFonts w:asciiTheme="majorBidi" w:hAnsiTheme="majorBidi" w:cstheme="majorBidi"/>
          <w:b/>
          <w:bCs/>
        </w:rPr>
        <w:t xml:space="preserve">Figure 3.4.1: Application of the tiered approach for skin </w:t>
      </w:r>
      <w:proofErr w:type="spellStart"/>
      <w:r w:rsidRPr="00D773F7">
        <w:rPr>
          <w:rFonts w:asciiTheme="majorBidi" w:hAnsiTheme="majorBidi" w:cstheme="majorBidi"/>
          <w:b/>
          <w:bCs/>
        </w:rPr>
        <w:t>sensitization</w:t>
      </w:r>
      <w:r w:rsidRPr="00D773F7">
        <w:rPr>
          <w:rFonts w:asciiTheme="majorBidi" w:hAnsiTheme="majorBidi" w:cstheme="majorBidi"/>
          <w:b/>
          <w:bCs/>
          <w:vertAlign w:val="superscript"/>
        </w:rPr>
        <w:t>a</w:t>
      </w:r>
      <w:proofErr w:type="spellEnd"/>
    </w:p>
    <w:p w14:paraId="3569AE68" w14:textId="62B890EC" w:rsidR="00D23EB8" w:rsidRPr="00D773F7" w:rsidRDefault="007A3693" w:rsidP="00EE46EA">
      <w:pPr>
        <w:pStyle w:val="Bullet1G"/>
        <w:numPr>
          <w:ilvl w:val="0"/>
          <w:numId w:val="0"/>
        </w:numPr>
        <w:ind w:left="1134"/>
        <w:jc w:val="center"/>
        <w:rPr>
          <w:rFonts w:asciiTheme="majorBidi" w:hAnsiTheme="majorBidi" w:cstheme="majorBidi"/>
          <w:i/>
          <w:iCs/>
        </w:rPr>
      </w:pPr>
      <w:r w:rsidRPr="00D773F7">
        <w:rPr>
          <w:rFonts w:asciiTheme="majorBidi" w:hAnsiTheme="majorBidi" w:cstheme="majorBidi"/>
        </w:rPr>
        <w:object w:dxaOrig="8281" w:dyaOrig="7575" w14:anchorId="3C354583">
          <v:shape id="_x0000_i1033" type="#_x0000_t75" style="width:414.05pt;height:379.15pt" o:ole="">
            <v:imagedata r:id="rId41" o:title=""/>
          </v:shape>
          <o:OLEObject Type="Embed" ProgID="Visio.Drawing.15" ShapeID="_x0000_i1033" DrawAspect="Content" ObjectID="_1744797706" r:id="rId42"/>
        </w:object>
      </w:r>
    </w:p>
    <w:p w14:paraId="46CA63BE" w14:textId="77D4E5E1" w:rsidR="007F4FEC" w:rsidRPr="00D773F7" w:rsidRDefault="007F4FEC" w:rsidP="004A267F">
      <w:pPr>
        <w:spacing w:after="120" w:line="240" w:lineRule="auto"/>
        <w:ind w:left="1701" w:right="1134" w:hanging="283"/>
        <w:jc w:val="both"/>
        <w:rPr>
          <w:rFonts w:asciiTheme="majorBidi" w:hAnsiTheme="majorBidi" w:cstheme="majorBidi"/>
          <w:i/>
        </w:rPr>
      </w:pPr>
      <w:r w:rsidRPr="00D773F7">
        <w:rPr>
          <w:rFonts w:asciiTheme="majorBidi" w:hAnsiTheme="majorBidi" w:cstheme="majorBidi"/>
          <w:b/>
          <w:vertAlign w:val="superscript"/>
        </w:rPr>
        <w:t>a</w:t>
      </w:r>
      <w:r w:rsidRPr="00D773F7">
        <w:rPr>
          <w:rFonts w:asciiTheme="majorBidi" w:hAnsiTheme="majorBidi" w:cstheme="majorBidi"/>
        </w:rPr>
        <w:tab/>
      </w:r>
      <w:r w:rsidRPr="00D773F7">
        <w:rPr>
          <w:rFonts w:asciiTheme="majorBidi" w:hAnsiTheme="majorBidi" w:cstheme="majorBidi"/>
          <w:i/>
        </w:rPr>
        <w:t>Before applying the approach, the explanatory text in 3.4.2.2.7 as well as the guidance in 3.4.5.3 should be consulted. Only adequate and reliable data of sufficient quality should be included in applying the tiered approach.</w:t>
      </w:r>
    </w:p>
    <w:p w14:paraId="5D6157CC" w14:textId="77777777" w:rsidR="007F4FEC" w:rsidRPr="00D773F7" w:rsidRDefault="007F4FEC" w:rsidP="004A267F">
      <w:pPr>
        <w:spacing w:after="120" w:line="240" w:lineRule="auto"/>
        <w:ind w:left="1701" w:right="1134" w:hanging="283"/>
        <w:jc w:val="both"/>
        <w:rPr>
          <w:rFonts w:asciiTheme="majorBidi" w:hAnsiTheme="majorBidi" w:cstheme="majorBidi"/>
          <w:i/>
        </w:rPr>
      </w:pPr>
      <w:r w:rsidRPr="00D773F7">
        <w:rPr>
          <w:rFonts w:asciiTheme="majorBidi" w:hAnsiTheme="majorBidi" w:cstheme="majorBidi"/>
          <w:b/>
          <w:vertAlign w:val="superscript"/>
        </w:rPr>
        <w:t>b</w:t>
      </w:r>
      <w:r w:rsidRPr="00D773F7">
        <w:rPr>
          <w:rFonts w:asciiTheme="majorBidi" w:hAnsiTheme="majorBidi" w:cstheme="majorBidi"/>
        </w:rPr>
        <w:tab/>
      </w:r>
      <w:r w:rsidRPr="00D773F7">
        <w:rPr>
          <w:rFonts w:asciiTheme="majorBidi" w:hAnsiTheme="majorBidi" w:cstheme="majorBidi"/>
          <w:i/>
        </w:rPr>
        <w:t>Information may be inconclusive for various reasons, e.g.:</w:t>
      </w:r>
    </w:p>
    <w:p w14:paraId="7A721CE6" w14:textId="3F94C3A3" w:rsidR="007F4FEC" w:rsidRPr="00D773F7" w:rsidRDefault="00401BB8" w:rsidP="004A267F">
      <w:pPr>
        <w:spacing w:after="120" w:line="240" w:lineRule="auto"/>
        <w:ind w:left="1985" w:right="1134" w:hanging="284"/>
        <w:jc w:val="both"/>
        <w:rPr>
          <w:rFonts w:asciiTheme="majorBidi" w:hAnsiTheme="majorBidi" w:cstheme="majorBidi"/>
          <w:i/>
        </w:rPr>
      </w:pPr>
      <w:r>
        <w:rPr>
          <w:rFonts w:asciiTheme="majorBidi" w:hAnsiTheme="majorBidi" w:cstheme="majorBidi"/>
        </w:rPr>
        <w:t>-</w:t>
      </w:r>
      <w:r w:rsidR="007F4FEC" w:rsidRPr="00D773F7">
        <w:rPr>
          <w:rFonts w:asciiTheme="majorBidi" w:hAnsiTheme="majorBidi" w:cstheme="majorBidi"/>
        </w:rPr>
        <w:tab/>
      </w:r>
      <w:r w:rsidR="007F4FEC" w:rsidRPr="00D773F7">
        <w:rPr>
          <w:rFonts w:asciiTheme="majorBidi" w:hAnsiTheme="majorBidi" w:cstheme="majorBidi"/>
          <w:i/>
        </w:rPr>
        <w:t>The available data may be of insufficient quality, or otherwise insufficient/inadequate for the purpose of classification, e.g. due to quality issues related to experimental design and/or reporting;</w:t>
      </w:r>
    </w:p>
    <w:p w14:paraId="06CBA40F" w14:textId="49221ECE" w:rsidR="007F4FEC" w:rsidRPr="00D773F7" w:rsidRDefault="00401BB8" w:rsidP="004A267F">
      <w:pPr>
        <w:spacing w:after="240" w:line="240" w:lineRule="auto"/>
        <w:ind w:left="1985" w:right="1134" w:hanging="284"/>
        <w:jc w:val="both"/>
        <w:rPr>
          <w:rFonts w:asciiTheme="majorBidi" w:hAnsiTheme="majorBidi" w:cstheme="majorBidi"/>
          <w:i/>
        </w:rPr>
      </w:pPr>
      <w:r>
        <w:rPr>
          <w:rFonts w:asciiTheme="majorBidi" w:hAnsiTheme="majorBidi" w:cstheme="majorBidi"/>
        </w:rPr>
        <w:t>-</w:t>
      </w:r>
      <w:r w:rsidR="007F4FEC" w:rsidRPr="00D773F7">
        <w:rPr>
          <w:rFonts w:asciiTheme="majorBidi" w:hAnsiTheme="majorBidi" w:cstheme="majorBidi"/>
        </w:rPr>
        <w:tab/>
      </w:r>
      <w:r w:rsidR="007F4FEC" w:rsidRPr="00D773F7">
        <w:rPr>
          <w:rFonts w:asciiTheme="majorBidi" w:hAnsiTheme="majorBidi" w:cstheme="majorBidi"/>
          <w:i/>
        </w:rPr>
        <w:t>Where competent authorities make use of the skin sensitization sub-categories 1A and 1B, the available data may not be capable of distinguishing between sub-category 1A and sub-category 1B.”</w:t>
      </w:r>
    </w:p>
    <w:p w14:paraId="4BF8CCD8" w14:textId="37ADB4CF" w:rsidR="00980D4D" w:rsidRPr="00D773F7" w:rsidRDefault="001E257A" w:rsidP="00CF73B7">
      <w:pPr>
        <w:pStyle w:val="SingleTxtG"/>
        <w:tabs>
          <w:tab w:val="clear" w:pos="2268"/>
          <w:tab w:val="clear" w:pos="2835"/>
          <w:tab w:val="left" w:pos="3402"/>
        </w:tabs>
        <w:ind w:left="2268" w:hanging="1134"/>
        <w:rPr>
          <w:rFonts w:asciiTheme="majorBidi" w:hAnsiTheme="majorBidi" w:cstheme="majorBidi"/>
        </w:rPr>
      </w:pPr>
      <w:r w:rsidRPr="00D773F7">
        <w:rPr>
          <w:rFonts w:asciiTheme="majorBidi" w:hAnsiTheme="majorBidi" w:cstheme="majorBidi"/>
        </w:rPr>
        <w:t>3.4.3.1</w:t>
      </w:r>
      <w:r w:rsidRPr="00D773F7">
        <w:rPr>
          <w:rFonts w:asciiTheme="majorBidi" w:hAnsiTheme="majorBidi" w:cstheme="majorBidi"/>
        </w:rPr>
        <w:tab/>
      </w:r>
      <w:r w:rsidRPr="00D773F7">
        <w:rPr>
          <w:rFonts w:asciiTheme="majorBidi" w:hAnsiTheme="majorBidi" w:cstheme="majorBidi"/>
        </w:rPr>
        <w:tab/>
      </w:r>
      <w:r w:rsidR="00980D4D" w:rsidRPr="00D773F7">
        <w:rPr>
          <w:rFonts w:asciiTheme="majorBidi" w:hAnsiTheme="majorBidi" w:cstheme="majorBidi"/>
        </w:rPr>
        <w:t>In the first sentence r</w:t>
      </w:r>
      <w:r w:rsidRPr="00D773F7">
        <w:rPr>
          <w:rFonts w:asciiTheme="majorBidi" w:hAnsiTheme="majorBidi" w:cstheme="majorBidi"/>
        </w:rPr>
        <w:t>eplace “evaluation” with “assessment”</w:t>
      </w:r>
      <w:r w:rsidR="00056D9A" w:rsidRPr="00D773F7">
        <w:rPr>
          <w:rFonts w:asciiTheme="majorBidi" w:hAnsiTheme="majorBidi" w:cstheme="majorBidi"/>
        </w:rPr>
        <w:t>.</w:t>
      </w:r>
    </w:p>
    <w:p w14:paraId="680AEBD4" w14:textId="46C78389" w:rsidR="00B12214" w:rsidRPr="00D773F7" w:rsidRDefault="006A5F52" w:rsidP="00CF73B7">
      <w:pPr>
        <w:pStyle w:val="Bullet1G"/>
        <w:numPr>
          <w:ilvl w:val="0"/>
          <w:numId w:val="0"/>
        </w:numPr>
        <w:tabs>
          <w:tab w:val="left" w:pos="2552"/>
          <w:tab w:val="left" w:pos="3402"/>
        </w:tabs>
        <w:suppressAutoHyphens/>
        <w:kinsoku w:val="0"/>
        <w:overflowPunct w:val="0"/>
        <w:autoSpaceDE w:val="0"/>
        <w:autoSpaceDN w:val="0"/>
        <w:adjustRightInd w:val="0"/>
        <w:snapToGrid w:val="0"/>
        <w:ind w:left="2268" w:hanging="1134"/>
        <w:rPr>
          <w:rFonts w:asciiTheme="majorBidi" w:hAnsiTheme="majorBidi" w:cstheme="majorBidi"/>
        </w:rPr>
      </w:pPr>
      <w:r w:rsidRPr="00D773F7">
        <w:rPr>
          <w:rFonts w:asciiTheme="majorBidi" w:hAnsiTheme="majorBidi" w:cstheme="majorBidi"/>
        </w:rPr>
        <w:t>3.4.3.2.6</w:t>
      </w:r>
      <w:r w:rsidR="00B12214" w:rsidRPr="00D773F7">
        <w:rPr>
          <w:rFonts w:asciiTheme="majorBidi" w:hAnsiTheme="majorBidi" w:cstheme="majorBidi"/>
        </w:rPr>
        <w:t xml:space="preserve"> </w:t>
      </w:r>
      <w:r w:rsidR="004F2E15" w:rsidRPr="00D773F7">
        <w:rPr>
          <w:rFonts w:asciiTheme="majorBidi" w:hAnsiTheme="majorBidi" w:cstheme="majorBidi"/>
        </w:rPr>
        <w:tab/>
      </w:r>
      <w:r w:rsidR="00792F03" w:rsidRPr="00D773F7">
        <w:rPr>
          <w:rFonts w:asciiTheme="majorBidi" w:hAnsiTheme="majorBidi" w:cstheme="majorBidi"/>
        </w:rPr>
        <w:t>In the last sentence r</w:t>
      </w:r>
      <w:r w:rsidR="00B12214" w:rsidRPr="00D773F7">
        <w:rPr>
          <w:rFonts w:asciiTheme="majorBidi" w:hAnsiTheme="majorBidi" w:cstheme="majorBidi"/>
        </w:rPr>
        <w:t xml:space="preserve">eplace “by testing” with “based on test data” </w:t>
      </w:r>
      <w:r w:rsidR="004F2E15" w:rsidRPr="00D773F7">
        <w:rPr>
          <w:rFonts w:asciiTheme="majorBidi" w:hAnsiTheme="majorBidi" w:cstheme="majorBidi"/>
        </w:rPr>
        <w:t>and “assigned” with “classified in”</w:t>
      </w:r>
      <w:r w:rsidR="00B12214" w:rsidRPr="00D773F7">
        <w:rPr>
          <w:rFonts w:asciiTheme="majorBidi" w:hAnsiTheme="majorBidi" w:cstheme="majorBidi"/>
        </w:rPr>
        <w:t>.</w:t>
      </w:r>
    </w:p>
    <w:p w14:paraId="2BD692C9" w14:textId="520C3ED6" w:rsidR="00860FD0" w:rsidRPr="00D773F7" w:rsidRDefault="00860FD0" w:rsidP="00CF73B7">
      <w:pPr>
        <w:pStyle w:val="SingleTxtG"/>
        <w:tabs>
          <w:tab w:val="clear" w:pos="2268"/>
          <w:tab w:val="clear" w:pos="2835"/>
          <w:tab w:val="left" w:pos="3402"/>
        </w:tabs>
        <w:ind w:left="2268" w:hanging="1134"/>
        <w:rPr>
          <w:rFonts w:asciiTheme="majorBidi" w:hAnsiTheme="majorBidi" w:cstheme="majorBidi"/>
        </w:rPr>
      </w:pPr>
      <w:r w:rsidRPr="00D773F7">
        <w:rPr>
          <w:rFonts w:asciiTheme="majorBidi" w:hAnsiTheme="majorBidi" w:cstheme="majorBidi"/>
        </w:rPr>
        <w:t>3.4.3.2.7</w:t>
      </w:r>
      <w:r w:rsidRPr="00D773F7">
        <w:rPr>
          <w:rFonts w:asciiTheme="majorBidi" w:hAnsiTheme="majorBidi" w:cstheme="majorBidi"/>
        </w:rPr>
        <w:tab/>
      </w:r>
      <w:r w:rsidR="00F14AA0" w:rsidRPr="00D773F7">
        <w:rPr>
          <w:rFonts w:asciiTheme="majorBidi" w:hAnsiTheme="majorBidi" w:cstheme="majorBidi"/>
        </w:rPr>
        <w:t>At the beginning of the sentence r</w:t>
      </w:r>
      <w:r w:rsidRPr="00D773F7">
        <w:rPr>
          <w:rFonts w:asciiTheme="majorBidi" w:hAnsiTheme="majorBidi" w:cstheme="majorBidi"/>
        </w:rPr>
        <w:t>eplace “aerosol</w:t>
      </w:r>
      <w:r w:rsidR="00F14AA0" w:rsidRPr="00D773F7">
        <w:rPr>
          <w:rFonts w:asciiTheme="majorBidi" w:hAnsiTheme="majorBidi" w:cstheme="majorBidi"/>
        </w:rPr>
        <w:t xml:space="preserve"> form</w:t>
      </w:r>
      <w:r w:rsidRPr="00D773F7">
        <w:rPr>
          <w:rFonts w:asciiTheme="majorBidi" w:hAnsiTheme="majorBidi" w:cstheme="majorBidi"/>
        </w:rPr>
        <w:t>” with “aerosoli</w:t>
      </w:r>
      <w:r w:rsidR="008A3EF4" w:rsidRPr="00D773F7">
        <w:rPr>
          <w:rFonts w:asciiTheme="majorBidi" w:hAnsiTheme="majorBidi" w:cstheme="majorBidi"/>
        </w:rPr>
        <w:t>z</w:t>
      </w:r>
      <w:r w:rsidRPr="00D773F7">
        <w:rPr>
          <w:rFonts w:asciiTheme="majorBidi" w:hAnsiTheme="majorBidi" w:cstheme="majorBidi"/>
        </w:rPr>
        <w:t>ed</w:t>
      </w:r>
      <w:r w:rsidR="00F14AA0" w:rsidRPr="00D773F7">
        <w:rPr>
          <w:rFonts w:asciiTheme="majorBidi" w:hAnsiTheme="majorBidi" w:cstheme="majorBidi"/>
        </w:rPr>
        <w:t xml:space="preserve"> form</w:t>
      </w:r>
      <w:r w:rsidRPr="00D773F7">
        <w:rPr>
          <w:rFonts w:asciiTheme="majorBidi" w:hAnsiTheme="majorBidi" w:cstheme="majorBidi"/>
        </w:rPr>
        <w:t>”.</w:t>
      </w:r>
    </w:p>
    <w:p w14:paraId="31552705" w14:textId="733047F1" w:rsidR="005A7D96" w:rsidRPr="00D773F7" w:rsidRDefault="00382EC8" w:rsidP="00CF73B7">
      <w:pPr>
        <w:pStyle w:val="SingleTxtG"/>
        <w:tabs>
          <w:tab w:val="clear" w:pos="2268"/>
          <w:tab w:val="clear" w:pos="2835"/>
          <w:tab w:val="left" w:pos="3402"/>
        </w:tabs>
        <w:ind w:left="2268" w:hanging="1134"/>
        <w:rPr>
          <w:rFonts w:asciiTheme="majorBidi" w:hAnsiTheme="majorBidi" w:cstheme="majorBidi"/>
        </w:rPr>
      </w:pPr>
      <w:r w:rsidRPr="00D773F7">
        <w:rPr>
          <w:rFonts w:asciiTheme="majorBidi" w:hAnsiTheme="majorBidi" w:cstheme="majorBidi"/>
        </w:rPr>
        <w:t>3.4.4.1</w:t>
      </w:r>
      <w:r w:rsidRPr="00D773F7">
        <w:rPr>
          <w:rFonts w:asciiTheme="majorBidi" w:hAnsiTheme="majorBidi" w:cstheme="majorBidi"/>
        </w:rPr>
        <w:tab/>
      </w:r>
      <w:r w:rsidRPr="00D773F7">
        <w:rPr>
          <w:rFonts w:asciiTheme="majorBidi" w:hAnsiTheme="majorBidi" w:cstheme="majorBidi"/>
        </w:rPr>
        <w:tab/>
      </w:r>
      <w:r w:rsidR="00F1155F" w:rsidRPr="00D773F7">
        <w:rPr>
          <w:rFonts w:asciiTheme="majorBidi" w:hAnsiTheme="majorBidi" w:cstheme="majorBidi"/>
        </w:rPr>
        <w:t xml:space="preserve">Amend the last sentence of the paragraph to read as follows: </w:t>
      </w:r>
      <w:r w:rsidR="005A7D96" w:rsidRPr="00D773F7">
        <w:rPr>
          <w:rFonts w:asciiTheme="majorBidi" w:hAnsiTheme="majorBidi" w:cstheme="majorBidi"/>
        </w:rPr>
        <w:t xml:space="preserve"> “Table 3.4.6 presents specific label elements for substances and mixtures classified into this hazard class based on the criteria in this chapter.”</w:t>
      </w:r>
    </w:p>
    <w:p w14:paraId="6C3AEA99" w14:textId="4178A390" w:rsidR="007F4FEC" w:rsidRPr="00D773F7" w:rsidRDefault="007F4FEC" w:rsidP="00CF73B7">
      <w:pPr>
        <w:pStyle w:val="SingleTxtG"/>
        <w:tabs>
          <w:tab w:val="clear" w:pos="2268"/>
          <w:tab w:val="clear" w:pos="2835"/>
          <w:tab w:val="left" w:pos="3402"/>
        </w:tabs>
        <w:ind w:left="2268" w:hanging="1134"/>
        <w:rPr>
          <w:rFonts w:asciiTheme="majorBidi" w:hAnsiTheme="majorBidi" w:cstheme="majorBidi"/>
        </w:rPr>
      </w:pPr>
      <w:r w:rsidRPr="00D773F7">
        <w:rPr>
          <w:rFonts w:asciiTheme="majorBidi" w:hAnsiTheme="majorBidi" w:cstheme="majorBidi"/>
        </w:rPr>
        <w:lastRenderedPageBreak/>
        <w:t>3.4.5</w:t>
      </w:r>
      <w:r w:rsidRPr="00D773F7">
        <w:rPr>
          <w:rFonts w:asciiTheme="majorBidi" w:hAnsiTheme="majorBidi" w:cstheme="majorBidi"/>
        </w:rPr>
        <w:tab/>
      </w:r>
      <w:r w:rsidRPr="00D773F7">
        <w:rPr>
          <w:rFonts w:asciiTheme="majorBidi" w:hAnsiTheme="majorBidi" w:cstheme="majorBidi"/>
        </w:rPr>
        <w:tab/>
      </w:r>
      <w:r w:rsidR="00F1155F" w:rsidRPr="00D773F7">
        <w:rPr>
          <w:rFonts w:asciiTheme="majorBidi" w:hAnsiTheme="majorBidi" w:cstheme="majorBidi"/>
        </w:rPr>
        <w:t xml:space="preserve">Amend </w:t>
      </w:r>
      <w:r w:rsidRPr="00D773F7">
        <w:rPr>
          <w:rFonts w:asciiTheme="majorBidi" w:hAnsiTheme="majorBidi" w:cstheme="majorBidi"/>
        </w:rPr>
        <w:t xml:space="preserve">the heading </w:t>
      </w:r>
      <w:r w:rsidR="00F1155F" w:rsidRPr="00D773F7">
        <w:rPr>
          <w:rFonts w:asciiTheme="majorBidi" w:hAnsiTheme="majorBidi" w:cstheme="majorBidi"/>
        </w:rPr>
        <w:t>to read as follows</w:t>
      </w:r>
      <w:r w:rsidRPr="00D773F7">
        <w:rPr>
          <w:rFonts w:asciiTheme="majorBidi" w:hAnsiTheme="majorBidi" w:cstheme="majorBidi"/>
        </w:rPr>
        <w:t>: “</w:t>
      </w:r>
      <w:r w:rsidRPr="00D773F7">
        <w:rPr>
          <w:rFonts w:asciiTheme="majorBidi" w:hAnsiTheme="majorBidi" w:cstheme="majorBidi"/>
          <w:b/>
          <w:bCs/>
        </w:rPr>
        <w:t>Decision logic and guidance</w:t>
      </w:r>
      <w:r w:rsidRPr="00D773F7">
        <w:rPr>
          <w:rFonts w:asciiTheme="majorBidi" w:hAnsiTheme="majorBidi" w:cstheme="majorBidi"/>
        </w:rPr>
        <w:t>”</w:t>
      </w:r>
    </w:p>
    <w:p w14:paraId="2B46E9B7" w14:textId="07E74636" w:rsidR="007F4FEC" w:rsidRPr="00D773F7" w:rsidRDefault="007F4FEC" w:rsidP="00896440">
      <w:pPr>
        <w:tabs>
          <w:tab w:val="left" w:pos="3402"/>
        </w:tabs>
        <w:spacing w:after="200" w:line="276" w:lineRule="auto"/>
        <w:ind w:left="2268" w:hanging="1134"/>
        <w:rPr>
          <w:rFonts w:asciiTheme="majorBidi" w:hAnsiTheme="majorBidi" w:cstheme="majorBidi"/>
        </w:rPr>
      </w:pPr>
      <w:r w:rsidRPr="00D773F7">
        <w:rPr>
          <w:rFonts w:asciiTheme="majorBidi" w:hAnsiTheme="majorBidi" w:cstheme="majorBidi"/>
        </w:rPr>
        <w:t>3.4.5.1</w:t>
      </w:r>
      <w:r w:rsidRPr="00D773F7">
        <w:rPr>
          <w:rFonts w:asciiTheme="majorBidi" w:hAnsiTheme="majorBidi" w:cstheme="majorBidi"/>
        </w:rPr>
        <w:tab/>
      </w:r>
      <w:r w:rsidR="00896440" w:rsidRPr="00D773F7">
        <w:rPr>
          <w:rFonts w:asciiTheme="majorBidi" w:hAnsiTheme="majorBidi" w:cstheme="majorBidi"/>
        </w:rPr>
        <w:t xml:space="preserve">Amend </w:t>
      </w:r>
      <w:r w:rsidRPr="00D773F7">
        <w:rPr>
          <w:rFonts w:asciiTheme="majorBidi" w:hAnsiTheme="majorBidi" w:cstheme="majorBidi"/>
        </w:rPr>
        <w:t xml:space="preserve">decision logic 3.4.1 </w:t>
      </w:r>
      <w:r w:rsidR="00896440" w:rsidRPr="00D773F7">
        <w:rPr>
          <w:rFonts w:asciiTheme="majorBidi" w:hAnsiTheme="majorBidi" w:cstheme="majorBidi"/>
        </w:rPr>
        <w:t>as follows</w:t>
      </w:r>
      <w:r w:rsidRPr="00D773F7">
        <w:rPr>
          <w:rFonts w:asciiTheme="majorBidi" w:hAnsiTheme="majorBidi" w:cstheme="majorBidi"/>
        </w:rPr>
        <w:t>:</w:t>
      </w:r>
    </w:p>
    <w:p w14:paraId="5A80EE51" w14:textId="63E7752C" w:rsidR="007F4FEC" w:rsidRPr="00D773F7" w:rsidRDefault="007F4FEC" w:rsidP="0002228E">
      <w:pPr>
        <w:pStyle w:val="Bullet1G"/>
        <w:numPr>
          <w:ilvl w:val="0"/>
          <w:numId w:val="0"/>
        </w:numPr>
        <w:ind w:left="2268"/>
        <w:rPr>
          <w:rFonts w:asciiTheme="majorBidi" w:hAnsiTheme="majorBidi" w:cstheme="majorBidi"/>
        </w:rPr>
      </w:pPr>
      <w:r w:rsidRPr="00D773F7">
        <w:rPr>
          <w:rFonts w:asciiTheme="majorBidi" w:hAnsiTheme="majorBidi" w:cstheme="majorBidi"/>
        </w:rPr>
        <w:t>In the second right hand text box from the top, replace “Category 1</w:t>
      </w:r>
      <w:r w:rsidRPr="00D773F7">
        <w:rPr>
          <w:rFonts w:asciiTheme="majorBidi" w:hAnsiTheme="majorBidi" w:cstheme="majorBidi"/>
          <w:vertAlign w:val="superscript"/>
        </w:rPr>
        <w:t>5</w:t>
      </w:r>
      <w:r w:rsidRPr="00D773F7">
        <w:rPr>
          <w:rFonts w:asciiTheme="majorBidi" w:hAnsiTheme="majorBidi" w:cstheme="majorBidi"/>
        </w:rPr>
        <w:t>” with “Category 1</w:t>
      </w:r>
      <w:r w:rsidRPr="00D773F7">
        <w:rPr>
          <w:rFonts w:asciiTheme="majorBidi" w:hAnsiTheme="majorBidi" w:cstheme="majorBidi"/>
          <w:vertAlign w:val="superscript"/>
        </w:rPr>
        <w:t>7</w:t>
      </w:r>
      <w:r w:rsidRPr="00D773F7">
        <w:rPr>
          <w:rFonts w:asciiTheme="majorBidi" w:hAnsiTheme="majorBidi" w:cstheme="majorBidi"/>
        </w:rPr>
        <w:t>”.</w:t>
      </w:r>
    </w:p>
    <w:p w14:paraId="79F765E1" w14:textId="4186FF1D" w:rsidR="007F4FEC" w:rsidRPr="00D773F7" w:rsidRDefault="007F4FEC" w:rsidP="0002228E">
      <w:pPr>
        <w:pStyle w:val="Bullet1G"/>
        <w:numPr>
          <w:ilvl w:val="0"/>
          <w:numId w:val="0"/>
        </w:numPr>
        <w:ind w:left="2268"/>
        <w:rPr>
          <w:rFonts w:asciiTheme="majorBidi" w:hAnsiTheme="majorBidi" w:cstheme="majorBidi"/>
        </w:rPr>
      </w:pPr>
      <w:r w:rsidRPr="00D773F7">
        <w:rPr>
          <w:rFonts w:asciiTheme="majorBidi" w:hAnsiTheme="majorBidi" w:cstheme="majorBidi"/>
        </w:rPr>
        <w:t>In the bottom left hand text box starting with “Does the mixture contain…”</w:t>
      </w:r>
      <w:r w:rsidR="00D0752F" w:rsidRPr="00D773F7">
        <w:rPr>
          <w:rFonts w:asciiTheme="majorBidi" w:hAnsiTheme="majorBidi" w:cstheme="majorBidi"/>
        </w:rPr>
        <w:t>, a</w:t>
      </w:r>
      <w:r w:rsidRPr="00D773F7">
        <w:rPr>
          <w:rFonts w:asciiTheme="majorBidi" w:hAnsiTheme="majorBidi" w:cstheme="majorBidi"/>
        </w:rPr>
        <w:t xml:space="preserve">mend the footnote references </w:t>
      </w:r>
      <w:r w:rsidR="0002228E" w:rsidRPr="00D773F7">
        <w:rPr>
          <w:rFonts w:asciiTheme="majorBidi" w:hAnsiTheme="majorBidi" w:cstheme="majorBidi"/>
        </w:rPr>
        <w:t>“</w:t>
      </w:r>
      <w:r w:rsidRPr="00D773F7">
        <w:rPr>
          <w:rFonts w:asciiTheme="majorBidi" w:hAnsiTheme="majorBidi" w:cstheme="majorBidi"/>
        </w:rPr>
        <w:t>3, 4</w:t>
      </w:r>
      <w:r w:rsidR="0002228E" w:rsidRPr="00D773F7">
        <w:rPr>
          <w:rFonts w:asciiTheme="majorBidi" w:hAnsiTheme="majorBidi" w:cstheme="majorBidi"/>
        </w:rPr>
        <w:t>”</w:t>
      </w:r>
      <w:r w:rsidRPr="00D773F7">
        <w:rPr>
          <w:rFonts w:asciiTheme="majorBidi" w:hAnsiTheme="majorBidi" w:cstheme="majorBidi"/>
        </w:rPr>
        <w:t xml:space="preserve"> to read: “5, 6”.</w:t>
      </w:r>
    </w:p>
    <w:p w14:paraId="2EA41168" w14:textId="65A949D4" w:rsidR="007F4FEC" w:rsidRPr="00D773F7" w:rsidRDefault="00205755" w:rsidP="0002228E">
      <w:pPr>
        <w:pStyle w:val="Bullet1G"/>
        <w:numPr>
          <w:ilvl w:val="0"/>
          <w:numId w:val="0"/>
        </w:numPr>
        <w:ind w:left="2268"/>
        <w:rPr>
          <w:rFonts w:asciiTheme="majorBidi" w:hAnsiTheme="majorBidi" w:cstheme="majorBidi"/>
        </w:rPr>
      </w:pPr>
      <w:r w:rsidRPr="00D773F7">
        <w:rPr>
          <w:rFonts w:asciiTheme="majorBidi" w:hAnsiTheme="majorBidi" w:cstheme="majorBidi"/>
        </w:rPr>
        <w:t>C</w:t>
      </w:r>
      <w:r w:rsidR="007F4FEC" w:rsidRPr="00D773F7">
        <w:rPr>
          <w:rFonts w:asciiTheme="majorBidi" w:hAnsiTheme="majorBidi" w:cstheme="majorBidi"/>
        </w:rPr>
        <w:t xml:space="preserve">urrent footnotes </w:t>
      </w:r>
      <w:r w:rsidR="00023A8D" w:rsidRPr="00D773F7">
        <w:rPr>
          <w:rFonts w:asciiTheme="majorBidi" w:hAnsiTheme="majorBidi" w:cstheme="majorBidi"/>
        </w:rPr>
        <w:t>“3”</w:t>
      </w:r>
      <w:r w:rsidRPr="00D773F7">
        <w:rPr>
          <w:rFonts w:asciiTheme="majorBidi" w:hAnsiTheme="majorBidi" w:cstheme="majorBidi"/>
        </w:rPr>
        <w:t xml:space="preserve">, “4” and </w:t>
      </w:r>
      <w:r w:rsidR="00023A8D" w:rsidRPr="00D773F7">
        <w:rPr>
          <w:rFonts w:asciiTheme="majorBidi" w:hAnsiTheme="majorBidi" w:cstheme="majorBidi"/>
        </w:rPr>
        <w:t xml:space="preserve">“5” </w:t>
      </w:r>
      <w:r w:rsidRPr="00D773F7">
        <w:rPr>
          <w:rFonts w:asciiTheme="majorBidi" w:hAnsiTheme="majorBidi" w:cstheme="majorBidi"/>
        </w:rPr>
        <w:t>become “5”, “6” and “7” respectively.</w:t>
      </w:r>
    </w:p>
    <w:p w14:paraId="2BB1DAE9" w14:textId="54DD4F65" w:rsidR="007F4FEC" w:rsidRPr="00D773F7" w:rsidRDefault="007F4FEC" w:rsidP="007F4FEC">
      <w:pPr>
        <w:pStyle w:val="GHStext"/>
        <w:tabs>
          <w:tab w:val="left" w:pos="2268"/>
        </w:tabs>
        <w:ind w:left="1134" w:right="1134"/>
        <w:rPr>
          <w:rFonts w:asciiTheme="majorBidi" w:hAnsiTheme="majorBidi" w:cstheme="majorBidi"/>
          <w:color w:val="auto"/>
          <w:szCs w:val="20"/>
          <w:lang w:val="en-GB"/>
        </w:rPr>
      </w:pPr>
      <w:r w:rsidRPr="00D773F7">
        <w:rPr>
          <w:rFonts w:asciiTheme="majorBidi" w:hAnsiTheme="majorBidi" w:cstheme="majorBidi"/>
          <w:color w:val="auto"/>
          <w:szCs w:val="20"/>
          <w:lang w:val="en-GB"/>
        </w:rPr>
        <w:t>3.4.5.2</w:t>
      </w:r>
      <w:r w:rsidRPr="00D773F7">
        <w:rPr>
          <w:rFonts w:asciiTheme="majorBidi" w:hAnsiTheme="majorBidi" w:cstheme="majorBidi"/>
          <w:color w:val="auto"/>
          <w:szCs w:val="20"/>
          <w:lang w:val="en-GB"/>
        </w:rPr>
        <w:tab/>
      </w:r>
      <w:r w:rsidR="005B0201" w:rsidRPr="00D773F7">
        <w:rPr>
          <w:rFonts w:asciiTheme="majorBidi" w:hAnsiTheme="majorBidi" w:cstheme="majorBidi"/>
          <w:color w:val="auto"/>
          <w:lang w:val="en-GB"/>
        </w:rPr>
        <w:t>Amend decision logic</w:t>
      </w:r>
      <w:r w:rsidRPr="00D773F7">
        <w:rPr>
          <w:rFonts w:asciiTheme="majorBidi" w:hAnsiTheme="majorBidi" w:cstheme="majorBidi"/>
          <w:color w:val="auto"/>
          <w:lang w:val="en-GB"/>
        </w:rPr>
        <w:t xml:space="preserve"> 3.4.2 </w:t>
      </w:r>
      <w:r w:rsidR="005B0201" w:rsidRPr="00D773F7">
        <w:rPr>
          <w:rFonts w:asciiTheme="majorBidi" w:hAnsiTheme="majorBidi" w:cstheme="majorBidi"/>
          <w:color w:val="auto"/>
          <w:lang w:val="en-GB"/>
        </w:rPr>
        <w:t>as follows:</w:t>
      </w:r>
    </w:p>
    <w:p w14:paraId="4F2B1F7F" w14:textId="518388E1" w:rsidR="00AC122D" w:rsidRPr="00D773F7" w:rsidRDefault="00CB5EFE" w:rsidP="003C2D7E">
      <w:pPr>
        <w:pStyle w:val="SingleTxtG"/>
        <w:tabs>
          <w:tab w:val="clear" w:pos="2268"/>
        </w:tabs>
        <w:ind w:left="2268"/>
        <w:rPr>
          <w:rFonts w:asciiTheme="majorBidi" w:hAnsiTheme="majorBidi" w:cstheme="majorBidi"/>
        </w:rPr>
      </w:pPr>
      <w:r w:rsidRPr="00D773F7">
        <w:rPr>
          <w:rFonts w:asciiTheme="majorBidi" w:hAnsiTheme="majorBidi" w:cstheme="majorBidi"/>
        </w:rPr>
        <w:t>Replace</w:t>
      </w:r>
      <w:r w:rsidR="005B0201" w:rsidRPr="00D773F7">
        <w:rPr>
          <w:rFonts w:asciiTheme="majorBidi" w:hAnsiTheme="majorBidi" w:cstheme="majorBidi"/>
        </w:rPr>
        <w:t xml:space="preserve"> </w:t>
      </w:r>
      <w:r w:rsidRPr="00D773F7">
        <w:rPr>
          <w:rFonts w:asciiTheme="majorBidi" w:hAnsiTheme="majorBidi" w:cstheme="majorBidi"/>
        </w:rPr>
        <w:t xml:space="preserve">the text in the </w:t>
      </w:r>
      <w:r w:rsidR="007F4FEC" w:rsidRPr="00D773F7">
        <w:rPr>
          <w:rFonts w:asciiTheme="majorBidi" w:hAnsiTheme="majorBidi" w:cstheme="majorBidi"/>
        </w:rPr>
        <w:t xml:space="preserve">central box </w:t>
      </w:r>
      <w:r w:rsidRPr="00D773F7">
        <w:rPr>
          <w:rFonts w:asciiTheme="majorBidi" w:hAnsiTheme="majorBidi" w:cstheme="majorBidi"/>
        </w:rPr>
        <w:t xml:space="preserve">currently </w:t>
      </w:r>
      <w:r w:rsidR="007F4FEC" w:rsidRPr="00D773F7">
        <w:rPr>
          <w:rFonts w:asciiTheme="majorBidi" w:hAnsiTheme="majorBidi" w:cstheme="majorBidi"/>
        </w:rPr>
        <w:t>starting with “(a) Is there evidence…”</w:t>
      </w:r>
      <w:r w:rsidRPr="00D773F7">
        <w:rPr>
          <w:rFonts w:asciiTheme="majorBidi" w:hAnsiTheme="majorBidi" w:cstheme="majorBidi"/>
        </w:rPr>
        <w:t xml:space="preserve"> with the following</w:t>
      </w:r>
      <w:r w:rsidR="007F4FEC" w:rsidRPr="00D773F7">
        <w:rPr>
          <w:rFonts w:asciiTheme="majorBidi" w:hAnsiTheme="majorBidi" w:cstheme="majorBidi"/>
        </w:rPr>
        <w:t>:</w:t>
      </w:r>
      <w:r w:rsidR="005B0201" w:rsidRPr="00D773F7">
        <w:rPr>
          <w:rFonts w:asciiTheme="majorBidi" w:hAnsiTheme="majorBidi" w:cstheme="majorBidi"/>
        </w:rPr>
        <w:t xml:space="preserve"> </w:t>
      </w:r>
      <w:r w:rsidR="00AC122D" w:rsidRPr="00D773F7">
        <w:rPr>
          <w:rFonts w:asciiTheme="majorBidi" w:hAnsiTheme="majorBidi" w:cstheme="majorBidi"/>
        </w:rPr>
        <w:t>“Is there evidence that the substance/mixture fulfils the criteria as described in 3.4.2.2.2.2 to 3.4.2.2.2.8 for substances and in 3.4.3.1 for mixtures</w:t>
      </w:r>
      <w:r w:rsidR="00466181" w:rsidRPr="00D773F7">
        <w:rPr>
          <w:rFonts w:asciiTheme="majorBidi" w:hAnsiTheme="majorBidi" w:cstheme="majorBidi"/>
        </w:rPr>
        <w:t>?</w:t>
      </w:r>
      <w:r w:rsidR="00AC122D" w:rsidRPr="00D773F7">
        <w:rPr>
          <w:rFonts w:asciiTheme="majorBidi" w:hAnsiTheme="majorBidi" w:cstheme="majorBidi"/>
        </w:rPr>
        <w:t>”.</w:t>
      </w:r>
    </w:p>
    <w:p w14:paraId="573A9BBE" w14:textId="07ACB9B9" w:rsidR="007F4FEC" w:rsidRPr="00D773F7" w:rsidRDefault="007F4FEC" w:rsidP="0099017A">
      <w:pPr>
        <w:pStyle w:val="ListParagraph"/>
        <w:spacing w:after="120" w:line="240" w:lineRule="auto"/>
        <w:ind w:left="2268" w:right="1134"/>
        <w:jc w:val="both"/>
        <w:rPr>
          <w:rFonts w:asciiTheme="majorBidi" w:hAnsiTheme="majorBidi" w:cstheme="majorBidi"/>
        </w:rPr>
      </w:pPr>
      <w:r w:rsidRPr="00D773F7">
        <w:rPr>
          <w:rFonts w:asciiTheme="majorBidi" w:hAnsiTheme="majorBidi" w:cstheme="majorBidi"/>
        </w:rPr>
        <w:t>In the second right hand text box from the top, replace “Category 1</w:t>
      </w:r>
      <w:r w:rsidRPr="00D773F7">
        <w:rPr>
          <w:rFonts w:asciiTheme="majorBidi" w:hAnsiTheme="majorBidi" w:cstheme="majorBidi"/>
          <w:vertAlign w:val="superscript"/>
        </w:rPr>
        <w:t>6</w:t>
      </w:r>
      <w:r w:rsidRPr="00D773F7">
        <w:rPr>
          <w:rFonts w:asciiTheme="majorBidi" w:hAnsiTheme="majorBidi" w:cstheme="majorBidi"/>
        </w:rPr>
        <w:t>” with “Category 1</w:t>
      </w:r>
      <w:r w:rsidRPr="00D773F7">
        <w:rPr>
          <w:rFonts w:asciiTheme="majorBidi" w:hAnsiTheme="majorBidi" w:cstheme="majorBidi"/>
          <w:vertAlign w:val="superscript"/>
        </w:rPr>
        <w:t>8</w:t>
      </w:r>
      <w:r w:rsidRPr="00D773F7">
        <w:rPr>
          <w:rFonts w:asciiTheme="majorBidi" w:hAnsiTheme="majorBidi" w:cstheme="majorBidi"/>
        </w:rPr>
        <w:t>”</w:t>
      </w:r>
      <w:r w:rsidR="0099017A">
        <w:rPr>
          <w:rFonts w:asciiTheme="majorBidi" w:hAnsiTheme="majorBidi" w:cstheme="majorBidi"/>
        </w:rPr>
        <w:t>.</w:t>
      </w:r>
    </w:p>
    <w:p w14:paraId="06055C77" w14:textId="1A944928" w:rsidR="007F4FEC" w:rsidRPr="0099017A" w:rsidRDefault="007F4FEC" w:rsidP="0099017A">
      <w:pPr>
        <w:pStyle w:val="SingleTxtG"/>
        <w:ind w:left="2268"/>
      </w:pPr>
      <w:r w:rsidRPr="0099017A">
        <w:t>In the bottom left hand text box starting with “Does the mixture contain…”</w:t>
      </w:r>
      <w:r w:rsidR="009F501F" w:rsidRPr="0099017A">
        <w:t>, a</w:t>
      </w:r>
      <w:r w:rsidRPr="0099017A">
        <w:t xml:space="preserve">mend footnote references </w:t>
      </w:r>
      <w:r w:rsidR="00876BC5" w:rsidRPr="0099017A">
        <w:t>“</w:t>
      </w:r>
      <w:r w:rsidRPr="0099017A">
        <w:t>3, 4</w:t>
      </w:r>
      <w:r w:rsidR="00876BC5" w:rsidRPr="0099017A">
        <w:t>”</w:t>
      </w:r>
      <w:r w:rsidRPr="0099017A">
        <w:t xml:space="preserve"> to read: “5, 6”.</w:t>
      </w:r>
    </w:p>
    <w:p w14:paraId="1A583090" w14:textId="7867DE40" w:rsidR="00CB5EFE" w:rsidRPr="00D773F7" w:rsidRDefault="00CB5EFE" w:rsidP="000B3623">
      <w:pPr>
        <w:pStyle w:val="SingleTxtG"/>
        <w:ind w:left="2977" w:hanging="709"/>
        <w:rPr>
          <w:rFonts w:asciiTheme="majorBidi" w:hAnsiTheme="majorBidi" w:cstheme="majorBidi"/>
          <w:i/>
          <w:iCs/>
        </w:rPr>
      </w:pPr>
      <w:r w:rsidRPr="00D773F7">
        <w:rPr>
          <w:rFonts w:asciiTheme="majorBidi" w:hAnsiTheme="majorBidi" w:cstheme="majorBidi"/>
        </w:rPr>
        <w:t>C</w:t>
      </w:r>
      <w:r w:rsidR="007F4FEC" w:rsidRPr="00D773F7">
        <w:rPr>
          <w:rFonts w:asciiTheme="majorBidi" w:hAnsiTheme="majorBidi" w:cstheme="majorBidi"/>
        </w:rPr>
        <w:t xml:space="preserve">urrent footnotes </w:t>
      </w:r>
      <w:r w:rsidRPr="00D773F7">
        <w:rPr>
          <w:rFonts w:asciiTheme="majorBidi" w:hAnsiTheme="majorBidi" w:cstheme="majorBidi"/>
        </w:rPr>
        <w:t>“3”, “4” and “6” become “5”, “6” and “8”.</w:t>
      </w:r>
    </w:p>
    <w:p w14:paraId="1666389C" w14:textId="58E5A6E7" w:rsidR="007F4FEC" w:rsidRPr="00D773F7" w:rsidRDefault="007F4FEC" w:rsidP="00CF73B7">
      <w:pPr>
        <w:pStyle w:val="SingleTxtG"/>
        <w:tabs>
          <w:tab w:val="clear" w:pos="1701"/>
          <w:tab w:val="clear" w:pos="2835"/>
          <w:tab w:val="left" w:pos="5670"/>
        </w:tabs>
        <w:spacing w:after="240"/>
        <w:rPr>
          <w:rFonts w:asciiTheme="majorBidi" w:hAnsiTheme="majorBidi" w:cstheme="majorBidi"/>
        </w:rPr>
      </w:pPr>
      <w:r w:rsidRPr="00D773F7">
        <w:rPr>
          <w:rFonts w:asciiTheme="majorBidi" w:hAnsiTheme="majorBidi" w:cstheme="majorBidi"/>
        </w:rPr>
        <w:t>3.4.5.3</w:t>
      </w:r>
      <w:r w:rsidR="00B55E72" w:rsidRPr="00D773F7">
        <w:rPr>
          <w:rFonts w:asciiTheme="majorBidi" w:hAnsiTheme="majorBidi" w:cstheme="majorBidi"/>
        </w:rPr>
        <w:tab/>
      </w:r>
      <w:r w:rsidRPr="00D773F7">
        <w:rPr>
          <w:rFonts w:asciiTheme="majorBidi" w:hAnsiTheme="majorBidi" w:cstheme="majorBidi"/>
        </w:rPr>
        <w:t>Insert the following new text:</w:t>
      </w:r>
    </w:p>
    <w:p w14:paraId="6A9666C0" w14:textId="77777777" w:rsidR="007F4FEC" w:rsidRPr="00D773F7" w:rsidRDefault="007F4FEC" w:rsidP="002F742C">
      <w:pPr>
        <w:pStyle w:val="Heading2"/>
        <w:tabs>
          <w:tab w:val="left" w:pos="1418"/>
        </w:tabs>
        <w:spacing w:after="240"/>
        <w:ind w:left="2268" w:right="1134"/>
        <w:rPr>
          <w:rFonts w:asciiTheme="majorBidi" w:hAnsiTheme="majorBidi" w:cstheme="majorBidi"/>
          <w:b/>
          <w:bCs/>
          <w:i/>
          <w:iCs/>
        </w:rPr>
      </w:pPr>
      <w:bookmarkStart w:id="14" w:name="_Hlk124930316"/>
      <w:r w:rsidRPr="00D773F7">
        <w:rPr>
          <w:rFonts w:asciiTheme="majorBidi" w:hAnsiTheme="majorBidi" w:cstheme="majorBidi"/>
          <w:b/>
          <w:bCs/>
        </w:rPr>
        <w:t>“3.4.5.3</w:t>
      </w:r>
      <w:r w:rsidRPr="00D773F7">
        <w:rPr>
          <w:rFonts w:asciiTheme="majorBidi" w:hAnsiTheme="majorBidi" w:cstheme="majorBidi"/>
          <w:b/>
          <w:bCs/>
        </w:rPr>
        <w:tab/>
      </w:r>
      <w:r w:rsidRPr="00D773F7">
        <w:rPr>
          <w:rFonts w:asciiTheme="majorBidi" w:hAnsiTheme="majorBidi" w:cstheme="majorBidi"/>
          <w:b/>
          <w:bCs/>
          <w:i/>
          <w:iCs/>
        </w:rPr>
        <w:t>Background guidance</w:t>
      </w:r>
    </w:p>
    <w:p w14:paraId="26F0C8CA" w14:textId="77777777" w:rsidR="007F4FEC" w:rsidRPr="00D773F7" w:rsidRDefault="007F4FEC" w:rsidP="002F742C">
      <w:pPr>
        <w:pStyle w:val="SingleTxtG"/>
        <w:ind w:left="2268"/>
        <w:rPr>
          <w:rFonts w:asciiTheme="majorBidi" w:hAnsiTheme="majorBidi" w:cstheme="majorBidi"/>
          <w:i/>
          <w:iCs/>
        </w:rPr>
      </w:pPr>
      <w:r w:rsidRPr="00D773F7">
        <w:rPr>
          <w:rFonts w:asciiTheme="majorBidi" w:hAnsiTheme="majorBidi" w:cstheme="majorBidi"/>
        </w:rPr>
        <w:t xml:space="preserve">3.4.5.3.1 </w:t>
      </w:r>
      <w:r w:rsidRPr="00D773F7">
        <w:rPr>
          <w:rFonts w:asciiTheme="majorBidi" w:hAnsiTheme="majorBidi" w:cstheme="majorBidi"/>
        </w:rPr>
        <w:tab/>
      </w:r>
      <w:r w:rsidRPr="00D773F7">
        <w:rPr>
          <w:rFonts w:asciiTheme="majorBidi" w:hAnsiTheme="majorBidi" w:cstheme="majorBidi"/>
          <w:i/>
          <w:iCs/>
        </w:rPr>
        <w:t>Relevant guidance documents</w:t>
      </w:r>
    </w:p>
    <w:p w14:paraId="7E53BC94" w14:textId="6CDB0815" w:rsidR="007F4FEC" w:rsidRPr="00D773F7" w:rsidRDefault="007F4FEC" w:rsidP="002F742C">
      <w:pPr>
        <w:pStyle w:val="SingleTxtG"/>
        <w:ind w:left="2268" w:firstLine="1134"/>
        <w:rPr>
          <w:rFonts w:asciiTheme="majorBidi" w:hAnsiTheme="majorBidi" w:cstheme="majorBidi"/>
        </w:rPr>
      </w:pPr>
      <w:r w:rsidRPr="00D773F7">
        <w:rPr>
          <w:rFonts w:asciiTheme="majorBidi" w:hAnsiTheme="majorBidi" w:cstheme="majorBidi"/>
        </w:rPr>
        <w:t>Mechanistic information on the process of skin sensitization is available in the OECD document on the Adverse Outcome Pathway for skin sensitization (</w:t>
      </w:r>
      <w:r w:rsidR="0063766B" w:rsidRPr="00D773F7">
        <w:rPr>
          <w:rFonts w:asciiTheme="majorBidi" w:hAnsiTheme="majorBidi" w:cstheme="majorBidi"/>
        </w:rPr>
        <w:t xml:space="preserve">see </w:t>
      </w:r>
      <w:r w:rsidRPr="00D773F7">
        <w:rPr>
          <w:rFonts w:asciiTheme="majorBidi" w:hAnsiTheme="majorBidi" w:cstheme="majorBidi"/>
        </w:rPr>
        <w:t xml:space="preserve">OECD </w:t>
      </w:r>
      <w:r w:rsidR="0063766B" w:rsidRPr="00D773F7">
        <w:rPr>
          <w:rFonts w:asciiTheme="majorBidi" w:hAnsiTheme="majorBidi" w:cstheme="majorBidi"/>
        </w:rPr>
        <w:t>(</w:t>
      </w:r>
      <w:r w:rsidRPr="00D773F7">
        <w:rPr>
          <w:rFonts w:asciiTheme="majorBidi" w:hAnsiTheme="majorBidi" w:cstheme="majorBidi"/>
        </w:rPr>
        <w:t>2014</w:t>
      </w:r>
      <w:r w:rsidR="0063766B" w:rsidRPr="00D773F7">
        <w:rPr>
          <w:rFonts w:asciiTheme="majorBidi" w:hAnsiTheme="majorBidi" w:cstheme="majorBidi"/>
        </w:rPr>
        <w:t>)</w:t>
      </w:r>
      <w:r w:rsidRPr="00D773F7">
        <w:rPr>
          <w:rFonts w:asciiTheme="majorBidi" w:hAnsiTheme="majorBidi" w:cstheme="majorBidi"/>
        </w:rPr>
        <w:t xml:space="preserve">). This information can be helpful in understanding the value of the individual </w:t>
      </w:r>
      <w:r w:rsidRPr="00D773F7">
        <w:rPr>
          <w:rFonts w:asciiTheme="majorBidi" w:hAnsiTheme="majorBidi" w:cstheme="majorBidi"/>
          <w:i/>
          <w:iCs/>
        </w:rPr>
        <w:t xml:space="preserve">in </w:t>
      </w:r>
      <w:proofErr w:type="spellStart"/>
      <w:r w:rsidRPr="00D773F7">
        <w:rPr>
          <w:rFonts w:asciiTheme="majorBidi" w:hAnsiTheme="majorBidi" w:cstheme="majorBidi"/>
          <w:i/>
          <w:iCs/>
        </w:rPr>
        <w:t>chemico</w:t>
      </w:r>
      <w:proofErr w:type="spellEnd"/>
      <w:r w:rsidRPr="00D773F7">
        <w:rPr>
          <w:rFonts w:asciiTheme="majorBidi" w:hAnsiTheme="majorBidi" w:cstheme="majorBidi"/>
        </w:rPr>
        <w:t xml:space="preserve"> and in vitro methods compared to the in vivo methods.</w:t>
      </w:r>
    </w:p>
    <w:p w14:paraId="6D7679BE" w14:textId="77777777" w:rsidR="007F4FEC" w:rsidRPr="00D773F7" w:rsidRDefault="007F4FEC" w:rsidP="002F742C">
      <w:pPr>
        <w:pStyle w:val="SingleTxtG"/>
        <w:keepNext/>
        <w:keepLines/>
        <w:ind w:left="2268"/>
        <w:rPr>
          <w:rFonts w:asciiTheme="majorBidi" w:hAnsiTheme="majorBidi" w:cstheme="majorBidi"/>
        </w:rPr>
      </w:pPr>
      <w:r w:rsidRPr="00D773F7">
        <w:rPr>
          <w:rFonts w:asciiTheme="majorBidi" w:hAnsiTheme="majorBidi" w:cstheme="majorBidi"/>
        </w:rPr>
        <w:t>3.4.5.3.2</w:t>
      </w:r>
      <w:r w:rsidRPr="00D773F7">
        <w:rPr>
          <w:rFonts w:asciiTheme="majorBidi" w:hAnsiTheme="majorBidi" w:cstheme="majorBidi"/>
        </w:rPr>
        <w:tab/>
      </w:r>
      <w:r w:rsidRPr="00D773F7">
        <w:rPr>
          <w:rFonts w:asciiTheme="majorBidi" w:hAnsiTheme="majorBidi" w:cstheme="majorBidi"/>
          <w:i/>
          <w:iCs/>
        </w:rPr>
        <w:t>Guidance on the use of human data</w:t>
      </w:r>
    </w:p>
    <w:p w14:paraId="75295127" w14:textId="3DD1B585" w:rsidR="007F4FEC" w:rsidRPr="00D773F7" w:rsidRDefault="007F4FEC" w:rsidP="002F742C">
      <w:pPr>
        <w:pStyle w:val="SingleTxtG"/>
        <w:ind w:left="2268"/>
        <w:rPr>
          <w:rFonts w:asciiTheme="majorBidi" w:hAnsiTheme="majorBidi" w:cstheme="majorBidi"/>
        </w:rPr>
      </w:pPr>
      <w:r w:rsidRPr="00D773F7">
        <w:rPr>
          <w:rFonts w:asciiTheme="majorBidi" w:hAnsiTheme="majorBidi" w:cstheme="majorBidi"/>
        </w:rPr>
        <w:t>3.4.5.3.2.1</w:t>
      </w:r>
      <w:r w:rsidRPr="00D773F7">
        <w:rPr>
          <w:rFonts w:asciiTheme="majorBidi" w:hAnsiTheme="majorBidi" w:cstheme="majorBidi"/>
        </w:rPr>
        <w:tab/>
        <w:t xml:space="preserve">The classification of a substance can be based on human evidence generated from a variety of sources.  These sources include human predictive patch testing, epidemiological studies, case studies, case reports or histories, diagnostic patch testing and medical surveillance reports, and poison control centre information.  This data may have been generated for consumers, workers, or the general population.  When considering human evidence, consideration should be given to the size, exposure level, and exposure frequency of the exposed population. Guidance for evaluating human evidence and the criteria in 3.4.2.2.2 </w:t>
      </w:r>
      <w:r w:rsidR="00A62530" w:rsidRPr="00D773F7">
        <w:rPr>
          <w:rFonts w:asciiTheme="majorBidi" w:hAnsiTheme="majorBidi" w:cstheme="majorBidi"/>
        </w:rPr>
        <w:t xml:space="preserve">is </w:t>
      </w:r>
      <w:r w:rsidRPr="00D773F7">
        <w:rPr>
          <w:rFonts w:asciiTheme="majorBidi" w:hAnsiTheme="majorBidi" w:cstheme="majorBidi"/>
        </w:rPr>
        <w:t>provided by some competent authorities (e.g</w:t>
      </w:r>
      <w:r w:rsidR="002D4F32">
        <w:rPr>
          <w:rFonts w:asciiTheme="majorBidi" w:hAnsiTheme="majorBidi" w:cstheme="majorBidi"/>
        </w:rPr>
        <w:t>. </w:t>
      </w:r>
      <w:r w:rsidRPr="00D773F7">
        <w:rPr>
          <w:rFonts w:asciiTheme="majorBidi" w:hAnsiTheme="majorBidi" w:cstheme="majorBidi"/>
        </w:rPr>
        <w:t xml:space="preserve"> ECHA Guidance on the Application of the CLP Criteria, 2017).</w:t>
      </w:r>
    </w:p>
    <w:p w14:paraId="4D1B2AFF" w14:textId="7805612E" w:rsidR="007F4FEC" w:rsidRPr="00D773F7" w:rsidRDefault="007F4FEC" w:rsidP="002F742C">
      <w:pPr>
        <w:pStyle w:val="SingleTxtG"/>
        <w:ind w:left="2268"/>
        <w:rPr>
          <w:rFonts w:asciiTheme="majorBidi" w:hAnsiTheme="majorBidi" w:cstheme="majorBidi"/>
        </w:rPr>
      </w:pPr>
      <w:r w:rsidRPr="00D773F7">
        <w:rPr>
          <w:rFonts w:asciiTheme="majorBidi" w:hAnsiTheme="majorBidi" w:cstheme="majorBidi"/>
        </w:rPr>
        <w:t>3.4.5.3.2.2</w:t>
      </w:r>
      <w:r w:rsidRPr="00D773F7">
        <w:rPr>
          <w:rFonts w:asciiTheme="majorBidi" w:hAnsiTheme="majorBidi" w:cstheme="majorBidi"/>
        </w:rPr>
        <w:tab/>
        <w:t>Positive data from predictive patch testing (HRIPT or HMT) conducted through human experimental and clinical studies, showing allergic contact dermatitis caused by the test substance can be used to classify substances for skin sensitization</w:t>
      </w:r>
      <w:r w:rsidR="00CC2340" w:rsidRPr="00D773F7">
        <w:rPr>
          <w:rFonts w:asciiTheme="majorBidi" w:hAnsiTheme="majorBidi" w:cstheme="majorBidi"/>
        </w:rPr>
        <w:t>.</w:t>
      </w:r>
      <w:r w:rsidRPr="00D773F7">
        <w:rPr>
          <w:rFonts w:asciiTheme="majorBidi" w:hAnsiTheme="majorBidi" w:cstheme="majorBidi"/>
        </w:rPr>
        <w:t xml:space="preserve"> These studies are generally conducted in controlled clinical settings and </w:t>
      </w:r>
      <w:r w:rsidR="00984F47" w:rsidRPr="00D773F7">
        <w:rPr>
          <w:rFonts w:asciiTheme="majorBidi" w:hAnsiTheme="majorBidi" w:cstheme="majorBidi"/>
        </w:rPr>
        <w:t xml:space="preserve">in general </w:t>
      </w:r>
      <w:r w:rsidRPr="00D773F7">
        <w:rPr>
          <w:rFonts w:asciiTheme="majorBidi" w:hAnsiTheme="majorBidi" w:cstheme="majorBidi"/>
        </w:rPr>
        <w:t>the larger the population size, the more reliable the study outcome is. Criteria for evaluating this data are provided in 3.4.2.2.2.1 and 3.4.2.2.2.</w:t>
      </w:r>
    </w:p>
    <w:p w14:paraId="264D4CC8" w14:textId="6CEB920E" w:rsidR="007F4FEC" w:rsidRPr="00D773F7" w:rsidRDefault="007F4FEC" w:rsidP="002F742C">
      <w:pPr>
        <w:pStyle w:val="SingleTxtG"/>
        <w:ind w:left="2268"/>
        <w:rPr>
          <w:rFonts w:asciiTheme="majorBidi" w:hAnsiTheme="majorBidi" w:cstheme="majorBidi"/>
        </w:rPr>
      </w:pPr>
      <w:r w:rsidRPr="00D773F7">
        <w:rPr>
          <w:rFonts w:asciiTheme="majorBidi" w:hAnsiTheme="majorBidi" w:cstheme="majorBidi"/>
        </w:rPr>
        <w:t>3.4.5.3.2.3</w:t>
      </w:r>
      <w:r w:rsidRPr="00D773F7">
        <w:rPr>
          <w:rFonts w:asciiTheme="majorBidi" w:hAnsiTheme="majorBidi" w:cstheme="majorBidi"/>
        </w:rPr>
        <w:tab/>
        <w:t>Positive data from well-run epidemiological studies (in accordance with WHO CI</w:t>
      </w:r>
      <w:r w:rsidR="00DB6A2A" w:rsidRPr="00D773F7">
        <w:rPr>
          <w:rFonts w:asciiTheme="majorBidi" w:hAnsiTheme="majorBidi" w:cstheme="majorBidi"/>
        </w:rPr>
        <w:t>O</w:t>
      </w:r>
      <w:r w:rsidRPr="00D773F7">
        <w:rPr>
          <w:rFonts w:asciiTheme="majorBidi" w:hAnsiTheme="majorBidi" w:cstheme="majorBidi"/>
        </w:rPr>
        <w:t>MS guidelines, 2009) can be used for classifying substances for skin sensitization.  Some examples of epidemiological studies may include case control studies, cohort studies, cross-sectional studies, or longitudinal studies. These studies should have large sample sizes with well-documented exposures to a substance.</w:t>
      </w:r>
    </w:p>
    <w:p w14:paraId="7E876DD1" w14:textId="061038DA" w:rsidR="007F4FEC" w:rsidRPr="00D773F7" w:rsidRDefault="007F4FEC" w:rsidP="002F742C">
      <w:pPr>
        <w:pStyle w:val="SingleTxtG"/>
        <w:ind w:left="2268"/>
        <w:rPr>
          <w:rFonts w:asciiTheme="majorBidi" w:hAnsiTheme="majorBidi" w:cstheme="majorBidi"/>
        </w:rPr>
      </w:pPr>
      <w:r w:rsidRPr="00D773F7">
        <w:rPr>
          <w:rFonts w:asciiTheme="majorBidi" w:hAnsiTheme="majorBidi" w:cstheme="majorBidi"/>
        </w:rPr>
        <w:lastRenderedPageBreak/>
        <w:t>3.4.5.3.2.4</w:t>
      </w:r>
      <w:r w:rsidRPr="00D773F7">
        <w:rPr>
          <w:rFonts w:asciiTheme="majorBidi" w:hAnsiTheme="majorBidi" w:cstheme="majorBidi"/>
        </w:rPr>
        <w:tab/>
        <w:t xml:space="preserve">A specific type of epidemiological study (such as randomized control studies or trials) may include information from diagnostic patch testing.  Diagnostic patch testing is considered by some competent authorities to be the gold standard in diagnosing contact allergy in dermatitis patients (Johansen et al, 2015). Importantly, due consideration needs to be given to the appropriate selection of vehicle, substance and patch test concentrations for the purpose of not causing false negatives, false positives, irritant reactions or inducing contact allergy (skin sensitization). Positive data from experimental/clinical/diagnostic studies in </w:t>
      </w:r>
      <w:r w:rsidR="0013578E" w:rsidRPr="00D773F7">
        <w:rPr>
          <w:rFonts w:asciiTheme="majorBidi" w:hAnsiTheme="majorBidi" w:cstheme="majorBidi"/>
        </w:rPr>
        <w:t>hu</w:t>
      </w:r>
      <w:r w:rsidRPr="00D773F7">
        <w:rPr>
          <w:rFonts w:asciiTheme="majorBidi" w:hAnsiTheme="majorBidi" w:cstheme="majorBidi"/>
        </w:rPr>
        <w:t>man</w:t>
      </w:r>
      <w:r w:rsidR="0004694D" w:rsidRPr="00D773F7">
        <w:rPr>
          <w:rFonts w:asciiTheme="majorBidi" w:hAnsiTheme="majorBidi" w:cstheme="majorBidi"/>
        </w:rPr>
        <w:t>s</w:t>
      </w:r>
      <w:r w:rsidRPr="00D773F7">
        <w:rPr>
          <w:rFonts w:asciiTheme="majorBidi" w:hAnsiTheme="majorBidi" w:cstheme="majorBidi"/>
        </w:rPr>
        <w:t xml:space="preserve"> and/or well-documented episodes of allergic contact dermatitis may be used to classify substances for skin sensitization, when it can be assumed with sufficient likelihood that the tested substance was indeed the most likely cause for induction of sensiti</w:t>
      </w:r>
      <w:r w:rsidR="00E53D39" w:rsidRPr="00D773F7">
        <w:rPr>
          <w:rFonts w:asciiTheme="majorBidi" w:hAnsiTheme="majorBidi" w:cstheme="majorBidi"/>
        </w:rPr>
        <w:t>z</w:t>
      </w:r>
      <w:r w:rsidRPr="00D773F7">
        <w:rPr>
          <w:rFonts w:asciiTheme="majorBidi" w:hAnsiTheme="majorBidi" w:cstheme="majorBidi"/>
        </w:rPr>
        <w:t>ation. Therefore, it should be established that there is at least a general likelihood that the respective patient(s) had been previously exposed to the substance. On the other hand, negative results from such tests are not sufficient to prove that the test substance should not be classified as a skin sensiti</w:t>
      </w:r>
      <w:r w:rsidR="00E358DB" w:rsidRPr="00D773F7">
        <w:rPr>
          <w:rFonts w:asciiTheme="majorBidi" w:hAnsiTheme="majorBidi" w:cstheme="majorBidi"/>
        </w:rPr>
        <w:t>z</w:t>
      </w:r>
      <w:r w:rsidRPr="00D773F7">
        <w:rPr>
          <w:rFonts w:asciiTheme="majorBidi" w:hAnsiTheme="majorBidi" w:cstheme="majorBidi"/>
        </w:rPr>
        <w:t xml:space="preserve">er. </w:t>
      </w:r>
    </w:p>
    <w:p w14:paraId="2C8CF0F9" w14:textId="77777777" w:rsidR="007F4FEC" w:rsidRPr="00D773F7" w:rsidRDefault="007F4FEC" w:rsidP="002F742C">
      <w:pPr>
        <w:pStyle w:val="SingleTxtG"/>
        <w:ind w:left="2268"/>
        <w:rPr>
          <w:rFonts w:asciiTheme="majorBidi" w:hAnsiTheme="majorBidi" w:cstheme="majorBidi"/>
        </w:rPr>
      </w:pPr>
      <w:r w:rsidRPr="00D773F7">
        <w:rPr>
          <w:rFonts w:asciiTheme="majorBidi" w:hAnsiTheme="majorBidi" w:cstheme="majorBidi"/>
        </w:rPr>
        <w:t>3.4.5.3.2.5</w:t>
      </w:r>
      <w:r w:rsidRPr="00D773F7">
        <w:rPr>
          <w:rFonts w:asciiTheme="majorBidi" w:hAnsiTheme="majorBidi" w:cstheme="majorBidi"/>
        </w:rPr>
        <w:tab/>
        <w:t xml:space="preserve">Human data not generated in controlled experiments with volunteers for the purpose of hazard classification (e.g. case studies, case reports and case histories, and poison control centre information) can be used with caution. Consideration should be given to the frequency of cases, the inherent properties of the substances, as well as factors such as the exposure situation, bioavailability, individual predisposition, cross-reactivity and preventive measures taken. </w:t>
      </w:r>
    </w:p>
    <w:p w14:paraId="360558A6" w14:textId="3761A66A" w:rsidR="007F4FEC" w:rsidRPr="00D773F7" w:rsidRDefault="007F4FEC" w:rsidP="002F742C">
      <w:pPr>
        <w:pStyle w:val="SingleTxtG"/>
        <w:ind w:left="2268"/>
        <w:rPr>
          <w:rFonts w:asciiTheme="majorBidi" w:hAnsiTheme="majorBidi" w:cstheme="majorBidi"/>
          <w:strike/>
        </w:rPr>
      </w:pPr>
      <w:r w:rsidRPr="00D773F7">
        <w:rPr>
          <w:rFonts w:asciiTheme="majorBidi" w:hAnsiTheme="majorBidi" w:cstheme="majorBidi"/>
        </w:rPr>
        <w:t>3.4.5.3.2.6</w:t>
      </w:r>
      <w:r w:rsidRPr="00D773F7">
        <w:rPr>
          <w:rFonts w:asciiTheme="majorBidi" w:hAnsiTheme="majorBidi" w:cstheme="majorBidi"/>
        </w:rPr>
        <w:tab/>
        <w:t xml:space="preserve">Special consideration should be given to negative human data as full dose-response information is generally not available.  For example, a negative result in an HRIPT or HMT at a low concentration may not allow for the conclusion that the substance does not have skin </w:t>
      </w:r>
      <w:r w:rsidR="00E358DB" w:rsidRPr="00D773F7">
        <w:rPr>
          <w:rFonts w:asciiTheme="majorBidi" w:hAnsiTheme="majorBidi" w:cstheme="majorBidi"/>
        </w:rPr>
        <w:t xml:space="preserve">sensitizing </w:t>
      </w:r>
      <w:r w:rsidRPr="00D773F7">
        <w:rPr>
          <w:rFonts w:asciiTheme="majorBidi" w:hAnsiTheme="majorBidi" w:cstheme="majorBidi"/>
        </w:rPr>
        <w:t>properties as such effect at a higher concentration may not be excluded.  In addition, negative human data should not necessarily be used to negate positive results from animal studies and/or defined approaches, but can be used as part of a weight of evidence</w:t>
      </w:r>
      <w:r w:rsidR="00C06098" w:rsidRPr="00D773F7">
        <w:rPr>
          <w:rFonts w:asciiTheme="majorBidi" w:hAnsiTheme="majorBidi" w:cstheme="majorBidi"/>
        </w:rPr>
        <w:t xml:space="preserve"> assessment</w:t>
      </w:r>
      <w:r w:rsidRPr="00D773F7">
        <w:rPr>
          <w:rFonts w:asciiTheme="majorBidi" w:hAnsiTheme="majorBidi" w:cstheme="majorBidi"/>
        </w:rPr>
        <w:t xml:space="preserve">. For both animal and human data, consideration should be given to the impact of the vehicle (e.g. Wright et al, 2001 and </w:t>
      </w:r>
      <w:proofErr w:type="spellStart"/>
      <w:r w:rsidRPr="00D773F7">
        <w:rPr>
          <w:rFonts w:asciiTheme="majorBidi" w:hAnsiTheme="majorBidi" w:cstheme="majorBidi"/>
        </w:rPr>
        <w:t>Kligman</w:t>
      </w:r>
      <w:proofErr w:type="spellEnd"/>
      <w:r w:rsidRPr="00D773F7">
        <w:rPr>
          <w:rFonts w:asciiTheme="majorBidi" w:hAnsiTheme="majorBidi" w:cstheme="majorBidi"/>
        </w:rPr>
        <w:t xml:space="preserve">, 1966). </w:t>
      </w:r>
    </w:p>
    <w:p w14:paraId="0626AA21" w14:textId="61FDAD89" w:rsidR="007F4FEC" w:rsidRPr="00D773F7" w:rsidRDefault="007F4FEC" w:rsidP="002F742C">
      <w:pPr>
        <w:pStyle w:val="SingleTxtG"/>
        <w:ind w:left="2268"/>
        <w:rPr>
          <w:rFonts w:asciiTheme="majorBidi" w:hAnsiTheme="majorBidi" w:cstheme="majorBidi"/>
        </w:rPr>
      </w:pPr>
      <w:r w:rsidRPr="00D773F7">
        <w:rPr>
          <w:rFonts w:asciiTheme="majorBidi" w:hAnsiTheme="majorBidi" w:cstheme="majorBidi"/>
        </w:rPr>
        <w:t>3.4.5.3.2.7</w:t>
      </w:r>
      <w:r w:rsidRPr="00D773F7">
        <w:rPr>
          <w:rFonts w:asciiTheme="majorBidi" w:hAnsiTheme="majorBidi" w:cstheme="majorBidi"/>
        </w:rPr>
        <w:tab/>
        <w:t xml:space="preserve">For example, negative results from substances tested in a predictive patch test at </w:t>
      </w:r>
      <w:r w:rsidR="00B90633" w:rsidRPr="00D773F7">
        <w:rPr>
          <w:rFonts w:asciiTheme="majorBidi" w:hAnsiTheme="majorBidi" w:cstheme="majorBidi"/>
        </w:rPr>
        <w:t xml:space="preserve">a </w:t>
      </w:r>
      <w:r w:rsidRPr="00D773F7">
        <w:rPr>
          <w:rFonts w:asciiTheme="majorBidi" w:hAnsiTheme="majorBidi" w:cstheme="majorBidi"/>
        </w:rPr>
        <w:t>DSA (dose per skin area) &lt; 500</w:t>
      </w:r>
      <w:r w:rsidR="00FC2AF3">
        <w:rPr>
          <w:rFonts w:asciiTheme="majorBidi" w:hAnsiTheme="majorBidi" w:cstheme="majorBidi"/>
        </w:rPr>
        <w:t> </w:t>
      </w:r>
      <w:proofErr w:type="spellStart"/>
      <w:r w:rsidRPr="00D773F7">
        <w:rPr>
          <w:rFonts w:asciiTheme="majorBidi" w:hAnsiTheme="majorBidi" w:cstheme="majorBidi"/>
        </w:rPr>
        <w:t>μg</w:t>
      </w:r>
      <w:proofErr w:type="spellEnd"/>
      <w:r w:rsidRPr="00D773F7">
        <w:rPr>
          <w:rFonts w:asciiTheme="majorBidi" w:hAnsiTheme="majorBidi" w:cstheme="majorBidi"/>
        </w:rPr>
        <w:t>/cm</w:t>
      </w:r>
      <w:r w:rsidRPr="00D773F7">
        <w:rPr>
          <w:rFonts w:asciiTheme="majorBidi" w:hAnsiTheme="majorBidi" w:cstheme="majorBidi"/>
          <w:vertAlign w:val="superscript"/>
        </w:rPr>
        <w:t>2</w:t>
      </w:r>
      <w:r w:rsidRPr="00D773F7">
        <w:rPr>
          <w:rFonts w:asciiTheme="majorBidi" w:hAnsiTheme="majorBidi" w:cstheme="majorBidi"/>
        </w:rPr>
        <w:t xml:space="preserve"> imply that a classification for skin sensitization might not be needed at all, however, classification as </w:t>
      </w:r>
      <w:r w:rsidR="0008537C" w:rsidRPr="00D773F7">
        <w:rPr>
          <w:rFonts w:asciiTheme="majorBidi" w:hAnsiTheme="majorBidi" w:cstheme="majorBidi"/>
        </w:rPr>
        <w:t>sub-</w:t>
      </w:r>
      <w:r w:rsidRPr="00D773F7">
        <w:rPr>
          <w:rFonts w:asciiTheme="majorBidi" w:hAnsiTheme="majorBidi" w:cstheme="majorBidi"/>
        </w:rPr>
        <w:t>category 1A or 1B cannot be ruled</w:t>
      </w:r>
      <w:r w:rsidR="002059A7" w:rsidRPr="00D773F7">
        <w:rPr>
          <w:rFonts w:asciiTheme="majorBidi" w:hAnsiTheme="majorBidi" w:cstheme="majorBidi"/>
        </w:rPr>
        <w:t xml:space="preserve"> out</w:t>
      </w:r>
      <w:r w:rsidRPr="00D773F7">
        <w:rPr>
          <w:rFonts w:asciiTheme="majorBidi" w:hAnsiTheme="majorBidi" w:cstheme="majorBidi"/>
        </w:rPr>
        <w:t>, because the concentration tested was not high enough to exclude these possibilities. The same holds for test results for which it is unknown whether the test concentration corresponded to a DSA &lt;</w:t>
      </w:r>
      <w:r w:rsidR="00FC2AF3">
        <w:rPr>
          <w:rFonts w:asciiTheme="majorBidi" w:hAnsiTheme="majorBidi" w:cstheme="majorBidi"/>
        </w:rPr>
        <w:t> </w:t>
      </w:r>
      <w:r w:rsidRPr="00D773F7">
        <w:rPr>
          <w:rFonts w:asciiTheme="majorBidi" w:hAnsiTheme="majorBidi" w:cstheme="majorBidi"/>
        </w:rPr>
        <w:t>500</w:t>
      </w:r>
      <w:r w:rsidR="00FC2AF3">
        <w:rPr>
          <w:rFonts w:asciiTheme="majorBidi" w:hAnsiTheme="majorBidi" w:cstheme="majorBidi"/>
        </w:rPr>
        <w:t> </w:t>
      </w:r>
      <w:proofErr w:type="spellStart"/>
      <w:r w:rsidRPr="00D773F7">
        <w:rPr>
          <w:rFonts w:asciiTheme="majorBidi" w:hAnsiTheme="majorBidi" w:cstheme="majorBidi"/>
        </w:rPr>
        <w:t>μg</w:t>
      </w:r>
      <w:proofErr w:type="spellEnd"/>
      <w:r w:rsidRPr="00D773F7">
        <w:rPr>
          <w:rFonts w:asciiTheme="majorBidi" w:hAnsiTheme="majorBidi" w:cstheme="majorBidi"/>
        </w:rPr>
        <w:t>/cm</w:t>
      </w:r>
      <w:r w:rsidRPr="00D773F7">
        <w:rPr>
          <w:rFonts w:asciiTheme="majorBidi" w:hAnsiTheme="majorBidi" w:cstheme="majorBidi"/>
          <w:vertAlign w:val="superscript"/>
        </w:rPr>
        <w:t>2</w:t>
      </w:r>
      <w:r w:rsidRPr="00D773F7">
        <w:rPr>
          <w:rFonts w:asciiTheme="majorBidi" w:hAnsiTheme="majorBidi" w:cstheme="majorBidi"/>
        </w:rPr>
        <w:t xml:space="preserve">. Negative results from substances tested at </w:t>
      </w:r>
      <w:r w:rsidR="00556CE9" w:rsidRPr="00D773F7">
        <w:rPr>
          <w:rFonts w:asciiTheme="majorBidi" w:hAnsiTheme="majorBidi" w:cstheme="majorBidi"/>
        </w:rPr>
        <w:t xml:space="preserve">a </w:t>
      </w:r>
      <w:r w:rsidRPr="00D773F7">
        <w:rPr>
          <w:rFonts w:asciiTheme="majorBidi" w:hAnsiTheme="majorBidi" w:cstheme="majorBidi"/>
        </w:rPr>
        <w:t>DSA</w:t>
      </w:r>
      <w:r w:rsidR="00CE0013" w:rsidRPr="00D773F7">
        <w:rPr>
          <w:rFonts w:asciiTheme="majorBidi" w:hAnsiTheme="majorBidi" w:cstheme="majorBidi"/>
        </w:rPr>
        <w:t> </w:t>
      </w:r>
      <w:r w:rsidRPr="00D773F7">
        <w:rPr>
          <w:rFonts w:asciiTheme="majorBidi" w:hAnsiTheme="majorBidi" w:cstheme="majorBidi"/>
        </w:rPr>
        <w:t>≥</w:t>
      </w:r>
      <w:r w:rsidR="00CE0013" w:rsidRPr="00D773F7">
        <w:rPr>
          <w:rFonts w:asciiTheme="majorBidi" w:hAnsiTheme="majorBidi" w:cstheme="majorBidi"/>
        </w:rPr>
        <w:t> </w:t>
      </w:r>
      <w:r w:rsidRPr="00D773F7">
        <w:rPr>
          <w:rFonts w:asciiTheme="majorBidi" w:hAnsiTheme="majorBidi" w:cstheme="majorBidi"/>
        </w:rPr>
        <w:t>500</w:t>
      </w:r>
      <w:r w:rsidR="00CE0013" w:rsidRPr="00D773F7">
        <w:rPr>
          <w:rFonts w:asciiTheme="majorBidi" w:hAnsiTheme="majorBidi" w:cstheme="majorBidi"/>
        </w:rPr>
        <w:t> </w:t>
      </w:r>
      <w:proofErr w:type="spellStart"/>
      <w:r w:rsidRPr="00D773F7">
        <w:rPr>
          <w:rFonts w:asciiTheme="majorBidi" w:hAnsiTheme="majorBidi" w:cstheme="majorBidi"/>
        </w:rPr>
        <w:t>μg</w:t>
      </w:r>
      <w:proofErr w:type="spellEnd"/>
      <w:r w:rsidRPr="00D773F7">
        <w:rPr>
          <w:rFonts w:asciiTheme="majorBidi" w:hAnsiTheme="majorBidi" w:cstheme="majorBidi"/>
        </w:rPr>
        <w:t>/cm</w:t>
      </w:r>
      <w:r w:rsidRPr="00D773F7">
        <w:rPr>
          <w:rFonts w:asciiTheme="majorBidi" w:hAnsiTheme="majorBidi" w:cstheme="majorBidi"/>
          <w:vertAlign w:val="superscript"/>
        </w:rPr>
        <w:t>2</w:t>
      </w:r>
      <w:r w:rsidRPr="00D773F7">
        <w:rPr>
          <w:rFonts w:asciiTheme="majorBidi" w:hAnsiTheme="majorBidi" w:cstheme="majorBidi"/>
        </w:rPr>
        <w:t xml:space="preserve"> suggest that classification might not be needed. </w:t>
      </w:r>
      <w:r w:rsidR="00AE7730" w:rsidRPr="00D773F7">
        <w:rPr>
          <w:rFonts w:asciiTheme="majorBidi" w:hAnsiTheme="majorBidi" w:cstheme="majorBidi"/>
        </w:rPr>
        <w:t>However</w:t>
      </w:r>
      <w:r w:rsidRPr="00D773F7">
        <w:rPr>
          <w:rFonts w:asciiTheme="majorBidi" w:hAnsiTheme="majorBidi" w:cstheme="majorBidi"/>
        </w:rPr>
        <w:t xml:space="preserve">, while classification as </w:t>
      </w:r>
      <w:r w:rsidR="00FF29B6" w:rsidRPr="00D773F7">
        <w:rPr>
          <w:rFonts w:asciiTheme="majorBidi" w:hAnsiTheme="majorBidi" w:cstheme="majorBidi"/>
        </w:rPr>
        <w:t>sub-</w:t>
      </w:r>
      <w:r w:rsidRPr="00D773F7">
        <w:rPr>
          <w:rFonts w:asciiTheme="majorBidi" w:hAnsiTheme="majorBidi" w:cstheme="majorBidi"/>
        </w:rPr>
        <w:t xml:space="preserve">category 1A can be ruled out, classification as </w:t>
      </w:r>
      <w:r w:rsidR="00DC4D60" w:rsidRPr="00D773F7">
        <w:rPr>
          <w:rFonts w:asciiTheme="majorBidi" w:hAnsiTheme="majorBidi" w:cstheme="majorBidi"/>
        </w:rPr>
        <w:t>sub-</w:t>
      </w:r>
      <w:r w:rsidRPr="00D773F7">
        <w:rPr>
          <w:rFonts w:asciiTheme="majorBidi" w:hAnsiTheme="majorBidi" w:cstheme="majorBidi"/>
        </w:rPr>
        <w:t xml:space="preserve">category 1B cannot, because a higher test concentration might have resulted in a positive test result. However, a negative test result at a concentration of 100% </w:t>
      </w:r>
      <w:r w:rsidR="0065174E" w:rsidRPr="00D773F7">
        <w:rPr>
          <w:rFonts w:asciiTheme="majorBidi" w:hAnsiTheme="majorBidi" w:cstheme="majorBidi"/>
        </w:rPr>
        <w:t>can justify</w:t>
      </w:r>
      <w:r w:rsidRPr="00D773F7">
        <w:rPr>
          <w:rFonts w:asciiTheme="majorBidi" w:hAnsiTheme="majorBidi" w:cstheme="majorBidi"/>
        </w:rPr>
        <w:t xml:space="preserve"> no classification (based on this test). </w:t>
      </w:r>
      <w:r w:rsidR="00A7138F" w:rsidRPr="00D773F7">
        <w:rPr>
          <w:rFonts w:asciiTheme="majorBidi" w:hAnsiTheme="majorBidi" w:cstheme="majorBidi"/>
        </w:rPr>
        <w:t>Nevertheless</w:t>
      </w:r>
      <w:r w:rsidRPr="00D773F7">
        <w:rPr>
          <w:rFonts w:asciiTheme="majorBidi" w:hAnsiTheme="majorBidi" w:cstheme="majorBidi"/>
        </w:rPr>
        <w:t>, negative results at low concentrations may be informative for mixtures containing the substance</w:t>
      </w:r>
      <w:r w:rsidR="00A7138F" w:rsidRPr="00D773F7">
        <w:rPr>
          <w:rFonts w:asciiTheme="majorBidi" w:hAnsiTheme="majorBidi" w:cstheme="majorBidi"/>
        </w:rPr>
        <w:t xml:space="preserve"> at similar or lower concentrations</w:t>
      </w:r>
      <w:r w:rsidRPr="00D773F7">
        <w:rPr>
          <w:rFonts w:asciiTheme="majorBidi" w:hAnsiTheme="majorBidi" w:cstheme="majorBidi"/>
        </w:rPr>
        <w:t>.</w:t>
      </w:r>
    </w:p>
    <w:p w14:paraId="145974F4" w14:textId="77777777" w:rsidR="007F4FEC" w:rsidRPr="00D773F7" w:rsidRDefault="007F4FEC" w:rsidP="002F742C">
      <w:pPr>
        <w:pStyle w:val="SingleTxtG"/>
        <w:ind w:left="2268"/>
        <w:rPr>
          <w:rFonts w:asciiTheme="majorBidi" w:hAnsiTheme="majorBidi" w:cstheme="majorBidi"/>
          <w:i/>
        </w:rPr>
      </w:pPr>
      <w:r w:rsidRPr="00D773F7">
        <w:rPr>
          <w:rFonts w:asciiTheme="majorBidi" w:hAnsiTheme="majorBidi" w:cstheme="majorBidi"/>
          <w:bCs/>
          <w:iCs/>
        </w:rPr>
        <w:t>3.4.5.3.3</w:t>
      </w:r>
      <w:r w:rsidRPr="00D773F7">
        <w:rPr>
          <w:rFonts w:asciiTheme="majorBidi" w:hAnsiTheme="majorBidi" w:cstheme="majorBidi"/>
          <w:bCs/>
          <w:i/>
        </w:rPr>
        <w:t xml:space="preserve"> </w:t>
      </w:r>
      <w:r w:rsidRPr="00D773F7">
        <w:rPr>
          <w:rFonts w:asciiTheme="majorBidi" w:hAnsiTheme="majorBidi" w:cstheme="majorBidi"/>
          <w:bCs/>
          <w:i/>
        </w:rPr>
        <w:tab/>
      </w:r>
      <w:r w:rsidRPr="00D773F7">
        <w:rPr>
          <w:rFonts w:asciiTheme="majorBidi" w:hAnsiTheme="majorBidi" w:cstheme="majorBidi"/>
          <w:i/>
        </w:rPr>
        <w:t>Guidance on the use of standard animal data</w:t>
      </w:r>
    </w:p>
    <w:p w14:paraId="49C825D9" w14:textId="48681EE2" w:rsidR="002E4391" w:rsidRPr="00D773F7" w:rsidRDefault="002E4391" w:rsidP="002F742C">
      <w:pPr>
        <w:pStyle w:val="SingleTxtG"/>
        <w:ind w:left="2268"/>
        <w:rPr>
          <w:rStyle w:val="normaltextrun"/>
          <w:rFonts w:asciiTheme="majorBidi" w:hAnsiTheme="majorBidi" w:cstheme="majorBidi"/>
        </w:rPr>
      </w:pPr>
      <w:r w:rsidRPr="00D773F7">
        <w:rPr>
          <w:rStyle w:val="normaltextrun"/>
          <w:rFonts w:asciiTheme="majorBidi" w:hAnsiTheme="majorBidi" w:cstheme="majorBidi"/>
        </w:rPr>
        <w:t>3.4.5.3.3.1</w:t>
      </w:r>
      <w:r w:rsidRPr="00D773F7">
        <w:rPr>
          <w:rStyle w:val="normaltextrun"/>
          <w:rFonts w:asciiTheme="majorBidi" w:hAnsiTheme="majorBidi" w:cstheme="majorBidi"/>
        </w:rPr>
        <w:tab/>
        <w:t xml:space="preserve">The most common assays used for dermal sensitization testing in animals are the Local Lymph Node Assay (LLNA, OECD </w:t>
      </w:r>
      <w:r w:rsidR="001B3393" w:rsidRPr="00D773F7">
        <w:rPr>
          <w:rStyle w:val="normaltextrun"/>
          <w:rFonts w:asciiTheme="majorBidi" w:hAnsiTheme="majorBidi" w:cstheme="majorBidi"/>
        </w:rPr>
        <w:t>t</w:t>
      </w:r>
      <w:r w:rsidRPr="00D773F7">
        <w:rPr>
          <w:rStyle w:val="normaltextrun"/>
          <w:rFonts w:asciiTheme="majorBidi" w:hAnsiTheme="majorBidi" w:cstheme="majorBidi"/>
        </w:rPr>
        <w:t xml:space="preserve">est </w:t>
      </w:r>
      <w:r w:rsidR="001B3393" w:rsidRPr="00D773F7">
        <w:rPr>
          <w:rStyle w:val="normaltextrun"/>
          <w:rFonts w:asciiTheme="majorBidi" w:hAnsiTheme="majorBidi" w:cstheme="majorBidi"/>
        </w:rPr>
        <w:t>g</w:t>
      </w:r>
      <w:r w:rsidRPr="00D773F7">
        <w:rPr>
          <w:rStyle w:val="normaltextrun"/>
          <w:rFonts w:asciiTheme="majorBidi" w:hAnsiTheme="majorBidi" w:cstheme="majorBidi"/>
        </w:rPr>
        <w:t>uidelines 429 and 442A and 442B), the Guinea Pig Maximization Test (G</w:t>
      </w:r>
      <w:r w:rsidR="00646CE0" w:rsidRPr="00D773F7">
        <w:rPr>
          <w:rStyle w:val="normaltextrun"/>
          <w:rFonts w:asciiTheme="majorBidi" w:hAnsiTheme="majorBidi" w:cstheme="majorBidi"/>
        </w:rPr>
        <w:t>P</w:t>
      </w:r>
      <w:r w:rsidRPr="00D773F7">
        <w:rPr>
          <w:rStyle w:val="normaltextrun"/>
          <w:rFonts w:asciiTheme="majorBidi" w:hAnsiTheme="majorBidi" w:cstheme="majorBidi"/>
        </w:rPr>
        <w:t>MT, OECD Test Guideline 406) and the Buehler test (OECD Test Guideline 406).</w:t>
      </w:r>
      <w:r w:rsidRPr="00D773F7">
        <w:rPr>
          <w:rFonts w:asciiTheme="majorBidi" w:hAnsiTheme="majorBidi" w:cstheme="majorBidi"/>
        </w:rPr>
        <w:t xml:space="preserve"> When evaluating the quality of the study, consideration should be given, as relevant, to the strain of the mouse and guinea pig used, the number, age, and sex of the animals, and the test conditions used (e.g., preparation of patch test site, dose level selection, chemical preparation, positive and negative test controls).  </w:t>
      </w:r>
    </w:p>
    <w:p w14:paraId="1E60D30C" w14:textId="312D95E5" w:rsidR="002E4391" w:rsidRPr="00D773F7" w:rsidRDefault="002E4391" w:rsidP="002F742C">
      <w:pPr>
        <w:pStyle w:val="SingleTxtG"/>
        <w:ind w:left="2268"/>
        <w:rPr>
          <w:rFonts w:asciiTheme="majorBidi" w:hAnsiTheme="majorBidi" w:cstheme="majorBidi"/>
        </w:rPr>
      </w:pPr>
      <w:r w:rsidRPr="00D773F7">
        <w:rPr>
          <w:rStyle w:val="eop"/>
          <w:rFonts w:asciiTheme="majorBidi" w:hAnsiTheme="majorBidi" w:cstheme="majorBidi"/>
        </w:rPr>
        <w:lastRenderedPageBreak/>
        <w:t xml:space="preserve">3.4.5.3.3.2 </w:t>
      </w:r>
      <w:r w:rsidRPr="00D773F7">
        <w:rPr>
          <w:rStyle w:val="eop"/>
          <w:rFonts w:asciiTheme="majorBidi" w:hAnsiTheme="majorBidi" w:cstheme="majorBidi"/>
        </w:rPr>
        <w:tab/>
        <w:t>O</w:t>
      </w:r>
      <w:r w:rsidRPr="00D773F7">
        <w:rPr>
          <w:rFonts w:asciiTheme="majorBidi" w:hAnsiTheme="majorBidi" w:cstheme="majorBidi"/>
        </w:rPr>
        <w:t xml:space="preserve">ECD test guidelines for the LLNA include the radioactive assay (OECD Test Guideline 429) and non-radioactive assays (OECD Test Guideline 442A and 442B; LLNA:DA, </w:t>
      </w:r>
      <w:proofErr w:type="spellStart"/>
      <w:r w:rsidRPr="00D773F7">
        <w:rPr>
          <w:rFonts w:asciiTheme="majorBidi" w:hAnsiTheme="majorBidi" w:cstheme="majorBidi"/>
        </w:rPr>
        <w:t>LLNA:BrdU-ELISA</w:t>
      </w:r>
      <w:proofErr w:type="spellEnd"/>
      <w:r w:rsidRPr="00D773F7">
        <w:rPr>
          <w:rFonts w:asciiTheme="majorBidi" w:hAnsiTheme="majorBidi" w:cstheme="majorBidi"/>
        </w:rPr>
        <w:t xml:space="preserve">, and </w:t>
      </w:r>
      <w:proofErr w:type="spellStart"/>
      <w:r w:rsidRPr="00D773F7">
        <w:rPr>
          <w:rFonts w:asciiTheme="majorBidi" w:hAnsiTheme="majorBidi" w:cstheme="majorBidi"/>
        </w:rPr>
        <w:t>LLNA:BrdU-FCM</w:t>
      </w:r>
      <w:proofErr w:type="spellEnd"/>
      <w:r w:rsidRPr="00D773F7">
        <w:rPr>
          <w:rFonts w:asciiTheme="majorBidi" w:hAnsiTheme="majorBidi" w:cstheme="majorBidi"/>
        </w:rPr>
        <w:t>). In these tests, sensiti</w:t>
      </w:r>
      <w:r w:rsidR="00E358DB" w:rsidRPr="00D773F7">
        <w:rPr>
          <w:rFonts w:asciiTheme="majorBidi" w:hAnsiTheme="majorBidi" w:cstheme="majorBidi"/>
        </w:rPr>
        <w:t>z</w:t>
      </w:r>
      <w:r w:rsidRPr="00D773F7">
        <w:rPr>
          <w:rFonts w:asciiTheme="majorBidi" w:hAnsiTheme="majorBidi" w:cstheme="majorBidi"/>
        </w:rPr>
        <w:t xml:space="preserve">ers are </w:t>
      </w:r>
      <w:r w:rsidR="00373AAC" w:rsidRPr="00D773F7">
        <w:rPr>
          <w:rFonts w:asciiTheme="majorBidi" w:hAnsiTheme="majorBidi" w:cstheme="majorBidi"/>
        </w:rPr>
        <w:t xml:space="preserve">characterized </w:t>
      </w:r>
      <w:r w:rsidRPr="00D773F7">
        <w:rPr>
          <w:rFonts w:asciiTheme="majorBidi" w:hAnsiTheme="majorBidi" w:cstheme="majorBidi"/>
        </w:rPr>
        <w:t xml:space="preserve">by increasing the group mean </w:t>
      </w:r>
      <w:r w:rsidR="00232690" w:rsidRPr="00D773F7">
        <w:rPr>
          <w:rFonts w:asciiTheme="majorBidi" w:hAnsiTheme="majorBidi" w:cstheme="majorBidi"/>
        </w:rPr>
        <w:t>s</w:t>
      </w:r>
      <w:r w:rsidRPr="00D773F7">
        <w:rPr>
          <w:rFonts w:asciiTheme="majorBidi" w:hAnsiTheme="majorBidi" w:cstheme="majorBidi"/>
        </w:rPr>
        <w:t xml:space="preserve">timulation </w:t>
      </w:r>
      <w:r w:rsidR="00232690" w:rsidRPr="00D773F7">
        <w:rPr>
          <w:rFonts w:asciiTheme="majorBidi" w:hAnsiTheme="majorBidi" w:cstheme="majorBidi"/>
        </w:rPr>
        <w:t>i</w:t>
      </w:r>
      <w:r w:rsidRPr="00D773F7">
        <w:rPr>
          <w:rFonts w:asciiTheme="majorBidi" w:hAnsiTheme="majorBidi" w:cstheme="majorBidi"/>
        </w:rPr>
        <w:t>ndex (</w:t>
      </w:r>
      <w:r w:rsidR="005853CF" w:rsidRPr="00D773F7">
        <w:rPr>
          <w:rFonts w:asciiTheme="majorBidi" w:hAnsiTheme="majorBidi" w:cstheme="majorBidi"/>
        </w:rPr>
        <w:t>“</w:t>
      </w:r>
      <w:r w:rsidRPr="00D773F7">
        <w:rPr>
          <w:rFonts w:asciiTheme="majorBidi" w:hAnsiTheme="majorBidi" w:cstheme="majorBidi"/>
        </w:rPr>
        <w:t>SI</w:t>
      </w:r>
      <w:r w:rsidR="005853CF" w:rsidRPr="00D773F7">
        <w:rPr>
          <w:rFonts w:asciiTheme="majorBidi" w:hAnsiTheme="majorBidi" w:cstheme="majorBidi"/>
        </w:rPr>
        <w:t>”</w:t>
      </w:r>
      <w:r w:rsidRPr="00D773F7">
        <w:rPr>
          <w:rFonts w:asciiTheme="majorBidi" w:hAnsiTheme="majorBidi" w:cstheme="majorBidi"/>
        </w:rPr>
        <w:t xml:space="preserve">, a measure of lymph node proliferation) in treated groups </w:t>
      </w:r>
      <w:r w:rsidR="004D31C4" w:rsidRPr="00D773F7">
        <w:rPr>
          <w:rFonts w:asciiTheme="majorBidi" w:hAnsiTheme="majorBidi" w:cstheme="majorBidi"/>
        </w:rPr>
        <w:t xml:space="preserve">versus </w:t>
      </w:r>
      <w:r w:rsidRPr="00D773F7">
        <w:rPr>
          <w:rFonts w:asciiTheme="majorBidi" w:hAnsiTheme="majorBidi" w:cstheme="majorBidi"/>
        </w:rPr>
        <w:t>concurrent vehicle controls by more than a predefined critical value which</w:t>
      </w:r>
      <w:r w:rsidRPr="00D773F7">
        <w:rPr>
          <w:rStyle w:val="eop"/>
          <w:rFonts w:asciiTheme="majorBidi" w:hAnsiTheme="majorBidi" w:cstheme="majorBidi"/>
        </w:rPr>
        <w:t xml:space="preserve"> </w:t>
      </w:r>
      <w:r w:rsidRPr="00D773F7">
        <w:rPr>
          <w:rFonts w:asciiTheme="majorBidi" w:hAnsiTheme="majorBidi" w:cstheme="majorBidi"/>
          <w:lang w:eastAsia="it-IT"/>
        </w:rPr>
        <w:t xml:space="preserve">is different for each form of the LLNA (e.g., SI </w:t>
      </w:r>
      <w:r w:rsidR="00EC41CB" w:rsidRPr="00D773F7">
        <w:rPr>
          <w:rFonts w:asciiTheme="majorBidi" w:hAnsiTheme="majorBidi" w:cstheme="majorBidi"/>
          <w:lang w:eastAsia="it-IT"/>
        </w:rPr>
        <w:t>≥</w:t>
      </w:r>
      <w:r w:rsidRPr="00D773F7">
        <w:rPr>
          <w:rFonts w:asciiTheme="majorBidi" w:hAnsiTheme="majorBidi" w:cstheme="majorBidi"/>
          <w:lang w:eastAsia="it-IT"/>
        </w:rPr>
        <w:t xml:space="preserve"> 3 for the radioactive LLNA, SI </w:t>
      </w:r>
      <w:r w:rsidR="00EC41CB" w:rsidRPr="00D773F7">
        <w:rPr>
          <w:rFonts w:asciiTheme="majorBidi" w:hAnsiTheme="majorBidi" w:cstheme="majorBidi"/>
          <w:lang w:eastAsia="it-IT"/>
        </w:rPr>
        <w:t>≥</w:t>
      </w:r>
      <w:r w:rsidRPr="00D773F7">
        <w:rPr>
          <w:rFonts w:asciiTheme="majorBidi" w:hAnsiTheme="majorBidi" w:cstheme="majorBidi"/>
        </w:rPr>
        <w:t> </w:t>
      </w:r>
      <w:r w:rsidRPr="00D773F7">
        <w:rPr>
          <w:rFonts w:asciiTheme="majorBidi" w:hAnsiTheme="majorBidi" w:cstheme="majorBidi"/>
          <w:lang w:eastAsia="it-IT"/>
        </w:rPr>
        <w:t xml:space="preserve">1.6 for the </w:t>
      </w:r>
      <w:proofErr w:type="spellStart"/>
      <w:r w:rsidRPr="00D773F7">
        <w:rPr>
          <w:rFonts w:asciiTheme="majorBidi" w:hAnsiTheme="majorBidi" w:cstheme="majorBidi"/>
          <w:lang w:eastAsia="it-IT"/>
        </w:rPr>
        <w:t>LLNA:BrdU-ELISA</w:t>
      </w:r>
      <w:proofErr w:type="spellEnd"/>
      <w:r w:rsidRPr="00D773F7">
        <w:rPr>
          <w:rFonts w:asciiTheme="majorBidi" w:hAnsiTheme="majorBidi" w:cstheme="majorBidi"/>
          <w:lang w:eastAsia="it-IT"/>
        </w:rPr>
        <w:t xml:space="preserve">). </w:t>
      </w:r>
      <w:r w:rsidRPr="00D773F7">
        <w:rPr>
          <w:rFonts w:asciiTheme="majorBidi" w:hAnsiTheme="majorBidi" w:cstheme="majorBidi"/>
        </w:rPr>
        <w:t>For sensiti</w:t>
      </w:r>
      <w:r w:rsidR="00E358DB" w:rsidRPr="00D773F7">
        <w:rPr>
          <w:rFonts w:asciiTheme="majorBidi" w:hAnsiTheme="majorBidi" w:cstheme="majorBidi"/>
        </w:rPr>
        <w:t>z</w:t>
      </w:r>
      <w:r w:rsidRPr="00D773F7">
        <w:rPr>
          <w:rFonts w:asciiTheme="majorBidi" w:hAnsiTheme="majorBidi" w:cstheme="majorBidi"/>
        </w:rPr>
        <w:t xml:space="preserve">ers, </w:t>
      </w:r>
      <w:r w:rsidR="002D4F32">
        <w:rPr>
          <w:rFonts w:asciiTheme="majorBidi" w:hAnsiTheme="majorBidi" w:cstheme="majorBidi"/>
        </w:rPr>
        <w:br/>
      </w:r>
      <w:r w:rsidRPr="00D773F7">
        <w:rPr>
          <w:rFonts w:asciiTheme="majorBidi" w:hAnsiTheme="majorBidi" w:cstheme="majorBidi"/>
        </w:rPr>
        <w:t xml:space="preserve">sub-categorization is performed based on the effective concentration (EC) causing an increase in SI of exactly the critical magnitude (e.g. the EC3 under OECD Test Guideline 429 is the concentration leading to an exactly threefold increase in group mean SI </w:t>
      </w:r>
      <w:r w:rsidR="00086246" w:rsidRPr="00D773F7">
        <w:rPr>
          <w:rFonts w:asciiTheme="majorBidi" w:hAnsiTheme="majorBidi" w:cstheme="majorBidi"/>
        </w:rPr>
        <w:t>versus</w:t>
      </w:r>
      <w:r w:rsidRPr="00D773F7">
        <w:rPr>
          <w:rFonts w:asciiTheme="majorBidi" w:hAnsiTheme="majorBidi" w:cstheme="majorBidi"/>
        </w:rPr>
        <w:t xml:space="preserve"> control). </w:t>
      </w:r>
    </w:p>
    <w:p w14:paraId="038D2557" w14:textId="4E37605C" w:rsidR="002E4391" w:rsidRPr="00D773F7" w:rsidRDefault="002E4391" w:rsidP="002F742C">
      <w:pPr>
        <w:pStyle w:val="SingleTxtG"/>
        <w:ind w:left="2268"/>
        <w:rPr>
          <w:rFonts w:asciiTheme="majorBidi" w:hAnsiTheme="majorBidi" w:cstheme="majorBidi"/>
        </w:rPr>
      </w:pPr>
      <w:r w:rsidRPr="00D773F7">
        <w:rPr>
          <w:rFonts w:asciiTheme="majorBidi" w:hAnsiTheme="majorBidi" w:cstheme="majorBidi"/>
        </w:rPr>
        <w:t>3.4.5.3.3.3</w:t>
      </w:r>
      <w:r w:rsidRPr="00D773F7">
        <w:rPr>
          <w:rFonts w:asciiTheme="majorBidi" w:hAnsiTheme="majorBidi" w:cstheme="majorBidi"/>
        </w:rPr>
        <w:tab/>
        <w:t xml:space="preserve">The respective OECD </w:t>
      </w:r>
      <w:r w:rsidR="00917DAD" w:rsidRPr="00D773F7">
        <w:rPr>
          <w:rFonts w:asciiTheme="majorBidi" w:hAnsiTheme="majorBidi" w:cstheme="majorBidi"/>
        </w:rPr>
        <w:t>t</w:t>
      </w:r>
      <w:r w:rsidRPr="00D773F7">
        <w:rPr>
          <w:rFonts w:asciiTheme="majorBidi" w:hAnsiTheme="majorBidi" w:cstheme="majorBidi"/>
        </w:rPr>
        <w:t xml:space="preserve">est </w:t>
      </w:r>
      <w:r w:rsidR="00917DAD" w:rsidRPr="00D773F7">
        <w:rPr>
          <w:rFonts w:asciiTheme="majorBidi" w:hAnsiTheme="majorBidi" w:cstheme="majorBidi"/>
        </w:rPr>
        <w:t>g</w:t>
      </w:r>
      <w:r w:rsidRPr="00D773F7">
        <w:rPr>
          <w:rFonts w:asciiTheme="majorBidi" w:hAnsiTheme="majorBidi" w:cstheme="majorBidi"/>
        </w:rPr>
        <w:t>uidelines for the different LLNA variants specify that a pre-screen test should be undertaken to determine the highest concentration to be tested. If such a test has not been performed and the LLNA was carried out with a test concentration &lt;</w:t>
      </w:r>
      <w:r w:rsidR="00CE0013" w:rsidRPr="00D773F7">
        <w:rPr>
          <w:rFonts w:asciiTheme="majorBidi" w:hAnsiTheme="majorBidi" w:cstheme="majorBidi"/>
        </w:rPr>
        <w:t> </w:t>
      </w:r>
      <w:r w:rsidRPr="00D773F7">
        <w:rPr>
          <w:rFonts w:asciiTheme="majorBidi" w:hAnsiTheme="majorBidi" w:cstheme="majorBidi"/>
        </w:rPr>
        <w:t xml:space="preserve">100%, a rationale (e.g. based on solubility, local or systemic toxicity, see OECD </w:t>
      </w:r>
      <w:r w:rsidR="001B3393" w:rsidRPr="00D773F7">
        <w:rPr>
          <w:rFonts w:asciiTheme="majorBidi" w:hAnsiTheme="majorBidi" w:cstheme="majorBidi"/>
        </w:rPr>
        <w:t>t</w:t>
      </w:r>
      <w:r w:rsidRPr="00D773F7">
        <w:rPr>
          <w:rFonts w:asciiTheme="majorBidi" w:hAnsiTheme="majorBidi" w:cstheme="majorBidi"/>
        </w:rPr>
        <w:t xml:space="preserve">est </w:t>
      </w:r>
      <w:r w:rsidR="001B3393" w:rsidRPr="00D773F7">
        <w:rPr>
          <w:rFonts w:asciiTheme="majorBidi" w:hAnsiTheme="majorBidi" w:cstheme="majorBidi"/>
        </w:rPr>
        <w:t>g</w:t>
      </w:r>
      <w:r w:rsidRPr="00D773F7">
        <w:rPr>
          <w:rFonts w:asciiTheme="majorBidi" w:hAnsiTheme="majorBidi" w:cstheme="majorBidi"/>
        </w:rPr>
        <w:t>uidelines 429, and 442A and 442B) needs to be provided that the highest test concentration represents the maximum testable concentration. Otherwise, the reliability of a negative test result has to be considered compromised.</w:t>
      </w:r>
    </w:p>
    <w:p w14:paraId="58DE3400" w14:textId="54224992" w:rsidR="002E4391" w:rsidRPr="00D773F7" w:rsidRDefault="002E4391" w:rsidP="002F742C">
      <w:pPr>
        <w:pStyle w:val="SingleTxtG"/>
        <w:ind w:left="2268"/>
        <w:rPr>
          <w:rFonts w:asciiTheme="majorBidi" w:hAnsiTheme="majorBidi" w:cstheme="majorBidi"/>
        </w:rPr>
      </w:pPr>
      <w:r w:rsidRPr="00D773F7">
        <w:rPr>
          <w:rFonts w:asciiTheme="majorBidi" w:hAnsiTheme="majorBidi" w:cstheme="majorBidi"/>
        </w:rPr>
        <w:t>3.4.5.3.3.4</w:t>
      </w:r>
      <w:r w:rsidRPr="00D773F7">
        <w:rPr>
          <w:rFonts w:asciiTheme="majorBidi" w:hAnsiTheme="majorBidi" w:cstheme="majorBidi"/>
        </w:rPr>
        <w:tab/>
        <w:t>EC values are normally obtained by interpolation between adjacent test concentrations, i.e. between the highest test concentration causing an SI below, and the lowest test concentration causing an SI above the critical value. However, care must be taken when the EC value falls below the lowest concentration tested and can therefore only be estimated by extrapolation, which is associated with additional uncertainty. In some cases, the SI at the highest concentration tested falls only slightly below the critical SI value, which raises the question of upward extrapolation (unless the maximum testable concentration has been applied). These and other issues regarding the reliability of LLNA results are further discussed in Ryan et al. (2007) and Annex 3 of OECD Series on Testing and Assessment No.</w:t>
      </w:r>
      <w:r w:rsidR="00CE0013" w:rsidRPr="00D773F7">
        <w:rPr>
          <w:rFonts w:asciiTheme="majorBidi" w:hAnsiTheme="majorBidi" w:cstheme="majorBidi"/>
        </w:rPr>
        <w:t> </w:t>
      </w:r>
      <w:r w:rsidRPr="00D773F7">
        <w:rPr>
          <w:rFonts w:asciiTheme="majorBidi" w:hAnsiTheme="majorBidi" w:cstheme="majorBidi"/>
        </w:rPr>
        <w:t xml:space="preserve">336 (Supporting Document to OECD Guideline Document 497), which also provides a highly curated database of </w:t>
      </w:r>
      <w:r w:rsidR="001B3393" w:rsidRPr="00D773F7">
        <w:rPr>
          <w:rStyle w:val="normaltextrun"/>
          <w:rFonts w:asciiTheme="majorBidi" w:hAnsiTheme="majorBidi" w:cstheme="majorBidi"/>
        </w:rPr>
        <w:t>t</w:t>
      </w:r>
      <w:r w:rsidRPr="00D773F7">
        <w:rPr>
          <w:rStyle w:val="normaltextrun"/>
          <w:rFonts w:asciiTheme="majorBidi" w:hAnsiTheme="majorBidi" w:cstheme="majorBidi"/>
        </w:rPr>
        <w:t xml:space="preserve">est </w:t>
      </w:r>
      <w:r w:rsidR="001B3393" w:rsidRPr="00D773F7">
        <w:rPr>
          <w:rStyle w:val="normaltextrun"/>
          <w:rFonts w:asciiTheme="majorBidi" w:hAnsiTheme="majorBidi" w:cstheme="majorBidi"/>
        </w:rPr>
        <w:t>g</w:t>
      </w:r>
      <w:r w:rsidRPr="00D773F7">
        <w:rPr>
          <w:rStyle w:val="normaltextrun"/>
          <w:rFonts w:asciiTheme="majorBidi" w:hAnsiTheme="majorBidi" w:cstheme="majorBidi"/>
        </w:rPr>
        <w:t>uidelines</w:t>
      </w:r>
      <w:r w:rsidRPr="00D773F7">
        <w:rPr>
          <w:rFonts w:asciiTheme="majorBidi" w:hAnsiTheme="majorBidi" w:cstheme="majorBidi"/>
        </w:rPr>
        <w:t xml:space="preserve"> 429 LLNA EC3 values. </w:t>
      </w:r>
    </w:p>
    <w:p w14:paraId="5F7DC315" w14:textId="751002B5" w:rsidR="002E4391" w:rsidRPr="00D773F7" w:rsidRDefault="002E4391" w:rsidP="002F742C">
      <w:pPr>
        <w:pStyle w:val="SingleTxtG"/>
        <w:ind w:left="2268"/>
        <w:rPr>
          <w:rFonts w:asciiTheme="majorBidi" w:hAnsiTheme="majorBidi" w:cstheme="majorBidi"/>
        </w:rPr>
      </w:pPr>
      <w:r w:rsidRPr="00D773F7">
        <w:rPr>
          <w:rFonts w:asciiTheme="majorBidi" w:hAnsiTheme="majorBidi" w:cstheme="majorBidi"/>
        </w:rPr>
        <w:t>3.4.5.3.3.5</w:t>
      </w:r>
      <w:r w:rsidRPr="00D773F7">
        <w:rPr>
          <w:rFonts w:asciiTheme="majorBidi" w:hAnsiTheme="majorBidi" w:cstheme="majorBidi"/>
        </w:rPr>
        <w:tab/>
        <w:t xml:space="preserve">Further limitations have been identified for the radioactive and non-radioactive LLNAs. For example, substances containing certain functional groups may interfere with the accuracy of the assay. These limitations as well as the possibility of borderline positive results are described in OECD </w:t>
      </w:r>
      <w:r w:rsidR="001814C1" w:rsidRPr="00D773F7">
        <w:rPr>
          <w:rStyle w:val="normaltextrun"/>
          <w:rFonts w:asciiTheme="majorBidi" w:hAnsiTheme="majorBidi" w:cstheme="majorBidi"/>
        </w:rPr>
        <w:t>t</w:t>
      </w:r>
      <w:r w:rsidRPr="00D773F7">
        <w:rPr>
          <w:rStyle w:val="normaltextrun"/>
          <w:rFonts w:asciiTheme="majorBidi" w:hAnsiTheme="majorBidi" w:cstheme="majorBidi"/>
        </w:rPr>
        <w:t xml:space="preserve">est </w:t>
      </w:r>
      <w:r w:rsidR="001814C1" w:rsidRPr="00D773F7">
        <w:rPr>
          <w:rStyle w:val="normaltextrun"/>
          <w:rFonts w:asciiTheme="majorBidi" w:hAnsiTheme="majorBidi" w:cstheme="majorBidi"/>
        </w:rPr>
        <w:t>g</w:t>
      </w:r>
      <w:r w:rsidRPr="00D773F7">
        <w:rPr>
          <w:rStyle w:val="normaltextrun"/>
          <w:rFonts w:asciiTheme="majorBidi" w:hAnsiTheme="majorBidi" w:cstheme="majorBidi"/>
        </w:rPr>
        <w:t xml:space="preserve">uidelines </w:t>
      </w:r>
      <w:r w:rsidRPr="00D773F7">
        <w:rPr>
          <w:rFonts w:asciiTheme="majorBidi" w:hAnsiTheme="majorBidi" w:cstheme="majorBidi"/>
        </w:rPr>
        <w:t xml:space="preserve">429, and 442A and 442B. Variability in EC values for the same substance may also be the result of the vehicle used. For example, analysis has shown an underestimation of potency (i.e., higher EC3 values) with predominantly aqueous vehicles or propylene glycol (see </w:t>
      </w:r>
      <w:proofErr w:type="spellStart"/>
      <w:r w:rsidRPr="00D773F7">
        <w:rPr>
          <w:rFonts w:asciiTheme="majorBidi" w:hAnsiTheme="majorBidi" w:cstheme="majorBidi"/>
        </w:rPr>
        <w:t>Jowsey</w:t>
      </w:r>
      <w:proofErr w:type="spellEnd"/>
      <w:r w:rsidRPr="00D773F7">
        <w:rPr>
          <w:rFonts w:asciiTheme="majorBidi" w:hAnsiTheme="majorBidi" w:cstheme="majorBidi"/>
        </w:rPr>
        <w:t>, 2008).</w:t>
      </w:r>
    </w:p>
    <w:p w14:paraId="76B1E9B9" w14:textId="3458F324" w:rsidR="002E4391" w:rsidRPr="00D773F7" w:rsidRDefault="002E4391" w:rsidP="002F742C">
      <w:pPr>
        <w:pStyle w:val="SingleTxtG"/>
        <w:ind w:left="2268"/>
        <w:rPr>
          <w:rStyle w:val="normaltextrun"/>
          <w:rFonts w:asciiTheme="majorBidi" w:hAnsiTheme="majorBidi" w:cstheme="majorBidi"/>
        </w:rPr>
      </w:pPr>
      <w:r w:rsidRPr="00D773F7">
        <w:rPr>
          <w:rFonts w:asciiTheme="majorBidi" w:hAnsiTheme="majorBidi" w:cstheme="majorBidi"/>
        </w:rPr>
        <w:t>3.4.5.3.3.6</w:t>
      </w:r>
      <w:r w:rsidRPr="00D773F7">
        <w:rPr>
          <w:rFonts w:asciiTheme="majorBidi" w:hAnsiTheme="majorBidi" w:cstheme="majorBidi"/>
        </w:rPr>
        <w:tab/>
        <w:t xml:space="preserve">For OECD </w:t>
      </w:r>
      <w:r w:rsidRPr="00D773F7">
        <w:rPr>
          <w:rStyle w:val="normaltextrun"/>
          <w:rFonts w:asciiTheme="majorBidi" w:hAnsiTheme="majorBidi" w:cstheme="majorBidi"/>
        </w:rPr>
        <w:t>Test Guideline</w:t>
      </w:r>
      <w:r w:rsidRPr="00D773F7">
        <w:rPr>
          <w:rFonts w:asciiTheme="majorBidi" w:hAnsiTheme="majorBidi" w:cstheme="majorBidi"/>
        </w:rPr>
        <w:t xml:space="preserve"> 406, the concentration of test chemical used for each induction exposure should be systemically well-tolerated using the highest dose to cause mild-to-moderate skin irritation. The concentration used for the challenge exposure should be the highest non-irritant dose.  </w:t>
      </w:r>
      <w:r w:rsidRPr="00D773F7">
        <w:rPr>
          <w:rStyle w:val="normaltextrun"/>
          <w:rFonts w:asciiTheme="majorBidi" w:hAnsiTheme="majorBidi" w:cstheme="majorBidi"/>
        </w:rPr>
        <w:t>A positive result in a guinea pig test is defined as a grade above zero according to the applicable grading scale such as the Magnusson and </w:t>
      </w:r>
      <w:proofErr w:type="spellStart"/>
      <w:r w:rsidRPr="00D773F7">
        <w:rPr>
          <w:rStyle w:val="spellingerror"/>
          <w:rFonts w:asciiTheme="majorBidi" w:hAnsiTheme="majorBidi" w:cstheme="majorBidi"/>
        </w:rPr>
        <w:t>Kligman</w:t>
      </w:r>
      <w:proofErr w:type="spellEnd"/>
      <w:r w:rsidRPr="00D773F7">
        <w:rPr>
          <w:rStyle w:val="normaltextrun"/>
          <w:rFonts w:asciiTheme="majorBidi" w:hAnsiTheme="majorBidi" w:cstheme="majorBidi"/>
        </w:rPr>
        <w:t> grading scale for OECD Test Guideline 406 at one or more of the two observation time-points. A grade of 0.5, which is sometimes reported, is therefore also considered a positive result.</w:t>
      </w:r>
    </w:p>
    <w:p w14:paraId="500EC55B" w14:textId="77777777" w:rsidR="00984FEE" w:rsidRPr="00D773F7" w:rsidRDefault="00984FEE" w:rsidP="00984FEE">
      <w:pPr>
        <w:pStyle w:val="SingleTxtG"/>
        <w:ind w:left="2268"/>
        <w:rPr>
          <w:rFonts w:asciiTheme="majorBidi" w:hAnsiTheme="majorBidi" w:cstheme="majorBidi"/>
          <w:bCs/>
          <w:i/>
        </w:rPr>
      </w:pPr>
      <w:r w:rsidRPr="00D773F7">
        <w:rPr>
          <w:rFonts w:asciiTheme="majorBidi" w:hAnsiTheme="majorBidi" w:cstheme="majorBidi"/>
          <w:bCs/>
          <w:iCs/>
        </w:rPr>
        <w:t>3.4.5.3.4</w:t>
      </w:r>
      <w:r w:rsidRPr="00D773F7">
        <w:rPr>
          <w:rFonts w:asciiTheme="majorBidi" w:hAnsiTheme="majorBidi" w:cstheme="majorBidi"/>
          <w:bCs/>
          <w:iCs/>
        </w:rPr>
        <w:tab/>
      </w:r>
      <w:r w:rsidRPr="00D773F7">
        <w:rPr>
          <w:rFonts w:asciiTheme="majorBidi" w:hAnsiTheme="majorBidi" w:cstheme="majorBidi"/>
          <w:bCs/>
          <w:i/>
        </w:rPr>
        <w:t>Guidance on the use of defined approaches</w:t>
      </w:r>
    </w:p>
    <w:p w14:paraId="71B644B4" w14:textId="127A8C1F" w:rsidR="00984FEE" w:rsidRPr="00D773F7" w:rsidRDefault="00D02CC5" w:rsidP="009F3BA2">
      <w:pPr>
        <w:pStyle w:val="SingleTxtG"/>
        <w:tabs>
          <w:tab w:val="clear" w:pos="1701"/>
          <w:tab w:val="left" w:pos="3402"/>
        </w:tabs>
        <w:ind w:left="2268"/>
        <w:rPr>
          <w:rStyle w:val="eop"/>
          <w:rFonts w:asciiTheme="majorBidi" w:hAnsiTheme="majorBidi" w:cstheme="majorBidi"/>
        </w:rPr>
      </w:pPr>
      <w:r w:rsidRPr="00D773F7">
        <w:rPr>
          <w:rFonts w:asciiTheme="majorBidi" w:hAnsiTheme="majorBidi" w:cstheme="majorBidi"/>
        </w:rPr>
        <w:tab/>
      </w:r>
      <w:r w:rsidRPr="00D773F7">
        <w:rPr>
          <w:rFonts w:asciiTheme="majorBidi" w:hAnsiTheme="majorBidi" w:cstheme="majorBidi"/>
        </w:rPr>
        <w:tab/>
        <w:t xml:space="preserve">Defined approaches validated according to international procedures and described in OECD Guideline 497 have been characterized for the level of confidence that can be assigned to the predictions based on the applicability domain of the individual information sources used and the data interpretation procedure applied (see </w:t>
      </w:r>
      <w:r w:rsidR="001806B2" w:rsidRPr="00D773F7">
        <w:rPr>
          <w:rFonts w:asciiTheme="majorBidi" w:hAnsiTheme="majorBidi" w:cstheme="majorBidi"/>
        </w:rPr>
        <w:t>t</w:t>
      </w:r>
      <w:r w:rsidRPr="00D773F7">
        <w:rPr>
          <w:rFonts w:asciiTheme="majorBidi" w:hAnsiTheme="majorBidi" w:cstheme="majorBidi"/>
        </w:rPr>
        <w:t>able 3.4.</w:t>
      </w:r>
      <w:r w:rsidR="0015012D" w:rsidRPr="00D773F7">
        <w:rPr>
          <w:rFonts w:asciiTheme="majorBidi" w:hAnsiTheme="majorBidi" w:cstheme="majorBidi"/>
        </w:rPr>
        <w:t>7</w:t>
      </w:r>
      <w:r w:rsidRPr="00D773F7">
        <w:rPr>
          <w:rFonts w:asciiTheme="majorBidi" w:hAnsiTheme="majorBidi" w:cstheme="majorBidi"/>
        </w:rPr>
        <w:t xml:space="preserve">). Other defined approaches </w:t>
      </w:r>
      <w:r w:rsidRPr="00D773F7">
        <w:rPr>
          <w:rFonts w:asciiTheme="majorBidi" w:hAnsiTheme="majorBidi" w:cstheme="majorBidi"/>
        </w:rPr>
        <w:lastRenderedPageBreak/>
        <w:t>under consideration but not yet validated according to international procedures and described in OECD Guidance Document 256 according to internationally agreed criteria for their reporting (OECD Guidance Document 255) may be accepted by some competent authorities.</w:t>
      </w:r>
    </w:p>
    <w:p w14:paraId="316A1645" w14:textId="052E35A2" w:rsidR="007F4FEC" w:rsidRPr="00D773F7" w:rsidRDefault="007F4FEC" w:rsidP="002F742C">
      <w:pPr>
        <w:pStyle w:val="SingleTxtG"/>
        <w:ind w:left="2268"/>
        <w:rPr>
          <w:rFonts w:asciiTheme="majorBidi" w:hAnsiTheme="majorBidi" w:cstheme="majorBidi"/>
          <w:bCs/>
          <w:i/>
          <w:iCs/>
        </w:rPr>
      </w:pPr>
      <w:r w:rsidRPr="00D773F7">
        <w:rPr>
          <w:rFonts w:asciiTheme="majorBidi" w:hAnsiTheme="majorBidi" w:cstheme="majorBidi"/>
          <w:bCs/>
        </w:rPr>
        <w:t>3.4.5.3.5</w:t>
      </w:r>
      <w:r w:rsidRPr="00D773F7">
        <w:rPr>
          <w:rFonts w:asciiTheme="majorBidi" w:hAnsiTheme="majorBidi" w:cstheme="majorBidi"/>
          <w:bCs/>
        </w:rPr>
        <w:tab/>
      </w:r>
      <w:r w:rsidRPr="00D773F7">
        <w:rPr>
          <w:rFonts w:asciiTheme="majorBidi" w:hAnsiTheme="majorBidi" w:cstheme="majorBidi"/>
          <w:bCs/>
          <w:i/>
          <w:iCs/>
        </w:rPr>
        <w:t>Guidance on the use of</w:t>
      </w:r>
      <w:r w:rsidRPr="00D773F7">
        <w:rPr>
          <w:rFonts w:asciiTheme="majorBidi" w:hAnsiTheme="majorBidi" w:cstheme="majorBidi"/>
          <w:bCs/>
        </w:rPr>
        <w:t xml:space="preserve"> </w:t>
      </w:r>
      <w:r w:rsidRPr="00D773F7">
        <w:rPr>
          <w:rFonts w:asciiTheme="majorBidi" w:hAnsiTheme="majorBidi" w:cstheme="majorBidi"/>
          <w:bCs/>
          <w:i/>
          <w:iCs/>
        </w:rPr>
        <w:t>non</w:t>
      </w:r>
      <w:r w:rsidR="0084230E" w:rsidRPr="00D773F7">
        <w:rPr>
          <w:rFonts w:asciiTheme="majorBidi" w:hAnsiTheme="majorBidi" w:cstheme="majorBidi"/>
          <w:bCs/>
          <w:i/>
          <w:iCs/>
        </w:rPr>
        <w:t xml:space="preserve"> </w:t>
      </w:r>
      <w:r w:rsidRPr="00D773F7">
        <w:rPr>
          <w:rFonts w:asciiTheme="majorBidi" w:hAnsiTheme="majorBidi" w:cstheme="majorBidi"/>
          <w:bCs/>
          <w:i/>
          <w:iCs/>
        </w:rPr>
        <w:t xml:space="preserve">stand-alone in </w:t>
      </w:r>
      <w:proofErr w:type="spellStart"/>
      <w:r w:rsidRPr="00D773F7">
        <w:rPr>
          <w:rFonts w:asciiTheme="majorBidi" w:hAnsiTheme="majorBidi" w:cstheme="majorBidi"/>
          <w:bCs/>
          <w:i/>
          <w:iCs/>
        </w:rPr>
        <w:t>chemico</w:t>
      </w:r>
      <w:proofErr w:type="spellEnd"/>
      <w:r w:rsidRPr="00D773F7">
        <w:rPr>
          <w:rFonts w:asciiTheme="majorBidi" w:hAnsiTheme="majorBidi" w:cstheme="majorBidi"/>
          <w:bCs/>
          <w:i/>
          <w:iCs/>
        </w:rPr>
        <w:t>/in vitro methods</w:t>
      </w:r>
    </w:p>
    <w:p w14:paraId="4DE52D55" w14:textId="05B15D55" w:rsidR="007F4FEC" w:rsidRPr="00D773F7" w:rsidRDefault="007F4FEC" w:rsidP="002F742C">
      <w:pPr>
        <w:pStyle w:val="SingleTxtG"/>
        <w:tabs>
          <w:tab w:val="clear" w:pos="1701"/>
        </w:tabs>
        <w:ind w:left="2268"/>
        <w:rPr>
          <w:rFonts w:asciiTheme="majorBidi" w:hAnsiTheme="majorBidi" w:cstheme="majorBidi"/>
          <w:iCs/>
        </w:rPr>
      </w:pPr>
      <w:r w:rsidRPr="00D773F7">
        <w:rPr>
          <w:rFonts w:asciiTheme="majorBidi" w:hAnsiTheme="majorBidi" w:cstheme="majorBidi"/>
        </w:rPr>
        <w:tab/>
        <w:t xml:space="preserve">Individual </w:t>
      </w:r>
      <w:r w:rsidRPr="00D773F7">
        <w:rPr>
          <w:rFonts w:asciiTheme="majorBidi" w:hAnsiTheme="majorBidi" w:cstheme="majorBidi"/>
          <w:i/>
        </w:rPr>
        <w:t>in</w:t>
      </w:r>
      <w:r w:rsidRPr="00D773F7">
        <w:rPr>
          <w:rFonts w:asciiTheme="majorBidi" w:hAnsiTheme="majorBidi" w:cstheme="majorBidi"/>
        </w:rPr>
        <w:t xml:space="preserve"> </w:t>
      </w:r>
      <w:proofErr w:type="spellStart"/>
      <w:r w:rsidRPr="00D773F7">
        <w:rPr>
          <w:rFonts w:asciiTheme="majorBidi" w:hAnsiTheme="majorBidi" w:cstheme="majorBidi"/>
          <w:i/>
          <w:iCs/>
        </w:rPr>
        <w:t>chemico</w:t>
      </w:r>
      <w:proofErr w:type="spellEnd"/>
      <w:r w:rsidRPr="00D773F7">
        <w:rPr>
          <w:rFonts w:asciiTheme="majorBidi" w:hAnsiTheme="majorBidi" w:cstheme="majorBidi"/>
          <w:i/>
          <w:iCs/>
        </w:rPr>
        <w:t>/</w:t>
      </w:r>
      <w:r w:rsidRPr="00D773F7">
        <w:rPr>
          <w:rFonts w:asciiTheme="majorBidi" w:hAnsiTheme="majorBidi" w:cstheme="majorBidi"/>
        </w:rPr>
        <w:t xml:space="preserve">in vitro methods such as those reported in OECD </w:t>
      </w:r>
      <w:r w:rsidR="001B3393" w:rsidRPr="00D773F7">
        <w:rPr>
          <w:rFonts w:asciiTheme="majorBidi" w:hAnsiTheme="majorBidi" w:cstheme="majorBidi"/>
        </w:rPr>
        <w:t>t</w:t>
      </w:r>
      <w:r w:rsidRPr="00D773F7">
        <w:rPr>
          <w:rFonts w:asciiTheme="majorBidi" w:hAnsiTheme="majorBidi" w:cstheme="majorBidi"/>
        </w:rPr>
        <w:t xml:space="preserve">est </w:t>
      </w:r>
      <w:r w:rsidR="001B3393" w:rsidRPr="00D773F7">
        <w:rPr>
          <w:rFonts w:asciiTheme="majorBidi" w:hAnsiTheme="majorBidi" w:cstheme="majorBidi"/>
        </w:rPr>
        <w:t>g</w:t>
      </w:r>
      <w:r w:rsidRPr="00D773F7">
        <w:rPr>
          <w:rFonts w:asciiTheme="majorBidi" w:hAnsiTheme="majorBidi" w:cstheme="majorBidi"/>
        </w:rPr>
        <w:t>uidelines 442C, 442D and 442E, due to the</w:t>
      </w:r>
      <w:r w:rsidR="004135D1" w:rsidRPr="00D773F7">
        <w:rPr>
          <w:rFonts w:asciiTheme="majorBidi" w:hAnsiTheme="majorBidi" w:cstheme="majorBidi"/>
        </w:rPr>
        <w:t>ir</w:t>
      </w:r>
      <w:r w:rsidRPr="00D773F7">
        <w:rPr>
          <w:rFonts w:asciiTheme="majorBidi" w:hAnsiTheme="majorBidi" w:cstheme="majorBidi"/>
        </w:rPr>
        <w:t xml:space="preserve"> limited mechanistic coverage, cannot be used on their own to conclude on Category 1 or no classification according to the criteria defined in </w:t>
      </w:r>
      <w:r w:rsidR="001806B2" w:rsidRPr="00D773F7">
        <w:rPr>
          <w:rFonts w:asciiTheme="majorBidi" w:hAnsiTheme="majorBidi" w:cstheme="majorBidi"/>
        </w:rPr>
        <w:t>t</w:t>
      </w:r>
      <w:r w:rsidRPr="00D773F7">
        <w:rPr>
          <w:rFonts w:asciiTheme="majorBidi" w:hAnsiTheme="majorBidi" w:cstheme="majorBidi"/>
        </w:rPr>
        <w:t>able 3.4.</w:t>
      </w:r>
      <w:r w:rsidR="009E01FD" w:rsidRPr="00D773F7">
        <w:rPr>
          <w:rFonts w:asciiTheme="majorBidi" w:hAnsiTheme="majorBidi" w:cstheme="majorBidi"/>
        </w:rPr>
        <w:t xml:space="preserve">8 </w:t>
      </w:r>
      <w:r w:rsidRPr="00D773F7">
        <w:rPr>
          <w:rFonts w:asciiTheme="majorBidi" w:hAnsiTheme="majorBidi" w:cstheme="majorBidi"/>
        </w:rPr>
        <w:t xml:space="preserve">and further data are necessary for classification in </w:t>
      </w:r>
      <w:r w:rsidR="00FC4913" w:rsidRPr="00D773F7">
        <w:rPr>
          <w:rFonts w:asciiTheme="majorBidi" w:hAnsiTheme="majorBidi" w:cstheme="majorBidi"/>
        </w:rPr>
        <w:t>t</w:t>
      </w:r>
      <w:r w:rsidRPr="00D773F7">
        <w:rPr>
          <w:rFonts w:asciiTheme="majorBidi" w:hAnsiTheme="majorBidi" w:cstheme="majorBidi"/>
        </w:rPr>
        <w:t>ier 2. In addition, although some of these methods provide quantitative information, these cannot be used for the purposes of subcategorization into sub-categor</w:t>
      </w:r>
      <w:r w:rsidR="00D8097A" w:rsidRPr="00D773F7">
        <w:rPr>
          <w:rFonts w:asciiTheme="majorBidi" w:hAnsiTheme="majorBidi" w:cstheme="majorBidi"/>
        </w:rPr>
        <w:t>ies</w:t>
      </w:r>
      <w:r w:rsidRPr="00D773F7">
        <w:rPr>
          <w:rFonts w:asciiTheme="majorBidi" w:hAnsiTheme="majorBidi" w:cstheme="majorBidi"/>
        </w:rPr>
        <w:t xml:space="preserve"> 1A and 1B since the criteria have not been validated according to international procedure</w:t>
      </w:r>
      <w:r w:rsidR="005D0BEA">
        <w:rPr>
          <w:rFonts w:asciiTheme="majorBidi" w:hAnsiTheme="majorBidi" w:cstheme="majorBidi"/>
        </w:rPr>
        <w:t>s</w:t>
      </w:r>
      <w:r w:rsidRPr="00D773F7">
        <w:rPr>
          <w:rFonts w:asciiTheme="majorBidi" w:hAnsiTheme="majorBidi" w:cstheme="majorBidi"/>
        </w:rPr>
        <w:t xml:space="preserve">. Nevertheless, such quantitative information may be accepted by a competent authority when used in </w:t>
      </w:r>
      <w:r w:rsidR="00D8097A" w:rsidRPr="00D773F7">
        <w:rPr>
          <w:rFonts w:asciiTheme="majorBidi" w:hAnsiTheme="majorBidi" w:cstheme="majorBidi"/>
        </w:rPr>
        <w:t xml:space="preserve">a </w:t>
      </w:r>
      <w:r w:rsidRPr="00D773F7">
        <w:rPr>
          <w:rFonts w:asciiTheme="majorBidi" w:hAnsiTheme="majorBidi" w:cstheme="majorBidi"/>
        </w:rPr>
        <w:t>weight</w:t>
      </w:r>
      <w:r w:rsidR="004B7356" w:rsidRPr="00D773F7">
        <w:rPr>
          <w:rFonts w:asciiTheme="majorBidi" w:hAnsiTheme="majorBidi" w:cstheme="majorBidi"/>
        </w:rPr>
        <w:t xml:space="preserve"> </w:t>
      </w:r>
      <w:r w:rsidRPr="00D773F7">
        <w:rPr>
          <w:rFonts w:asciiTheme="majorBidi" w:hAnsiTheme="majorBidi" w:cstheme="majorBidi"/>
        </w:rPr>
        <w:t>of</w:t>
      </w:r>
      <w:r w:rsidR="004B7356" w:rsidRPr="00D773F7">
        <w:rPr>
          <w:rFonts w:asciiTheme="majorBidi" w:hAnsiTheme="majorBidi" w:cstheme="majorBidi"/>
        </w:rPr>
        <w:t xml:space="preserve"> </w:t>
      </w:r>
      <w:r w:rsidRPr="00D773F7">
        <w:rPr>
          <w:rFonts w:asciiTheme="majorBidi" w:hAnsiTheme="majorBidi" w:cstheme="majorBidi"/>
        </w:rPr>
        <w:t xml:space="preserve">evidence </w:t>
      </w:r>
      <w:r w:rsidR="00D8097A" w:rsidRPr="00D773F7">
        <w:rPr>
          <w:rFonts w:asciiTheme="majorBidi" w:hAnsiTheme="majorBidi" w:cstheme="majorBidi"/>
        </w:rPr>
        <w:t xml:space="preserve">assessment </w:t>
      </w:r>
      <w:r w:rsidRPr="00D773F7">
        <w:rPr>
          <w:rFonts w:asciiTheme="majorBidi" w:hAnsiTheme="majorBidi" w:cstheme="majorBidi"/>
        </w:rPr>
        <w:t xml:space="preserve">under </w:t>
      </w:r>
      <w:r w:rsidR="00FC4913" w:rsidRPr="00D773F7">
        <w:rPr>
          <w:rFonts w:asciiTheme="majorBidi" w:hAnsiTheme="majorBidi" w:cstheme="majorBidi"/>
        </w:rPr>
        <w:t>t</w:t>
      </w:r>
      <w:r w:rsidRPr="00D773F7">
        <w:rPr>
          <w:rFonts w:asciiTheme="majorBidi" w:hAnsiTheme="majorBidi" w:cstheme="majorBidi"/>
        </w:rPr>
        <w:t xml:space="preserve">ier 2 for the purpose of subcategorization. This is also in line with the statement in these </w:t>
      </w:r>
      <w:r w:rsidR="004E420D" w:rsidRPr="00D773F7">
        <w:rPr>
          <w:rFonts w:asciiTheme="majorBidi" w:hAnsiTheme="majorBidi" w:cstheme="majorBidi"/>
        </w:rPr>
        <w:t>t</w:t>
      </w:r>
      <w:r w:rsidRPr="00D773F7">
        <w:rPr>
          <w:rFonts w:asciiTheme="majorBidi" w:hAnsiTheme="majorBidi" w:cstheme="majorBidi"/>
        </w:rPr>
        <w:t xml:space="preserve">est </w:t>
      </w:r>
      <w:r w:rsidR="004E420D" w:rsidRPr="00D773F7">
        <w:rPr>
          <w:rFonts w:asciiTheme="majorBidi" w:hAnsiTheme="majorBidi" w:cstheme="majorBidi"/>
        </w:rPr>
        <w:t>g</w:t>
      </w:r>
      <w:r w:rsidRPr="00D773F7">
        <w:rPr>
          <w:rFonts w:asciiTheme="majorBidi" w:hAnsiTheme="majorBidi" w:cstheme="majorBidi"/>
        </w:rPr>
        <w:t>uidelines that “</w:t>
      </w:r>
      <w:r w:rsidRPr="00D773F7">
        <w:rPr>
          <w:rFonts w:asciiTheme="majorBidi" w:hAnsiTheme="majorBidi" w:cstheme="majorBidi"/>
          <w:i/>
          <w:iCs/>
        </w:rPr>
        <w:t>Depending on the regulatory framework, positive results generated with these methods may be used on their own to classify a chemical into UN GHS Category 1.</w:t>
      </w:r>
      <w:r w:rsidRPr="00D773F7">
        <w:rPr>
          <w:rFonts w:asciiTheme="majorBidi" w:hAnsiTheme="majorBidi" w:cstheme="majorBidi"/>
        </w:rPr>
        <w:t xml:space="preserve">” </w:t>
      </w:r>
      <w:r w:rsidR="0036222D" w:rsidRPr="00D773F7">
        <w:rPr>
          <w:rFonts w:asciiTheme="majorBidi" w:hAnsiTheme="majorBidi" w:cstheme="majorBidi"/>
        </w:rPr>
        <w:t xml:space="preserve">Therefore, the GHS also allows </w:t>
      </w:r>
      <w:r w:rsidR="0036222D" w:rsidRPr="00D773F7">
        <w:rPr>
          <w:rFonts w:asciiTheme="majorBidi" w:hAnsiTheme="majorBidi" w:cstheme="majorBidi"/>
          <w:iCs/>
        </w:rPr>
        <w:t xml:space="preserve">a competent authority to decide that a positive result with one of these </w:t>
      </w:r>
      <w:r w:rsidR="0036222D" w:rsidRPr="00D773F7">
        <w:rPr>
          <w:rFonts w:asciiTheme="majorBidi" w:hAnsiTheme="majorBidi" w:cstheme="majorBidi"/>
        </w:rPr>
        <w:t xml:space="preserve">non stand-alone </w:t>
      </w:r>
      <w:r w:rsidR="0036222D" w:rsidRPr="00D773F7">
        <w:rPr>
          <w:rFonts w:asciiTheme="majorBidi" w:hAnsiTheme="majorBidi" w:cstheme="majorBidi"/>
          <w:i/>
        </w:rPr>
        <w:t xml:space="preserve">in </w:t>
      </w:r>
      <w:proofErr w:type="spellStart"/>
      <w:r w:rsidR="0036222D" w:rsidRPr="00D773F7">
        <w:rPr>
          <w:rFonts w:asciiTheme="majorBidi" w:hAnsiTheme="majorBidi" w:cstheme="majorBidi"/>
          <w:i/>
        </w:rPr>
        <w:t>chemico</w:t>
      </w:r>
      <w:proofErr w:type="spellEnd"/>
      <w:r w:rsidR="0036222D" w:rsidRPr="00D773F7">
        <w:rPr>
          <w:rFonts w:asciiTheme="majorBidi" w:hAnsiTheme="majorBidi" w:cstheme="majorBidi"/>
          <w:i/>
        </w:rPr>
        <w:t>/</w:t>
      </w:r>
      <w:r w:rsidR="0036222D" w:rsidRPr="00D773F7">
        <w:rPr>
          <w:rFonts w:asciiTheme="majorBidi" w:hAnsiTheme="majorBidi" w:cstheme="majorBidi"/>
          <w:iCs/>
        </w:rPr>
        <w:t xml:space="preserve">in vitro methods, may be used on its own to classify in category 1 and whether </w:t>
      </w:r>
      <w:bookmarkStart w:id="15" w:name="_Hlk116634080"/>
      <w:r w:rsidR="0036222D" w:rsidRPr="00D773F7">
        <w:rPr>
          <w:rFonts w:asciiTheme="majorBidi" w:hAnsiTheme="majorBidi" w:cstheme="majorBidi"/>
          <w:iCs/>
        </w:rPr>
        <w:t xml:space="preserve">Test Guideline </w:t>
      </w:r>
      <w:bookmarkEnd w:id="15"/>
      <w:r w:rsidR="0036222D" w:rsidRPr="00D773F7">
        <w:rPr>
          <w:rFonts w:asciiTheme="majorBidi" w:hAnsiTheme="majorBidi" w:cstheme="majorBidi"/>
          <w:iCs/>
        </w:rPr>
        <w:t>442C (Appendix III) kinetic Direct Peptide Reactivity Assay (</w:t>
      </w:r>
      <w:proofErr w:type="spellStart"/>
      <w:r w:rsidR="0036222D" w:rsidRPr="00D773F7">
        <w:rPr>
          <w:rFonts w:asciiTheme="majorBidi" w:hAnsiTheme="majorBidi" w:cstheme="majorBidi"/>
          <w:iCs/>
        </w:rPr>
        <w:t>kDPRA</w:t>
      </w:r>
      <w:proofErr w:type="spellEnd"/>
      <w:r w:rsidR="0036222D" w:rsidRPr="00D773F7">
        <w:rPr>
          <w:rFonts w:asciiTheme="majorBidi" w:hAnsiTheme="majorBidi" w:cstheme="majorBidi"/>
          <w:iCs/>
        </w:rPr>
        <w:t xml:space="preserve">) can be used to differentiate between </w:t>
      </w:r>
      <w:r w:rsidR="00F310AE" w:rsidRPr="00D773F7">
        <w:rPr>
          <w:rFonts w:asciiTheme="majorBidi" w:hAnsiTheme="majorBidi" w:cstheme="majorBidi"/>
          <w:iCs/>
        </w:rPr>
        <w:t>sub-</w:t>
      </w:r>
      <w:r w:rsidR="0036222D" w:rsidRPr="00D773F7">
        <w:rPr>
          <w:rFonts w:asciiTheme="majorBidi" w:hAnsiTheme="majorBidi" w:cstheme="majorBidi"/>
          <w:iCs/>
        </w:rPr>
        <w:t xml:space="preserve">category 1A and no </w:t>
      </w:r>
      <w:r w:rsidR="00F310AE" w:rsidRPr="00D773F7">
        <w:rPr>
          <w:rFonts w:asciiTheme="majorBidi" w:hAnsiTheme="majorBidi" w:cstheme="majorBidi"/>
          <w:iCs/>
        </w:rPr>
        <w:t>sub-</w:t>
      </w:r>
      <w:r w:rsidR="0036222D" w:rsidRPr="00D773F7">
        <w:rPr>
          <w:rFonts w:asciiTheme="majorBidi" w:hAnsiTheme="majorBidi" w:cstheme="majorBidi"/>
          <w:iCs/>
        </w:rPr>
        <w:t>category 1A.</w:t>
      </w:r>
    </w:p>
    <w:p w14:paraId="6C08EEAB" w14:textId="77777777" w:rsidR="007F4FEC" w:rsidRPr="00D773F7" w:rsidRDefault="007F4FEC" w:rsidP="002F742C">
      <w:pPr>
        <w:pStyle w:val="SingleTxtG"/>
        <w:ind w:left="2268"/>
        <w:rPr>
          <w:rFonts w:asciiTheme="majorBidi" w:hAnsiTheme="majorBidi" w:cstheme="majorBidi"/>
          <w:bCs/>
        </w:rPr>
      </w:pPr>
      <w:r w:rsidRPr="00D773F7">
        <w:rPr>
          <w:rFonts w:asciiTheme="majorBidi" w:hAnsiTheme="majorBidi" w:cstheme="majorBidi"/>
          <w:bCs/>
        </w:rPr>
        <w:t>3.4.5.3.6</w:t>
      </w:r>
      <w:r w:rsidRPr="00D773F7">
        <w:rPr>
          <w:rFonts w:asciiTheme="majorBidi" w:hAnsiTheme="majorBidi" w:cstheme="majorBidi"/>
          <w:bCs/>
        </w:rPr>
        <w:tab/>
      </w:r>
      <w:r w:rsidRPr="00D773F7">
        <w:rPr>
          <w:rFonts w:asciiTheme="majorBidi" w:hAnsiTheme="majorBidi" w:cstheme="majorBidi"/>
          <w:bCs/>
          <w:i/>
          <w:iCs/>
        </w:rPr>
        <w:t>Guidance on the use of</w:t>
      </w:r>
      <w:r w:rsidRPr="00D773F7">
        <w:rPr>
          <w:rFonts w:asciiTheme="majorBidi" w:hAnsiTheme="majorBidi" w:cstheme="majorBidi"/>
          <w:bCs/>
        </w:rPr>
        <w:t xml:space="preserve"> non-standard data</w:t>
      </w:r>
    </w:p>
    <w:p w14:paraId="2DB8F954" w14:textId="60FF1B63" w:rsidR="007F4FEC" w:rsidRPr="00D773F7" w:rsidRDefault="007F4FEC" w:rsidP="002F742C">
      <w:pPr>
        <w:pStyle w:val="SingleTxtG"/>
        <w:ind w:left="2268"/>
        <w:rPr>
          <w:rFonts w:asciiTheme="majorBidi" w:hAnsiTheme="majorBidi" w:cstheme="majorBidi"/>
        </w:rPr>
      </w:pPr>
      <w:r w:rsidRPr="00D773F7">
        <w:rPr>
          <w:rFonts w:asciiTheme="majorBidi" w:hAnsiTheme="majorBidi" w:cstheme="majorBidi"/>
          <w:bCs/>
        </w:rPr>
        <w:t>3.4.5.3.6.1</w:t>
      </w:r>
      <w:r w:rsidRPr="00D773F7">
        <w:rPr>
          <w:rFonts w:asciiTheme="majorBidi" w:hAnsiTheme="majorBidi" w:cstheme="majorBidi"/>
        </w:rPr>
        <w:tab/>
        <w:t xml:space="preserve">Validated but not yet adopted </w:t>
      </w:r>
      <w:r w:rsidRPr="00D773F7">
        <w:rPr>
          <w:rFonts w:asciiTheme="majorBidi" w:hAnsiTheme="majorBidi" w:cstheme="majorBidi"/>
          <w:i/>
        </w:rPr>
        <w:t>in</w:t>
      </w:r>
      <w:r w:rsidRPr="00D773F7">
        <w:rPr>
          <w:rFonts w:asciiTheme="majorBidi" w:hAnsiTheme="majorBidi" w:cstheme="majorBidi"/>
        </w:rPr>
        <w:t xml:space="preserve"> </w:t>
      </w:r>
      <w:proofErr w:type="spellStart"/>
      <w:r w:rsidRPr="00074140">
        <w:rPr>
          <w:rFonts w:asciiTheme="majorBidi" w:hAnsiTheme="majorBidi" w:cstheme="majorBidi"/>
          <w:i/>
          <w:iCs/>
        </w:rPr>
        <w:t>chemico</w:t>
      </w:r>
      <w:proofErr w:type="spellEnd"/>
      <w:r w:rsidRPr="00D773F7">
        <w:rPr>
          <w:rFonts w:asciiTheme="majorBidi" w:hAnsiTheme="majorBidi" w:cstheme="majorBidi"/>
          <w:i/>
          <w:iCs/>
        </w:rPr>
        <w:t>/</w:t>
      </w:r>
      <w:r w:rsidRPr="00D773F7">
        <w:rPr>
          <w:rFonts w:asciiTheme="majorBidi" w:hAnsiTheme="majorBidi" w:cstheme="majorBidi"/>
        </w:rPr>
        <w:t>in vitro methods such as those reported under 3.4.5.3.6.</w:t>
      </w:r>
      <w:r w:rsidR="00717CF7" w:rsidRPr="00D773F7">
        <w:rPr>
          <w:rFonts w:asciiTheme="majorBidi" w:hAnsiTheme="majorBidi" w:cstheme="majorBidi"/>
        </w:rPr>
        <w:t>2</w:t>
      </w:r>
      <w:r w:rsidRPr="00D773F7">
        <w:rPr>
          <w:rFonts w:asciiTheme="majorBidi" w:hAnsiTheme="majorBidi" w:cstheme="majorBidi"/>
        </w:rPr>
        <w:t xml:space="preserve"> as well as </w:t>
      </w:r>
      <w:r w:rsidR="00E12303" w:rsidRPr="00D773F7">
        <w:rPr>
          <w:rFonts w:asciiTheme="majorBidi" w:hAnsiTheme="majorBidi" w:cstheme="majorBidi"/>
          <w:i/>
        </w:rPr>
        <w:t>in vivo</w:t>
      </w:r>
      <w:r w:rsidRPr="00D773F7">
        <w:rPr>
          <w:rFonts w:asciiTheme="majorBidi" w:hAnsiTheme="majorBidi" w:cstheme="majorBidi"/>
        </w:rPr>
        <w:t xml:space="preserve"> test methods which do not comply with internationally agreed guidelines for the identification of skin sensitizers or </w:t>
      </w:r>
      <w:r w:rsidR="00717CF7" w:rsidRPr="00D773F7">
        <w:rPr>
          <w:rFonts w:asciiTheme="majorBidi" w:hAnsiTheme="majorBidi" w:cstheme="majorBidi"/>
        </w:rPr>
        <w:t xml:space="preserve">the </w:t>
      </w:r>
      <w:r w:rsidRPr="00D773F7">
        <w:rPr>
          <w:rFonts w:asciiTheme="majorBidi" w:hAnsiTheme="majorBidi" w:cstheme="majorBidi"/>
        </w:rPr>
        <w:t>assessment of skin sensiti</w:t>
      </w:r>
      <w:r w:rsidR="00E358DB" w:rsidRPr="00D773F7">
        <w:rPr>
          <w:rFonts w:asciiTheme="majorBidi" w:hAnsiTheme="majorBidi" w:cstheme="majorBidi"/>
        </w:rPr>
        <w:t>z</w:t>
      </w:r>
      <w:r w:rsidRPr="00D773F7">
        <w:rPr>
          <w:rFonts w:asciiTheme="majorBidi" w:hAnsiTheme="majorBidi" w:cstheme="majorBidi"/>
        </w:rPr>
        <w:t>ing potency may provide supportive evidence when used in an overall weight</w:t>
      </w:r>
      <w:r w:rsidR="0021488E" w:rsidRPr="00D773F7">
        <w:rPr>
          <w:rFonts w:asciiTheme="majorBidi" w:hAnsiTheme="majorBidi" w:cstheme="majorBidi"/>
        </w:rPr>
        <w:t xml:space="preserve"> </w:t>
      </w:r>
      <w:r w:rsidRPr="00D773F7">
        <w:rPr>
          <w:rFonts w:asciiTheme="majorBidi" w:hAnsiTheme="majorBidi" w:cstheme="majorBidi"/>
        </w:rPr>
        <w:t>of</w:t>
      </w:r>
      <w:r w:rsidR="0021488E" w:rsidRPr="00D773F7">
        <w:rPr>
          <w:rFonts w:asciiTheme="majorBidi" w:hAnsiTheme="majorBidi" w:cstheme="majorBidi"/>
        </w:rPr>
        <w:t xml:space="preserve"> </w:t>
      </w:r>
      <w:r w:rsidRPr="00D773F7">
        <w:rPr>
          <w:rFonts w:asciiTheme="majorBidi" w:hAnsiTheme="majorBidi" w:cstheme="majorBidi"/>
        </w:rPr>
        <w:t xml:space="preserve">evidence assessment (i.e. </w:t>
      </w:r>
      <w:r w:rsidR="00FC4913" w:rsidRPr="00D773F7">
        <w:rPr>
          <w:rFonts w:asciiTheme="majorBidi" w:hAnsiTheme="majorBidi" w:cstheme="majorBidi"/>
        </w:rPr>
        <w:t>t</w:t>
      </w:r>
      <w:r w:rsidRPr="00D773F7">
        <w:rPr>
          <w:rFonts w:asciiTheme="majorBidi" w:hAnsiTheme="majorBidi" w:cstheme="majorBidi"/>
        </w:rPr>
        <w:t xml:space="preserve">ier 3). </w:t>
      </w:r>
    </w:p>
    <w:p w14:paraId="2C41D1E0" w14:textId="77777777" w:rsidR="007F4FEC" w:rsidRPr="00D773F7" w:rsidRDefault="007F4FEC" w:rsidP="002F742C">
      <w:pPr>
        <w:pStyle w:val="SingleTxtG"/>
        <w:ind w:left="2268"/>
        <w:rPr>
          <w:rFonts w:asciiTheme="majorBidi" w:hAnsiTheme="majorBidi" w:cstheme="majorBidi"/>
        </w:rPr>
      </w:pPr>
      <w:r w:rsidRPr="00D773F7">
        <w:rPr>
          <w:rFonts w:asciiTheme="majorBidi" w:hAnsiTheme="majorBidi" w:cstheme="majorBidi"/>
        </w:rPr>
        <w:t>3.4.5.3.6.2</w:t>
      </w:r>
      <w:r w:rsidRPr="00D773F7">
        <w:rPr>
          <w:rFonts w:asciiTheme="majorBidi" w:hAnsiTheme="majorBidi" w:cstheme="majorBidi"/>
        </w:rPr>
        <w:tab/>
        <w:t xml:space="preserve">A non-exhaustive list of other validated </w:t>
      </w:r>
      <w:r w:rsidRPr="00D773F7">
        <w:rPr>
          <w:rFonts w:asciiTheme="majorBidi" w:hAnsiTheme="majorBidi" w:cstheme="majorBidi"/>
          <w:i/>
        </w:rPr>
        <w:t>in</w:t>
      </w:r>
      <w:r w:rsidRPr="00D773F7">
        <w:rPr>
          <w:rFonts w:asciiTheme="majorBidi" w:hAnsiTheme="majorBidi" w:cstheme="majorBidi"/>
        </w:rPr>
        <w:t xml:space="preserve"> </w:t>
      </w:r>
      <w:proofErr w:type="spellStart"/>
      <w:r w:rsidRPr="00D773F7">
        <w:rPr>
          <w:rFonts w:asciiTheme="majorBidi" w:hAnsiTheme="majorBidi" w:cstheme="majorBidi"/>
          <w:i/>
          <w:iCs/>
        </w:rPr>
        <w:t>chemico</w:t>
      </w:r>
      <w:proofErr w:type="spellEnd"/>
      <w:r w:rsidRPr="00D773F7">
        <w:rPr>
          <w:rFonts w:asciiTheme="majorBidi" w:hAnsiTheme="majorBidi" w:cstheme="majorBidi"/>
          <w:i/>
          <w:iCs/>
        </w:rPr>
        <w:t>/</w:t>
      </w:r>
      <w:r w:rsidRPr="00D773F7">
        <w:rPr>
          <w:rFonts w:asciiTheme="majorBidi" w:hAnsiTheme="majorBidi" w:cstheme="majorBidi"/>
        </w:rPr>
        <w:t>in vitro test methods accepted by some competent authorities but not adopted as OECD test guidelines is provided below. A competent authority may decide which classification criteria, if any, should be applied for these test methods:</w:t>
      </w:r>
    </w:p>
    <w:p w14:paraId="741D475A" w14:textId="77777777" w:rsidR="007F4FEC" w:rsidRPr="00D773F7" w:rsidRDefault="007F4FEC" w:rsidP="007F4FEC">
      <w:pPr>
        <w:spacing w:after="120"/>
        <w:ind w:left="2835" w:right="1134" w:hanging="567"/>
        <w:jc w:val="both"/>
        <w:rPr>
          <w:rFonts w:asciiTheme="majorBidi" w:hAnsiTheme="majorBidi" w:cstheme="majorBidi"/>
        </w:rPr>
      </w:pPr>
      <w:r w:rsidRPr="00D773F7">
        <w:rPr>
          <w:rFonts w:asciiTheme="majorBidi" w:hAnsiTheme="majorBidi" w:cstheme="majorBidi"/>
        </w:rPr>
        <w:t>(a)</w:t>
      </w:r>
      <w:r w:rsidRPr="00D773F7">
        <w:rPr>
          <w:rFonts w:asciiTheme="majorBidi" w:hAnsiTheme="majorBidi" w:cstheme="majorBidi"/>
        </w:rPr>
        <w:tab/>
        <w:t xml:space="preserve">The Genomic Allergen Rapid Detection (GARD) potency is a transcriptomics-based in vitro assay addressing the third key event of the skin sensitization Adverse Outcome Pathway (activation of dendritic cells) similar to the </w:t>
      </w:r>
      <w:proofErr w:type="spellStart"/>
      <w:r w:rsidRPr="00D773F7">
        <w:rPr>
          <w:rFonts w:asciiTheme="majorBidi" w:hAnsiTheme="majorBidi" w:cstheme="majorBidi"/>
        </w:rPr>
        <w:t>GARDskin</w:t>
      </w:r>
      <w:proofErr w:type="spellEnd"/>
      <w:r w:rsidRPr="00D773F7">
        <w:rPr>
          <w:rFonts w:asciiTheme="majorBidi" w:hAnsiTheme="majorBidi" w:cstheme="majorBidi"/>
        </w:rPr>
        <w:t xml:space="preserve"> but uses a different gene signature that provides sub-categorization of skin sensitizers (Gradin et al., 2020; Zeller et al., 2017; </w:t>
      </w:r>
      <w:proofErr w:type="spellStart"/>
      <w:r w:rsidRPr="00D773F7">
        <w:rPr>
          <w:rFonts w:asciiTheme="majorBidi" w:hAnsiTheme="majorBidi" w:cstheme="majorBidi"/>
        </w:rPr>
        <w:t>Corsini</w:t>
      </w:r>
      <w:proofErr w:type="spellEnd"/>
      <w:r w:rsidRPr="00D773F7">
        <w:rPr>
          <w:rFonts w:asciiTheme="majorBidi" w:hAnsiTheme="majorBidi" w:cstheme="majorBidi"/>
        </w:rPr>
        <w:t xml:space="preserve"> et al. 2021).</w:t>
      </w:r>
    </w:p>
    <w:p w14:paraId="224744C1" w14:textId="39257F88" w:rsidR="007F4FEC" w:rsidRPr="00D773F7" w:rsidRDefault="007F4FEC" w:rsidP="00FF5260">
      <w:pPr>
        <w:spacing w:after="120"/>
        <w:ind w:left="2835" w:right="1134" w:hanging="567"/>
        <w:jc w:val="both"/>
        <w:rPr>
          <w:rFonts w:asciiTheme="majorBidi" w:hAnsiTheme="majorBidi" w:cstheme="majorBidi"/>
        </w:rPr>
      </w:pPr>
      <w:r w:rsidRPr="00D773F7">
        <w:rPr>
          <w:rFonts w:asciiTheme="majorBidi" w:hAnsiTheme="majorBidi" w:cstheme="majorBidi"/>
        </w:rPr>
        <w:t>(b)</w:t>
      </w:r>
      <w:r w:rsidRPr="00D773F7">
        <w:rPr>
          <w:rFonts w:asciiTheme="majorBidi" w:hAnsiTheme="majorBidi" w:cstheme="majorBidi"/>
        </w:rPr>
        <w:tab/>
        <w:t>The SENS-IS assay is a genomic approach applied to a Reconstructed Human Epidermis (</w:t>
      </w:r>
      <w:proofErr w:type="spellStart"/>
      <w:r w:rsidR="002A72A9" w:rsidRPr="00D773F7">
        <w:rPr>
          <w:rFonts w:asciiTheme="majorBidi" w:hAnsiTheme="majorBidi" w:cstheme="majorBidi"/>
        </w:rPr>
        <w:t>RhE</w:t>
      </w:r>
      <w:proofErr w:type="spellEnd"/>
      <w:r w:rsidRPr="00D773F7">
        <w:rPr>
          <w:rFonts w:asciiTheme="majorBidi" w:hAnsiTheme="majorBidi" w:cstheme="majorBidi"/>
        </w:rPr>
        <w:t>) (</w:t>
      </w:r>
      <w:proofErr w:type="spellStart"/>
      <w:r w:rsidRPr="00D773F7">
        <w:rPr>
          <w:rFonts w:asciiTheme="majorBidi" w:hAnsiTheme="majorBidi" w:cstheme="majorBidi"/>
        </w:rPr>
        <w:t>Cottrez</w:t>
      </w:r>
      <w:proofErr w:type="spellEnd"/>
      <w:r w:rsidRPr="00D773F7">
        <w:rPr>
          <w:rFonts w:asciiTheme="majorBidi" w:hAnsiTheme="majorBidi" w:cstheme="majorBidi"/>
        </w:rPr>
        <w:t xml:space="preserve"> et al., 2015; </w:t>
      </w:r>
      <w:proofErr w:type="spellStart"/>
      <w:r w:rsidRPr="00D773F7">
        <w:rPr>
          <w:rFonts w:asciiTheme="majorBidi" w:hAnsiTheme="majorBidi" w:cstheme="majorBidi"/>
        </w:rPr>
        <w:t>Cottrez</w:t>
      </w:r>
      <w:proofErr w:type="spellEnd"/>
      <w:r w:rsidRPr="00D773F7">
        <w:rPr>
          <w:rFonts w:asciiTheme="majorBidi" w:hAnsiTheme="majorBidi" w:cstheme="majorBidi"/>
        </w:rPr>
        <w:t xml:space="preserve"> et al., 2016).</w:t>
      </w:r>
    </w:p>
    <w:p w14:paraId="232559BC" w14:textId="7F33314A" w:rsidR="007F4FEC" w:rsidRPr="00D773F7" w:rsidRDefault="007F4FEC" w:rsidP="00001943">
      <w:pPr>
        <w:spacing w:after="240" w:line="240" w:lineRule="auto"/>
        <w:ind w:left="2835" w:right="1134" w:hanging="567"/>
        <w:jc w:val="both"/>
        <w:rPr>
          <w:rFonts w:asciiTheme="majorBidi" w:hAnsiTheme="majorBidi" w:cstheme="majorBidi"/>
        </w:rPr>
      </w:pPr>
      <w:r w:rsidRPr="00D773F7">
        <w:rPr>
          <w:rFonts w:asciiTheme="majorBidi" w:hAnsiTheme="majorBidi" w:cstheme="majorBidi"/>
        </w:rPr>
        <w:t>(c)</w:t>
      </w:r>
      <w:r w:rsidRPr="00D773F7">
        <w:rPr>
          <w:rFonts w:asciiTheme="majorBidi" w:hAnsiTheme="majorBidi" w:cstheme="majorBidi"/>
        </w:rPr>
        <w:tab/>
        <w:t>The Epidermal Sensitization Assay (</w:t>
      </w:r>
      <w:proofErr w:type="spellStart"/>
      <w:r w:rsidRPr="00D773F7">
        <w:rPr>
          <w:rFonts w:asciiTheme="majorBidi" w:hAnsiTheme="majorBidi" w:cstheme="majorBidi"/>
        </w:rPr>
        <w:t>EpisensA</w:t>
      </w:r>
      <w:proofErr w:type="spellEnd"/>
      <w:r w:rsidRPr="00D773F7">
        <w:rPr>
          <w:rFonts w:asciiTheme="majorBidi" w:hAnsiTheme="majorBidi" w:cstheme="majorBidi"/>
        </w:rPr>
        <w:t>) is based on the measurement of the upregulation of four genes in a reconstructed human epidermis (</w:t>
      </w:r>
      <w:proofErr w:type="spellStart"/>
      <w:r w:rsidRPr="00D773F7">
        <w:rPr>
          <w:rFonts w:asciiTheme="majorBidi" w:hAnsiTheme="majorBidi" w:cstheme="majorBidi"/>
        </w:rPr>
        <w:t>RhE</w:t>
      </w:r>
      <w:proofErr w:type="spellEnd"/>
      <w:r w:rsidRPr="00D773F7">
        <w:rPr>
          <w:rFonts w:asciiTheme="majorBidi" w:hAnsiTheme="majorBidi" w:cstheme="majorBidi"/>
        </w:rPr>
        <w:t>) to discriminate between sensiti</w:t>
      </w:r>
      <w:r w:rsidR="00E358DB" w:rsidRPr="00D773F7">
        <w:rPr>
          <w:rFonts w:asciiTheme="majorBidi" w:hAnsiTheme="majorBidi" w:cstheme="majorBidi"/>
        </w:rPr>
        <w:t>z</w:t>
      </w:r>
      <w:r w:rsidRPr="00D773F7">
        <w:rPr>
          <w:rFonts w:asciiTheme="majorBidi" w:hAnsiTheme="majorBidi" w:cstheme="majorBidi"/>
        </w:rPr>
        <w:t>ers and non-sensiti</w:t>
      </w:r>
      <w:r w:rsidR="00E358DB" w:rsidRPr="00D773F7">
        <w:rPr>
          <w:rFonts w:asciiTheme="majorBidi" w:hAnsiTheme="majorBidi" w:cstheme="majorBidi"/>
        </w:rPr>
        <w:t>z</w:t>
      </w:r>
      <w:r w:rsidRPr="00D773F7">
        <w:rPr>
          <w:rFonts w:asciiTheme="majorBidi" w:hAnsiTheme="majorBidi" w:cstheme="majorBidi"/>
        </w:rPr>
        <w:t>ers (Saito et al., 2017).</w:t>
      </w:r>
    </w:p>
    <w:p w14:paraId="555B8790" w14:textId="38756FBD" w:rsidR="0023290B" w:rsidRPr="00D773F7" w:rsidRDefault="0023290B" w:rsidP="002F742C">
      <w:pPr>
        <w:pStyle w:val="SingleTxtG"/>
        <w:ind w:left="2268"/>
        <w:rPr>
          <w:rFonts w:asciiTheme="majorBidi" w:hAnsiTheme="majorBidi" w:cstheme="majorBidi"/>
          <w:i/>
          <w:iCs/>
        </w:rPr>
      </w:pPr>
      <w:r w:rsidRPr="00D773F7">
        <w:rPr>
          <w:rFonts w:asciiTheme="majorBidi" w:hAnsiTheme="majorBidi" w:cstheme="majorBidi"/>
        </w:rPr>
        <w:t>3.4.5.3.7</w:t>
      </w:r>
      <w:r w:rsidRPr="00D773F7">
        <w:rPr>
          <w:rFonts w:asciiTheme="majorBidi" w:hAnsiTheme="majorBidi" w:cstheme="majorBidi"/>
        </w:rPr>
        <w:tab/>
      </w:r>
      <w:r w:rsidRPr="00D773F7">
        <w:rPr>
          <w:rFonts w:asciiTheme="majorBidi" w:hAnsiTheme="majorBidi" w:cstheme="majorBidi"/>
          <w:i/>
          <w:iCs/>
        </w:rPr>
        <w:t>Guidance on the weight of evidence assessment for classifying substances and mixtures for skin sensitization</w:t>
      </w:r>
    </w:p>
    <w:p w14:paraId="336C91F4" w14:textId="69F6F1CB" w:rsidR="0023290B" w:rsidRPr="00D773F7" w:rsidRDefault="0023290B" w:rsidP="002F742C">
      <w:pPr>
        <w:pStyle w:val="SingleTxtG"/>
        <w:ind w:left="2268"/>
        <w:rPr>
          <w:rFonts w:asciiTheme="majorBidi" w:hAnsiTheme="majorBidi" w:cstheme="majorBidi"/>
        </w:rPr>
      </w:pPr>
      <w:r w:rsidRPr="00D773F7">
        <w:rPr>
          <w:rFonts w:asciiTheme="majorBidi" w:hAnsiTheme="majorBidi" w:cstheme="majorBidi"/>
        </w:rPr>
        <w:t>3.4.5.3.7.1</w:t>
      </w:r>
      <w:r w:rsidRPr="00D773F7">
        <w:rPr>
          <w:rFonts w:asciiTheme="majorBidi" w:hAnsiTheme="majorBidi" w:cstheme="majorBidi"/>
        </w:rPr>
        <w:tab/>
        <w:t xml:space="preserve">There may be situations where results from tests and/or non-test methods are available but disagree with each other with respect to the classification.  In these situations, the tiered approach to classification for skin sensitization requires a weight of evidence assessment consistent with the </w:t>
      </w:r>
      <w:r w:rsidRPr="00D773F7">
        <w:rPr>
          <w:rFonts w:asciiTheme="majorBidi" w:hAnsiTheme="majorBidi" w:cstheme="majorBidi"/>
        </w:rPr>
        <w:lastRenderedPageBreak/>
        <w:t>principles elaborated in sections 1.3.2.4.2 and 1.3.2.4.9 on test data quality and weight of evidence, respectively. In addition, some guidance on the weight of evidence assessment specific for skin sensiti</w:t>
      </w:r>
      <w:r w:rsidR="00E53D39" w:rsidRPr="00D773F7">
        <w:rPr>
          <w:rFonts w:asciiTheme="majorBidi" w:hAnsiTheme="majorBidi" w:cstheme="majorBidi"/>
        </w:rPr>
        <w:t>z</w:t>
      </w:r>
      <w:r w:rsidRPr="00D773F7">
        <w:rPr>
          <w:rFonts w:asciiTheme="majorBidi" w:hAnsiTheme="majorBidi" w:cstheme="majorBidi"/>
        </w:rPr>
        <w:t xml:space="preserve">ation is provided below which can be applied when the general principles do not result in a conclusion on the classification.  It should be noted that human and animal results for a substance obtained at low concentrations may still be informative for classifying a mixture containing the substance at similar or lower concentrations.  </w:t>
      </w:r>
    </w:p>
    <w:p w14:paraId="67281408" w14:textId="77777777" w:rsidR="0023290B" w:rsidRPr="00D773F7" w:rsidRDefault="0023290B" w:rsidP="002F742C">
      <w:pPr>
        <w:pStyle w:val="SingleTxtG"/>
        <w:tabs>
          <w:tab w:val="clear" w:pos="1701"/>
        </w:tabs>
        <w:ind w:left="2268"/>
        <w:rPr>
          <w:rFonts w:asciiTheme="majorBidi" w:hAnsiTheme="majorBidi" w:cstheme="majorBidi"/>
        </w:rPr>
      </w:pPr>
      <w:r w:rsidRPr="00D773F7">
        <w:rPr>
          <w:rFonts w:asciiTheme="majorBidi" w:hAnsiTheme="majorBidi" w:cstheme="majorBidi"/>
        </w:rPr>
        <w:t>3.4.5.3.7.2</w:t>
      </w:r>
      <w:r w:rsidRPr="00D773F7">
        <w:rPr>
          <w:rFonts w:asciiTheme="majorBidi" w:hAnsiTheme="majorBidi" w:cstheme="majorBidi"/>
        </w:rPr>
        <w:tab/>
        <w:t>Mutual compatibility of study results</w:t>
      </w:r>
    </w:p>
    <w:p w14:paraId="0795614F" w14:textId="37C310B9" w:rsidR="0023290B" w:rsidRPr="00D773F7" w:rsidRDefault="0023290B" w:rsidP="002F742C">
      <w:pPr>
        <w:pStyle w:val="SingleTxtG"/>
        <w:tabs>
          <w:tab w:val="clear" w:pos="1701"/>
        </w:tabs>
        <w:ind w:left="2268"/>
        <w:rPr>
          <w:rFonts w:asciiTheme="majorBidi" w:hAnsiTheme="majorBidi" w:cstheme="majorBidi"/>
        </w:rPr>
      </w:pPr>
      <w:r w:rsidRPr="00D773F7">
        <w:rPr>
          <w:rFonts w:asciiTheme="majorBidi" w:hAnsiTheme="majorBidi" w:cstheme="majorBidi"/>
        </w:rPr>
        <w:t xml:space="preserve">3.4.5.3.7.2.1 </w:t>
      </w:r>
      <w:r w:rsidRPr="00D773F7">
        <w:rPr>
          <w:rFonts w:asciiTheme="majorBidi" w:hAnsiTheme="majorBidi" w:cstheme="majorBidi"/>
        </w:rPr>
        <w:tab/>
        <w:t xml:space="preserve">In cases where results are in disagreement with each other (e.g., not classified </w:t>
      </w:r>
      <w:r w:rsidR="00364431" w:rsidRPr="00D773F7">
        <w:rPr>
          <w:rFonts w:asciiTheme="majorBidi" w:hAnsiTheme="majorBidi" w:cstheme="majorBidi"/>
        </w:rPr>
        <w:t>versus</w:t>
      </w:r>
      <w:r w:rsidRPr="00D773F7">
        <w:rPr>
          <w:rFonts w:asciiTheme="majorBidi" w:hAnsiTheme="majorBidi" w:cstheme="majorBidi"/>
        </w:rPr>
        <w:t xml:space="preserve"> </w:t>
      </w:r>
      <w:r w:rsidR="00F16FD6" w:rsidRPr="00D773F7">
        <w:rPr>
          <w:rFonts w:asciiTheme="majorBidi" w:hAnsiTheme="majorBidi" w:cstheme="majorBidi"/>
        </w:rPr>
        <w:t xml:space="preserve">Category </w:t>
      </w:r>
      <w:r w:rsidRPr="00D773F7">
        <w:rPr>
          <w:rFonts w:asciiTheme="majorBidi" w:hAnsiTheme="majorBidi" w:cstheme="majorBidi"/>
        </w:rPr>
        <w:t xml:space="preserve">1, sub-category 1A or 1B; sub-category 1A </w:t>
      </w:r>
      <w:r w:rsidR="00364431" w:rsidRPr="00D773F7">
        <w:rPr>
          <w:rFonts w:asciiTheme="majorBidi" w:hAnsiTheme="majorBidi" w:cstheme="majorBidi"/>
        </w:rPr>
        <w:t>versus</w:t>
      </w:r>
      <w:r w:rsidRPr="00D773F7">
        <w:rPr>
          <w:rFonts w:asciiTheme="majorBidi" w:hAnsiTheme="majorBidi" w:cstheme="majorBidi"/>
        </w:rPr>
        <w:t xml:space="preserve"> 1B), a weight of evidence assessment becomes necessary.  However, less obvious situations may also occur such as where certain studies may point to not classified or sub-category 1B, while it cannot be excluded that a stricter classification might have resulted under a different dosing regime. For example, a negative HMT result at a dose per skin area of 100 µg/cm</w:t>
      </w:r>
      <w:r w:rsidRPr="00D773F7">
        <w:rPr>
          <w:rFonts w:asciiTheme="majorBidi" w:hAnsiTheme="majorBidi" w:cstheme="majorBidi"/>
          <w:vertAlign w:val="superscript"/>
        </w:rPr>
        <w:t>2</w:t>
      </w:r>
      <w:r w:rsidRPr="00D773F7">
        <w:rPr>
          <w:rFonts w:asciiTheme="majorBidi" w:hAnsiTheme="majorBidi" w:cstheme="majorBidi"/>
        </w:rPr>
        <w:t xml:space="preserve"> cannot exclude that a positive result might have been obtained at e.g., 300 µg/cm</w:t>
      </w:r>
      <w:r w:rsidRPr="00D773F7">
        <w:rPr>
          <w:rFonts w:asciiTheme="majorBidi" w:hAnsiTheme="majorBidi" w:cstheme="majorBidi"/>
          <w:vertAlign w:val="superscript"/>
        </w:rPr>
        <w:t>2</w:t>
      </w:r>
      <w:r w:rsidRPr="00D773F7">
        <w:rPr>
          <w:rFonts w:asciiTheme="majorBidi" w:hAnsiTheme="majorBidi" w:cstheme="majorBidi"/>
        </w:rPr>
        <w:t xml:space="preserve"> </w:t>
      </w:r>
      <w:r w:rsidR="003574B3">
        <w:rPr>
          <w:rFonts w:asciiTheme="majorBidi" w:hAnsiTheme="majorBidi" w:cstheme="majorBidi"/>
        </w:rPr>
        <w:br/>
      </w:r>
      <w:r w:rsidRPr="00D773F7">
        <w:rPr>
          <w:rFonts w:asciiTheme="majorBidi" w:hAnsiTheme="majorBidi" w:cstheme="majorBidi"/>
        </w:rPr>
        <w:t>(sub-category 1A) or 700</w:t>
      </w:r>
      <w:r w:rsidR="00CE0013" w:rsidRPr="00D773F7">
        <w:rPr>
          <w:rFonts w:asciiTheme="majorBidi" w:hAnsiTheme="majorBidi" w:cstheme="majorBidi"/>
        </w:rPr>
        <w:t> </w:t>
      </w:r>
      <w:r w:rsidRPr="00D773F7">
        <w:rPr>
          <w:rFonts w:asciiTheme="majorBidi" w:hAnsiTheme="majorBidi" w:cstheme="majorBidi"/>
        </w:rPr>
        <w:t>µg/cm</w:t>
      </w:r>
      <w:r w:rsidRPr="00D773F7">
        <w:rPr>
          <w:rFonts w:asciiTheme="majorBidi" w:hAnsiTheme="majorBidi" w:cstheme="majorBidi"/>
          <w:vertAlign w:val="superscript"/>
        </w:rPr>
        <w:t>2</w:t>
      </w:r>
      <w:r w:rsidRPr="00D773F7">
        <w:rPr>
          <w:rFonts w:asciiTheme="majorBidi" w:hAnsiTheme="majorBidi" w:cstheme="majorBidi"/>
        </w:rPr>
        <w:t xml:space="preserve"> (sub-category 1B). The same holds for LLNA test results obtained from tests which have not been carried out using the highest possible test concentration (see OECD </w:t>
      </w:r>
      <w:r w:rsidR="00322BAE" w:rsidRPr="00D773F7">
        <w:rPr>
          <w:rFonts w:asciiTheme="majorBidi" w:hAnsiTheme="majorBidi" w:cstheme="majorBidi"/>
        </w:rPr>
        <w:t xml:space="preserve">Test Guideline </w:t>
      </w:r>
      <w:r w:rsidRPr="00D773F7">
        <w:rPr>
          <w:rFonts w:asciiTheme="majorBidi" w:hAnsiTheme="majorBidi" w:cstheme="majorBidi"/>
        </w:rPr>
        <w:t>429 for details).</w:t>
      </w:r>
    </w:p>
    <w:p w14:paraId="08C2C47B" w14:textId="77777777" w:rsidR="0023290B" w:rsidRPr="00D773F7" w:rsidRDefault="0023290B" w:rsidP="002F742C">
      <w:pPr>
        <w:pStyle w:val="SingleTxtG"/>
        <w:tabs>
          <w:tab w:val="clear" w:pos="1701"/>
        </w:tabs>
        <w:ind w:left="2268"/>
        <w:rPr>
          <w:rFonts w:asciiTheme="majorBidi" w:hAnsiTheme="majorBidi" w:cstheme="majorBidi"/>
        </w:rPr>
      </w:pPr>
      <w:r w:rsidRPr="00D773F7">
        <w:rPr>
          <w:rFonts w:asciiTheme="majorBidi" w:hAnsiTheme="majorBidi" w:cstheme="majorBidi"/>
        </w:rPr>
        <w:t>3.4.5.3.7.2.2</w:t>
      </w:r>
      <w:r w:rsidRPr="00D773F7">
        <w:rPr>
          <w:rFonts w:asciiTheme="majorBidi" w:hAnsiTheme="majorBidi" w:cstheme="majorBidi"/>
        </w:rPr>
        <w:tab/>
        <w:t>In the following ambiguous cases, study results for substances and mixtures would not be in disagreement with another study result pointing at that stricter classification:</w:t>
      </w:r>
    </w:p>
    <w:p w14:paraId="32F85FAD" w14:textId="46E1143B" w:rsidR="0023290B" w:rsidRPr="00D773F7" w:rsidRDefault="0023290B" w:rsidP="00AA6668">
      <w:pPr>
        <w:pStyle w:val="SingleTxtG"/>
        <w:tabs>
          <w:tab w:val="clear" w:pos="1701"/>
          <w:tab w:val="clear" w:pos="2268"/>
          <w:tab w:val="clear" w:pos="2835"/>
        </w:tabs>
        <w:ind w:left="2835" w:hanging="567"/>
        <w:rPr>
          <w:rFonts w:asciiTheme="majorBidi" w:hAnsiTheme="majorBidi" w:cstheme="majorBidi"/>
        </w:rPr>
      </w:pPr>
      <w:r w:rsidRPr="00D773F7">
        <w:rPr>
          <w:rFonts w:asciiTheme="majorBidi" w:hAnsiTheme="majorBidi" w:cstheme="majorBidi"/>
        </w:rPr>
        <w:t>(a)</w:t>
      </w:r>
      <w:r w:rsidRPr="00D773F7">
        <w:rPr>
          <w:rFonts w:asciiTheme="majorBidi" w:hAnsiTheme="majorBidi" w:cstheme="majorBidi"/>
        </w:rPr>
        <w:tab/>
        <w:t xml:space="preserve">A not classified result obtained at a lower test concentration does not exclude the possibility of a sub-category 1B outcome at a higher test concentration. Therefore, a not classified result obtained at a low concentration is compatible with other not classified outcomes, or with </w:t>
      </w:r>
      <w:r w:rsidR="00322BAE" w:rsidRPr="00D773F7">
        <w:rPr>
          <w:rFonts w:asciiTheme="majorBidi" w:hAnsiTheme="majorBidi" w:cstheme="majorBidi"/>
        </w:rPr>
        <w:t xml:space="preserve">Category </w:t>
      </w:r>
      <w:r w:rsidRPr="00D773F7">
        <w:rPr>
          <w:rFonts w:asciiTheme="majorBidi" w:hAnsiTheme="majorBidi" w:cstheme="majorBidi"/>
        </w:rPr>
        <w:t>1 and sub-category 1B outcomes obtained at higher test concentrations.</w:t>
      </w:r>
    </w:p>
    <w:p w14:paraId="7D7B4423" w14:textId="43D1F606" w:rsidR="0023290B" w:rsidRPr="00D773F7" w:rsidRDefault="0023290B" w:rsidP="00AA6668">
      <w:pPr>
        <w:pStyle w:val="SingleTxtG"/>
        <w:tabs>
          <w:tab w:val="clear" w:pos="1701"/>
          <w:tab w:val="clear" w:pos="2268"/>
          <w:tab w:val="clear" w:pos="2835"/>
        </w:tabs>
        <w:ind w:left="2835" w:hanging="567"/>
        <w:rPr>
          <w:rFonts w:asciiTheme="majorBidi" w:hAnsiTheme="majorBidi" w:cstheme="majorBidi"/>
        </w:rPr>
      </w:pPr>
      <w:r w:rsidRPr="00D773F7">
        <w:rPr>
          <w:rFonts w:asciiTheme="majorBidi" w:hAnsiTheme="majorBidi" w:cstheme="majorBidi"/>
        </w:rPr>
        <w:t>(b)</w:t>
      </w:r>
      <w:r w:rsidRPr="00D773F7">
        <w:rPr>
          <w:rFonts w:asciiTheme="majorBidi" w:hAnsiTheme="majorBidi" w:cstheme="majorBidi"/>
        </w:rPr>
        <w:tab/>
        <w:t xml:space="preserve">A not classified result at a very low-test concentration does not even exclude a possible outcome of sub-category 1A at a higher test concentration. Therefore, a not classified outcome obtained at a very low-test concentration is compatible with all possible classification outcomes (i.e., not classified, </w:t>
      </w:r>
      <w:r w:rsidR="009946CB" w:rsidRPr="00D773F7">
        <w:rPr>
          <w:rFonts w:asciiTheme="majorBidi" w:hAnsiTheme="majorBidi" w:cstheme="majorBidi"/>
        </w:rPr>
        <w:t xml:space="preserve">Category </w:t>
      </w:r>
      <w:r w:rsidRPr="00D773F7">
        <w:rPr>
          <w:rFonts w:asciiTheme="majorBidi" w:hAnsiTheme="majorBidi" w:cstheme="majorBidi"/>
        </w:rPr>
        <w:t xml:space="preserve">1, sub-category 1A or 1B) obtained at higher test concentrations. </w:t>
      </w:r>
    </w:p>
    <w:p w14:paraId="7CF2002D" w14:textId="31BCC7FD" w:rsidR="0023290B" w:rsidRPr="00D773F7" w:rsidRDefault="0023290B" w:rsidP="00AA6668">
      <w:pPr>
        <w:pStyle w:val="SingleTxtG"/>
        <w:tabs>
          <w:tab w:val="clear" w:pos="1701"/>
          <w:tab w:val="clear" w:pos="2268"/>
          <w:tab w:val="clear" w:pos="2835"/>
        </w:tabs>
        <w:ind w:left="2835" w:hanging="567"/>
        <w:rPr>
          <w:rFonts w:asciiTheme="majorBidi" w:hAnsiTheme="majorBidi" w:cstheme="majorBidi"/>
        </w:rPr>
      </w:pPr>
      <w:r w:rsidRPr="00D773F7">
        <w:rPr>
          <w:rFonts w:asciiTheme="majorBidi" w:hAnsiTheme="majorBidi" w:cstheme="majorBidi"/>
        </w:rPr>
        <w:t>(c)</w:t>
      </w:r>
      <w:r w:rsidRPr="00D773F7">
        <w:rPr>
          <w:rFonts w:asciiTheme="majorBidi" w:hAnsiTheme="majorBidi" w:cstheme="majorBidi"/>
        </w:rPr>
        <w:tab/>
        <w:t xml:space="preserve">A sub-category 1B result at a higher test concentration does not exclude a sub-category 1A outcome at a lower test concentration. Therefore, a </w:t>
      </w:r>
      <w:r w:rsidR="009162A1" w:rsidRPr="00D773F7">
        <w:rPr>
          <w:rFonts w:asciiTheme="majorBidi" w:hAnsiTheme="majorBidi" w:cstheme="majorBidi"/>
        </w:rPr>
        <w:t>sub-c</w:t>
      </w:r>
      <w:r w:rsidRPr="00D773F7">
        <w:rPr>
          <w:rFonts w:asciiTheme="majorBidi" w:hAnsiTheme="majorBidi" w:cstheme="majorBidi"/>
        </w:rPr>
        <w:t>ategory 1B classification tested at a high-test concentration is compatible with other outcomes of sub-category 1B, or even sub-category 1A, obtained at lower test concentrations.</w:t>
      </w:r>
    </w:p>
    <w:p w14:paraId="6AFDBC26" w14:textId="68D80ECE" w:rsidR="0023290B" w:rsidRPr="00D773F7" w:rsidRDefault="0023290B" w:rsidP="002F742C">
      <w:pPr>
        <w:pStyle w:val="SingleTxtG"/>
        <w:tabs>
          <w:tab w:val="clear" w:pos="1701"/>
        </w:tabs>
        <w:ind w:left="2268"/>
        <w:rPr>
          <w:rFonts w:asciiTheme="majorBidi" w:hAnsiTheme="majorBidi" w:cstheme="majorBidi"/>
        </w:rPr>
      </w:pPr>
      <w:r w:rsidRPr="00D773F7">
        <w:rPr>
          <w:rFonts w:asciiTheme="majorBidi" w:hAnsiTheme="majorBidi" w:cstheme="majorBidi"/>
        </w:rPr>
        <w:t>3.4.5.3.7.2.3</w:t>
      </w:r>
      <w:r w:rsidRPr="00D773F7">
        <w:rPr>
          <w:rFonts w:asciiTheme="majorBidi" w:hAnsiTheme="majorBidi" w:cstheme="majorBidi"/>
        </w:rPr>
        <w:tab/>
        <w:t>If at least one unambiguous study result allows for sub-categori</w:t>
      </w:r>
      <w:r w:rsidR="00CE0013" w:rsidRPr="00D773F7">
        <w:rPr>
          <w:rFonts w:asciiTheme="majorBidi" w:hAnsiTheme="majorBidi" w:cstheme="majorBidi"/>
        </w:rPr>
        <w:t>z</w:t>
      </w:r>
      <w:r w:rsidRPr="00D773F7">
        <w:rPr>
          <w:rFonts w:asciiTheme="majorBidi" w:hAnsiTheme="majorBidi" w:cstheme="majorBidi"/>
        </w:rPr>
        <w:t>ation of a substance or mixture and all other study results are not in disagreement (see above), then it can be classified into a sub-category.  For example, if all study results are in the same sub-category (i.e., sub-category 1A or 1B), or with at least one study permitting sub-categori</w:t>
      </w:r>
      <w:r w:rsidR="00CE0013" w:rsidRPr="00D773F7">
        <w:rPr>
          <w:rFonts w:asciiTheme="majorBidi" w:hAnsiTheme="majorBidi" w:cstheme="majorBidi"/>
        </w:rPr>
        <w:t>z</w:t>
      </w:r>
      <w:r w:rsidRPr="00D773F7">
        <w:rPr>
          <w:rFonts w:asciiTheme="majorBidi" w:hAnsiTheme="majorBidi" w:cstheme="majorBidi"/>
        </w:rPr>
        <w:t xml:space="preserve">ation (i.e., either sub-category 1A or 1B) and all other studies classified into </w:t>
      </w:r>
      <w:r w:rsidR="00063CDC" w:rsidRPr="00D773F7">
        <w:rPr>
          <w:rFonts w:asciiTheme="majorBidi" w:hAnsiTheme="majorBidi" w:cstheme="majorBidi"/>
        </w:rPr>
        <w:t xml:space="preserve">Category </w:t>
      </w:r>
      <w:r w:rsidRPr="00D773F7">
        <w:rPr>
          <w:rFonts w:asciiTheme="majorBidi" w:hAnsiTheme="majorBidi" w:cstheme="majorBidi"/>
        </w:rPr>
        <w:t>1 without sub-categori</w:t>
      </w:r>
      <w:r w:rsidR="00CE0013" w:rsidRPr="00D773F7">
        <w:rPr>
          <w:rFonts w:asciiTheme="majorBidi" w:hAnsiTheme="majorBidi" w:cstheme="majorBidi"/>
        </w:rPr>
        <w:t>z</w:t>
      </w:r>
      <w:r w:rsidRPr="00D773F7">
        <w:rPr>
          <w:rFonts w:asciiTheme="majorBidi" w:hAnsiTheme="majorBidi" w:cstheme="majorBidi"/>
        </w:rPr>
        <w:t>ation, then the substance or mixture can be sub-categori</w:t>
      </w:r>
      <w:r w:rsidR="00CE0013" w:rsidRPr="00D773F7">
        <w:rPr>
          <w:rFonts w:asciiTheme="majorBidi" w:hAnsiTheme="majorBidi" w:cstheme="majorBidi"/>
        </w:rPr>
        <w:t>z</w:t>
      </w:r>
      <w:r w:rsidRPr="00D773F7">
        <w:rPr>
          <w:rFonts w:asciiTheme="majorBidi" w:hAnsiTheme="majorBidi" w:cstheme="majorBidi"/>
        </w:rPr>
        <w:t>ed.</w:t>
      </w:r>
    </w:p>
    <w:p w14:paraId="2327FD1C" w14:textId="77777777" w:rsidR="0023290B" w:rsidRPr="00D773F7" w:rsidRDefault="0023290B" w:rsidP="002F742C">
      <w:pPr>
        <w:pStyle w:val="SingleTxtG"/>
        <w:tabs>
          <w:tab w:val="clear" w:pos="1701"/>
        </w:tabs>
        <w:ind w:left="2268"/>
        <w:rPr>
          <w:rFonts w:asciiTheme="majorBidi" w:hAnsiTheme="majorBidi" w:cstheme="majorBidi"/>
        </w:rPr>
      </w:pPr>
      <w:r w:rsidRPr="00D773F7">
        <w:rPr>
          <w:rFonts w:asciiTheme="majorBidi" w:hAnsiTheme="majorBidi" w:cstheme="majorBidi"/>
        </w:rPr>
        <w:t>3.4.5.3.7.3</w:t>
      </w:r>
      <w:r w:rsidRPr="00D773F7">
        <w:rPr>
          <w:rFonts w:asciiTheme="majorBidi" w:hAnsiTheme="majorBidi" w:cstheme="majorBidi"/>
        </w:rPr>
        <w:tab/>
        <w:t>Weight of evidence considerations for giving one study result more weight than another.</w:t>
      </w:r>
    </w:p>
    <w:p w14:paraId="5025E606" w14:textId="21E3F2F0" w:rsidR="0023290B" w:rsidRPr="00D773F7" w:rsidRDefault="0023290B" w:rsidP="002F742C">
      <w:pPr>
        <w:pStyle w:val="SingleTxtG"/>
        <w:tabs>
          <w:tab w:val="clear" w:pos="1701"/>
        </w:tabs>
        <w:ind w:left="2268"/>
        <w:rPr>
          <w:rFonts w:asciiTheme="majorBidi" w:hAnsiTheme="majorBidi" w:cstheme="majorBidi"/>
        </w:rPr>
      </w:pPr>
      <w:r w:rsidRPr="00D773F7">
        <w:rPr>
          <w:rFonts w:asciiTheme="majorBidi" w:hAnsiTheme="majorBidi" w:cstheme="majorBidi"/>
        </w:rPr>
        <w:t xml:space="preserve">3.4.5.3.7.3.1 </w:t>
      </w:r>
      <w:r w:rsidRPr="00D773F7">
        <w:rPr>
          <w:rFonts w:asciiTheme="majorBidi" w:hAnsiTheme="majorBidi" w:cstheme="majorBidi"/>
        </w:rPr>
        <w:tab/>
        <w:t>Some classifiers or competent authorities may take various approaches to evaluate study results given the required level of expert judgement (see 1.3.2.4.8) required to perform a weight of evidence assessment.  Competent authorities may specify their preferred approach in their own guidance. For example, through:</w:t>
      </w:r>
    </w:p>
    <w:p w14:paraId="58F65FA0" w14:textId="58426E83" w:rsidR="0023290B" w:rsidRPr="00D773F7" w:rsidRDefault="0023290B" w:rsidP="00AA6668">
      <w:pPr>
        <w:pStyle w:val="SingleTxtG"/>
        <w:tabs>
          <w:tab w:val="clear" w:pos="1701"/>
          <w:tab w:val="clear" w:pos="2268"/>
          <w:tab w:val="clear" w:pos="2835"/>
        </w:tabs>
        <w:ind w:left="2835" w:hanging="567"/>
        <w:rPr>
          <w:rFonts w:asciiTheme="majorBidi" w:hAnsiTheme="majorBidi" w:cstheme="majorBidi"/>
        </w:rPr>
      </w:pPr>
      <w:r w:rsidRPr="00D773F7">
        <w:rPr>
          <w:rFonts w:asciiTheme="majorBidi" w:hAnsiTheme="majorBidi" w:cstheme="majorBidi"/>
        </w:rPr>
        <w:lastRenderedPageBreak/>
        <w:t>(a)</w:t>
      </w:r>
      <w:r w:rsidRPr="00D773F7">
        <w:rPr>
          <w:rFonts w:asciiTheme="majorBidi" w:hAnsiTheme="majorBidi" w:cstheme="majorBidi"/>
        </w:rPr>
        <w:tab/>
        <w:t>Applying a precautionary approach, giving more weight to studies resulting in the stricter classification outcome</w:t>
      </w:r>
      <w:r w:rsidR="008C528B" w:rsidRPr="00D773F7">
        <w:rPr>
          <w:rFonts w:asciiTheme="majorBidi" w:hAnsiTheme="majorBidi" w:cstheme="majorBidi"/>
        </w:rPr>
        <w:t>;</w:t>
      </w:r>
    </w:p>
    <w:p w14:paraId="7EBF6918" w14:textId="35A0AB8F" w:rsidR="0023290B" w:rsidRPr="00D773F7" w:rsidRDefault="0023290B" w:rsidP="00AA6668">
      <w:pPr>
        <w:pStyle w:val="SingleTxtG"/>
        <w:tabs>
          <w:tab w:val="clear" w:pos="1701"/>
          <w:tab w:val="clear" w:pos="2268"/>
          <w:tab w:val="clear" w:pos="2835"/>
        </w:tabs>
        <w:ind w:left="2835" w:hanging="567"/>
        <w:rPr>
          <w:rFonts w:asciiTheme="majorBidi" w:hAnsiTheme="majorBidi" w:cstheme="majorBidi"/>
        </w:rPr>
      </w:pPr>
      <w:r w:rsidRPr="00D773F7">
        <w:rPr>
          <w:rFonts w:asciiTheme="majorBidi" w:hAnsiTheme="majorBidi" w:cstheme="majorBidi"/>
        </w:rPr>
        <w:t>(b)</w:t>
      </w:r>
      <w:r w:rsidRPr="00D773F7">
        <w:rPr>
          <w:rFonts w:asciiTheme="majorBidi" w:hAnsiTheme="majorBidi" w:cstheme="majorBidi"/>
        </w:rPr>
        <w:tab/>
        <w:t>Giving human data higher weight than animal or non-test data</w:t>
      </w:r>
      <w:r w:rsidR="008C528B" w:rsidRPr="00D773F7">
        <w:rPr>
          <w:rFonts w:asciiTheme="majorBidi" w:hAnsiTheme="majorBidi" w:cstheme="majorBidi"/>
        </w:rPr>
        <w:t>;</w:t>
      </w:r>
    </w:p>
    <w:p w14:paraId="102FB41C" w14:textId="77777777" w:rsidR="0023290B" w:rsidRPr="00D773F7" w:rsidRDefault="0023290B" w:rsidP="00AA6668">
      <w:pPr>
        <w:pStyle w:val="SingleTxtG"/>
        <w:tabs>
          <w:tab w:val="clear" w:pos="1701"/>
          <w:tab w:val="clear" w:pos="2268"/>
          <w:tab w:val="clear" w:pos="2835"/>
        </w:tabs>
        <w:ind w:left="2835" w:hanging="567"/>
        <w:rPr>
          <w:rFonts w:asciiTheme="majorBidi" w:hAnsiTheme="majorBidi" w:cstheme="majorBidi"/>
        </w:rPr>
      </w:pPr>
      <w:r w:rsidRPr="00D773F7">
        <w:rPr>
          <w:rFonts w:asciiTheme="majorBidi" w:hAnsiTheme="majorBidi" w:cstheme="majorBidi"/>
        </w:rPr>
        <w:t>(c)</w:t>
      </w:r>
      <w:r w:rsidRPr="00D773F7">
        <w:rPr>
          <w:rFonts w:asciiTheme="majorBidi" w:hAnsiTheme="majorBidi" w:cstheme="majorBidi"/>
        </w:rPr>
        <w:tab/>
        <w:t>Giving certain animal data (e.g., LLNA data) more weight than other animal data (e.g., Buehler test data).</w:t>
      </w:r>
    </w:p>
    <w:p w14:paraId="111D495A" w14:textId="40EB9F9A" w:rsidR="0023290B" w:rsidRPr="00D773F7" w:rsidRDefault="0023290B" w:rsidP="002F742C">
      <w:pPr>
        <w:pStyle w:val="SingleTxtG"/>
        <w:tabs>
          <w:tab w:val="clear" w:pos="1701"/>
        </w:tabs>
        <w:spacing w:before="80"/>
        <w:ind w:left="2268"/>
        <w:rPr>
          <w:rFonts w:asciiTheme="majorBidi" w:hAnsiTheme="majorBidi" w:cstheme="majorBidi"/>
        </w:rPr>
      </w:pPr>
      <w:r w:rsidRPr="00D773F7">
        <w:rPr>
          <w:rFonts w:asciiTheme="majorBidi" w:hAnsiTheme="majorBidi" w:cstheme="majorBidi"/>
        </w:rPr>
        <w:t>3.4.5.3.7.3.2</w:t>
      </w:r>
      <w:r w:rsidRPr="00D773F7">
        <w:rPr>
          <w:rFonts w:asciiTheme="majorBidi" w:hAnsiTheme="majorBidi" w:cstheme="majorBidi"/>
        </w:rPr>
        <w:tab/>
        <w:t>Often, several results (of the same or different type) may have to be considered in the weight of evidence assessment. There are no generally recogni</w:t>
      </w:r>
      <w:r w:rsidR="00247C6E" w:rsidRPr="00D773F7">
        <w:rPr>
          <w:rFonts w:asciiTheme="majorBidi" w:hAnsiTheme="majorBidi" w:cstheme="majorBidi"/>
        </w:rPr>
        <w:t>z</w:t>
      </w:r>
      <w:r w:rsidRPr="00D773F7">
        <w:rPr>
          <w:rFonts w:asciiTheme="majorBidi" w:hAnsiTheme="majorBidi" w:cstheme="majorBidi"/>
        </w:rPr>
        <w:t>ed rules for this situation, however, possible solutions to integrating several results of the same type may include, for example:</w:t>
      </w:r>
    </w:p>
    <w:p w14:paraId="2B93B77F" w14:textId="44F3847E" w:rsidR="0023290B" w:rsidRPr="00D773F7" w:rsidRDefault="0023290B" w:rsidP="00AA6668">
      <w:pPr>
        <w:pStyle w:val="SingleTxtG"/>
        <w:tabs>
          <w:tab w:val="clear" w:pos="1701"/>
          <w:tab w:val="clear" w:pos="2268"/>
          <w:tab w:val="clear" w:pos="2835"/>
        </w:tabs>
        <w:ind w:left="2835" w:hanging="567"/>
        <w:rPr>
          <w:rFonts w:asciiTheme="majorBidi" w:hAnsiTheme="majorBidi" w:cstheme="majorBidi"/>
        </w:rPr>
      </w:pPr>
      <w:r w:rsidRPr="00D773F7">
        <w:rPr>
          <w:rFonts w:asciiTheme="majorBidi" w:hAnsiTheme="majorBidi" w:cstheme="majorBidi"/>
        </w:rPr>
        <w:t>(a)</w:t>
      </w:r>
      <w:r w:rsidRPr="00D773F7">
        <w:rPr>
          <w:rFonts w:asciiTheme="majorBidi" w:hAnsiTheme="majorBidi" w:cstheme="majorBidi"/>
        </w:rPr>
        <w:tab/>
        <w:t>A precautionary approach where the strictest classification outcome from all studies of sufficient quality is assigned as the overall classification outcome</w:t>
      </w:r>
      <w:r w:rsidR="00517FAD" w:rsidRPr="00D773F7">
        <w:rPr>
          <w:rFonts w:asciiTheme="majorBidi" w:hAnsiTheme="majorBidi" w:cstheme="majorBidi"/>
        </w:rPr>
        <w:t>;</w:t>
      </w:r>
      <w:r w:rsidRPr="00D773F7">
        <w:rPr>
          <w:rFonts w:asciiTheme="majorBidi" w:hAnsiTheme="majorBidi" w:cstheme="majorBidi"/>
        </w:rPr>
        <w:t xml:space="preserve"> </w:t>
      </w:r>
    </w:p>
    <w:p w14:paraId="5CF346A5" w14:textId="5C616D0A" w:rsidR="0023290B" w:rsidRPr="00D773F7" w:rsidRDefault="0023290B" w:rsidP="00AA6668">
      <w:pPr>
        <w:pStyle w:val="SingleTxtG"/>
        <w:tabs>
          <w:tab w:val="clear" w:pos="1701"/>
          <w:tab w:val="clear" w:pos="2268"/>
          <w:tab w:val="clear" w:pos="2835"/>
        </w:tabs>
        <w:ind w:left="2835" w:hanging="567"/>
        <w:rPr>
          <w:rFonts w:asciiTheme="majorBidi" w:hAnsiTheme="majorBidi" w:cstheme="majorBidi"/>
        </w:rPr>
      </w:pPr>
      <w:r w:rsidRPr="00D773F7">
        <w:rPr>
          <w:rFonts w:asciiTheme="majorBidi" w:hAnsiTheme="majorBidi" w:cstheme="majorBidi"/>
        </w:rPr>
        <w:t>(b)</w:t>
      </w:r>
      <w:r w:rsidRPr="00D773F7">
        <w:rPr>
          <w:rFonts w:asciiTheme="majorBidi" w:hAnsiTheme="majorBidi" w:cstheme="majorBidi"/>
        </w:rPr>
        <w:tab/>
        <w:t>Averaging the obtained dose descriptors (e.g., LLNA EC3 values) or classification outcomes (no classification, Category 1, 1A, 1B). A detailed discussion of such approaches can be found in Annex 3 (on LLNA data) and Annex 4 (on HMT/HRIPT data) of OECD Series on Testing and Assessment No. 336 (Supporting document to OECD Guideline Document 497).</w:t>
      </w:r>
    </w:p>
    <w:bookmarkEnd w:id="14"/>
    <w:p w14:paraId="42489054" w14:textId="255770EC" w:rsidR="007418E2" w:rsidRPr="00D773F7" w:rsidRDefault="007418E2" w:rsidP="00B55E72">
      <w:pPr>
        <w:pStyle w:val="Bullet1G"/>
        <w:numPr>
          <w:ilvl w:val="0"/>
          <w:numId w:val="0"/>
        </w:numPr>
        <w:ind w:left="2098" w:hanging="964"/>
        <w:rPr>
          <w:rFonts w:asciiTheme="majorBidi" w:hAnsiTheme="majorBidi" w:cstheme="majorBidi"/>
          <w:highlight w:val="green"/>
        </w:rPr>
      </w:pPr>
      <w:r w:rsidRPr="00D773F7">
        <w:rPr>
          <w:rFonts w:asciiTheme="majorBidi" w:hAnsiTheme="majorBidi" w:cstheme="majorBidi"/>
          <w:highlight w:val="green"/>
        </w:rPr>
        <w:br w:type="page"/>
      </w:r>
    </w:p>
    <w:p w14:paraId="3CAEF12C" w14:textId="77777777" w:rsidR="00BB69E8" w:rsidRPr="00D773F7" w:rsidRDefault="00BB69E8">
      <w:pPr>
        <w:rPr>
          <w:rFonts w:asciiTheme="majorBidi" w:hAnsiTheme="majorBidi" w:cstheme="majorBidi"/>
          <w:i/>
        </w:rPr>
        <w:sectPr w:rsidR="00BB69E8" w:rsidRPr="00D773F7" w:rsidSect="007408C1">
          <w:headerReference w:type="even" r:id="rId43"/>
          <w:headerReference w:type="default" r:id="rId44"/>
          <w:footerReference w:type="even" r:id="rId45"/>
          <w:footerReference w:type="default" r:id="rId46"/>
          <w:endnotePr>
            <w:numFmt w:val="decimal"/>
          </w:endnotePr>
          <w:pgSz w:w="11907" w:h="16840" w:code="9"/>
          <w:pgMar w:top="1417" w:right="1134" w:bottom="1134" w:left="1134" w:header="850" w:footer="567" w:gutter="0"/>
          <w:cols w:space="720"/>
          <w:docGrid w:linePitch="272"/>
        </w:sectPr>
      </w:pPr>
    </w:p>
    <w:p w14:paraId="3342BF8E" w14:textId="19D9BEAB" w:rsidR="00D909E0" w:rsidRPr="00D773F7" w:rsidRDefault="00D909E0" w:rsidP="00D909E0">
      <w:pPr>
        <w:jc w:val="center"/>
        <w:rPr>
          <w:rFonts w:asciiTheme="majorBidi" w:hAnsiTheme="majorBidi" w:cstheme="majorBidi"/>
          <w:b/>
        </w:rPr>
      </w:pPr>
      <w:bookmarkStart w:id="16" w:name="_Hlk124931125"/>
      <w:r w:rsidRPr="00D773F7">
        <w:rPr>
          <w:rFonts w:asciiTheme="majorBidi" w:hAnsiTheme="majorBidi" w:cstheme="majorBidi"/>
          <w:b/>
        </w:rPr>
        <w:lastRenderedPageBreak/>
        <w:t>Table 3.4.</w:t>
      </w:r>
      <w:r w:rsidR="000E3406" w:rsidRPr="00D773F7">
        <w:rPr>
          <w:rFonts w:asciiTheme="majorBidi" w:hAnsiTheme="majorBidi" w:cstheme="majorBidi"/>
          <w:b/>
        </w:rPr>
        <w:t>7</w:t>
      </w:r>
      <w:r w:rsidRPr="00D773F7">
        <w:rPr>
          <w:rFonts w:asciiTheme="majorBidi" w:hAnsiTheme="majorBidi" w:cstheme="majorBidi"/>
          <w:b/>
        </w:rPr>
        <w:t>: Criteria for defined approaches</w:t>
      </w:r>
    </w:p>
    <w:p w14:paraId="22BB8BEB" w14:textId="77777777" w:rsidR="00D909E0" w:rsidRPr="00D773F7" w:rsidRDefault="00D909E0" w:rsidP="00D909E0">
      <w:pPr>
        <w:rPr>
          <w:rFonts w:asciiTheme="majorBidi" w:hAnsiTheme="majorBidi" w:cstheme="majorBidi"/>
          <w:sz w:val="18"/>
          <w:szCs w:val="18"/>
        </w:rPr>
      </w:pPr>
    </w:p>
    <w:tbl>
      <w:tblPr>
        <w:tblW w:w="12643" w:type="dxa"/>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62"/>
        <w:gridCol w:w="6050"/>
        <w:gridCol w:w="5531"/>
      </w:tblGrid>
      <w:tr w:rsidR="009355A6" w:rsidRPr="00D773F7" w14:paraId="0ECF452A" w14:textId="77777777" w:rsidTr="007318B6">
        <w:trPr>
          <w:trHeight w:val="718"/>
        </w:trPr>
        <w:tc>
          <w:tcPr>
            <w:tcW w:w="1062" w:type="dxa"/>
            <w:vMerge w:val="restart"/>
            <w:tcBorders>
              <w:top w:val="single" w:sz="4" w:space="0" w:color="auto"/>
              <w:left w:val="single" w:sz="4" w:space="0" w:color="auto"/>
              <w:right w:val="single" w:sz="4" w:space="0" w:color="auto"/>
            </w:tcBorders>
            <w:tcMar>
              <w:top w:w="57" w:type="dxa"/>
              <w:left w:w="57" w:type="dxa"/>
              <w:bottom w:w="57" w:type="dxa"/>
              <w:right w:w="57" w:type="dxa"/>
            </w:tcMar>
            <w:hideMark/>
          </w:tcPr>
          <w:p w14:paraId="0FF38E57" w14:textId="77777777" w:rsidR="009355A6" w:rsidRPr="00D773F7" w:rsidRDefault="009355A6">
            <w:pPr>
              <w:spacing w:before="40" w:after="40" w:line="180" w:lineRule="exact"/>
              <w:contextualSpacing/>
              <w:rPr>
                <w:rFonts w:asciiTheme="majorBidi" w:hAnsiTheme="majorBidi" w:cstheme="majorBidi"/>
                <w:b/>
                <w:sz w:val="14"/>
                <w:szCs w:val="14"/>
              </w:rPr>
            </w:pPr>
            <w:r w:rsidRPr="00D773F7">
              <w:rPr>
                <w:rFonts w:asciiTheme="majorBidi" w:hAnsiTheme="majorBidi" w:cstheme="majorBidi"/>
                <w:b/>
                <w:sz w:val="14"/>
                <w:szCs w:val="14"/>
              </w:rPr>
              <w:t>Category</w:t>
            </w:r>
          </w:p>
        </w:tc>
        <w:tc>
          <w:tcPr>
            <w:tcW w:w="60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DA85C87" w14:textId="77777777" w:rsidR="009355A6" w:rsidRPr="00D773F7" w:rsidRDefault="009355A6">
            <w:pPr>
              <w:spacing w:line="260" w:lineRule="atLeast"/>
              <w:jc w:val="center"/>
              <w:rPr>
                <w:rFonts w:asciiTheme="majorBidi" w:hAnsiTheme="majorBidi" w:cstheme="majorBidi"/>
                <w:b/>
                <w:sz w:val="16"/>
                <w:szCs w:val="16"/>
              </w:rPr>
            </w:pPr>
            <w:r w:rsidRPr="00D773F7">
              <w:rPr>
                <w:rFonts w:asciiTheme="majorBidi" w:hAnsiTheme="majorBidi" w:cstheme="majorBidi"/>
                <w:b/>
                <w:sz w:val="16"/>
                <w:szCs w:val="16"/>
              </w:rPr>
              <w:t>OECD Guideline 497 on Defined Approaches for Skin sensitization</w:t>
            </w:r>
          </w:p>
          <w:p w14:paraId="0EF24E02" w14:textId="77777777" w:rsidR="009355A6" w:rsidRPr="00D773F7" w:rsidRDefault="009355A6">
            <w:pPr>
              <w:spacing w:line="260" w:lineRule="atLeast"/>
              <w:jc w:val="center"/>
              <w:rPr>
                <w:rFonts w:asciiTheme="majorBidi" w:hAnsiTheme="majorBidi" w:cstheme="majorBidi"/>
                <w:b/>
                <w:sz w:val="16"/>
                <w:szCs w:val="16"/>
              </w:rPr>
            </w:pPr>
            <w:r w:rsidRPr="00D773F7">
              <w:rPr>
                <w:rFonts w:asciiTheme="majorBidi" w:hAnsiTheme="majorBidi" w:cstheme="majorBidi"/>
                <w:b/>
                <w:sz w:val="16"/>
                <w:szCs w:val="16"/>
              </w:rPr>
              <w:t>“2 out of 3" (2o3) defined approach</w:t>
            </w:r>
          </w:p>
        </w:tc>
        <w:tc>
          <w:tcPr>
            <w:tcW w:w="5531" w:type="dxa"/>
            <w:tcBorders>
              <w:top w:val="single" w:sz="4" w:space="0" w:color="auto"/>
              <w:left w:val="single" w:sz="4" w:space="0" w:color="auto"/>
              <w:bottom w:val="single" w:sz="4" w:space="0" w:color="auto"/>
              <w:right w:val="single" w:sz="4" w:space="0" w:color="auto"/>
            </w:tcBorders>
          </w:tcPr>
          <w:p w14:paraId="00A76797" w14:textId="77777777" w:rsidR="009355A6" w:rsidRPr="00D773F7" w:rsidRDefault="009355A6">
            <w:pPr>
              <w:spacing w:line="260" w:lineRule="atLeast"/>
              <w:jc w:val="center"/>
              <w:rPr>
                <w:rFonts w:asciiTheme="majorBidi" w:hAnsiTheme="majorBidi" w:cstheme="majorBidi"/>
                <w:b/>
                <w:sz w:val="16"/>
                <w:szCs w:val="16"/>
              </w:rPr>
            </w:pPr>
            <w:r w:rsidRPr="00D773F7">
              <w:rPr>
                <w:rFonts w:asciiTheme="majorBidi" w:hAnsiTheme="majorBidi" w:cstheme="majorBidi"/>
                <w:b/>
                <w:sz w:val="16"/>
                <w:szCs w:val="16"/>
              </w:rPr>
              <w:t>OECD Guideline 497 on Defined Approaches for Skin sensitization</w:t>
            </w:r>
          </w:p>
          <w:p w14:paraId="313DBC8F" w14:textId="77777777" w:rsidR="009355A6" w:rsidRPr="00D773F7" w:rsidRDefault="009355A6">
            <w:pPr>
              <w:spacing w:line="260" w:lineRule="atLeast"/>
              <w:jc w:val="center"/>
              <w:rPr>
                <w:rFonts w:asciiTheme="majorBidi" w:hAnsiTheme="majorBidi" w:cstheme="majorBidi"/>
                <w:b/>
                <w:sz w:val="16"/>
                <w:szCs w:val="16"/>
              </w:rPr>
            </w:pPr>
            <w:r w:rsidRPr="00D773F7">
              <w:rPr>
                <w:rFonts w:asciiTheme="majorBidi" w:hAnsiTheme="majorBidi" w:cstheme="majorBidi"/>
                <w:b/>
                <w:sz w:val="16"/>
                <w:szCs w:val="16"/>
              </w:rPr>
              <w:t>Integrated testing strategy (ITSv1) defined approach and</w:t>
            </w:r>
          </w:p>
          <w:p w14:paraId="28779657" w14:textId="77777777" w:rsidR="009355A6" w:rsidRPr="00D773F7" w:rsidRDefault="009355A6">
            <w:pPr>
              <w:spacing w:line="260" w:lineRule="atLeast"/>
              <w:jc w:val="center"/>
              <w:rPr>
                <w:rFonts w:asciiTheme="majorBidi" w:hAnsiTheme="majorBidi" w:cstheme="majorBidi"/>
                <w:b/>
                <w:sz w:val="16"/>
                <w:szCs w:val="16"/>
              </w:rPr>
            </w:pPr>
            <w:r w:rsidRPr="00D773F7">
              <w:rPr>
                <w:rFonts w:asciiTheme="majorBidi" w:hAnsiTheme="majorBidi" w:cstheme="majorBidi"/>
                <w:b/>
                <w:sz w:val="16"/>
                <w:szCs w:val="16"/>
              </w:rPr>
              <w:t xml:space="preserve">Integrated testing strategy (ITSv2 defined approach) </w:t>
            </w:r>
          </w:p>
        </w:tc>
      </w:tr>
      <w:tr w:rsidR="009355A6" w:rsidRPr="00D773F7" w14:paraId="7C63910D" w14:textId="77777777" w:rsidTr="007318B6">
        <w:trPr>
          <w:trHeight w:val="815"/>
        </w:trPr>
        <w:tc>
          <w:tcPr>
            <w:tcW w:w="1062" w:type="dxa"/>
            <w:vMerge/>
            <w:tcBorders>
              <w:left w:val="single" w:sz="4" w:space="0" w:color="auto"/>
              <w:right w:val="single" w:sz="4" w:space="0" w:color="auto"/>
            </w:tcBorders>
            <w:vAlign w:val="center"/>
            <w:hideMark/>
          </w:tcPr>
          <w:p w14:paraId="409D04E8" w14:textId="77777777" w:rsidR="009355A6" w:rsidRPr="00D773F7" w:rsidRDefault="009355A6">
            <w:pPr>
              <w:rPr>
                <w:rFonts w:asciiTheme="majorBidi" w:hAnsiTheme="majorBidi" w:cstheme="majorBidi"/>
                <w:sz w:val="16"/>
                <w:szCs w:val="16"/>
              </w:rPr>
            </w:pPr>
          </w:p>
        </w:tc>
        <w:tc>
          <w:tcPr>
            <w:tcW w:w="6050" w:type="dxa"/>
            <w:tcBorders>
              <w:top w:val="single" w:sz="4" w:space="0" w:color="auto"/>
              <w:left w:val="single" w:sz="4" w:space="0" w:color="auto"/>
              <w:bottom w:val="nil"/>
              <w:right w:val="single" w:sz="4" w:space="0" w:color="auto"/>
            </w:tcBorders>
            <w:tcMar>
              <w:top w:w="57" w:type="dxa"/>
              <w:left w:w="57" w:type="dxa"/>
              <w:bottom w:w="57" w:type="dxa"/>
              <w:right w:w="57" w:type="dxa"/>
            </w:tcMar>
            <w:hideMark/>
          </w:tcPr>
          <w:p w14:paraId="3048EE3F" w14:textId="3AAEE66F" w:rsidR="009355A6" w:rsidRPr="00D773F7" w:rsidRDefault="009355A6" w:rsidP="009355A6">
            <w:pPr>
              <w:spacing w:before="20" w:after="20" w:line="240" w:lineRule="auto"/>
              <w:rPr>
                <w:rFonts w:asciiTheme="majorBidi" w:hAnsiTheme="majorBidi" w:cstheme="majorBidi"/>
                <w:sz w:val="16"/>
                <w:szCs w:val="16"/>
              </w:rPr>
            </w:pPr>
            <w:r w:rsidRPr="00D773F7">
              <w:rPr>
                <w:rFonts w:asciiTheme="majorBidi" w:hAnsiTheme="majorBidi" w:cstheme="majorBidi"/>
                <w:b/>
                <w:bCs/>
                <w:sz w:val="16"/>
                <w:szCs w:val="16"/>
              </w:rPr>
              <w:t xml:space="preserve">2o3 </w:t>
            </w:r>
            <w:r w:rsidRPr="00D773F7">
              <w:rPr>
                <w:rFonts w:asciiTheme="majorBidi" w:hAnsiTheme="majorBidi" w:cstheme="majorBidi"/>
                <w:sz w:val="16"/>
                <w:szCs w:val="16"/>
              </w:rPr>
              <w:t xml:space="preserve">defined approach to skin sensitization hazard identification based on </w:t>
            </w:r>
            <w:r w:rsidRPr="00D773F7">
              <w:rPr>
                <w:rFonts w:asciiTheme="majorBidi" w:hAnsiTheme="majorBidi" w:cstheme="majorBidi"/>
                <w:i/>
                <w:iCs/>
                <w:sz w:val="16"/>
                <w:szCs w:val="16"/>
              </w:rPr>
              <w:t xml:space="preserve">in </w:t>
            </w:r>
            <w:proofErr w:type="spellStart"/>
            <w:r w:rsidRPr="00D773F7">
              <w:rPr>
                <w:rFonts w:asciiTheme="majorBidi" w:hAnsiTheme="majorBidi" w:cstheme="majorBidi"/>
                <w:i/>
                <w:iCs/>
                <w:sz w:val="16"/>
                <w:szCs w:val="16"/>
              </w:rPr>
              <w:t>chemico</w:t>
            </w:r>
            <w:proofErr w:type="spellEnd"/>
            <w:r w:rsidRPr="00D773F7">
              <w:rPr>
                <w:rFonts w:asciiTheme="majorBidi" w:hAnsiTheme="majorBidi" w:cstheme="majorBidi"/>
                <w:sz w:val="16"/>
                <w:szCs w:val="16"/>
              </w:rPr>
              <w:t xml:space="preserve"> (key event 1 - Direct Peptide Reactivity Assay (KE1-DPRA)) and in vitro (key event 2-OECD 442D Appendix IA, key event 3 - human Cell Line Activation Test (KE3-h-CLAT))</w:t>
            </w:r>
          </w:p>
          <w:p w14:paraId="1276056C" w14:textId="7935962C" w:rsidR="009355A6" w:rsidRPr="00D773F7" w:rsidRDefault="009355A6" w:rsidP="009355A6">
            <w:pPr>
              <w:spacing w:before="20" w:after="20" w:line="240" w:lineRule="auto"/>
              <w:rPr>
                <w:rFonts w:asciiTheme="majorBidi" w:hAnsiTheme="majorBidi" w:cstheme="majorBidi"/>
                <w:sz w:val="16"/>
                <w:szCs w:val="16"/>
              </w:rPr>
            </w:pPr>
          </w:p>
        </w:tc>
        <w:tc>
          <w:tcPr>
            <w:tcW w:w="5531" w:type="dxa"/>
            <w:tcBorders>
              <w:top w:val="single" w:sz="4" w:space="0" w:color="auto"/>
              <w:left w:val="single" w:sz="4" w:space="0" w:color="auto"/>
              <w:bottom w:val="nil"/>
              <w:right w:val="single" w:sz="4" w:space="0" w:color="auto"/>
            </w:tcBorders>
          </w:tcPr>
          <w:p w14:paraId="54BAAA1E" w14:textId="77777777" w:rsidR="009355A6" w:rsidRPr="00D773F7" w:rsidRDefault="009355A6" w:rsidP="009355A6">
            <w:pPr>
              <w:spacing w:before="20" w:after="20" w:line="240" w:lineRule="auto"/>
              <w:ind w:left="144"/>
              <w:rPr>
                <w:rFonts w:asciiTheme="majorBidi" w:hAnsiTheme="majorBidi" w:cstheme="majorBidi"/>
                <w:sz w:val="16"/>
                <w:szCs w:val="16"/>
              </w:rPr>
            </w:pPr>
            <w:r w:rsidRPr="00D773F7">
              <w:rPr>
                <w:rFonts w:asciiTheme="majorBidi" w:hAnsiTheme="majorBidi" w:cstheme="majorBidi"/>
                <w:b/>
                <w:bCs/>
                <w:sz w:val="16"/>
                <w:szCs w:val="16"/>
              </w:rPr>
              <w:t>ITSv1</w:t>
            </w:r>
            <w:r w:rsidRPr="00D773F7">
              <w:rPr>
                <w:rFonts w:asciiTheme="majorBidi" w:hAnsiTheme="majorBidi" w:cstheme="majorBidi"/>
                <w:sz w:val="16"/>
                <w:szCs w:val="16"/>
              </w:rPr>
              <w:t xml:space="preserve"> based on </w:t>
            </w:r>
            <w:r w:rsidRPr="00D773F7">
              <w:rPr>
                <w:rFonts w:asciiTheme="majorBidi" w:hAnsiTheme="majorBidi" w:cstheme="majorBidi"/>
                <w:i/>
                <w:iCs/>
                <w:sz w:val="16"/>
                <w:szCs w:val="16"/>
              </w:rPr>
              <w:t xml:space="preserve">in </w:t>
            </w:r>
            <w:proofErr w:type="spellStart"/>
            <w:r w:rsidRPr="00D773F7">
              <w:rPr>
                <w:rFonts w:asciiTheme="majorBidi" w:hAnsiTheme="majorBidi" w:cstheme="majorBidi"/>
                <w:i/>
                <w:iCs/>
                <w:sz w:val="16"/>
                <w:szCs w:val="16"/>
              </w:rPr>
              <w:t>chemico</w:t>
            </w:r>
            <w:proofErr w:type="spellEnd"/>
            <w:r w:rsidRPr="00D773F7">
              <w:rPr>
                <w:rFonts w:asciiTheme="majorBidi" w:hAnsiTheme="majorBidi" w:cstheme="majorBidi"/>
                <w:sz w:val="16"/>
                <w:szCs w:val="16"/>
              </w:rPr>
              <w:t xml:space="preserve"> (KE1-DPRA) and in vitro (KE3-h-CLAT) data, and in silico (Derek Nexus) predictions.</w:t>
            </w:r>
          </w:p>
          <w:p w14:paraId="5B12D433" w14:textId="272B02DE" w:rsidR="009355A6" w:rsidRPr="00D773F7" w:rsidRDefault="009355A6" w:rsidP="009355A6">
            <w:pPr>
              <w:spacing w:before="20" w:after="20" w:line="240" w:lineRule="auto"/>
              <w:ind w:left="144"/>
              <w:rPr>
                <w:rFonts w:asciiTheme="majorBidi" w:hAnsiTheme="majorBidi" w:cstheme="majorBidi"/>
                <w:sz w:val="16"/>
                <w:szCs w:val="16"/>
              </w:rPr>
            </w:pPr>
            <w:r w:rsidRPr="00D773F7">
              <w:rPr>
                <w:rFonts w:asciiTheme="majorBidi" w:hAnsiTheme="majorBidi" w:cstheme="majorBidi"/>
                <w:b/>
                <w:bCs/>
                <w:sz w:val="16"/>
                <w:szCs w:val="16"/>
              </w:rPr>
              <w:t>ITSv2</w:t>
            </w:r>
            <w:r w:rsidRPr="00D773F7">
              <w:rPr>
                <w:rFonts w:asciiTheme="majorBidi" w:hAnsiTheme="majorBidi" w:cstheme="majorBidi"/>
                <w:sz w:val="16"/>
                <w:szCs w:val="16"/>
              </w:rPr>
              <w:t xml:space="preserve"> based on </w:t>
            </w:r>
            <w:r w:rsidRPr="00D773F7">
              <w:rPr>
                <w:rFonts w:asciiTheme="majorBidi" w:hAnsiTheme="majorBidi" w:cstheme="majorBidi"/>
                <w:i/>
                <w:sz w:val="16"/>
                <w:szCs w:val="16"/>
              </w:rPr>
              <w:t xml:space="preserve">in </w:t>
            </w:r>
            <w:proofErr w:type="spellStart"/>
            <w:r w:rsidRPr="00D773F7">
              <w:rPr>
                <w:rFonts w:asciiTheme="majorBidi" w:hAnsiTheme="majorBidi" w:cstheme="majorBidi"/>
                <w:i/>
                <w:sz w:val="16"/>
                <w:szCs w:val="16"/>
              </w:rPr>
              <w:t>chemico</w:t>
            </w:r>
            <w:proofErr w:type="spellEnd"/>
            <w:r w:rsidRPr="00D773F7">
              <w:rPr>
                <w:rFonts w:asciiTheme="majorBidi" w:hAnsiTheme="majorBidi" w:cstheme="majorBidi"/>
                <w:sz w:val="16"/>
                <w:szCs w:val="16"/>
              </w:rPr>
              <w:t xml:space="preserve"> (KE1 -DPRA) and </w:t>
            </w:r>
            <w:r w:rsidRPr="00D773F7">
              <w:rPr>
                <w:rFonts w:asciiTheme="majorBidi" w:hAnsiTheme="majorBidi" w:cstheme="majorBidi"/>
                <w:iCs/>
                <w:sz w:val="16"/>
                <w:szCs w:val="16"/>
              </w:rPr>
              <w:t>in vitro</w:t>
            </w:r>
            <w:r w:rsidRPr="00D773F7">
              <w:rPr>
                <w:rFonts w:asciiTheme="majorBidi" w:hAnsiTheme="majorBidi" w:cstheme="majorBidi"/>
                <w:sz w:val="16"/>
                <w:szCs w:val="16"/>
              </w:rPr>
              <w:t xml:space="preserve"> (KE3 -h-CLAT) data, and in silico (OECD QSAR Toolbox) predictions.</w:t>
            </w:r>
          </w:p>
        </w:tc>
      </w:tr>
      <w:tr w:rsidR="009355A6" w:rsidRPr="00D773F7" w14:paraId="50E0EFE4" w14:textId="77777777" w:rsidTr="007318B6">
        <w:trPr>
          <w:trHeight w:val="1155"/>
        </w:trPr>
        <w:tc>
          <w:tcPr>
            <w:tcW w:w="1062" w:type="dxa"/>
            <w:vMerge/>
            <w:tcBorders>
              <w:left w:val="single" w:sz="4" w:space="0" w:color="auto"/>
              <w:bottom w:val="single" w:sz="4" w:space="0" w:color="auto"/>
              <w:right w:val="single" w:sz="4" w:space="0" w:color="auto"/>
            </w:tcBorders>
            <w:vAlign w:val="center"/>
          </w:tcPr>
          <w:p w14:paraId="2BB89958" w14:textId="77777777" w:rsidR="009355A6" w:rsidRPr="00D773F7" w:rsidRDefault="009355A6">
            <w:pPr>
              <w:rPr>
                <w:rFonts w:asciiTheme="majorBidi" w:hAnsiTheme="majorBidi" w:cstheme="majorBidi"/>
                <w:sz w:val="16"/>
                <w:szCs w:val="16"/>
              </w:rPr>
            </w:pPr>
          </w:p>
        </w:tc>
        <w:tc>
          <w:tcPr>
            <w:tcW w:w="6050"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63DF893A" w14:textId="77777777" w:rsidR="009355A6" w:rsidRPr="00D773F7" w:rsidRDefault="009355A6" w:rsidP="009355A6">
            <w:pPr>
              <w:spacing w:before="20" w:after="20" w:line="240" w:lineRule="auto"/>
              <w:rPr>
                <w:rFonts w:asciiTheme="majorBidi" w:hAnsiTheme="majorBidi" w:cstheme="majorBidi"/>
                <w:b/>
                <w:bCs/>
                <w:sz w:val="16"/>
                <w:szCs w:val="16"/>
              </w:rPr>
            </w:pPr>
            <w:r w:rsidRPr="00D773F7">
              <w:rPr>
                <w:rFonts w:asciiTheme="majorBidi" w:hAnsiTheme="majorBidi" w:cstheme="majorBidi"/>
                <w:sz w:val="16"/>
                <w:szCs w:val="16"/>
              </w:rPr>
              <w:t xml:space="preserve">Assays are run for two key events, and if these assays provide consistent results, then the chemical is predicted accordingly as sensitizer or non-sensitizer. If the first two assays provide discordant results, the assay for the remaining key event is run. The overall result is based on the two concordant findings taking into account the confidence on the obtained predictions as described in the </w:t>
            </w:r>
            <w:r w:rsidRPr="00D773F7">
              <w:rPr>
                <w:rFonts w:asciiTheme="majorBidi" w:hAnsiTheme="majorBidi" w:cstheme="majorBidi"/>
                <w:bCs/>
                <w:sz w:val="16"/>
                <w:szCs w:val="16"/>
              </w:rPr>
              <w:t>Guideline</w:t>
            </w:r>
          </w:p>
        </w:tc>
        <w:tc>
          <w:tcPr>
            <w:tcW w:w="5531" w:type="dxa"/>
            <w:tcBorders>
              <w:top w:val="nil"/>
              <w:left w:val="single" w:sz="4" w:space="0" w:color="auto"/>
              <w:bottom w:val="single" w:sz="4" w:space="0" w:color="auto"/>
              <w:right w:val="single" w:sz="4" w:space="0" w:color="auto"/>
            </w:tcBorders>
          </w:tcPr>
          <w:p w14:paraId="11A0621F" w14:textId="3BC4D251" w:rsidR="009355A6" w:rsidRPr="00D773F7" w:rsidRDefault="009355A6" w:rsidP="009355A6">
            <w:pPr>
              <w:spacing w:before="20" w:after="20" w:line="240" w:lineRule="auto"/>
              <w:ind w:left="144"/>
              <w:rPr>
                <w:rFonts w:asciiTheme="majorBidi" w:hAnsiTheme="majorBidi" w:cstheme="majorBidi"/>
                <w:b/>
                <w:bCs/>
                <w:sz w:val="16"/>
                <w:szCs w:val="16"/>
              </w:rPr>
            </w:pPr>
            <w:r w:rsidRPr="00D773F7">
              <w:rPr>
                <w:rFonts w:asciiTheme="majorBidi" w:hAnsiTheme="majorBidi" w:cstheme="majorBidi"/>
                <w:sz w:val="16"/>
                <w:szCs w:val="16"/>
              </w:rPr>
              <w:t xml:space="preserve">Quantitative results of h-CLAT and DPRA are converted into a score from 0 to 3. For the </w:t>
            </w:r>
            <w:r w:rsidRPr="00D773F7">
              <w:rPr>
                <w:rFonts w:asciiTheme="majorBidi" w:hAnsiTheme="majorBidi" w:cstheme="majorBidi"/>
                <w:iCs/>
                <w:sz w:val="16"/>
                <w:szCs w:val="16"/>
              </w:rPr>
              <w:t>in silico</w:t>
            </w:r>
            <w:r w:rsidRPr="00D773F7">
              <w:rPr>
                <w:rFonts w:asciiTheme="majorBidi" w:hAnsiTheme="majorBidi" w:cstheme="majorBidi"/>
                <w:sz w:val="16"/>
                <w:szCs w:val="16"/>
              </w:rPr>
              <w:t xml:space="preserve"> prediction (Derek or OECD QSAR </w:t>
            </w:r>
            <w:proofErr w:type="spellStart"/>
            <w:r w:rsidRPr="00D773F7">
              <w:rPr>
                <w:rFonts w:asciiTheme="majorBidi" w:hAnsiTheme="majorBidi" w:cstheme="majorBidi"/>
                <w:sz w:val="16"/>
                <w:szCs w:val="16"/>
              </w:rPr>
              <w:t>ToolBox</w:t>
            </w:r>
            <w:proofErr w:type="spellEnd"/>
            <w:r w:rsidRPr="00D773F7">
              <w:rPr>
                <w:rFonts w:asciiTheme="majorBidi" w:hAnsiTheme="majorBidi" w:cstheme="majorBidi"/>
                <w:sz w:val="16"/>
                <w:szCs w:val="16"/>
              </w:rPr>
              <w:t>), a positive outcome is assigned a score of 1; a negative outcome is assigned a score of 0. When these scores have been assessed, a total battery score ranging from 0 to 7, calculated by summing the individual scores, is used to predict the sensitizing potential (hazard identification; GHS Category 1 versus no classification) and potency (GHS sub-category. 1A, Cat. 1B and no classification).</w:t>
            </w:r>
          </w:p>
        </w:tc>
      </w:tr>
      <w:tr w:rsidR="00D909E0" w:rsidRPr="00D773F7" w14:paraId="717747B1" w14:textId="77777777" w:rsidTr="004146CB">
        <w:trPr>
          <w:trHeight w:val="140"/>
        </w:trPr>
        <w:tc>
          <w:tcPr>
            <w:tcW w:w="106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2C0887A" w14:textId="77777777" w:rsidR="00D909E0" w:rsidRPr="00D773F7" w:rsidRDefault="00D909E0">
            <w:pPr>
              <w:spacing w:before="20" w:after="20"/>
              <w:jc w:val="center"/>
              <w:rPr>
                <w:rFonts w:asciiTheme="majorBidi" w:hAnsiTheme="majorBidi" w:cstheme="majorBidi"/>
                <w:b/>
                <w:bCs/>
                <w:sz w:val="16"/>
                <w:szCs w:val="16"/>
              </w:rPr>
            </w:pPr>
            <w:r w:rsidRPr="00D773F7">
              <w:rPr>
                <w:rFonts w:asciiTheme="majorBidi" w:hAnsiTheme="majorBidi" w:cstheme="majorBidi"/>
                <w:b/>
                <w:bCs/>
                <w:sz w:val="16"/>
                <w:szCs w:val="16"/>
              </w:rPr>
              <w:t>1</w:t>
            </w:r>
          </w:p>
        </w:tc>
        <w:tc>
          <w:tcPr>
            <w:tcW w:w="60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F406165" w14:textId="77777777" w:rsidR="00D909E0" w:rsidRPr="00D773F7" w:rsidRDefault="00D909E0">
            <w:pPr>
              <w:spacing w:before="20" w:after="20"/>
              <w:ind w:right="-182"/>
              <w:rPr>
                <w:rFonts w:asciiTheme="majorBidi" w:hAnsiTheme="majorBidi" w:cstheme="majorBidi"/>
                <w:sz w:val="16"/>
                <w:szCs w:val="16"/>
              </w:rPr>
            </w:pPr>
            <w:r w:rsidRPr="00D773F7">
              <w:rPr>
                <w:rFonts w:asciiTheme="majorBidi" w:hAnsiTheme="majorBidi" w:cstheme="majorBidi"/>
                <w:sz w:val="16"/>
                <w:szCs w:val="16"/>
              </w:rPr>
              <w:t>2 out of 3 or 3 out of 3 positive predictions</w:t>
            </w:r>
          </w:p>
        </w:tc>
        <w:tc>
          <w:tcPr>
            <w:tcW w:w="5531" w:type="dxa"/>
            <w:tcBorders>
              <w:top w:val="single" w:sz="4" w:space="0" w:color="auto"/>
              <w:left w:val="single" w:sz="4" w:space="0" w:color="auto"/>
              <w:bottom w:val="single" w:sz="4" w:space="0" w:color="auto"/>
              <w:right w:val="single" w:sz="4" w:space="0" w:color="auto"/>
            </w:tcBorders>
          </w:tcPr>
          <w:p w14:paraId="63E55EEB" w14:textId="254F05B0" w:rsidR="00D909E0" w:rsidRPr="00D773F7" w:rsidRDefault="00D909E0">
            <w:pPr>
              <w:spacing w:before="40" w:after="40" w:line="180" w:lineRule="exact"/>
              <w:ind w:left="122" w:right="153"/>
              <w:rPr>
                <w:rFonts w:asciiTheme="majorBidi" w:hAnsiTheme="majorBidi" w:cstheme="majorBidi"/>
                <w:sz w:val="16"/>
                <w:szCs w:val="16"/>
              </w:rPr>
            </w:pPr>
            <w:r w:rsidRPr="00D773F7">
              <w:rPr>
                <w:rFonts w:asciiTheme="majorBidi" w:hAnsiTheme="majorBidi" w:cstheme="majorBidi"/>
                <w:sz w:val="16"/>
                <w:szCs w:val="16"/>
              </w:rPr>
              <w:t xml:space="preserve">Total battery score </w:t>
            </w:r>
            <w:r w:rsidR="00BB3C1D" w:rsidRPr="00D773F7">
              <w:rPr>
                <w:rFonts w:asciiTheme="majorBidi" w:hAnsiTheme="majorBidi" w:cstheme="majorBidi"/>
                <w:sz w:val="16"/>
                <w:szCs w:val="16"/>
              </w:rPr>
              <w:t>≥</w:t>
            </w:r>
            <w:r w:rsidR="000C4D95" w:rsidRPr="00D773F7">
              <w:rPr>
                <w:rFonts w:asciiTheme="majorBidi" w:hAnsiTheme="majorBidi" w:cstheme="majorBidi"/>
                <w:sz w:val="16"/>
                <w:szCs w:val="16"/>
              </w:rPr>
              <w:t xml:space="preserve"> </w:t>
            </w:r>
            <w:r w:rsidRPr="00D773F7">
              <w:rPr>
                <w:rFonts w:asciiTheme="majorBidi" w:hAnsiTheme="majorBidi" w:cstheme="majorBidi"/>
                <w:sz w:val="16"/>
                <w:szCs w:val="16"/>
              </w:rPr>
              <w:t>2</w:t>
            </w:r>
          </w:p>
        </w:tc>
      </w:tr>
      <w:tr w:rsidR="00D909E0" w:rsidRPr="00D773F7" w14:paraId="5A6504E5" w14:textId="77777777">
        <w:trPr>
          <w:trHeight w:val="20"/>
        </w:trPr>
        <w:tc>
          <w:tcPr>
            <w:tcW w:w="106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80647D7" w14:textId="77777777" w:rsidR="00D909E0" w:rsidRPr="00D773F7" w:rsidRDefault="00D909E0">
            <w:pPr>
              <w:spacing w:before="20" w:after="20"/>
              <w:jc w:val="center"/>
              <w:rPr>
                <w:rFonts w:asciiTheme="majorBidi" w:hAnsiTheme="majorBidi" w:cstheme="majorBidi"/>
                <w:b/>
                <w:bCs/>
                <w:sz w:val="16"/>
                <w:szCs w:val="16"/>
              </w:rPr>
            </w:pPr>
            <w:r w:rsidRPr="00D773F7">
              <w:rPr>
                <w:rFonts w:asciiTheme="majorBidi" w:hAnsiTheme="majorBidi" w:cstheme="majorBidi"/>
                <w:b/>
                <w:bCs/>
                <w:sz w:val="16"/>
                <w:szCs w:val="16"/>
              </w:rPr>
              <w:t>1A</w:t>
            </w:r>
          </w:p>
        </w:tc>
        <w:tc>
          <w:tcPr>
            <w:tcW w:w="60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3FEC45D" w14:textId="375E60C7" w:rsidR="00D909E0" w:rsidRPr="00D773F7" w:rsidRDefault="00D909E0">
            <w:pPr>
              <w:spacing w:before="20" w:after="20"/>
              <w:rPr>
                <w:rFonts w:asciiTheme="majorBidi" w:hAnsiTheme="majorBidi" w:cstheme="majorBidi"/>
                <w:sz w:val="16"/>
                <w:szCs w:val="16"/>
              </w:rPr>
            </w:pPr>
            <w:r w:rsidRPr="00D773F7">
              <w:rPr>
                <w:rFonts w:asciiTheme="majorBidi" w:hAnsiTheme="majorBidi" w:cstheme="majorBidi"/>
                <w:sz w:val="16"/>
                <w:szCs w:val="16"/>
              </w:rPr>
              <w:t xml:space="preserve">Not </w:t>
            </w:r>
            <w:r w:rsidR="00A5506C" w:rsidRPr="00D773F7">
              <w:rPr>
                <w:rFonts w:asciiTheme="majorBidi" w:hAnsiTheme="majorBidi" w:cstheme="majorBidi"/>
                <w:sz w:val="16"/>
                <w:szCs w:val="16"/>
              </w:rPr>
              <w:t>a</w:t>
            </w:r>
            <w:r w:rsidRPr="00D773F7">
              <w:rPr>
                <w:rFonts w:asciiTheme="majorBidi" w:hAnsiTheme="majorBidi" w:cstheme="majorBidi"/>
                <w:sz w:val="16"/>
                <w:szCs w:val="16"/>
              </w:rPr>
              <w:t>pplicable</w:t>
            </w:r>
          </w:p>
        </w:tc>
        <w:tc>
          <w:tcPr>
            <w:tcW w:w="5531" w:type="dxa"/>
            <w:tcBorders>
              <w:top w:val="single" w:sz="4" w:space="0" w:color="auto"/>
              <w:left w:val="single" w:sz="4" w:space="0" w:color="auto"/>
              <w:bottom w:val="single" w:sz="4" w:space="0" w:color="auto"/>
              <w:right w:val="single" w:sz="4" w:space="0" w:color="auto"/>
            </w:tcBorders>
          </w:tcPr>
          <w:p w14:paraId="0FC02C02" w14:textId="77777777" w:rsidR="00D909E0" w:rsidRPr="00D773F7" w:rsidRDefault="00D909E0">
            <w:pPr>
              <w:spacing w:before="40" w:after="40" w:line="180" w:lineRule="exact"/>
              <w:ind w:left="122" w:right="153"/>
              <w:rPr>
                <w:rFonts w:asciiTheme="majorBidi" w:hAnsiTheme="majorBidi" w:cstheme="majorBidi"/>
                <w:sz w:val="16"/>
                <w:szCs w:val="16"/>
              </w:rPr>
            </w:pPr>
            <w:r w:rsidRPr="00D773F7">
              <w:rPr>
                <w:rFonts w:asciiTheme="majorBidi" w:hAnsiTheme="majorBidi" w:cstheme="majorBidi"/>
                <w:sz w:val="16"/>
                <w:szCs w:val="16"/>
              </w:rPr>
              <w:t>Total battery score 6-7</w:t>
            </w:r>
          </w:p>
        </w:tc>
      </w:tr>
      <w:tr w:rsidR="00D909E0" w:rsidRPr="00D773F7" w14:paraId="0FA397D4" w14:textId="77777777">
        <w:trPr>
          <w:trHeight w:val="20"/>
        </w:trPr>
        <w:tc>
          <w:tcPr>
            <w:tcW w:w="106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079998F" w14:textId="77777777" w:rsidR="00D909E0" w:rsidRPr="00D773F7" w:rsidRDefault="00D909E0">
            <w:pPr>
              <w:spacing w:before="20" w:after="20"/>
              <w:jc w:val="center"/>
              <w:rPr>
                <w:rFonts w:asciiTheme="majorBidi" w:hAnsiTheme="majorBidi" w:cstheme="majorBidi"/>
                <w:b/>
                <w:bCs/>
                <w:sz w:val="16"/>
                <w:szCs w:val="16"/>
              </w:rPr>
            </w:pPr>
            <w:r w:rsidRPr="00D773F7">
              <w:rPr>
                <w:rFonts w:asciiTheme="majorBidi" w:hAnsiTheme="majorBidi" w:cstheme="majorBidi"/>
                <w:b/>
                <w:bCs/>
                <w:sz w:val="16"/>
                <w:szCs w:val="16"/>
              </w:rPr>
              <w:t>1B</w:t>
            </w:r>
          </w:p>
        </w:tc>
        <w:tc>
          <w:tcPr>
            <w:tcW w:w="60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404F106" w14:textId="3AB37940" w:rsidR="00D909E0" w:rsidRPr="00D773F7" w:rsidRDefault="00D909E0">
            <w:pPr>
              <w:spacing w:before="20" w:after="20"/>
              <w:rPr>
                <w:rFonts w:asciiTheme="majorBidi" w:hAnsiTheme="majorBidi" w:cstheme="majorBidi"/>
                <w:sz w:val="16"/>
                <w:szCs w:val="16"/>
              </w:rPr>
            </w:pPr>
            <w:r w:rsidRPr="00D773F7">
              <w:rPr>
                <w:rFonts w:asciiTheme="majorBidi" w:hAnsiTheme="majorBidi" w:cstheme="majorBidi"/>
                <w:sz w:val="16"/>
                <w:szCs w:val="16"/>
              </w:rPr>
              <w:t xml:space="preserve">Not </w:t>
            </w:r>
            <w:r w:rsidR="00A5506C" w:rsidRPr="00D773F7">
              <w:rPr>
                <w:rFonts w:asciiTheme="majorBidi" w:hAnsiTheme="majorBidi" w:cstheme="majorBidi"/>
                <w:sz w:val="16"/>
                <w:szCs w:val="16"/>
              </w:rPr>
              <w:t>a</w:t>
            </w:r>
            <w:r w:rsidRPr="00D773F7">
              <w:rPr>
                <w:rFonts w:asciiTheme="majorBidi" w:hAnsiTheme="majorBidi" w:cstheme="majorBidi"/>
                <w:sz w:val="16"/>
                <w:szCs w:val="16"/>
              </w:rPr>
              <w:t>pplicable</w:t>
            </w:r>
          </w:p>
        </w:tc>
        <w:tc>
          <w:tcPr>
            <w:tcW w:w="5531" w:type="dxa"/>
            <w:tcBorders>
              <w:top w:val="single" w:sz="4" w:space="0" w:color="auto"/>
              <w:left w:val="single" w:sz="4" w:space="0" w:color="auto"/>
              <w:bottom w:val="single" w:sz="4" w:space="0" w:color="auto"/>
              <w:right w:val="single" w:sz="4" w:space="0" w:color="auto"/>
            </w:tcBorders>
          </w:tcPr>
          <w:p w14:paraId="4C9F2036" w14:textId="77777777" w:rsidR="00D909E0" w:rsidRPr="00D773F7" w:rsidDel="001C3A02" w:rsidRDefault="00D909E0">
            <w:pPr>
              <w:spacing w:before="40" w:after="40" w:line="180" w:lineRule="exact"/>
              <w:ind w:left="122" w:right="153"/>
              <w:rPr>
                <w:rFonts w:asciiTheme="majorBidi" w:hAnsiTheme="majorBidi" w:cstheme="majorBidi"/>
                <w:sz w:val="16"/>
                <w:szCs w:val="16"/>
              </w:rPr>
            </w:pPr>
            <w:r w:rsidRPr="00D773F7">
              <w:rPr>
                <w:rFonts w:asciiTheme="majorBidi" w:hAnsiTheme="majorBidi" w:cstheme="majorBidi"/>
                <w:sz w:val="16"/>
                <w:szCs w:val="16"/>
              </w:rPr>
              <w:t>Total battery score 2-5</w:t>
            </w:r>
          </w:p>
        </w:tc>
      </w:tr>
      <w:tr w:rsidR="00D909E0" w:rsidRPr="00D773F7" w14:paraId="48EBA495" w14:textId="77777777">
        <w:trPr>
          <w:trHeight w:val="20"/>
        </w:trPr>
        <w:tc>
          <w:tcPr>
            <w:tcW w:w="106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2045C30" w14:textId="77777777" w:rsidR="00D909E0" w:rsidRPr="00D773F7" w:rsidRDefault="00D909E0">
            <w:pPr>
              <w:spacing w:before="20" w:after="20"/>
              <w:jc w:val="center"/>
              <w:rPr>
                <w:rFonts w:asciiTheme="majorBidi" w:hAnsiTheme="majorBidi" w:cstheme="majorBidi"/>
                <w:b/>
                <w:bCs/>
                <w:sz w:val="16"/>
                <w:szCs w:val="16"/>
              </w:rPr>
            </w:pPr>
            <w:r w:rsidRPr="00D773F7">
              <w:rPr>
                <w:rFonts w:asciiTheme="majorBidi" w:hAnsiTheme="majorBidi" w:cstheme="majorBidi"/>
                <w:b/>
                <w:bCs/>
                <w:sz w:val="16"/>
                <w:szCs w:val="16"/>
              </w:rPr>
              <w:t>Not classified</w:t>
            </w:r>
          </w:p>
        </w:tc>
        <w:tc>
          <w:tcPr>
            <w:tcW w:w="60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C514B71" w14:textId="77777777" w:rsidR="00D909E0" w:rsidRPr="00D773F7" w:rsidRDefault="00D909E0">
            <w:pPr>
              <w:spacing w:before="20" w:after="20"/>
              <w:rPr>
                <w:rFonts w:asciiTheme="majorBidi" w:hAnsiTheme="majorBidi" w:cstheme="majorBidi"/>
                <w:sz w:val="16"/>
                <w:szCs w:val="16"/>
              </w:rPr>
            </w:pPr>
            <w:r w:rsidRPr="00D773F7">
              <w:rPr>
                <w:rFonts w:asciiTheme="majorBidi" w:hAnsiTheme="majorBidi" w:cstheme="majorBidi"/>
                <w:sz w:val="16"/>
                <w:szCs w:val="16"/>
              </w:rPr>
              <w:t>2 out of 3 or 3 out of 3 negative predictions</w:t>
            </w:r>
          </w:p>
        </w:tc>
        <w:tc>
          <w:tcPr>
            <w:tcW w:w="5531" w:type="dxa"/>
            <w:tcBorders>
              <w:top w:val="single" w:sz="4" w:space="0" w:color="auto"/>
              <w:left w:val="single" w:sz="4" w:space="0" w:color="auto"/>
              <w:bottom w:val="single" w:sz="4" w:space="0" w:color="auto"/>
              <w:right w:val="single" w:sz="4" w:space="0" w:color="auto"/>
            </w:tcBorders>
          </w:tcPr>
          <w:p w14:paraId="65C81C1E" w14:textId="77777777" w:rsidR="00D909E0" w:rsidRPr="00D773F7" w:rsidRDefault="00D909E0">
            <w:pPr>
              <w:spacing w:before="40" w:after="40" w:line="180" w:lineRule="exact"/>
              <w:ind w:left="122" w:right="153"/>
              <w:rPr>
                <w:rFonts w:asciiTheme="majorBidi" w:hAnsiTheme="majorBidi" w:cstheme="majorBidi"/>
                <w:sz w:val="16"/>
                <w:szCs w:val="16"/>
              </w:rPr>
            </w:pPr>
            <w:r w:rsidRPr="00D773F7">
              <w:rPr>
                <w:rFonts w:asciiTheme="majorBidi" w:hAnsiTheme="majorBidi" w:cstheme="majorBidi"/>
                <w:sz w:val="16"/>
                <w:szCs w:val="16"/>
              </w:rPr>
              <w:t>Total battery score &lt; 2</w:t>
            </w:r>
          </w:p>
        </w:tc>
      </w:tr>
    </w:tbl>
    <w:p w14:paraId="1315C15F" w14:textId="77777777" w:rsidR="00D909E0" w:rsidRPr="00D773F7" w:rsidRDefault="00D909E0" w:rsidP="00D909E0">
      <w:pPr>
        <w:spacing w:after="200" w:line="276" w:lineRule="auto"/>
        <w:rPr>
          <w:rFonts w:asciiTheme="majorBidi" w:eastAsia="Times New Roman" w:hAnsiTheme="majorBidi" w:cstheme="majorBidi"/>
        </w:rPr>
      </w:pPr>
    </w:p>
    <w:p w14:paraId="44A819CD" w14:textId="77777777" w:rsidR="00D909E0" w:rsidRPr="00D773F7" w:rsidRDefault="00D909E0" w:rsidP="00D909E0">
      <w:pPr>
        <w:spacing w:after="200" w:line="276" w:lineRule="auto"/>
        <w:rPr>
          <w:rFonts w:asciiTheme="majorBidi" w:hAnsiTheme="majorBidi" w:cstheme="majorBidi"/>
          <w:highlight w:val="green"/>
        </w:rPr>
      </w:pPr>
    </w:p>
    <w:p w14:paraId="7FF2A177" w14:textId="77777777" w:rsidR="00D909E0" w:rsidRPr="00D773F7" w:rsidRDefault="00D909E0" w:rsidP="00D909E0">
      <w:pPr>
        <w:spacing w:after="200" w:line="276" w:lineRule="auto"/>
        <w:rPr>
          <w:rFonts w:asciiTheme="majorBidi" w:eastAsia="Times New Roman" w:hAnsiTheme="majorBidi" w:cstheme="majorBidi"/>
          <w:iCs/>
          <w:highlight w:val="green"/>
        </w:rPr>
      </w:pPr>
      <w:r w:rsidRPr="00D773F7">
        <w:rPr>
          <w:rFonts w:asciiTheme="majorBidi" w:eastAsia="Times New Roman" w:hAnsiTheme="majorBidi" w:cstheme="majorBidi"/>
          <w:iCs/>
          <w:highlight w:val="green"/>
        </w:rPr>
        <w:br w:type="page"/>
      </w:r>
    </w:p>
    <w:p w14:paraId="06081B4E" w14:textId="2F9502E8" w:rsidR="00AB794B" w:rsidRPr="00D773F7" w:rsidRDefault="00D909E0" w:rsidP="00AB794B">
      <w:pPr>
        <w:spacing w:after="40"/>
        <w:jc w:val="center"/>
        <w:rPr>
          <w:rFonts w:asciiTheme="majorBidi" w:hAnsiTheme="majorBidi" w:cstheme="majorBidi"/>
          <w:b/>
        </w:rPr>
      </w:pPr>
      <w:r w:rsidRPr="00D773F7">
        <w:rPr>
          <w:rFonts w:asciiTheme="majorBidi" w:hAnsiTheme="majorBidi" w:cstheme="majorBidi"/>
          <w:b/>
        </w:rPr>
        <w:lastRenderedPageBreak/>
        <w:t>Table 3.4.</w:t>
      </w:r>
      <w:r w:rsidR="005F4C66" w:rsidRPr="00D773F7">
        <w:rPr>
          <w:rFonts w:asciiTheme="majorBidi" w:hAnsiTheme="majorBidi" w:cstheme="majorBidi"/>
          <w:b/>
        </w:rPr>
        <w:t>8</w:t>
      </w:r>
      <w:r w:rsidRPr="00D773F7">
        <w:rPr>
          <w:rFonts w:asciiTheme="majorBidi" w:hAnsiTheme="majorBidi" w:cstheme="majorBidi"/>
          <w:b/>
        </w:rPr>
        <w:t xml:space="preserve">: Criteria for individual </w:t>
      </w:r>
      <w:r w:rsidRPr="00D773F7">
        <w:rPr>
          <w:rFonts w:asciiTheme="majorBidi" w:hAnsiTheme="majorBidi" w:cstheme="majorBidi"/>
          <w:b/>
          <w:i/>
        </w:rPr>
        <w:t xml:space="preserve">in </w:t>
      </w:r>
      <w:proofErr w:type="spellStart"/>
      <w:r w:rsidRPr="00D773F7">
        <w:rPr>
          <w:rFonts w:asciiTheme="majorBidi" w:hAnsiTheme="majorBidi" w:cstheme="majorBidi"/>
          <w:b/>
          <w:i/>
        </w:rPr>
        <w:t>chemico</w:t>
      </w:r>
      <w:proofErr w:type="spellEnd"/>
      <w:r w:rsidRPr="00D773F7">
        <w:rPr>
          <w:rFonts w:asciiTheme="majorBidi" w:hAnsiTheme="majorBidi" w:cstheme="majorBidi"/>
          <w:b/>
          <w:i/>
        </w:rPr>
        <w:t>/</w:t>
      </w:r>
      <w:r w:rsidRPr="00D773F7">
        <w:rPr>
          <w:rFonts w:asciiTheme="majorBidi" w:hAnsiTheme="majorBidi" w:cstheme="majorBidi"/>
          <w:b/>
          <w:iCs/>
        </w:rPr>
        <w:t>in vitro</w:t>
      </w:r>
      <w:r w:rsidRPr="00D773F7">
        <w:rPr>
          <w:rFonts w:asciiTheme="majorBidi" w:hAnsiTheme="majorBidi" w:cstheme="majorBidi"/>
          <w:b/>
        </w:rPr>
        <w:t xml:space="preserve"> methods </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48"/>
        <w:gridCol w:w="1395"/>
        <w:gridCol w:w="1415"/>
        <w:gridCol w:w="1185"/>
        <w:gridCol w:w="2094"/>
        <w:gridCol w:w="1558"/>
        <w:gridCol w:w="1483"/>
        <w:gridCol w:w="1545"/>
        <w:gridCol w:w="1326"/>
        <w:gridCol w:w="1326"/>
      </w:tblGrid>
      <w:tr w:rsidR="00D909E0" w:rsidRPr="00D773F7" w14:paraId="379962D4" w14:textId="77777777" w:rsidTr="00D243FB">
        <w:trPr>
          <w:tblHeader/>
          <w:jc w:val="center"/>
        </w:trPr>
        <w:tc>
          <w:tcPr>
            <w:tcW w:w="855" w:type="dxa"/>
            <w:tcBorders>
              <w:top w:val="single" w:sz="4" w:space="0" w:color="auto"/>
              <w:left w:val="single" w:sz="4" w:space="0" w:color="auto"/>
              <w:bottom w:val="nil"/>
              <w:right w:val="single" w:sz="4" w:space="0" w:color="auto"/>
            </w:tcBorders>
            <w:tcMar>
              <w:top w:w="57" w:type="dxa"/>
              <w:left w:w="57" w:type="dxa"/>
              <w:bottom w:w="57" w:type="dxa"/>
              <w:right w:w="57" w:type="dxa"/>
            </w:tcMar>
            <w:hideMark/>
          </w:tcPr>
          <w:p w14:paraId="0E50905A" w14:textId="77777777" w:rsidR="00D909E0" w:rsidRPr="00D773F7" w:rsidRDefault="00D909E0" w:rsidP="00AB794B">
            <w:pPr>
              <w:pStyle w:val="ListParagraph"/>
              <w:keepNext/>
              <w:keepLines/>
              <w:spacing w:before="40" w:after="40" w:line="240" w:lineRule="auto"/>
              <w:ind w:left="0"/>
              <w:rPr>
                <w:rFonts w:asciiTheme="majorBidi" w:hAnsiTheme="majorBidi" w:cstheme="majorBidi"/>
                <w:b/>
                <w:sz w:val="14"/>
                <w:szCs w:val="14"/>
              </w:rPr>
            </w:pPr>
            <w:r w:rsidRPr="00D773F7">
              <w:rPr>
                <w:rFonts w:asciiTheme="majorBidi" w:hAnsiTheme="majorBidi" w:cstheme="majorBidi"/>
                <w:b/>
                <w:sz w:val="14"/>
                <w:szCs w:val="14"/>
              </w:rPr>
              <w:t>Category</w:t>
            </w:r>
          </w:p>
        </w:tc>
        <w:tc>
          <w:tcPr>
            <w:tcW w:w="4032" w:type="dxa"/>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3BE783B" w14:textId="77777777" w:rsidR="00D909E0" w:rsidRPr="00D773F7" w:rsidRDefault="00D909E0" w:rsidP="004C254C">
            <w:pPr>
              <w:keepNext/>
              <w:keepLines/>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 xml:space="preserve">OECD Test Guideline 442C </w:t>
            </w:r>
          </w:p>
          <w:p w14:paraId="7D17375D" w14:textId="77777777" w:rsidR="00D909E0" w:rsidRPr="00D773F7" w:rsidRDefault="00D909E0" w:rsidP="004C254C">
            <w:pPr>
              <w:keepNext/>
              <w:keepLines/>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 xml:space="preserve">Key event-based Test Guideline for </w:t>
            </w:r>
            <w:r w:rsidRPr="00D773F7">
              <w:rPr>
                <w:rFonts w:asciiTheme="majorBidi" w:hAnsiTheme="majorBidi" w:cstheme="majorBidi"/>
                <w:b/>
                <w:i/>
                <w:sz w:val="16"/>
                <w:szCs w:val="16"/>
              </w:rPr>
              <w:t xml:space="preserve">in </w:t>
            </w:r>
            <w:proofErr w:type="spellStart"/>
            <w:r w:rsidRPr="00D773F7">
              <w:rPr>
                <w:rFonts w:asciiTheme="majorBidi" w:hAnsiTheme="majorBidi" w:cstheme="majorBidi"/>
                <w:b/>
                <w:i/>
                <w:sz w:val="16"/>
                <w:szCs w:val="16"/>
              </w:rPr>
              <w:t>chemico</w:t>
            </w:r>
            <w:proofErr w:type="spellEnd"/>
            <w:r w:rsidRPr="00D773F7">
              <w:rPr>
                <w:rFonts w:asciiTheme="majorBidi" w:hAnsiTheme="majorBidi" w:cstheme="majorBidi"/>
                <w:b/>
                <w:sz w:val="16"/>
                <w:szCs w:val="16"/>
              </w:rPr>
              <w:t xml:space="preserve"> skin sensitization assays addressing the adverse outcome pathway (AOP) Key Event on covalent binding to proteins</w:t>
            </w:r>
          </w:p>
        </w:tc>
        <w:tc>
          <w:tcPr>
            <w:tcW w:w="3686" w:type="dxa"/>
            <w:gridSpan w:val="2"/>
            <w:tcBorders>
              <w:top w:val="single" w:sz="4" w:space="0" w:color="auto"/>
              <w:left w:val="single" w:sz="4" w:space="0" w:color="auto"/>
              <w:bottom w:val="single" w:sz="4" w:space="0" w:color="auto"/>
              <w:right w:val="single" w:sz="4" w:space="0" w:color="auto"/>
            </w:tcBorders>
          </w:tcPr>
          <w:p w14:paraId="7EB3D302" w14:textId="77777777" w:rsidR="00D909E0" w:rsidRPr="00D773F7" w:rsidRDefault="00D909E0" w:rsidP="004C254C">
            <w:pPr>
              <w:keepNext/>
              <w:keepLines/>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OECD Test Guideline 442D</w:t>
            </w:r>
          </w:p>
          <w:p w14:paraId="11565974" w14:textId="275E7446" w:rsidR="00D909E0" w:rsidRPr="00D773F7" w:rsidRDefault="00D909E0" w:rsidP="004C254C">
            <w:pPr>
              <w:keepNext/>
              <w:keepLines/>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 xml:space="preserve">Key event-based Test Guideline for </w:t>
            </w:r>
            <w:r w:rsidRPr="00D773F7">
              <w:rPr>
                <w:rFonts w:asciiTheme="majorBidi" w:hAnsiTheme="majorBidi" w:cstheme="majorBidi"/>
                <w:b/>
                <w:iCs/>
                <w:sz w:val="16"/>
                <w:szCs w:val="16"/>
              </w:rPr>
              <w:t>in vitro</w:t>
            </w:r>
            <w:r w:rsidRPr="00D773F7">
              <w:rPr>
                <w:rFonts w:asciiTheme="majorBidi" w:hAnsiTheme="majorBidi" w:cstheme="majorBidi"/>
                <w:b/>
                <w:sz w:val="16"/>
                <w:szCs w:val="16"/>
              </w:rPr>
              <w:t xml:space="preserve"> skin sensitization assays addressing the AOP Key Event on keratinocyte activation </w:t>
            </w:r>
            <w:r w:rsidRPr="00D773F7">
              <w:rPr>
                <w:rFonts w:asciiTheme="majorBidi" w:hAnsiTheme="majorBidi" w:cstheme="majorBidi"/>
                <w:b/>
                <w:bCs/>
                <w:sz w:val="16"/>
                <w:szCs w:val="16"/>
              </w:rPr>
              <w:t>antioxidant response element-nuclear factor-erythroid 2-related factor 2</w:t>
            </w:r>
            <w:r w:rsidR="004C254C" w:rsidRPr="00D773F7">
              <w:rPr>
                <w:rFonts w:asciiTheme="majorBidi" w:hAnsiTheme="majorBidi" w:cstheme="majorBidi"/>
                <w:b/>
                <w:bCs/>
                <w:sz w:val="16"/>
                <w:szCs w:val="16"/>
              </w:rPr>
              <w:br/>
            </w:r>
            <w:r w:rsidRPr="00D773F7">
              <w:rPr>
                <w:rFonts w:asciiTheme="majorBidi" w:hAnsiTheme="majorBidi" w:cstheme="majorBidi"/>
                <w:b/>
                <w:sz w:val="16"/>
                <w:szCs w:val="16"/>
              </w:rPr>
              <w:t xml:space="preserve">(ARE-Nrf2) luciferase methods </w:t>
            </w:r>
          </w:p>
        </w:tc>
        <w:tc>
          <w:tcPr>
            <w:tcW w:w="5732" w:type="dxa"/>
            <w:gridSpan w:val="4"/>
            <w:tcBorders>
              <w:top w:val="single" w:sz="4" w:space="0" w:color="auto"/>
              <w:left w:val="single" w:sz="4" w:space="0" w:color="auto"/>
              <w:bottom w:val="single" w:sz="4" w:space="0" w:color="auto"/>
              <w:right w:val="single" w:sz="4" w:space="0" w:color="auto"/>
            </w:tcBorders>
          </w:tcPr>
          <w:p w14:paraId="38B2836B" w14:textId="77777777" w:rsidR="00D909E0" w:rsidRPr="00D773F7" w:rsidRDefault="00D909E0" w:rsidP="004C254C">
            <w:pPr>
              <w:keepNext/>
              <w:keepLines/>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OECD Test Guideline 442E</w:t>
            </w:r>
          </w:p>
          <w:p w14:paraId="60DA73CD" w14:textId="0D808904" w:rsidR="00D909E0" w:rsidRPr="00D773F7" w:rsidRDefault="00D909E0" w:rsidP="004C254C">
            <w:pPr>
              <w:keepNext/>
              <w:keepLines/>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 xml:space="preserve">In vitro skin sensitization assays addressing the AOP Key Event </w:t>
            </w:r>
            <w:r w:rsidR="004C254C" w:rsidRPr="00D773F7">
              <w:rPr>
                <w:rFonts w:asciiTheme="majorBidi" w:hAnsiTheme="majorBidi" w:cstheme="majorBidi"/>
                <w:b/>
                <w:sz w:val="16"/>
                <w:szCs w:val="16"/>
              </w:rPr>
              <w:br/>
            </w:r>
            <w:r w:rsidRPr="00D773F7">
              <w:rPr>
                <w:rFonts w:asciiTheme="majorBidi" w:hAnsiTheme="majorBidi" w:cstheme="majorBidi"/>
                <w:b/>
                <w:sz w:val="16"/>
                <w:szCs w:val="16"/>
              </w:rPr>
              <w:t xml:space="preserve">on activation of dendritic cells </w:t>
            </w:r>
          </w:p>
        </w:tc>
      </w:tr>
      <w:tr w:rsidR="004C254C" w:rsidRPr="00D773F7" w14:paraId="5E9C8C83" w14:textId="77777777" w:rsidTr="006E65C1">
        <w:trPr>
          <w:trHeight w:val="406"/>
          <w:tblHeader/>
          <w:jc w:val="center"/>
        </w:trPr>
        <w:tc>
          <w:tcPr>
            <w:tcW w:w="855" w:type="dxa"/>
            <w:vMerge w:val="restart"/>
            <w:tcBorders>
              <w:top w:val="nil"/>
              <w:left w:val="single" w:sz="4" w:space="0" w:color="auto"/>
              <w:right w:val="single" w:sz="4" w:space="0" w:color="auto"/>
            </w:tcBorders>
            <w:tcMar>
              <w:top w:w="57" w:type="dxa"/>
              <w:left w:w="57" w:type="dxa"/>
              <w:bottom w:w="57" w:type="dxa"/>
              <w:right w:w="57" w:type="dxa"/>
            </w:tcMar>
          </w:tcPr>
          <w:p w14:paraId="12713350" w14:textId="77777777" w:rsidR="004C254C" w:rsidRPr="00D773F7" w:rsidRDefault="004C254C">
            <w:pPr>
              <w:spacing w:line="260" w:lineRule="atLeast"/>
              <w:jc w:val="center"/>
              <w:rPr>
                <w:rFonts w:asciiTheme="majorBidi" w:hAnsiTheme="majorBidi" w:cstheme="majorBidi"/>
                <w:sz w:val="16"/>
                <w:szCs w:val="16"/>
              </w:rPr>
            </w:pPr>
          </w:p>
        </w:tc>
        <w:tc>
          <w:tcPr>
            <w:tcW w:w="1408" w:type="dxa"/>
            <w:tcBorders>
              <w:top w:val="single" w:sz="4" w:space="0" w:color="auto"/>
              <w:left w:val="single" w:sz="4" w:space="0" w:color="auto"/>
              <w:bottom w:val="nil"/>
              <w:right w:val="single" w:sz="4" w:space="0" w:color="auto"/>
            </w:tcBorders>
            <w:tcMar>
              <w:top w:w="57" w:type="dxa"/>
              <w:left w:w="57" w:type="dxa"/>
              <w:bottom w:w="57" w:type="dxa"/>
              <w:right w:w="57" w:type="dxa"/>
            </w:tcMar>
          </w:tcPr>
          <w:p w14:paraId="6305952F" w14:textId="4F63784C" w:rsidR="004C254C" w:rsidRPr="00D773F7" w:rsidRDefault="004C254C" w:rsidP="004C254C">
            <w:pPr>
              <w:spacing w:line="240" w:lineRule="auto"/>
              <w:jc w:val="center"/>
              <w:rPr>
                <w:rFonts w:asciiTheme="majorBidi" w:hAnsiTheme="majorBidi" w:cstheme="majorBidi"/>
                <w:sz w:val="16"/>
                <w:szCs w:val="16"/>
              </w:rPr>
            </w:pPr>
            <w:r w:rsidRPr="00D773F7">
              <w:rPr>
                <w:rFonts w:asciiTheme="majorBidi" w:hAnsiTheme="majorBidi" w:cstheme="majorBidi"/>
                <w:b/>
                <w:sz w:val="16"/>
                <w:szCs w:val="16"/>
              </w:rPr>
              <w:t>Method described in Appendix I</w:t>
            </w:r>
          </w:p>
        </w:tc>
        <w:tc>
          <w:tcPr>
            <w:tcW w:w="1428" w:type="dxa"/>
            <w:tcBorders>
              <w:top w:val="single" w:sz="4" w:space="0" w:color="auto"/>
              <w:left w:val="single" w:sz="4" w:space="0" w:color="auto"/>
              <w:bottom w:val="nil"/>
              <w:right w:val="single" w:sz="4" w:space="0" w:color="auto"/>
            </w:tcBorders>
          </w:tcPr>
          <w:p w14:paraId="1BBD7010" w14:textId="360AE6E8" w:rsidR="004C254C" w:rsidRPr="00D773F7" w:rsidRDefault="004C254C" w:rsidP="004C254C">
            <w:pPr>
              <w:spacing w:line="240" w:lineRule="auto"/>
              <w:jc w:val="center"/>
              <w:rPr>
                <w:rFonts w:asciiTheme="majorBidi" w:hAnsiTheme="majorBidi" w:cstheme="majorBidi"/>
                <w:b/>
                <w:bCs/>
                <w:sz w:val="16"/>
                <w:szCs w:val="16"/>
              </w:rPr>
            </w:pPr>
            <w:r w:rsidRPr="00D773F7">
              <w:rPr>
                <w:rFonts w:asciiTheme="majorBidi" w:hAnsiTheme="majorBidi" w:cstheme="majorBidi"/>
                <w:b/>
                <w:sz w:val="16"/>
                <w:szCs w:val="16"/>
              </w:rPr>
              <w:t xml:space="preserve">Method described in Appendix II </w:t>
            </w:r>
          </w:p>
        </w:tc>
        <w:tc>
          <w:tcPr>
            <w:tcW w:w="1196" w:type="dxa"/>
            <w:tcBorders>
              <w:top w:val="single" w:sz="4" w:space="0" w:color="auto"/>
              <w:left w:val="single" w:sz="4" w:space="0" w:color="auto"/>
              <w:bottom w:val="nil"/>
              <w:right w:val="single" w:sz="4" w:space="0" w:color="auto"/>
            </w:tcBorders>
          </w:tcPr>
          <w:p w14:paraId="3CC896FD" w14:textId="31785F0D" w:rsidR="004C254C" w:rsidRPr="00D773F7" w:rsidRDefault="004C254C" w:rsidP="004C254C">
            <w:pPr>
              <w:spacing w:line="240" w:lineRule="auto"/>
              <w:jc w:val="center"/>
              <w:rPr>
                <w:rFonts w:asciiTheme="majorBidi" w:hAnsiTheme="majorBidi" w:cstheme="majorBidi"/>
                <w:sz w:val="16"/>
                <w:szCs w:val="16"/>
              </w:rPr>
            </w:pPr>
            <w:r w:rsidRPr="00D773F7">
              <w:rPr>
                <w:rFonts w:asciiTheme="majorBidi" w:hAnsiTheme="majorBidi" w:cstheme="majorBidi"/>
                <w:b/>
                <w:sz w:val="16"/>
                <w:szCs w:val="16"/>
              </w:rPr>
              <w:t>Method described in Appendix III</w:t>
            </w:r>
          </w:p>
        </w:tc>
        <w:tc>
          <w:tcPr>
            <w:tcW w:w="2114" w:type="dxa"/>
            <w:tcBorders>
              <w:top w:val="single" w:sz="4" w:space="0" w:color="auto"/>
              <w:left w:val="single" w:sz="4" w:space="0" w:color="auto"/>
              <w:bottom w:val="nil"/>
              <w:right w:val="single" w:sz="4" w:space="0" w:color="auto"/>
            </w:tcBorders>
          </w:tcPr>
          <w:p w14:paraId="4B8848A6" w14:textId="682AF46F" w:rsidR="004C254C" w:rsidRPr="00D773F7" w:rsidRDefault="004C254C" w:rsidP="004C254C">
            <w:pPr>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Method described in Appendix 1A</w:t>
            </w:r>
            <w:r w:rsidRPr="00D773F7">
              <w:rPr>
                <w:rFonts w:asciiTheme="majorBidi" w:hAnsiTheme="majorBidi" w:cstheme="majorBidi"/>
                <w:b/>
                <w:sz w:val="16"/>
                <w:szCs w:val="16"/>
                <w:vertAlign w:val="superscript"/>
              </w:rPr>
              <w:t>a</w:t>
            </w:r>
          </w:p>
        </w:tc>
        <w:tc>
          <w:tcPr>
            <w:tcW w:w="1572" w:type="dxa"/>
            <w:tcBorders>
              <w:top w:val="single" w:sz="4" w:space="0" w:color="auto"/>
              <w:left w:val="single" w:sz="4" w:space="0" w:color="auto"/>
              <w:bottom w:val="nil"/>
              <w:right w:val="single" w:sz="4" w:space="0" w:color="auto"/>
            </w:tcBorders>
          </w:tcPr>
          <w:p w14:paraId="6E92FD4E" w14:textId="73C3F0A8" w:rsidR="004C254C" w:rsidRPr="00D773F7" w:rsidRDefault="004C254C" w:rsidP="004C254C">
            <w:pPr>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Method described in Appendix 1B</w:t>
            </w:r>
          </w:p>
        </w:tc>
        <w:tc>
          <w:tcPr>
            <w:tcW w:w="1497" w:type="dxa"/>
            <w:tcBorders>
              <w:top w:val="single" w:sz="4" w:space="0" w:color="auto"/>
              <w:left w:val="single" w:sz="4" w:space="0" w:color="auto"/>
              <w:bottom w:val="nil"/>
              <w:right w:val="single" w:sz="4" w:space="0" w:color="auto"/>
            </w:tcBorders>
          </w:tcPr>
          <w:p w14:paraId="22AD989C" w14:textId="625B0672" w:rsidR="004C254C" w:rsidRPr="00D773F7" w:rsidRDefault="004C254C" w:rsidP="004C254C">
            <w:pPr>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Method described in Annex I</w:t>
            </w:r>
          </w:p>
        </w:tc>
        <w:tc>
          <w:tcPr>
            <w:tcW w:w="1559" w:type="dxa"/>
            <w:tcBorders>
              <w:top w:val="single" w:sz="4" w:space="0" w:color="auto"/>
              <w:left w:val="single" w:sz="4" w:space="0" w:color="auto"/>
              <w:bottom w:val="nil"/>
              <w:right w:val="single" w:sz="4" w:space="0" w:color="auto"/>
            </w:tcBorders>
          </w:tcPr>
          <w:p w14:paraId="53677B4A" w14:textId="7440ECDC" w:rsidR="004C254C" w:rsidRPr="00D773F7" w:rsidRDefault="004C254C" w:rsidP="004C254C">
            <w:pPr>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Method described in Annex II</w:t>
            </w:r>
          </w:p>
        </w:tc>
        <w:tc>
          <w:tcPr>
            <w:tcW w:w="1338" w:type="dxa"/>
            <w:tcBorders>
              <w:top w:val="single" w:sz="4" w:space="0" w:color="auto"/>
              <w:left w:val="single" w:sz="4" w:space="0" w:color="auto"/>
              <w:bottom w:val="nil"/>
              <w:right w:val="single" w:sz="4" w:space="0" w:color="auto"/>
            </w:tcBorders>
          </w:tcPr>
          <w:p w14:paraId="00884521" w14:textId="1DA62F87" w:rsidR="004C254C" w:rsidRPr="00D773F7" w:rsidRDefault="004C254C" w:rsidP="004C254C">
            <w:pPr>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Method described in Annex III</w:t>
            </w:r>
          </w:p>
        </w:tc>
        <w:tc>
          <w:tcPr>
            <w:tcW w:w="1338" w:type="dxa"/>
            <w:tcBorders>
              <w:top w:val="single" w:sz="4" w:space="0" w:color="auto"/>
              <w:left w:val="single" w:sz="4" w:space="0" w:color="auto"/>
              <w:bottom w:val="nil"/>
              <w:right w:val="single" w:sz="4" w:space="0" w:color="auto"/>
            </w:tcBorders>
          </w:tcPr>
          <w:p w14:paraId="32360CF9" w14:textId="06B4FD49" w:rsidR="004C254C" w:rsidRPr="00D773F7" w:rsidRDefault="004C254C" w:rsidP="004C254C">
            <w:pPr>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 xml:space="preserve">Method described in Annex IV </w:t>
            </w:r>
          </w:p>
        </w:tc>
      </w:tr>
      <w:tr w:rsidR="004C254C" w:rsidRPr="00D773F7" w14:paraId="13A474ED" w14:textId="77777777" w:rsidTr="006E65C1">
        <w:trPr>
          <w:trHeight w:val="727"/>
          <w:tblHeader/>
          <w:jc w:val="center"/>
        </w:trPr>
        <w:tc>
          <w:tcPr>
            <w:tcW w:w="855" w:type="dxa"/>
            <w:vMerge/>
            <w:tcBorders>
              <w:left w:val="single" w:sz="4" w:space="0" w:color="auto"/>
              <w:bottom w:val="single" w:sz="4" w:space="0" w:color="auto"/>
              <w:right w:val="single" w:sz="4" w:space="0" w:color="auto"/>
            </w:tcBorders>
            <w:tcMar>
              <w:top w:w="57" w:type="dxa"/>
              <w:left w:w="57" w:type="dxa"/>
              <w:bottom w:w="57" w:type="dxa"/>
              <w:right w:w="57" w:type="dxa"/>
            </w:tcMar>
          </w:tcPr>
          <w:p w14:paraId="6B65F87D" w14:textId="77777777" w:rsidR="004C254C" w:rsidRPr="00D773F7" w:rsidRDefault="004C254C">
            <w:pPr>
              <w:spacing w:line="260" w:lineRule="atLeast"/>
              <w:jc w:val="center"/>
              <w:rPr>
                <w:rFonts w:asciiTheme="majorBidi" w:hAnsiTheme="majorBidi" w:cstheme="majorBidi"/>
                <w:sz w:val="16"/>
                <w:szCs w:val="16"/>
              </w:rPr>
            </w:pPr>
          </w:p>
        </w:tc>
        <w:tc>
          <w:tcPr>
            <w:tcW w:w="1408"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7B26751F" w14:textId="77777777" w:rsidR="004C254C" w:rsidRPr="00D773F7" w:rsidRDefault="004C254C" w:rsidP="004C254C">
            <w:pPr>
              <w:spacing w:line="240" w:lineRule="auto"/>
              <w:jc w:val="center"/>
              <w:rPr>
                <w:rFonts w:asciiTheme="majorBidi" w:hAnsiTheme="majorBidi" w:cstheme="majorBidi"/>
                <w:b/>
                <w:bCs/>
                <w:sz w:val="16"/>
                <w:szCs w:val="16"/>
              </w:rPr>
            </w:pPr>
            <w:r w:rsidRPr="00D773F7">
              <w:rPr>
                <w:rFonts w:asciiTheme="majorBidi" w:hAnsiTheme="majorBidi" w:cstheme="majorBidi"/>
                <w:b/>
                <w:bCs/>
                <w:sz w:val="16"/>
                <w:szCs w:val="16"/>
              </w:rPr>
              <w:t>The Direct Peptide Reactivity Assay</w:t>
            </w:r>
          </w:p>
          <w:p w14:paraId="41FABB7C" w14:textId="77777777" w:rsidR="004C254C" w:rsidRPr="00D773F7" w:rsidRDefault="004C254C" w:rsidP="004C254C">
            <w:pPr>
              <w:spacing w:line="240" w:lineRule="auto"/>
              <w:jc w:val="center"/>
              <w:rPr>
                <w:rFonts w:asciiTheme="majorBidi" w:hAnsiTheme="majorBidi" w:cstheme="majorBidi"/>
                <w:b/>
                <w:sz w:val="16"/>
                <w:szCs w:val="16"/>
              </w:rPr>
            </w:pPr>
            <w:r w:rsidRPr="00D773F7">
              <w:rPr>
                <w:rFonts w:asciiTheme="majorBidi" w:hAnsiTheme="majorBidi" w:cstheme="majorBidi"/>
                <w:b/>
                <w:bCs/>
                <w:sz w:val="16"/>
                <w:szCs w:val="16"/>
              </w:rPr>
              <w:t>(DPRA)</w:t>
            </w:r>
            <w:r w:rsidRPr="00D773F7">
              <w:rPr>
                <w:rFonts w:asciiTheme="majorBidi" w:hAnsiTheme="majorBidi" w:cstheme="majorBidi"/>
                <w:b/>
                <w:bCs/>
                <w:sz w:val="16"/>
                <w:szCs w:val="16"/>
                <w:vertAlign w:val="superscript"/>
              </w:rPr>
              <w:t>a</w:t>
            </w:r>
          </w:p>
        </w:tc>
        <w:tc>
          <w:tcPr>
            <w:tcW w:w="1428" w:type="dxa"/>
            <w:tcBorders>
              <w:top w:val="nil"/>
              <w:left w:val="single" w:sz="4" w:space="0" w:color="auto"/>
              <w:bottom w:val="single" w:sz="4" w:space="0" w:color="auto"/>
              <w:right w:val="single" w:sz="4" w:space="0" w:color="auto"/>
            </w:tcBorders>
          </w:tcPr>
          <w:p w14:paraId="4AF7696D" w14:textId="77777777" w:rsidR="004C254C" w:rsidRPr="00D773F7" w:rsidRDefault="004C254C" w:rsidP="004C254C">
            <w:pPr>
              <w:spacing w:line="240" w:lineRule="auto"/>
              <w:jc w:val="center"/>
              <w:rPr>
                <w:rFonts w:asciiTheme="majorBidi" w:hAnsiTheme="majorBidi" w:cstheme="majorBidi"/>
                <w:b/>
                <w:sz w:val="16"/>
                <w:szCs w:val="16"/>
              </w:rPr>
            </w:pPr>
            <w:r w:rsidRPr="00D773F7">
              <w:rPr>
                <w:rFonts w:asciiTheme="majorBidi" w:hAnsiTheme="majorBidi" w:cstheme="majorBidi"/>
                <w:b/>
                <w:bCs/>
                <w:sz w:val="16"/>
                <w:szCs w:val="16"/>
              </w:rPr>
              <w:t>The Amino acid Derivative Reactivity Assay (ADRA)</w:t>
            </w:r>
            <w:r w:rsidRPr="00D773F7">
              <w:rPr>
                <w:rFonts w:asciiTheme="majorBidi" w:hAnsiTheme="majorBidi" w:cstheme="majorBidi"/>
                <w:b/>
                <w:bCs/>
                <w:sz w:val="14"/>
                <w:szCs w:val="14"/>
                <w:vertAlign w:val="superscript"/>
              </w:rPr>
              <w:t xml:space="preserve"> a</w:t>
            </w:r>
            <w:r w:rsidRPr="00D773F7">
              <w:rPr>
                <w:rFonts w:asciiTheme="majorBidi" w:hAnsiTheme="majorBidi" w:cstheme="majorBidi"/>
                <w:b/>
                <w:bCs/>
                <w:sz w:val="16"/>
                <w:szCs w:val="16"/>
              </w:rPr>
              <w:t xml:space="preserve"> </w:t>
            </w:r>
          </w:p>
        </w:tc>
        <w:tc>
          <w:tcPr>
            <w:tcW w:w="1196" w:type="dxa"/>
            <w:tcBorders>
              <w:top w:val="nil"/>
              <w:left w:val="single" w:sz="4" w:space="0" w:color="auto"/>
              <w:bottom w:val="single" w:sz="4" w:space="0" w:color="auto"/>
              <w:right w:val="single" w:sz="4" w:space="0" w:color="auto"/>
            </w:tcBorders>
          </w:tcPr>
          <w:p w14:paraId="10944B39" w14:textId="0986D873" w:rsidR="004C254C" w:rsidRPr="00D773F7" w:rsidRDefault="004C254C" w:rsidP="004C254C">
            <w:pPr>
              <w:spacing w:line="240" w:lineRule="auto"/>
              <w:jc w:val="center"/>
              <w:rPr>
                <w:rFonts w:asciiTheme="majorBidi" w:hAnsiTheme="majorBidi" w:cstheme="majorBidi"/>
                <w:b/>
                <w:sz w:val="16"/>
                <w:szCs w:val="16"/>
              </w:rPr>
            </w:pPr>
            <w:r w:rsidRPr="00D773F7">
              <w:rPr>
                <w:rFonts w:asciiTheme="majorBidi" w:hAnsiTheme="majorBidi" w:cstheme="majorBidi"/>
                <w:b/>
                <w:bCs/>
                <w:sz w:val="16"/>
                <w:szCs w:val="16"/>
              </w:rPr>
              <w:t>The kinetic Direct Peptide Reactivity Assay (</w:t>
            </w:r>
            <w:proofErr w:type="spellStart"/>
            <w:r w:rsidRPr="00D773F7">
              <w:rPr>
                <w:rFonts w:asciiTheme="majorBidi" w:hAnsiTheme="majorBidi" w:cstheme="majorBidi"/>
                <w:b/>
                <w:bCs/>
                <w:sz w:val="16"/>
                <w:szCs w:val="16"/>
              </w:rPr>
              <w:t>kDPRA</w:t>
            </w:r>
            <w:proofErr w:type="spellEnd"/>
            <w:r w:rsidRPr="00D773F7">
              <w:rPr>
                <w:rFonts w:asciiTheme="majorBidi" w:hAnsiTheme="majorBidi" w:cstheme="majorBidi"/>
                <w:b/>
                <w:bCs/>
                <w:sz w:val="16"/>
                <w:szCs w:val="16"/>
              </w:rPr>
              <w:t>)</w:t>
            </w:r>
            <w:r w:rsidRPr="00D773F7">
              <w:rPr>
                <w:rFonts w:asciiTheme="majorBidi" w:hAnsiTheme="majorBidi" w:cstheme="majorBidi"/>
                <w:b/>
                <w:bCs/>
                <w:sz w:val="16"/>
                <w:szCs w:val="16"/>
                <w:vertAlign w:val="superscript"/>
              </w:rPr>
              <w:t>b</w:t>
            </w:r>
          </w:p>
        </w:tc>
        <w:tc>
          <w:tcPr>
            <w:tcW w:w="2114" w:type="dxa"/>
            <w:tcBorders>
              <w:top w:val="nil"/>
              <w:left w:val="single" w:sz="4" w:space="0" w:color="auto"/>
              <w:bottom w:val="single" w:sz="4" w:space="0" w:color="auto"/>
              <w:right w:val="single" w:sz="4" w:space="0" w:color="auto"/>
            </w:tcBorders>
          </w:tcPr>
          <w:p w14:paraId="24168E45" w14:textId="77777777" w:rsidR="004C254C" w:rsidRPr="00D773F7" w:rsidRDefault="004C254C" w:rsidP="004C254C">
            <w:pPr>
              <w:spacing w:line="240" w:lineRule="auto"/>
              <w:jc w:val="center"/>
              <w:rPr>
                <w:rFonts w:asciiTheme="majorBidi" w:hAnsiTheme="majorBidi" w:cstheme="majorBidi"/>
                <w:b/>
                <w:sz w:val="16"/>
                <w:szCs w:val="16"/>
              </w:rPr>
            </w:pPr>
          </w:p>
        </w:tc>
        <w:tc>
          <w:tcPr>
            <w:tcW w:w="1572" w:type="dxa"/>
            <w:tcBorders>
              <w:top w:val="nil"/>
              <w:left w:val="single" w:sz="4" w:space="0" w:color="auto"/>
              <w:bottom w:val="single" w:sz="4" w:space="0" w:color="auto"/>
              <w:right w:val="single" w:sz="4" w:space="0" w:color="auto"/>
            </w:tcBorders>
          </w:tcPr>
          <w:p w14:paraId="105CA843" w14:textId="01C66A04" w:rsidR="004C254C" w:rsidRPr="00D773F7" w:rsidRDefault="004C254C" w:rsidP="004C254C">
            <w:pPr>
              <w:spacing w:line="240" w:lineRule="auto"/>
              <w:jc w:val="center"/>
              <w:rPr>
                <w:rFonts w:asciiTheme="majorBidi" w:hAnsiTheme="majorBidi" w:cstheme="majorBidi"/>
                <w:b/>
                <w:sz w:val="16"/>
                <w:szCs w:val="16"/>
              </w:rPr>
            </w:pPr>
            <w:proofErr w:type="spellStart"/>
            <w:r w:rsidRPr="00D773F7">
              <w:rPr>
                <w:rFonts w:asciiTheme="majorBidi" w:hAnsiTheme="majorBidi" w:cstheme="majorBidi"/>
                <w:b/>
                <w:sz w:val="16"/>
                <w:szCs w:val="16"/>
              </w:rPr>
              <w:t>Lusens</w:t>
            </w:r>
            <w:proofErr w:type="spellEnd"/>
            <w:r w:rsidRPr="00D773F7">
              <w:rPr>
                <w:rFonts w:asciiTheme="majorBidi" w:hAnsiTheme="majorBidi" w:cstheme="majorBidi"/>
                <w:b/>
                <w:bCs/>
                <w:sz w:val="14"/>
                <w:szCs w:val="14"/>
                <w:vertAlign w:val="superscript"/>
              </w:rPr>
              <w:t xml:space="preserve"> a</w:t>
            </w:r>
          </w:p>
        </w:tc>
        <w:tc>
          <w:tcPr>
            <w:tcW w:w="1497" w:type="dxa"/>
            <w:tcBorders>
              <w:top w:val="nil"/>
              <w:left w:val="single" w:sz="4" w:space="0" w:color="auto"/>
              <w:bottom w:val="single" w:sz="4" w:space="0" w:color="auto"/>
              <w:right w:val="single" w:sz="4" w:space="0" w:color="auto"/>
            </w:tcBorders>
          </w:tcPr>
          <w:p w14:paraId="4DAFD8D9" w14:textId="55CEF9EB" w:rsidR="004C254C" w:rsidRPr="00D773F7" w:rsidRDefault="004C254C" w:rsidP="004C254C">
            <w:pPr>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 xml:space="preserve">human Cell Line Activation Assay </w:t>
            </w:r>
            <w:r w:rsidRPr="00D773F7">
              <w:rPr>
                <w:rFonts w:asciiTheme="majorBidi" w:hAnsiTheme="majorBidi" w:cstheme="majorBidi"/>
                <w:b/>
                <w:sz w:val="16"/>
                <w:szCs w:val="16"/>
              </w:rPr>
              <w:br/>
              <w:t>(h-CLAT)</w:t>
            </w:r>
            <w:r w:rsidRPr="00D773F7">
              <w:rPr>
                <w:rFonts w:asciiTheme="majorBidi" w:hAnsiTheme="majorBidi" w:cstheme="majorBidi"/>
                <w:b/>
                <w:bCs/>
                <w:sz w:val="14"/>
                <w:szCs w:val="14"/>
                <w:vertAlign w:val="superscript"/>
              </w:rPr>
              <w:t xml:space="preserve"> a</w:t>
            </w:r>
          </w:p>
        </w:tc>
        <w:tc>
          <w:tcPr>
            <w:tcW w:w="1559" w:type="dxa"/>
            <w:tcBorders>
              <w:top w:val="nil"/>
              <w:left w:val="single" w:sz="4" w:space="0" w:color="auto"/>
              <w:bottom w:val="single" w:sz="4" w:space="0" w:color="auto"/>
              <w:right w:val="single" w:sz="4" w:space="0" w:color="auto"/>
            </w:tcBorders>
          </w:tcPr>
          <w:p w14:paraId="73096F35" w14:textId="77777777" w:rsidR="004C254C" w:rsidRPr="00D773F7" w:rsidRDefault="004C254C" w:rsidP="004C254C">
            <w:pPr>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U937 Cell Line Activation Test</w:t>
            </w:r>
            <w:r w:rsidRPr="00D773F7">
              <w:rPr>
                <w:rFonts w:asciiTheme="majorBidi" w:hAnsiTheme="majorBidi" w:cstheme="majorBidi"/>
                <w:b/>
                <w:bCs/>
                <w:sz w:val="14"/>
                <w:szCs w:val="14"/>
                <w:vertAlign w:val="superscript"/>
              </w:rPr>
              <w:t xml:space="preserve"> a</w:t>
            </w:r>
            <w:r w:rsidRPr="00D773F7">
              <w:rPr>
                <w:rFonts w:asciiTheme="majorBidi" w:hAnsiTheme="majorBidi" w:cstheme="majorBidi"/>
                <w:b/>
                <w:sz w:val="16"/>
                <w:szCs w:val="16"/>
              </w:rPr>
              <w:t xml:space="preserve"> </w:t>
            </w:r>
          </w:p>
          <w:p w14:paraId="6E1ED3BF" w14:textId="77777777" w:rsidR="004C254C" w:rsidRPr="00D773F7" w:rsidRDefault="004C254C" w:rsidP="004C254C">
            <w:pPr>
              <w:spacing w:line="240" w:lineRule="auto"/>
              <w:jc w:val="center"/>
              <w:rPr>
                <w:rFonts w:asciiTheme="majorBidi" w:hAnsiTheme="majorBidi" w:cstheme="majorBidi"/>
                <w:b/>
                <w:sz w:val="16"/>
                <w:szCs w:val="16"/>
              </w:rPr>
            </w:pPr>
          </w:p>
        </w:tc>
        <w:tc>
          <w:tcPr>
            <w:tcW w:w="1338" w:type="dxa"/>
            <w:tcBorders>
              <w:top w:val="nil"/>
              <w:left w:val="single" w:sz="4" w:space="0" w:color="auto"/>
              <w:bottom w:val="single" w:sz="4" w:space="0" w:color="auto"/>
              <w:right w:val="single" w:sz="4" w:space="0" w:color="auto"/>
            </w:tcBorders>
          </w:tcPr>
          <w:p w14:paraId="2FAE3B34" w14:textId="2A0D5102" w:rsidR="004C254C" w:rsidRPr="00D773F7" w:rsidRDefault="004C254C" w:rsidP="004C254C">
            <w:pPr>
              <w:spacing w:line="240" w:lineRule="auto"/>
              <w:jc w:val="center"/>
              <w:rPr>
                <w:rFonts w:asciiTheme="majorBidi" w:hAnsiTheme="majorBidi" w:cstheme="majorBidi"/>
                <w:b/>
                <w:sz w:val="16"/>
                <w:szCs w:val="16"/>
              </w:rPr>
            </w:pPr>
            <w:r w:rsidRPr="00D773F7">
              <w:rPr>
                <w:rFonts w:asciiTheme="majorBidi" w:hAnsiTheme="majorBidi" w:cstheme="majorBidi"/>
                <w:b/>
                <w:bCs/>
                <w:sz w:val="16"/>
                <w:szCs w:val="16"/>
              </w:rPr>
              <w:t xml:space="preserve">Interleukin-8 luciferase </w:t>
            </w:r>
            <w:r w:rsidRPr="00D773F7">
              <w:rPr>
                <w:rFonts w:asciiTheme="majorBidi" w:hAnsiTheme="majorBidi" w:cstheme="majorBidi"/>
                <w:b/>
                <w:bCs/>
                <w:sz w:val="16"/>
                <w:szCs w:val="16"/>
              </w:rPr>
              <w:br/>
            </w:r>
            <w:r w:rsidRPr="00D773F7">
              <w:rPr>
                <w:rFonts w:asciiTheme="majorBidi" w:hAnsiTheme="majorBidi" w:cstheme="majorBidi"/>
                <w:b/>
                <w:sz w:val="16"/>
                <w:szCs w:val="16"/>
              </w:rPr>
              <w:t xml:space="preserve">(IL-8 Luc) assay </w:t>
            </w:r>
            <w:r w:rsidRPr="00D773F7">
              <w:rPr>
                <w:rFonts w:asciiTheme="majorBidi" w:hAnsiTheme="majorBidi" w:cstheme="majorBidi"/>
                <w:b/>
                <w:sz w:val="16"/>
                <w:szCs w:val="16"/>
                <w:vertAlign w:val="superscript"/>
              </w:rPr>
              <w:t>a</w:t>
            </w:r>
          </w:p>
        </w:tc>
        <w:tc>
          <w:tcPr>
            <w:tcW w:w="1338" w:type="dxa"/>
            <w:tcBorders>
              <w:top w:val="nil"/>
              <w:left w:val="single" w:sz="4" w:space="0" w:color="auto"/>
              <w:bottom w:val="single" w:sz="4" w:space="0" w:color="auto"/>
              <w:right w:val="single" w:sz="4" w:space="0" w:color="auto"/>
            </w:tcBorders>
          </w:tcPr>
          <w:p w14:paraId="4A21F442" w14:textId="31AB1CFC" w:rsidR="004C254C" w:rsidRPr="00D773F7" w:rsidRDefault="004C254C" w:rsidP="004C254C">
            <w:pPr>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 xml:space="preserve">Genomic Allergen Rapid Detection for assessment of skin </w:t>
            </w:r>
            <w:proofErr w:type="spellStart"/>
            <w:r w:rsidRPr="00D773F7">
              <w:rPr>
                <w:rFonts w:asciiTheme="majorBidi" w:hAnsiTheme="majorBidi" w:cstheme="majorBidi"/>
                <w:b/>
                <w:sz w:val="16"/>
                <w:szCs w:val="16"/>
              </w:rPr>
              <w:t>sensitizers</w:t>
            </w:r>
            <w:r w:rsidR="00622384" w:rsidRPr="006E65C1">
              <w:rPr>
                <w:rFonts w:asciiTheme="majorBidi" w:hAnsiTheme="majorBidi" w:cstheme="majorBidi"/>
                <w:b/>
                <w:sz w:val="16"/>
                <w:szCs w:val="16"/>
                <w:vertAlign w:val="superscript"/>
              </w:rPr>
              <w:t>a</w:t>
            </w:r>
            <w:proofErr w:type="spellEnd"/>
          </w:p>
        </w:tc>
      </w:tr>
      <w:tr w:rsidR="00D909E0" w:rsidRPr="00D773F7" w14:paraId="465B3DAB" w14:textId="77777777" w:rsidTr="00D243FB">
        <w:trPr>
          <w:trHeight w:val="2076"/>
          <w:jc w:val="center"/>
        </w:trPr>
        <w:tc>
          <w:tcPr>
            <w:tcW w:w="855" w:type="dxa"/>
            <w:tcBorders>
              <w:top w:val="single" w:sz="4" w:space="0" w:color="auto"/>
              <w:left w:val="single" w:sz="4" w:space="0" w:color="auto"/>
              <w:bottom w:val="single" w:sz="4" w:space="0" w:color="auto"/>
              <w:right w:val="single" w:sz="4" w:space="0" w:color="auto"/>
            </w:tcBorders>
            <w:vAlign w:val="center"/>
            <w:hideMark/>
          </w:tcPr>
          <w:p w14:paraId="36C7788C" w14:textId="77777777" w:rsidR="00D909E0" w:rsidRPr="00D773F7" w:rsidRDefault="00D909E0">
            <w:pPr>
              <w:rPr>
                <w:rFonts w:asciiTheme="majorBidi" w:hAnsiTheme="majorBidi" w:cstheme="majorBidi"/>
                <w:sz w:val="16"/>
                <w:szCs w:val="16"/>
              </w:rPr>
            </w:pPr>
          </w:p>
        </w:tc>
        <w:tc>
          <w:tcPr>
            <w:tcW w:w="4032" w:type="dxa"/>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D686F79" w14:textId="56B13360" w:rsidR="00D909E0" w:rsidRPr="00D773F7" w:rsidRDefault="00D909E0" w:rsidP="00AE10B4">
            <w:pPr>
              <w:spacing w:before="20" w:after="20" w:line="240" w:lineRule="auto"/>
              <w:rPr>
                <w:rFonts w:asciiTheme="majorBidi" w:hAnsiTheme="majorBidi" w:cstheme="majorBidi"/>
                <w:sz w:val="16"/>
                <w:szCs w:val="16"/>
              </w:rPr>
            </w:pPr>
            <w:r w:rsidRPr="00D773F7">
              <w:rPr>
                <w:rFonts w:asciiTheme="majorBidi" w:hAnsiTheme="majorBidi" w:cstheme="majorBidi"/>
                <w:sz w:val="16"/>
                <w:szCs w:val="16"/>
              </w:rPr>
              <w:t>Methods: i</w:t>
            </w:r>
            <w:r w:rsidRPr="00D773F7">
              <w:rPr>
                <w:rFonts w:asciiTheme="majorBidi" w:hAnsiTheme="majorBidi" w:cstheme="majorBidi"/>
                <w:i/>
                <w:iCs/>
                <w:sz w:val="16"/>
                <w:szCs w:val="16"/>
              </w:rPr>
              <w:t xml:space="preserve">n </w:t>
            </w:r>
            <w:proofErr w:type="spellStart"/>
            <w:r w:rsidRPr="00D773F7">
              <w:rPr>
                <w:rFonts w:asciiTheme="majorBidi" w:hAnsiTheme="majorBidi" w:cstheme="majorBidi"/>
                <w:i/>
                <w:iCs/>
                <w:sz w:val="16"/>
                <w:szCs w:val="16"/>
              </w:rPr>
              <w:t>chemico</w:t>
            </w:r>
            <w:proofErr w:type="spellEnd"/>
            <w:r w:rsidRPr="00D773F7">
              <w:rPr>
                <w:rFonts w:asciiTheme="majorBidi" w:hAnsiTheme="majorBidi" w:cstheme="majorBidi"/>
                <w:sz w:val="16"/>
                <w:szCs w:val="16"/>
              </w:rPr>
              <w:t xml:space="preserve"> methods addressing the process of </w:t>
            </w:r>
            <w:proofErr w:type="spellStart"/>
            <w:r w:rsidRPr="00D773F7">
              <w:rPr>
                <w:rFonts w:asciiTheme="majorBidi" w:hAnsiTheme="majorBidi" w:cstheme="majorBidi"/>
                <w:sz w:val="16"/>
                <w:szCs w:val="16"/>
              </w:rPr>
              <w:t>haptenation</w:t>
            </w:r>
            <w:proofErr w:type="spellEnd"/>
            <w:r w:rsidRPr="00D773F7">
              <w:rPr>
                <w:rFonts w:asciiTheme="majorBidi" w:hAnsiTheme="majorBidi" w:cstheme="majorBidi"/>
                <w:sz w:val="16"/>
                <w:szCs w:val="16"/>
              </w:rPr>
              <w:t xml:space="preserve"> by quantifying the reactivity of test chemicals towards model synthetic peptides containing either lysine or cysteine (DPRA and </w:t>
            </w:r>
            <w:proofErr w:type="spellStart"/>
            <w:r w:rsidRPr="00D773F7">
              <w:rPr>
                <w:rFonts w:asciiTheme="majorBidi" w:hAnsiTheme="majorBidi" w:cstheme="majorBidi"/>
                <w:sz w:val="16"/>
                <w:szCs w:val="16"/>
              </w:rPr>
              <w:t>kDPRA</w:t>
            </w:r>
            <w:proofErr w:type="spellEnd"/>
            <w:r w:rsidRPr="00D773F7">
              <w:rPr>
                <w:rFonts w:asciiTheme="majorBidi" w:hAnsiTheme="majorBidi" w:cstheme="majorBidi"/>
                <w:sz w:val="16"/>
                <w:szCs w:val="16"/>
              </w:rPr>
              <w:t>) or towards model synthetic amino acid derivatives containing either N-(2-(1-naphthyl) acetyl)-L-cysteine (NAC) or α-N-(2-(1-naphthyl) acetyl)-L-lysine (NAL) (ADRA).</w:t>
            </w:r>
          </w:p>
          <w:p w14:paraId="4A893BEA" w14:textId="77777777" w:rsidR="00D909E0" w:rsidRPr="00D773F7" w:rsidRDefault="00D909E0" w:rsidP="00AE10B4">
            <w:pPr>
              <w:spacing w:before="20" w:after="20" w:line="240" w:lineRule="auto"/>
              <w:rPr>
                <w:rFonts w:asciiTheme="majorBidi" w:hAnsiTheme="majorBidi" w:cstheme="majorBidi"/>
                <w:sz w:val="16"/>
                <w:szCs w:val="16"/>
              </w:rPr>
            </w:pPr>
            <w:r w:rsidRPr="00D773F7">
              <w:rPr>
                <w:rFonts w:asciiTheme="majorBidi" w:hAnsiTheme="majorBidi" w:cstheme="majorBidi"/>
                <w:sz w:val="16"/>
                <w:szCs w:val="16"/>
              </w:rPr>
              <w:t>The criteria are based on the mean of cysteine and lysine peptides percent depletion (DPRA), kinetic</w:t>
            </w:r>
            <w:r w:rsidRPr="00D773F7">
              <w:rPr>
                <w:rFonts w:asciiTheme="majorBidi" w:eastAsiaTheme="minorHAnsi" w:hAnsiTheme="majorBidi" w:cstheme="majorBidi"/>
                <w:b/>
                <w:szCs w:val="22"/>
              </w:rPr>
              <w:t xml:space="preserve"> </w:t>
            </w:r>
            <w:r w:rsidRPr="00D773F7">
              <w:rPr>
                <w:rFonts w:asciiTheme="majorBidi" w:hAnsiTheme="majorBidi" w:cstheme="majorBidi"/>
                <w:bCs/>
                <w:sz w:val="16"/>
                <w:szCs w:val="16"/>
              </w:rPr>
              <w:t>rates of cysteine</w:t>
            </w:r>
            <w:r w:rsidRPr="00D773F7">
              <w:rPr>
                <w:rFonts w:asciiTheme="majorBidi" w:hAnsiTheme="majorBidi" w:cstheme="majorBidi"/>
                <w:sz w:val="16"/>
                <w:szCs w:val="16"/>
              </w:rPr>
              <w:t xml:space="preserve"> depletion (</w:t>
            </w:r>
            <w:proofErr w:type="spellStart"/>
            <w:r w:rsidRPr="00D773F7">
              <w:rPr>
                <w:rFonts w:asciiTheme="majorBidi" w:hAnsiTheme="majorBidi" w:cstheme="majorBidi"/>
                <w:sz w:val="16"/>
                <w:szCs w:val="16"/>
              </w:rPr>
              <w:t>kDPRA</w:t>
            </w:r>
            <w:proofErr w:type="spellEnd"/>
            <w:r w:rsidRPr="00D773F7">
              <w:rPr>
                <w:rFonts w:asciiTheme="majorBidi" w:hAnsiTheme="majorBidi" w:cstheme="majorBidi"/>
                <w:sz w:val="16"/>
                <w:szCs w:val="16"/>
              </w:rPr>
              <w:t>) and mean NAC and NAL percent depletion value (ADRA). Predictions models based on the cysteine or NAC percent depletion value alone in case the unreacted lysine peptide or NAL cannot be reliably measured can be applied for the DPRA and ADRA.</w:t>
            </w:r>
          </w:p>
        </w:tc>
        <w:tc>
          <w:tcPr>
            <w:tcW w:w="3686" w:type="dxa"/>
            <w:gridSpan w:val="2"/>
            <w:tcBorders>
              <w:top w:val="single" w:sz="4" w:space="0" w:color="auto"/>
              <w:left w:val="single" w:sz="4" w:space="0" w:color="auto"/>
              <w:bottom w:val="single" w:sz="4" w:space="0" w:color="auto"/>
              <w:right w:val="single" w:sz="4" w:space="0" w:color="auto"/>
            </w:tcBorders>
          </w:tcPr>
          <w:p w14:paraId="0DCC5A60" w14:textId="77777777" w:rsidR="00D909E0" w:rsidRPr="00D773F7" w:rsidRDefault="00D909E0" w:rsidP="00AE10B4">
            <w:pPr>
              <w:spacing w:before="20" w:after="20" w:line="240" w:lineRule="auto"/>
              <w:rPr>
                <w:rFonts w:asciiTheme="majorBidi" w:hAnsiTheme="majorBidi" w:cstheme="majorBidi"/>
                <w:sz w:val="16"/>
                <w:szCs w:val="16"/>
              </w:rPr>
            </w:pPr>
            <w:r w:rsidRPr="00D773F7">
              <w:rPr>
                <w:rFonts w:asciiTheme="majorBidi" w:hAnsiTheme="majorBidi" w:cstheme="majorBidi"/>
                <w:sz w:val="16"/>
                <w:szCs w:val="16"/>
              </w:rPr>
              <w:t>Methods: cell-based methods addressing the process of keratinocytes activation, by assessing with the help of luciferase, the Nrf2-mediated activation of antioxidant response element (ARE)-dependent genes following exposure of the cells to the test chemical.</w:t>
            </w:r>
          </w:p>
          <w:p w14:paraId="73B3CA99" w14:textId="670CC729" w:rsidR="00D909E0" w:rsidRPr="00D773F7" w:rsidRDefault="00D909E0" w:rsidP="00AE10B4">
            <w:pPr>
              <w:spacing w:before="20" w:after="20" w:line="240" w:lineRule="auto"/>
              <w:rPr>
                <w:rFonts w:asciiTheme="majorBidi" w:hAnsiTheme="majorBidi" w:cstheme="majorBidi"/>
                <w:sz w:val="16"/>
                <w:szCs w:val="16"/>
              </w:rPr>
            </w:pPr>
            <w:r w:rsidRPr="00D773F7">
              <w:rPr>
                <w:rFonts w:asciiTheme="majorBidi" w:hAnsiTheme="majorBidi" w:cstheme="majorBidi"/>
                <w:sz w:val="16"/>
                <w:szCs w:val="16"/>
              </w:rPr>
              <w:t>Cell viability is quantitatively measured in parallel by enzymatic conversion of the dye 3-(4,5-Dimethylthiazol-2-yl)-2,5-diphenyltetrazolium bromide (MTT).</w:t>
            </w:r>
          </w:p>
          <w:p w14:paraId="5370327D" w14:textId="77777777" w:rsidR="00D909E0" w:rsidRPr="00D773F7" w:rsidRDefault="00D909E0" w:rsidP="00AE10B4">
            <w:pPr>
              <w:spacing w:before="20" w:after="20" w:line="240" w:lineRule="auto"/>
              <w:rPr>
                <w:rFonts w:asciiTheme="majorBidi" w:hAnsiTheme="majorBidi" w:cstheme="majorBidi"/>
                <w:sz w:val="16"/>
                <w:szCs w:val="16"/>
              </w:rPr>
            </w:pPr>
            <w:r w:rsidRPr="00D773F7">
              <w:rPr>
                <w:rFonts w:asciiTheme="majorBidi" w:hAnsiTheme="majorBidi" w:cstheme="majorBidi"/>
                <w:sz w:val="16"/>
                <w:szCs w:val="16"/>
              </w:rPr>
              <w:t>The criteria are based on the induction of the luciferase gene above a given threshold, quantified at subtoxic concentrations. Criteria should be met in 2 of 2 or in 2 of 3 repetitions.</w:t>
            </w:r>
          </w:p>
        </w:tc>
        <w:tc>
          <w:tcPr>
            <w:tcW w:w="5732" w:type="dxa"/>
            <w:gridSpan w:val="4"/>
            <w:tcBorders>
              <w:top w:val="single" w:sz="4" w:space="0" w:color="auto"/>
              <w:left w:val="single" w:sz="4" w:space="0" w:color="auto"/>
              <w:bottom w:val="single" w:sz="4" w:space="0" w:color="auto"/>
              <w:right w:val="single" w:sz="4" w:space="0" w:color="auto"/>
            </w:tcBorders>
          </w:tcPr>
          <w:p w14:paraId="4A55DB71" w14:textId="70E70CC5" w:rsidR="00D909E0" w:rsidRPr="00D773F7" w:rsidRDefault="00D909E0" w:rsidP="00AE10B4">
            <w:pPr>
              <w:spacing w:before="20" w:after="20" w:line="240" w:lineRule="auto"/>
              <w:rPr>
                <w:rFonts w:asciiTheme="majorBidi" w:hAnsiTheme="majorBidi" w:cstheme="majorBidi"/>
                <w:sz w:val="16"/>
                <w:szCs w:val="16"/>
              </w:rPr>
            </w:pPr>
            <w:r w:rsidRPr="00D773F7">
              <w:rPr>
                <w:rFonts w:asciiTheme="majorBidi" w:hAnsiTheme="majorBidi" w:cstheme="majorBidi"/>
                <w:sz w:val="16"/>
                <w:szCs w:val="16"/>
              </w:rPr>
              <w:t xml:space="preserve">Methods: cell-based methods addressing the process of monocytes/dendritic cell activation by either quantifying the change in the expression of cell surface marker(s) (e.g. </w:t>
            </w:r>
            <w:r w:rsidRPr="00D773F7">
              <w:rPr>
                <w:rFonts w:asciiTheme="majorBidi" w:hAnsiTheme="majorBidi" w:cstheme="majorBidi"/>
                <w:sz w:val="16"/>
                <w:szCs w:val="16"/>
                <w:lang w:eastAsia="en-US"/>
              </w:rPr>
              <w:t>cluster of differentiation 54</w:t>
            </w:r>
            <w:r w:rsidRPr="00D773F7">
              <w:rPr>
                <w:rFonts w:asciiTheme="majorBidi" w:hAnsiTheme="majorBidi" w:cstheme="majorBidi"/>
                <w:sz w:val="16"/>
                <w:szCs w:val="16"/>
              </w:rPr>
              <w:t xml:space="preserve"> (CD54), </w:t>
            </w:r>
            <w:r w:rsidRPr="00D773F7">
              <w:rPr>
                <w:rFonts w:asciiTheme="majorBidi" w:hAnsiTheme="majorBidi" w:cstheme="majorBidi"/>
                <w:sz w:val="16"/>
                <w:szCs w:val="16"/>
                <w:lang w:eastAsia="en-US"/>
              </w:rPr>
              <w:t>cluster of differentiation 86</w:t>
            </w:r>
            <w:r w:rsidRPr="00D773F7">
              <w:rPr>
                <w:rFonts w:asciiTheme="majorBidi" w:hAnsiTheme="majorBidi" w:cstheme="majorBidi"/>
                <w:sz w:val="16"/>
                <w:szCs w:val="16"/>
              </w:rPr>
              <w:t xml:space="preserve"> (CD86)) or the change in IL-8 expression or the transcriptional patterns of an endpoint-specific genomic biomarker signature following exposure of the cells to the test chemical.</w:t>
            </w:r>
          </w:p>
          <w:p w14:paraId="05165F86" w14:textId="37558059" w:rsidR="00D909E0" w:rsidRPr="00D773F7" w:rsidRDefault="00D909E0" w:rsidP="00AE10B4">
            <w:pPr>
              <w:spacing w:before="20" w:after="20" w:line="240" w:lineRule="auto"/>
              <w:rPr>
                <w:rFonts w:asciiTheme="majorBidi" w:hAnsiTheme="majorBidi" w:cstheme="majorBidi"/>
                <w:sz w:val="16"/>
                <w:szCs w:val="16"/>
              </w:rPr>
            </w:pPr>
            <w:r w:rsidRPr="00D773F7">
              <w:rPr>
                <w:rFonts w:asciiTheme="majorBidi" w:hAnsiTheme="majorBidi" w:cstheme="majorBidi"/>
                <w:sz w:val="16"/>
                <w:szCs w:val="16"/>
              </w:rPr>
              <w:t>Criteria should be met in 2 of 2 or in at least 2 of 3 repetitions for test methods described in Annexes I, II and III or in three valid biological replicates for test method described in Annex IV.</w:t>
            </w:r>
          </w:p>
        </w:tc>
      </w:tr>
    </w:tbl>
    <w:p w14:paraId="6D7FB93A" w14:textId="154914D8" w:rsidR="00DA4D71" w:rsidRDefault="00DA4D71">
      <w:pPr>
        <w:rPr>
          <w:rFonts w:asciiTheme="majorBidi" w:hAnsiTheme="majorBidi" w:cstheme="majorBidi"/>
        </w:rPr>
      </w:pPr>
    </w:p>
    <w:p w14:paraId="2FB1709F" w14:textId="77777777" w:rsidR="00DA4D71" w:rsidRDefault="00DA4D71">
      <w:pPr>
        <w:rPr>
          <w:rFonts w:asciiTheme="majorBidi" w:hAnsiTheme="majorBidi" w:cstheme="majorBidi"/>
        </w:rPr>
      </w:pPr>
      <w:r>
        <w:rPr>
          <w:rFonts w:asciiTheme="majorBidi" w:hAnsiTheme="majorBidi" w:cstheme="majorBidi"/>
        </w:rPr>
        <w:br w:type="page"/>
      </w:r>
    </w:p>
    <w:p w14:paraId="6E6E3736" w14:textId="77777777" w:rsidR="00FD7681" w:rsidRPr="00D773F7" w:rsidRDefault="00FD7681">
      <w:pPr>
        <w:rPr>
          <w:rFonts w:asciiTheme="majorBidi" w:hAnsiTheme="majorBidi" w:cstheme="majorBidi"/>
        </w:rPr>
      </w:pPr>
    </w:p>
    <w:p w14:paraId="6CE8CEB8" w14:textId="27116877" w:rsidR="00FD7681" w:rsidRPr="00D773F7" w:rsidRDefault="00FD7681" w:rsidP="00FD7681">
      <w:pPr>
        <w:spacing w:after="40"/>
        <w:jc w:val="center"/>
        <w:rPr>
          <w:rFonts w:asciiTheme="majorBidi" w:hAnsiTheme="majorBidi" w:cstheme="majorBidi"/>
          <w:b/>
        </w:rPr>
      </w:pPr>
      <w:r w:rsidRPr="00D773F7">
        <w:rPr>
          <w:rFonts w:asciiTheme="majorBidi" w:hAnsiTheme="majorBidi" w:cstheme="majorBidi"/>
          <w:b/>
        </w:rPr>
        <w:t xml:space="preserve">Table 3.4.8: Criteria for individual </w:t>
      </w:r>
      <w:r w:rsidRPr="00D773F7">
        <w:rPr>
          <w:rFonts w:asciiTheme="majorBidi" w:hAnsiTheme="majorBidi" w:cstheme="majorBidi"/>
          <w:b/>
          <w:i/>
        </w:rPr>
        <w:t xml:space="preserve">in </w:t>
      </w:r>
      <w:proofErr w:type="spellStart"/>
      <w:r w:rsidRPr="00D773F7">
        <w:rPr>
          <w:rFonts w:asciiTheme="majorBidi" w:hAnsiTheme="majorBidi" w:cstheme="majorBidi"/>
          <w:b/>
          <w:i/>
        </w:rPr>
        <w:t>chemico</w:t>
      </w:r>
      <w:proofErr w:type="spellEnd"/>
      <w:r w:rsidRPr="00D773F7">
        <w:rPr>
          <w:rFonts w:asciiTheme="majorBidi" w:hAnsiTheme="majorBidi" w:cstheme="majorBidi"/>
          <w:b/>
          <w:i/>
        </w:rPr>
        <w:t>/</w:t>
      </w:r>
      <w:r w:rsidRPr="00D773F7">
        <w:rPr>
          <w:rFonts w:asciiTheme="majorBidi" w:hAnsiTheme="majorBidi" w:cstheme="majorBidi"/>
          <w:b/>
          <w:iCs/>
        </w:rPr>
        <w:t>in vitro</w:t>
      </w:r>
      <w:r w:rsidRPr="00D773F7">
        <w:rPr>
          <w:rFonts w:asciiTheme="majorBidi" w:hAnsiTheme="majorBidi" w:cstheme="majorBidi"/>
          <w:b/>
        </w:rPr>
        <w:t xml:space="preserve"> methods </w:t>
      </w:r>
      <w:r w:rsidRPr="00D773F7">
        <w:rPr>
          <w:rFonts w:asciiTheme="majorBidi" w:hAnsiTheme="majorBidi" w:cstheme="majorBidi"/>
          <w:b/>
          <w:i/>
          <w:iCs/>
        </w:rPr>
        <w:t>(cont’d)</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48"/>
        <w:gridCol w:w="1395"/>
        <w:gridCol w:w="11"/>
        <w:gridCol w:w="1404"/>
        <w:gridCol w:w="1185"/>
        <w:gridCol w:w="2094"/>
        <w:gridCol w:w="1558"/>
        <w:gridCol w:w="1483"/>
        <w:gridCol w:w="1545"/>
        <w:gridCol w:w="1326"/>
        <w:gridCol w:w="1326"/>
      </w:tblGrid>
      <w:tr w:rsidR="00FD7681" w:rsidRPr="00D773F7" w14:paraId="13053DBA" w14:textId="77777777" w:rsidTr="004A2E58">
        <w:trPr>
          <w:tblHeader/>
          <w:jc w:val="center"/>
        </w:trPr>
        <w:tc>
          <w:tcPr>
            <w:tcW w:w="855" w:type="dxa"/>
            <w:tcBorders>
              <w:top w:val="single" w:sz="4" w:space="0" w:color="auto"/>
              <w:left w:val="single" w:sz="4" w:space="0" w:color="auto"/>
              <w:bottom w:val="nil"/>
              <w:right w:val="single" w:sz="4" w:space="0" w:color="auto"/>
            </w:tcBorders>
            <w:tcMar>
              <w:top w:w="57" w:type="dxa"/>
              <w:left w:w="57" w:type="dxa"/>
              <w:bottom w:w="57" w:type="dxa"/>
              <w:right w:w="57" w:type="dxa"/>
            </w:tcMar>
            <w:hideMark/>
          </w:tcPr>
          <w:p w14:paraId="00851C77" w14:textId="77777777" w:rsidR="00FD7681" w:rsidRPr="00D773F7" w:rsidRDefault="00FD7681">
            <w:pPr>
              <w:pStyle w:val="ListParagraph"/>
              <w:keepNext/>
              <w:keepLines/>
              <w:spacing w:before="40" w:after="40" w:line="240" w:lineRule="auto"/>
              <w:ind w:left="0"/>
              <w:rPr>
                <w:rFonts w:asciiTheme="majorBidi" w:hAnsiTheme="majorBidi" w:cstheme="majorBidi"/>
                <w:b/>
                <w:sz w:val="14"/>
                <w:szCs w:val="14"/>
              </w:rPr>
            </w:pPr>
            <w:r w:rsidRPr="00D773F7">
              <w:rPr>
                <w:rFonts w:asciiTheme="majorBidi" w:hAnsiTheme="majorBidi" w:cstheme="majorBidi"/>
                <w:b/>
                <w:sz w:val="14"/>
                <w:szCs w:val="14"/>
              </w:rPr>
              <w:t>Category</w:t>
            </w:r>
          </w:p>
        </w:tc>
        <w:tc>
          <w:tcPr>
            <w:tcW w:w="4032" w:type="dxa"/>
            <w:gridSpan w:val="4"/>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DA1BD40" w14:textId="77777777" w:rsidR="00FD7681" w:rsidRPr="00D773F7" w:rsidRDefault="00FD7681">
            <w:pPr>
              <w:keepNext/>
              <w:keepLines/>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 xml:space="preserve">OECD Test Guideline 442C </w:t>
            </w:r>
          </w:p>
          <w:p w14:paraId="10E606B0" w14:textId="77777777" w:rsidR="00FD7681" w:rsidRPr="00D773F7" w:rsidRDefault="00FD7681">
            <w:pPr>
              <w:keepNext/>
              <w:keepLines/>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 xml:space="preserve">Key event-based Test Guideline for </w:t>
            </w:r>
            <w:r w:rsidRPr="00D773F7">
              <w:rPr>
                <w:rFonts w:asciiTheme="majorBidi" w:hAnsiTheme="majorBidi" w:cstheme="majorBidi"/>
                <w:b/>
                <w:i/>
                <w:sz w:val="16"/>
                <w:szCs w:val="16"/>
              </w:rPr>
              <w:t xml:space="preserve">in </w:t>
            </w:r>
            <w:proofErr w:type="spellStart"/>
            <w:r w:rsidRPr="00D773F7">
              <w:rPr>
                <w:rFonts w:asciiTheme="majorBidi" w:hAnsiTheme="majorBidi" w:cstheme="majorBidi"/>
                <w:b/>
                <w:i/>
                <w:sz w:val="16"/>
                <w:szCs w:val="16"/>
              </w:rPr>
              <w:t>chemico</w:t>
            </w:r>
            <w:proofErr w:type="spellEnd"/>
            <w:r w:rsidRPr="00D773F7">
              <w:rPr>
                <w:rFonts w:asciiTheme="majorBidi" w:hAnsiTheme="majorBidi" w:cstheme="majorBidi"/>
                <w:b/>
                <w:sz w:val="16"/>
                <w:szCs w:val="16"/>
              </w:rPr>
              <w:t xml:space="preserve"> skin sensitization assays addressing the adverse outcome pathway (AOP) Key Event on covalent binding to proteins</w:t>
            </w:r>
          </w:p>
        </w:tc>
        <w:tc>
          <w:tcPr>
            <w:tcW w:w="3686" w:type="dxa"/>
            <w:gridSpan w:val="2"/>
            <w:tcBorders>
              <w:top w:val="single" w:sz="4" w:space="0" w:color="auto"/>
              <w:left w:val="single" w:sz="4" w:space="0" w:color="auto"/>
              <w:bottom w:val="single" w:sz="4" w:space="0" w:color="auto"/>
              <w:right w:val="single" w:sz="4" w:space="0" w:color="auto"/>
            </w:tcBorders>
          </w:tcPr>
          <w:p w14:paraId="639B4306" w14:textId="77777777" w:rsidR="00FD7681" w:rsidRPr="00D773F7" w:rsidRDefault="00FD7681">
            <w:pPr>
              <w:keepNext/>
              <w:keepLines/>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OECD Test Guideline 442D</w:t>
            </w:r>
          </w:p>
          <w:p w14:paraId="56671E66" w14:textId="77777777" w:rsidR="00FD7681" w:rsidRPr="00D773F7" w:rsidRDefault="00FD7681">
            <w:pPr>
              <w:keepNext/>
              <w:keepLines/>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 xml:space="preserve">Key event-based Test Guideline for </w:t>
            </w:r>
            <w:r w:rsidRPr="00D773F7">
              <w:rPr>
                <w:rFonts w:asciiTheme="majorBidi" w:hAnsiTheme="majorBidi" w:cstheme="majorBidi"/>
                <w:b/>
                <w:iCs/>
                <w:sz w:val="16"/>
                <w:szCs w:val="16"/>
              </w:rPr>
              <w:t>in vitro</w:t>
            </w:r>
            <w:r w:rsidRPr="00D773F7">
              <w:rPr>
                <w:rFonts w:asciiTheme="majorBidi" w:hAnsiTheme="majorBidi" w:cstheme="majorBidi"/>
                <w:b/>
                <w:sz w:val="16"/>
                <w:szCs w:val="16"/>
              </w:rPr>
              <w:t xml:space="preserve"> skin sensitization assays addressing the AOP Key Event on keratinocyte activation </w:t>
            </w:r>
            <w:r w:rsidRPr="00D773F7">
              <w:rPr>
                <w:rFonts w:asciiTheme="majorBidi" w:hAnsiTheme="majorBidi" w:cstheme="majorBidi"/>
                <w:b/>
                <w:bCs/>
                <w:sz w:val="16"/>
                <w:szCs w:val="16"/>
              </w:rPr>
              <w:t>antioxidant response element-nuclear factor-erythroid 2-related factor 2</w:t>
            </w:r>
            <w:r w:rsidRPr="00D773F7">
              <w:rPr>
                <w:rFonts w:asciiTheme="majorBidi" w:hAnsiTheme="majorBidi" w:cstheme="majorBidi"/>
                <w:b/>
                <w:bCs/>
                <w:sz w:val="16"/>
                <w:szCs w:val="16"/>
              </w:rPr>
              <w:br/>
            </w:r>
            <w:r w:rsidRPr="00D773F7">
              <w:rPr>
                <w:rFonts w:asciiTheme="majorBidi" w:hAnsiTheme="majorBidi" w:cstheme="majorBidi"/>
                <w:b/>
                <w:sz w:val="16"/>
                <w:szCs w:val="16"/>
              </w:rPr>
              <w:t xml:space="preserve">(ARE-Nrf2) luciferase methods </w:t>
            </w:r>
          </w:p>
        </w:tc>
        <w:tc>
          <w:tcPr>
            <w:tcW w:w="5732" w:type="dxa"/>
            <w:gridSpan w:val="4"/>
            <w:tcBorders>
              <w:top w:val="single" w:sz="4" w:space="0" w:color="auto"/>
              <w:left w:val="single" w:sz="4" w:space="0" w:color="auto"/>
              <w:bottom w:val="single" w:sz="4" w:space="0" w:color="auto"/>
              <w:right w:val="single" w:sz="4" w:space="0" w:color="auto"/>
            </w:tcBorders>
          </w:tcPr>
          <w:p w14:paraId="4D060FB6" w14:textId="77777777" w:rsidR="00FD7681" w:rsidRPr="00D773F7" w:rsidRDefault="00FD7681">
            <w:pPr>
              <w:keepNext/>
              <w:keepLines/>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OECD Test Guideline 442E</w:t>
            </w:r>
          </w:p>
          <w:p w14:paraId="7C959F17" w14:textId="77777777" w:rsidR="00FD7681" w:rsidRPr="00D773F7" w:rsidRDefault="00FD7681">
            <w:pPr>
              <w:keepNext/>
              <w:keepLines/>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 xml:space="preserve">In vitro skin sensitization assays addressing the AOP Key Event </w:t>
            </w:r>
            <w:r w:rsidRPr="00D773F7">
              <w:rPr>
                <w:rFonts w:asciiTheme="majorBidi" w:hAnsiTheme="majorBidi" w:cstheme="majorBidi"/>
                <w:b/>
                <w:sz w:val="16"/>
                <w:szCs w:val="16"/>
              </w:rPr>
              <w:br/>
              <w:t xml:space="preserve">on activation of dendritic cells </w:t>
            </w:r>
          </w:p>
        </w:tc>
      </w:tr>
      <w:tr w:rsidR="00FD7681" w:rsidRPr="00D773F7" w14:paraId="5FA000E9" w14:textId="77777777" w:rsidTr="004A2E58">
        <w:trPr>
          <w:trHeight w:val="406"/>
          <w:tblHeader/>
          <w:jc w:val="center"/>
        </w:trPr>
        <w:tc>
          <w:tcPr>
            <w:tcW w:w="855" w:type="dxa"/>
            <w:vMerge w:val="restart"/>
            <w:tcBorders>
              <w:top w:val="nil"/>
              <w:left w:val="single" w:sz="4" w:space="0" w:color="auto"/>
              <w:right w:val="single" w:sz="4" w:space="0" w:color="auto"/>
            </w:tcBorders>
            <w:tcMar>
              <w:top w:w="57" w:type="dxa"/>
              <w:left w:w="57" w:type="dxa"/>
              <w:bottom w:w="57" w:type="dxa"/>
              <w:right w:w="57" w:type="dxa"/>
            </w:tcMar>
          </w:tcPr>
          <w:p w14:paraId="4B1DD286" w14:textId="77777777" w:rsidR="00FD7681" w:rsidRPr="00D773F7" w:rsidRDefault="00FD7681">
            <w:pPr>
              <w:spacing w:line="260" w:lineRule="atLeast"/>
              <w:jc w:val="center"/>
              <w:rPr>
                <w:rFonts w:asciiTheme="majorBidi" w:hAnsiTheme="majorBidi" w:cstheme="majorBidi"/>
                <w:sz w:val="16"/>
                <w:szCs w:val="16"/>
              </w:rPr>
            </w:pPr>
          </w:p>
        </w:tc>
        <w:tc>
          <w:tcPr>
            <w:tcW w:w="1408" w:type="dxa"/>
            <w:tcBorders>
              <w:top w:val="single" w:sz="4" w:space="0" w:color="auto"/>
              <w:left w:val="single" w:sz="4" w:space="0" w:color="auto"/>
              <w:bottom w:val="nil"/>
              <w:right w:val="single" w:sz="4" w:space="0" w:color="auto"/>
            </w:tcBorders>
            <w:tcMar>
              <w:top w:w="57" w:type="dxa"/>
              <w:left w:w="57" w:type="dxa"/>
              <w:bottom w:w="57" w:type="dxa"/>
              <w:right w:w="57" w:type="dxa"/>
            </w:tcMar>
          </w:tcPr>
          <w:p w14:paraId="5222433C" w14:textId="77777777" w:rsidR="00FD7681" w:rsidRPr="00D773F7" w:rsidRDefault="00FD7681">
            <w:pPr>
              <w:spacing w:line="240" w:lineRule="auto"/>
              <w:jc w:val="center"/>
              <w:rPr>
                <w:rFonts w:asciiTheme="majorBidi" w:hAnsiTheme="majorBidi" w:cstheme="majorBidi"/>
                <w:sz w:val="16"/>
                <w:szCs w:val="16"/>
              </w:rPr>
            </w:pPr>
            <w:r w:rsidRPr="00D773F7">
              <w:rPr>
                <w:rFonts w:asciiTheme="majorBidi" w:hAnsiTheme="majorBidi" w:cstheme="majorBidi"/>
                <w:b/>
                <w:sz w:val="16"/>
                <w:szCs w:val="16"/>
              </w:rPr>
              <w:t>Method described in Appendix I</w:t>
            </w:r>
          </w:p>
        </w:tc>
        <w:tc>
          <w:tcPr>
            <w:tcW w:w="1428" w:type="dxa"/>
            <w:gridSpan w:val="2"/>
            <w:tcBorders>
              <w:top w:val="single" w:sz="4" w:space="0" w:color="auto"/>
              <w:left w:val="single" w:sz="4" w:space="0" w:color="auto"/>
              <w:bottom w:val="nil"/>
              <w:right w:val="single" w:sz="4" w:space="0" w:color="auto"/>
            </w:tcBorders>
          </w:tcPr>
          <w:p w14:paraId="077A2580" w14:textId="77777777" w:rsidR="00FD7681" w:rsidRPr="00D773F7" w:rsidRDefault="00FD7681">
            <w:pPr>
              <w:spacing w:line="240" w:lineRule="auto"/>
              <w:jc w:val="center"/>
              <w:rPr>
                <w:rFonts w:asciiTheme="majorBidi" w:hAnsiTheme="majorBidi" w:cstheme="majorBidi"/>
                <w:b/>
                <w:bCs/>
                <w:sz w:val="16"/>
                <w:szCs w:val="16"/>
              </w:rPr>
            </w:pPr>
            <w:r w:rsidRPr="00D773F7">
              <w:rPr>
                <w:rFonts w:asciiTheme="majorBidi" w:hAnsiTheme="majorBidi" w:cstheme="majorBidi"/>
                <w:b/>
                <w:sz w:val="16"/>
                <w:szCs w:val="16"/>
              </w:rPr>
              <w:t xml:space="preserve">Method described in Appendix II </w:t>
            </w:r>
          </w:p>
        </w:tc>
        <w:tc>
          <w:tcPr>
            <w:tcW w:w="1196" w:type="dxa"/>
            <w:tcBorders>
              <w:top w:val="single" w:sz="4" w:space="0" w:color="auto"/>
              <w:left w:val="single" w:sz="4" w:space="0" w:color="auto"/>
              <w:bottom w:val="nil"/>
              <w:right w:val="single" w:sz="4" w:space="0" w:color="auto"/>
            </w:tcBorders>
          </w:tcPr>
          <w:p w14:paraId="73FD44A9" w14:textId="77777777" w:rsidR="00FD7681" w:rsidRPr="00D773F7" w:rsidRDefault="00FD7681">
            <w:pPr>
              <w:spacing w:line="240" w:lineRule="auto"/>
              <w:jc w:val="center"/>
              <w:rPr>
                <w:rFonts w:asciiTheme="majorBidi" w:hAnsiTheme="majorBidi" w:cstheme="majorBidi"/>
                <w:sz w:val="16"/>
                <w:szCs w:val="16"/>
              </w:rPr>
            </w:pPr>
            <w:r w:rsidRPr="00D773F7">
              <w:rPr>
                <w:rFonts w:asciiTheme="majorBidi" w:hAnsiTheme="majorBidi" w:cstheme="majorBidi"/>
                <w:b/>
                <w:sz w:val="16"/>
                <w:szCs w:val="16"/>
              </w:rPr>
              <w:t>Method described in Appendix III</w:t>
            </w:r>
          </w:p>
        </w:tc>
        <w:tc>
          <w:tcPr>
            <w:tcW w:w="2114" w:type="dxa"/>
            <w:tcBorders>
              <w:top w:val="single" w:sz="4" w:space="0" w:color="auto"/>
              <w:left w:val="single" w:sz="4" w:space="0" w:color="auto"/>
              <w:bottom w:val="nil"/>
              <w:right w:val="single" w:sz="4" w:space="0" w:color="auto"/>
            </w:tcBorders>
          </w:tcPr>
          <w:p w14:paraId="56400B31" w14:textId="77777777" w:rsidR="00FD7681" w:rsidRPr="00D773F7" w:rsidRDefault="00FD7681">
            <w:pPr>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Method described in Appendix 1A</w:t>
            </w:r>
            <w:r w:rsidRPr="00D773F7">
              <w:rPr>
                <w:rFonts w:asciiTheme="majorBidi" w:hAnsiTheme="majorBidi" w:cstheme="majorBidi"/>
                <w:b/>
                <w:sz w:val="16"/>
                <w:szCs w:val="16"/>
                <w:vertAlign w:val="superscript"/>
              </w:rPr>
              <w:t>a</w:t>
            </w:r>
          </w:p>
        </w:tc>
        <w:tc>
          <w:tcPr>
            <w:tcW w:w="1572" w:type="dxa"/>
            <w:tcBorders>
              <w:top w:val="single" w:sz="4" w:space="0" w:color="auto"/>
              <w:left w:val="single" w:sz="4" w:space="0" w:color="auto"/>
              <w:bottom w:val="nil"/>
              <w:right w:val="single" w:sz="4" w:space="0" w:color="auto"/>
            </w:tcBorders>
          </w:tcPr>
          <w:p w14:paraId="71FA441E" w14:textId="77777777" w:rsidR="00FD7681" w:rsidRPr="00D773F7" w:rsidRDefault="00FD7681">
            <w:pPr>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Method described in Appendix 1B</w:t>
            </w:r>
          </w:p>
        </w:tc>
        <w:tc>
          <w:tcPr>
            <w:tcW w:w="1497" w:type="dxa"/>
            <w:tcBorders>
              <w:top w:val="single" w:sz="4" w:space="0" w:color="auto"/>
              <w:left w:val="single" w:sz="4" w:space="0" w:color="auto"/>
              <w:bottom w:val="nil"/>
              <w:right w:val="single" w:sz="4" w:space="0" w:color="auto"/>
            </w:tcBorders>
          </w:tcPr>
          <w:p w14:paraId="291433A1" w14:textId="77777777" w:rsidR="00FD7681" w:rsidRPr="00D773F7" w:rsidRDefault="00FD7681">
            <w:pPr>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Method described in Annex I</w:t>
            </w:r>
          </w:p>
        </w:tc>
        <w:tc>
          <w:tcPr>
            <w:tcW w:w="1559" w:type="dxa"/>
            <w:tcBorders>
              <w:top w:val="single" w:sz="4" w:space="0" w:color="auto"/>
              <w:left w:val="single" w:sz="4" w:space="0" w:color="auto"/>
              <w:bottom w:val="nil"/>
              <w:right w:val="single" w:sz="4" w:space="0" w:color="auto"/>
            </w:tcBorders>
          </w:tcPr>
          <w:p w14:paraId="070D5D5E" w14:textId="77777777" w:rsidR="00FD7681" w:rsidRPr="00D773F7" w:rsidRDefault="00FD7681">
            <w:pPr>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Method described in Annex II</w:t>
            </w:r>
          </w:p>
        </w:tc>
        <w:tc>
          <w:tcPr>
            <w:tcW w:w="1338" w:type="dxa"/>
            <w:tcBorders>
              <w:top w:val="single" w:sz="4" w:space="0" w:color="auto"/>
              <w:left w:val="single" w:sz="4" w:space="0" w:color="auto"/>
              <w:bottom w:val="nil"/>
              <w:right w:val="single" w:sz="4" w:space="0" w:color="auto"/>
            </w:tcBorders>
          </w:tcPr>
          <w:p w14:paraId="26C38344" w14:textId="77777777" w:rsidR="00FD7681" w:rsidRPr="00D773F7" w:rsidRDefault="00FD7681">
            <w:pPr>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Method described in Annex III</w:t>
            </w:r>
          </w:p>
        </w:tc>
        <w:tc>
          <w:tcPr>
            <w:tcW w:w="1338" w:type="dxa"/>
            <w:tcBorders>
              <w:top w:val="single" w:sz="4" w:space="0" w:color="auto"/>
              <w:left w:val="single" w:sz="4" w:space="0" w:color="auto"/>
              <w:bottom w:val="nil"/>
              <w:right w:val="single" w:sz="4" w:space="0" w:color="auto"/>
            </w:tcBorders>
          </w:tcPr>
          <w:p w14:paraId="358F904F" w14:textId="77777777" w:rsidR="00FD7681" w:rsidRPr="00D773F7" w:rsidRDefault="00FD7681">
            <w:pPr>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 xml:space="preserve">Method described in Annex IV </w:t>
            </w:r>
          </w:p>
        </w:tc>
      </w:tr>
      <w:tr w:rsidR="00FD7681" w:rsidRPr="00D773F7" w14:paraId="6928724B" w14:textId="77777777" w:rsidTr="004A2E58">
        <w:trPr>
          <w:trHeight w:val="727"/>
          <w:tblHeader/>
          <w:jc w:val="center"/>
        </w:trPr>
        <w:tc>
          <w:tcPr>
            <w:tcW w:w="855" w:type="dxa"/>
            <w:vMerge/>
            <w:tcBorders>
              <w:left w:val="single" w:sz="4" w:space="0" w:color="auto"/>
              <w:bottom w:val="single" w:sz="4" w:space="0" w:color="auto"/>
              <w:right w:val="single" w:sz="4" w:space="0" w:color="auto"/>
            </w:tcBorders>
            <w:tcMar>
              <w:top w:w="57" w:type="dxa"/>
              <w:left w:w="57" w:type="dxa"/>
              <w:bottom w:w="57" w:type="dxa"/>
              <w:right w:w="57" w:type="dxa"/>
            </w:tcMar>
          </w:tcPr>
          <w:p w14:paraId="184FDF29" w14:textId="77777777" w:rsidR="00FD7681" w:rsidRPr="00D773F7" w:rsidRDefault="00FD7681">
            <w:pPr>
              <w:spacing w:line="260" w:lineRule="atLeast"/>
              <w:jc w:val="center"/>
              <w:rPr>
                <w:rFonts w:asciiTheme="majorBidi" w:hAnsiTheme="majorBidi" w:cstheme="majorBidi"/>
                <w:sz w:val="16"/>
                <w:szCs w:val="16"/>
              </w:rPr>
            </w:pPr>
          </w:p>
        </w:tc>
        <w:tc>
          <w:tcPr>
            <w:tcW w:w="1408"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4B30ECAE" w14:textId="77777777" w:rsidR="00FD7681" w:rsidRPr="00D773F7" w:rsidRDefault="00FD7681">
            <w:pPr>
              <w:spacing w:line="240" w:lineRule="auto"/>
              <w:jc w:val="center"/>
              <w:rPr>
                <w:rFonts w:asciiTheme="majorBidi" w:hAnsiTheme="majorBidi" w:cstheme="majorBidi"/>
                <w:b/>
                <w:bCs/>
                <w:sz w:val="16"/>
                <w:szCs w:val="16"/>
              </w:rPr>
            </w:pPr>
            <w:r w:rsidRPr="00D773F7">
              <w:rPr>
                <w:rFonts w:asciiTheme="majorBidi" w:hAnsiTheme="majorBidi" w:cstheme="majorBidi"/>
                <w:b/>
                <w:bCs/>
                <w:sz w:val="16"/>
                <w:szCs w:val="16"/>
              </w:rPr>
              <w:t>The Direct Peptide Reactivity Assay</w:t>
            </w:r>
          </w:p>
          <w:p w14:paraId="2EF49F50" w14:textId="77777777" w:rsidR="00FD7681" w:rsidRPr="00D773F7" w:rsidRDefault="00FD7681">
            <w:pPr>
              <w:spacing w:line="240" w:lineRule="auto"/>
              <w:jc w:val="center"/>
              <w:rPr>
                <w:rFonts w:asciiTheme="majorBidi" w:hAnsiTheme="majorBidi" w:cstheme="majorBidi"/>
                <w:b/>
                <w:sz w:val="16"/>
                <w:szCs w:val="16"/>
              </w:rPr>
            </w:pPr>
            <w:r w:rsidRPr="00D773F7">
              <w:rPr>
                <w:rFonts w:asciiTheme="majorBidi" w:hAnsiTheme="majorBidi" w:cstheme="majorBidi"/>
                <w:b/>
                <w:bCs/>
                <w:sz w:val="16"/>
                <w:szCs w:val="16"/>
              </w:rPr>
              <w:t>(DPRA)</w:t>
            </w:r>
            <w:r w:rsidRPr="00D773F7">
              <w:rPr>
                <w:rFonts w:asciiTheme="majorBidi" w:hAnsiTheme="majorBidi" w:cstheme="majorBidi"/>
                <w:b/>
                <w:bCs/>
                <w:sz w:val="16"/>
                <w:szCs w:val="16"/>
                <w:vertAlign w:val="superscript"/>
              </w:rPr>
              <w:t>a</w:t>
            </w:r>
          </w:p>
        </w:tc>
        <w:tc>
          <w:tcPr>
            <w:tcW w:w="1428" w:type="dxa"/>
            <w:gridSpan w:val="2"/>
            <w:tcBorders>
              <w:top w:val="nil"/>
              <w:left w:val="single" w:sz="4" w:space="0" w:color="auto"/>
              <w:bottom w:val="single" w:sz="4" w:space="0" w:color="auto"/>
              <w:right w:val="single" w:sz="4" w:space="0" w:color="auto"/>
            </w:tcBorders>
          </w:tcPr>
          <w:p w14:paraId="79907A34" w14:textId="77777777" w:rsidR="00FD7681" w:rsidRPr="00D773F7" w:rsidRDefault="00FD7681">
            <w:pPr>
              <w:spacing w:line="240" w:lineRule="auto"/>
              <w:jc w:val="center"/>
              <w:rPr>
                <w:rFonts w:asciiTheme="majorBidi" w:hAnsiTheme="majorBidi" w:cstheme="majorBidi"/>
                <w:b/>
                <w:sz w:val="16"/>
                <w:szCs w:val="16"/>
              </w:rPr>
            </w:pPr>
            <w:r w:rsidRPr="00D773F7">
              <w:rPr>
                <w:rFonts w:asciiTheme="majorBidi" w:hAnsiTheme="majorBidi" w:cstheme="majorBidi"/>
                <w:b/>
                <w:bCs/>
                <w:sz w:val="16"/>
                <w:szCs w:val="16"/>
              </w:rPr>
              <w:t>The Amino acid Derivative Reactivity Assay (ADRA)</w:t>
            </w:r>
            <w:r w:rsidRPr="00D773F7">
              <w:rPr>
                <w:rFonts w:asciiTheme="majorBidi" w:hAnsiTheme="majorBidi" w:cstheme="majorBidi"/>
                <w:b/>
                <w:bCs/>
                <w:sz w:val="14"/>
                <w:szCs w:val="14"/>
                <w:vertAlign w:val="superscript"/>
              </w:rPr>
              <w:t xml:space="preserve"> a</w:t>
            </w:r>
            <w:r w:rsidRPr="00D773F7">
              <w:rPr>
                <w:rFonts w:asciiTheme="majorBidi" w:hAnsiTheme="majorBidi" w:cstheme="majorBidi"/>
                <w:b/>
                <w:bCs/>
                <w:sz w:val="16"/>
                <w:szCs w:val="16"/>
              </w:rPr>
              <w:t xml:space="preserve"> </w:t>
            </w:r>
          </w:p>
        </w:tc>
        <w:tc>
          <w:tcPr>
            <w:tcW w:w="1196" w:type="dxa"/>
            <w:tcBorders>
              <w:top w:val="nil"/>
              <w:left w:val="single" w:sz="4" w:space="0" w:color="auto"/>
              <w:bottom w:val="single" w:sz="4" w:space="0" w:color="auto"/>
              <w:right w:val="single" w:sz="4" w:space="0" w:color="auto"/>
            </w:tcBorders>
          </w:tcPr>
          <w:p w14:paraId="36AD1B4C" w14:textId="77777777" w:rsidR="00FD7681" w:rsidRPr="00D773F7" w:rsidRDefault="00FD7681">
            <w:pPr>
              <w:spacing w:line="240" w:lineRule="auto"/>
              <w:jc w:val="center"/>
              <w:rPr>
                <w:rFonts w:asciiTheme="majorBidi" w:hAnsiTheme="majorBidi" w:cstheme="majorBidi"/>
                <w:b/>
                <w:sz w:val="16"/>
                <w:szCs w:val="16"/>
              </w:rPr>
            </w:pPr>
            <w:r w:rsidRPr="00D773F7">
              <w:rPr>
                <w:rFonts w:asciiTheme="majorBidi" w:hAnsiTheme="majorBidi" w:cstheme="majorBidi"/>
                <w:b/>
                <w:bCs/>
                <w:sz w:val="16"/>
                <w:szCs w:val="16"/>
              </w:rPr>
              <w:t>The kinetic Direct Peptide Reactivity Assay (</w:t>
            </w:r>
            <w:proofErr w:type="spellStart"/>
            <w:r w:rsidRPr="00D773F7">
              <w:rPr>
                <w:rFonts w:asciiTheme="majorBidi" w:hAnsiTheme="majorBidi" w:cstheme="majorBidi"/>
                <w:b/>
                <w:bCs/>
                <w:sz w:val="16"/>
                <w:szCs w:val="16"/>
              </w:rPr>
              <w:t>kDPRA</w:t>
            </w:r>
            <w:proofErr w:type="spellEnd"/>
            <w:r w:rsidRPr="00D773F7">
              <w:rPr>
                <w:rFonts w:asciiTheme="majorBidi" w:hAnsiTheme="majorBidi" w:cstheme="majorBidi"/>
                <w:b/>
                <w:bCs/>
                <w:sz w:val="16"/>
                <w:szCs w:val="16"/>
              </w:rPr>
              <w:t>)</w:t>
            </w:r>
            <w:r w:rsidRPr="00D773F7">
              <w:rPr>
                <w:rFonts w:asciiTheme="majorBidi" w:hAnsiTheme="majorBidi" w:cstheme="majorBidi"/>
                <w:b/>
                <w:bCs/>
                <w:sz w:val="16"/>
                <w:szCs w:val="16"/>
                <w:vertAlign w:val="superscript"/>
              </w:rPr>
              <w:t>b</w:t>
            </w:r>
          </w:p>
        </w:tc>
        <w:tc>
          <w:tcPr>
            <w:tcW w:w="2114" w:type="dxa"/>
            <w:tcBorders>
              <w:top w:val="nil"/>
              <w:left w:val="single" w:sz="4" w:space="0" w:color="auto"/>
              <w:bottom w:val="single" w:sz="4" w:space="0" w:color="auto"/>
              <w:right w:val="single" w:sz="4" w:space="0" w:color="auto"/>
            </w:tcBorders>
          </w:tcPr>
          <w:p w14:paraId="29FCF692" w14:textId="77777777" w:rsidR="00FD7681" w:rsidRPr="00D773F7" w:rsidRDefault="00FD7681">
            <w:pPr>
              <w:spacing w:line="240" w:lineRule="auto"/>
              <w:jc w:val="center"/>
              <w:rPr>
                <w:rFonts w:asciiTheme="majorBidi" w:hAnsiTheme="majorBidi" w:cstheme="majorBidi"/>
                <w:b/>
                <w:sz w:val="16"/>
                <w:szCs w:val="16"/>
              </w:rPr>
            </w:pPr>
          </w:p>
        </w:tc>
        <w:tc>
          <w:tcPr>
            <w:tcW w:w="1572" w:type="dxa"/>
            <w:tcBorders>
              <w:top w:val="nil"/>
              <w:left w:val="single" w:sz="4" w:space="0" w:color="auto"/>
              <w:bottom w:val="single" w:sz="4" w:space="0" w:color="auto"/>
              <w:right w:val="single" w:sz="4" w:space="0" w:color="auto"/>
            </w:tcBorders>
          </w:tcPr>
          <w:p w14:paraId="688C0F36" w14:textId="77777777" w:rsidR="00FD7681" w:rsidRPr="00D773F7" w:rsidRDefault="00FD7681">
            <w:pPr>
              <w:spacing w:line="240" w:lineRule="auto"/>
              <w:jc w:val="center"/>
              <w:rPr>
                <w:rFonts w:asciiTheme="majorBidi" w:hAnsiTheme="majorBidi" w:cstheme="majorBidi"/>
                <w:b/>
                <w:sz w:val="16"/>
                <w:szCs w:val="16"/>
              </w:rPr>
            </w:pPr>
            <w:proofErr w:type="spellStart"/>
            <w:r w:rsidRPr="00D773F7">
              <w:rPr>
                <w:rFonts w:asciiTheme="majorBidi" w:hAnsiTheme="majorBidi" w:cstheme="majorBidi"/>
                <w:b/>
                <w:sz w:val="16"/>
                <w:szCs w:val="16"/>
              </w:rPr>
              <w:t>Lusens</w:t>
            </w:r>
            <w:proofErr w:type="spellEnd"/>
            <w:r w:rsidRPr="00D773F7">
              <w:rPr>
                <w:rFonts w:asciiTheme="majorBidi" w:hAnsiTheme="majorBidi" w:cstheme="majorBidi"/>
                <w:b/>
                <w:bCs/>
                <w:sz w:val="14"/>
                <w:szCs w:val="14"/>
                <w:vertAlign w:val="superscript"/>
              </w:rPr>
              <w:t xml:space="preserve"> a</w:t>
            </w:r>
          </w:p>
        </w:tc>
        <w:tc>
          <w:tcPr>
            <w:tcW w:w="1497" w:type="dxa"/>
            <w:tcBorders>
              <w:top w:val="nil"/>
              <w:left w:val="single" w:sz="4" w:space="0" w:color="auto"/>
              <w:bottom w:val="single" w:sz="4" w:space="0" w:color="auto"/>
              <w:right w:val="single" w:sz="4" w:space="0" w:color="auto"/>
            </w:tcBorders>
          </w:tcPr>
          <w:p w14:paraId="60307217" w14:textId="77777777" w:rsidR="00FD7681" w:rsidRPr="00D773F7" w:rsidRDefault="00FD7681">
            <w:pPr>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 xml:space="preserve">human Cell Line Activation Assay </w:t>
            </w:r>
            <w:r w:rsidRPr="00D773F7">
              <w:rPr>
                <w:rFonts w:asciiTheme="majorBidi" w:hAnsiTheme="majorBidi" w:cstheme="majorBidi"/>
                <w:b/>
                <w:sz w:val="16"/>
                <w:szCs w:val="16"/>
              </w:rPr>
              <w:br/>
              <w:t>(h-CLAT)</w:t>
            </w:r>
            <w:r w:rsidRPr="00D773F7">
              <w:rPr>
                <w:rFonts w:asciiTheme="majorBidi" w:hAnsiTheme="majorBidi" w:cstheme="majorBidi"/>
                <w:b/>
                <w:bCs/>
                <w:sz w:val="14"/>
                <w:szCs w:val="14"/>
                <w:vertAlign w:val="superscript"/>
              </w:rPr>
              <w:t xml:space="preserve"> a</w:t>
            </w:r>
          </w:p>
        </w:tc>
        <w:tc>
          <w:tcPr>
            <w:tcW w:w="1559" w:type="dxa"/>
            <w:tcBorders>
              <w:top w:val="nil"/>
              <w:left w:val="single" w:sz="4" w:space="0" w:color="auto"/>
              <w:bottom w:val="single" w:sz="4" w:space="0" w:color="auto"/>
              <w:right w:val="single" w:sz="4" w:space="0" w:color="auto"/>
            </w:tcBorders>
          </w:tcPr>
          <w:p w14:paraId="3D95D6A4" w14:textId="77777777" w:rsidR="00FD7681" w:rsidRPr="00D773F7" w:rsidRDefault="00FD7681">
            <w:pPr>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U937 Cell Line Activation Test</w:t>
            </w:r>
            <w:r w:rsidRPr="00D773F7">
              <w:rPr>
                <w:rFonts w:asciiTheme="majorBidi" w:hAnsiTheme="majorBidi" w:cstheme="majorBidi"/>
                <w:b/>
                <w:bCs/>
                <w:sz w:val="14"/>
                <w:szCs w:val="14"/>
                <w:vertAlign w:val="superscript"/>
              </w:rPr>
              <w:t xml:space="preserve"> a</w:t>
            </w:r>
            <w:r w:rsidRPr="00D773F7">
              <w:rPr>
                <w:rFonts w:asciiTheme="majorBidi" w:hAnsiTheme="majorBidi" w:cstheme="majorBidi"/>
                <w:b/>
                <w:sz w:val="16"/>
                <w:szCs w:val="16"/>
              </w:rPr>
              <w:t xml:space="preserve"> </w:t>
            </w:r>
          </w:p>
          <w:p w14:paraId="385815D7" w14:textId="77777777" w:rsidR="00FD7681" w:rsidRPr="00D773F7" w:rsidRDefault="00FD7681">
            <w:pPr>
              <w:spacing w:line="240" w:lineRule="auto"/>
              <w:jc w:val="center"/>
              <w:rPr>
                <w:rFonts w:asciiTheme="majorBidi" w:hAnsiTheme="majorBidi" w:cstheme="majorBidi"/>
                <w:b/>
                <w:sz w:val="16"/>
                <w:szCs w:val="16"/>
              </w:rPr>
            </w:pPr>
          </w:p>
        </w:tc>
        <w:tc>
          <w:tcPr>
            <w:tcW w:w="1338" w:type="dxa"/>
            <w:tcBorders>
              <w:top w:val="nil"/>
              <w:left w:val="single" w:sz="4" w:space="0" w:color="auto"/>
              <w:bottom w:val="single" w:sz="4" w:space="0" w:color="auto"/>
              <w:right w:val="single" w:sz="4" w:space="0" w:color="auto"/>
            </w:tcBorders>
          </w:tcPr>
          <w:p w14:paraId="264A9ECA" w14:textId="77777777" w:rsidR="00FD7681" w:rsidRPr="00D773F7" w:rsidRDefault="00FD7681">
            <w:pPr>
              <w:spacing w:line="240" w:lineRule="auto"/>
              <w:jc w:val="center"/>
              <w:rPr>
                <w:rFonts w:asciiTheme="majorBidi" w:hAnsiTheme="majorBidi" w:cstheme="majorBidi"/>
                <w:b/>
                <w:sz w:val="16"/>
                <w:szCs w:val="16"/>
              </w:rPr>
            </w:pPr>
            <w:r w:rsidRPr="00D773F7">
              <w:rPr>
                <w:rFonts w:asciiTheme="majorBidi" w:hAnsiTheme="majorBidi" w:cstheme="majorBidi"/>
                <w:b/>
                <w:bCs/>
                <w:sz w:val="16"/>
                <w:szCs w:val="16"/>
              </w:rPr>
              <w:t xml:space="preserve">Interleukin-8 luciferase </w:t>
            </w:r>
            <w:r w:rsidRPr="00D773F7">
              <w:rPr>
                <w:rFonts w:asciiTheme="majorBidi" w:hAnsiTheme="majorBidi" w:cstheme="majorBidi"/>
                <w:b/>
                <w:bCs/>
                <w:sz w:val="16"/>
                <w:szCs w:val="16"/>
              </w:rPr>
              <w:br/>
            </w:r>
            <w:r w:rsidRPr="00D773F7">
              <w:rPr>
                <w:rFonts w:asciiTheme="majorBidi" w:hAnsiTheme="majorBidi" w:cstheme="majorBidi"/>
                <w:b/>
                <w:sz w:val="16"/>
                <w:szCs w:val="16"/>
              </w:rPr>
              <w:t xml:space="preserve">(IL-8 Luc) assay </w:t>
            </w:r>
            <w:r w:rsidRPr="00D773F7">
              <w:rPr>
                <w:rFonts w:asciiTheme="majorBidi" w:hAnsiTheme="majorBidi" w:cstheme="majorBidi"/>
                <w:b/>
                <w:sz w:val="16"/>
                <w:szCs w:val="16"/>
                <w:vertAlign w:val="superscript"/>
              </w:rPr>
              <w:t>a</w:t>
            </w:r>
          </w:p>
        </w:tc>
        <w:tc>
          <w:tcPr>
            <w:tcW w:w="1338" w:type="dxa"/>
            <w:tcBorders>
              <w:top w:val="nil"/>
              <w:left w:val="single" w:sz="4" w:space="0" w:color="auto"/>
              <w:bottom w:val="single" w:sz="4" w:space="0" w:color="auto"/>
              <w:right w:val="single" w:sz="4" w:space="0" w:color="auto"/>
            </w:tcBorders>
          </w:tcPr>
          <w:p w14:paraId="17BA8261" w14:textId="6D7F2755" w:rsidR="00FD7681" w:rsidRPr="00D773F7" w:rsidRDefault="00FD7681">
            <w:pPr>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 xml:space="preserve">Genomic Allergen Rapid Detection for assessment of skin </w:t>
            </w:r>
            <w:proofErr w:type="spellStart"/>
            <w:r w:rsidRPr="00D773F7">
              <w:rPr>
                <w:rFonts w:asciiTheme="majorBidi" w:hAnsiTheme="majorBidi" w:cstheme="majorBidi"/>
                <w:b/>
                <w:sz w:val="16"/>
                <w:szCs w:val="16"/>
              </w:rPr>
              <w:t>sensitizers</w:t>
            </w:r>
            <w:r w:rsidR="00622384" w:rsidRPr="006E65C1">
              <w:rPr>
                <w:rFonts w:asciiTheme="majorBidi" w:hAnsiTheme="majorBidi" w:cstheme="majorBidi"/>
                <w:b/>
                <w:sz w:val="16"/>
                <w:szCs w:val="16"/>
                <w:vertAlign w:val="superscript"/>
              </w:rPr>
              <w:t>a</w:t>
            </w:r>
            <w:proofErr w:type="spellEnd"/>
          </w:p>
        </w:tc>
      </w:tr>
      <w:tr w:rsidR="00D909E0" w:rsidRPr="00D773F7" w14:paraId="47977149" w14:textId="77777777" w:rsidTr="00D243FB">
        <w:trPr>
          <w:trHeight w:val="4513"/>
          <w:jc w:val="center"/>
        </w:trPr>
        <w:tc>
          <w:tcPr>
            <w:tcW w:w="85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559A67C" w14:textId="77777777" w:rsidR="00D909E0" w:rsidRPr="00D773F7" w:rsidRDefault="00D909E0" w:rsidP="004C254C">
            <w:pPr>
              <w:keepNext/>
              <w:keepLines/>
              <w:spacing w:before="40" w:after="40" w:line="240" w:lineRule="auto"/>
              <w:jc w:val="center"/>
              <w:rPr>
                <w:rFonts w:asciiTheme="majorBidi" w:hAnsiTheme="majorBidi" w:cstheme="majorBidi"/>
                <w:b/>
                <w:bCs/>
                <w:sz w:val="16"/>
                <w:szCs w:val="16"/>
              </w:rPr>
            </w:pPr>
            <w:r w:rsidRPr="00D773F7">
              <w:rPr>
                <w:rFonts w:asciiTheme="majorBidi" w:hAnsiTheme="majorBidi" w:cstheme="majorBidi"/>
                <w:b/>
                <w:bCs/>
                <w:sz w:val="16"/>
                <w:szCs w:val="16"/>
              </w:rPr>
              <w:t>1</w:t>
            </w:r>
          </w:p>
        </w:tc>
        <w:tc>
          <w:tcPr>
            <w:tcW w:w="1419"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B54A2F6" w14:textId="77777777" w:rsidR="00D909E0" w:rsidRPr="00D773F7" w:rsidRDefault="00D909E0" w:rsidP="007024AF">
            <w:pPr>
              <w:keepNext/>
              <w:keepLines/>
              <w:spacing w:before="40" w:after="40" w:line="240" w:lineRule="auto"/>
              <w:rPr>
                <w:rFonts w:asciiTheme="majorBidi" w:hAnsiTheme="majorBidi" w:cstheme="majorBidi"/>
                <w:sz w:val="16"/>
                <w:szCs w:val="16"/>
              </w:rPr>
            </w:pPr>
            <w:r w:rsidRPr="00D773F7">
              <w:rPr>
                <w:rFonts w:asciiTheme="majorBidi" w:hAnsiTheme="majorBidi" w:cstheme="majorBidi"/>
                <w:sz w:val="16"/>
                <w:szCs w:val="16"/>
              </w:rPr>
              <w:t xml:space="preserve">The mean cysteine/lysine % depletion &gt; 6.38% Or </w:t>
            </w:r>
          </w:p>
          <w:p w14:paraId="5C0253EF" w14:textId="43C8F67A" w:rsidR="00D909E0" w:rsidRPr="00D773F7" w:rsidRDefault="00D909E0" w:rsidP="00C54843">
            <w:pPr>
              <w:keepNext/>
              <w:keepLines/>
              <w:tabs>
                <w:tab w:val="left" w:pos="294"/>
              </w:tabs>
              <w:spacing w:before="40" w:after="40" w:line="240" w:lineRule="auto"/>
              <w:rPr>
                <w:rFonts w:asciiTheme="majorBidi" w:hAnsiTheme="majorBidi" w:cstheme="majorBidi"/>
                <w:sz w:val="16"/>
                <w:szCs w:val="16"/>
              </w:rPr>
            </w:pPr>
            <w:r w:rsidRPr="00D773F7">
              <w:rPr>
                <w:rFonts w:asciiTheme="majorBidi" w:hAnsiTheme="majorBidi" w:cstheme="majorBidi"/>
                <w:sz w:val="16"/>
                <w:szCs w:val="16"/>
              </w:rPr>
              <w:t>the mean cysteine % depletion &gt; 13.89 %</w:t>
            </w:r>
          </w:p>
        </w:tc>
        <w:tc>
          <w:tcPr>
            <w:tcW w:w="1417" w:type="dxa"/>
            <w:tcBorders>
              <w:top w:val="single" w:sz="4" w:space="0" w:color="auto"/>
              <w:left w:val="single" w:sz="4" w:space="0" w:color="auto"/>
              <w:bottom w:val="single" w:sz="4" w:space="0" w:color="auto"/>
              <w:right w:val="single" w:sz="4" w:space="0" w:color="auto"/>
            </w:tcBorders>
          </w:tcPr>
          <w:p w14:paraId="605ADDE0" w14:textId="01B92A00" w:rsidR="00D909E0" w:rsidRPr="00D773F7" w:rsidRDefault="00D909E0" w:rsidP="007024AF">
            <w:pPr>
              <w:keepNext/>
              <w:keepLines/>
              <w:spacing w:before="40" w:after="40" w:line="240" w:lineRule="auto"/>
              <w:rPr>
                <w:rFonts w:asciiTheme="majorBidi" w:hAnsiTheme="majorBidi" w:cstheme="majorBidi"/>
                <w:sz w:val="16"/>
                <w:szCs w:val="16"/>
              </w:rPr>
            </w:pPr>
            <w:r w:rsidRPr="00D773F7">
              <w:rPr>
                <w:rFonts w:asciiTheme="majorBidi" w:hAnsiTheme="majorBidi" w:cstheme="majorBidi"/>
                <w:sz w:val="16"/>
                <w:szCs w:val="16"/>
              </w:rPr>
              <w:t xml:space="preserve">The mean NAC </w:t>
            </w:r>
            <w:r w:rsidR="007024AF" w:rsidRPr="00D773F7">
              <w:rPr>
                <w:rFonts w:asciiTheme="majorBidi" w:hAnsiTheme="majorBidi" w:cstheme="majorBidi"/>
                <w:sz w:val="16"/>
                <w:szCs w:val="16"/>
              </w:rPr>
              <w:br/>
            </w:r>
            <w:r w:rsidRPr="00D773F7">
              <w:rPr>
                <w:rFonts w:asciiTheme="majorBidi" w:hAnsiTheme="majorBidi" w:cstheme="majorBidi"/>
                <w:sz w:val="16"/>
                <w:szCs w:val="16"/>
              </w:rPr>
              <w:t xml:space="preserve">and NAL % depletion ≥ 4.9% </w:t>
            </w:r>
          </w:p>
          <w:p w14:paraId="18FEC35A" w14:textId="77777777" w:rsidR="00D909E0" w:rsidRPr="00D773F7" w:rsidRDefault="00D909E0" w:rsidP="004C254C">
            <w:pPr>
              <w:keepNext/>
              <w:keepLines/>
              <w:tabs>
                <w:tab w:val="left" w:pos="294"/>
              </w:tabs>
              <w:spacing w:before="40" w:after="40" w:line="240" w:lineRule="auto"/>
              <w:rPr>
                <w:rFonts w:asciiTheme="majorBidi" w:hAnsiTheme="majorBidi" w:cstheme="majorBidi"/>
                <w:sz w:val="16"/>
                <w:szCs w:val="16"/>
              </w:rPr>
            </w:pPr>
            <w:r w:rsidRPr="00D773F7">
              <w:rPr>
                <w:rFonts w:asciiTheme="majorBidi" w:hAnsiTheme="majorBidi" w:cstheme="majorBidi"/>
                <w:sz w:val="16"/>
                <w:szCs w:val="16"/>
              </w:rPr>
              <w:t>Or</w:t>
            </w:r>
          </w:p>
          <w:p w14:paraId="0C7534FA" w14:textId="500ABEE0" w:rsidR="00D909E0" w:rsidRPr="00D773F7" w:rsidRDefault="00D909E0" w:rsidP="00A218B3">
            <w:pPr>
              <w:keepNext/>
              <w:keepLines/>
              <w:tabs>
                <w:tab w:val="left" w:pos="294"/>
              </w:tabs>
              <w:spacing w:before="40" w:after="40" w:line="240" w:lineRule="auto"/>
              <w:rPr>
                <w:rFonts w:asciiTheme="majorBidi" w:hAnsiTheme="majorBidi" w:cstheme="majorBidi"/>
                <w:sz w:val="16"/>
                <w:szCs w:val="16"/>
              </w:rPr>
            </w:pPr>
            <w:r w:rsidRPr="00D773F7">
              <w:rPr>
                <w:rFonts w:asciiTheme="majorBidi" w:hAnsiTheme="majorBidi" w:cstheme="majorBidi"/>
                <w:sz w:val="16"/>
                <w:szCs w:val="16"/>
              </w:rPr>
              <w:t>NAC% depletion ≥5.6%</w:t>
            </w:r>
          </w:p>
        </w:tc>
        <w:tc>
          <w:tcPr>
            <w:tcW w:w="1196" w:type="dxa"/>
            <w:tcBorders>
              <w:top w:val="single" w:sz="4" w:space="0" w:color="auto"/>
              <w:left w:val="single" w:sz="4" w:space="0" w:color="auto"/>
              <w:bottom w:val="single" w:sz="4" w:space="0" w:color="auto"/>
              <w:right w:val="single" w:sz="4" w:space="0" w:color="auto"/>
            </w:tcBorders>
          </w:tcPr>
          <w:p w14:paraId="077E01A3" w14:textId="77777777" w:rsidR="00D909E0" w:rsidRPr="00D773F7" w:rsidRDefault="00D909E0" w:rsidP="004C254C">
            <w:pPr>
              <w:keepNext/>
              <w:keepLines/>
              <w:tabs>
                <w:tab w:val="left" w:pos="294"/>
              </w:tabs>
              <w:spacing w:before="40" w:after="40" w:line="240" w:lineRule="auto"/>
              <w:rPr>
                <w:rFonts w:asciiTheme="majorBidi" w:hAnsiTheme="majorBidi" w:cstheme="majorBidi"/>
                <w:sz w:val="16"/>
                <w:szCs w:val="16"/>
              </w:rPr>
            </w:pPr>
            <w:r w:rsidRPr="00D773F7">
              <w:rPr>
                <w:rFonts w:asciiTheme="majorBidi" w:hAnsiTheme="majorBidi" w:cstheme="majorBidi"/>
                <w:sz w:val="16"/>
                <w:szCs w:val="16"/>
              </w:rPr>
              <w:t>Not applicable</w:t>
            </w:r>
          </w:p>
        </w:tc>
        <w:tc>
          <w:tcPr>
            <w:tcW w:w="2114" w:type="dxa"/>
            <w:tcBorders>
              <w:top w:val="single" w:sz="4" w:space="0" w:color="auto"/>
              <w:left w:val="single" w:sz="4" w:space="0" w:color="auto"/>
              <w:bottom w:val="single" w:sz="4" w:space="0" w:color="auto"/>
              <w:right w:val="single" w:sz="4" w:space="0" w:color="auto"/>
            </w:tcBorders>
          </w:tcPr>
          <w:p w14:paraId="08118CA4" w14:textId="77777777" w:rsidR="00D909E0" w:rsidRPr="00D773F7" w:rsidRDefault="00D909E0" w:rsidP="007024AF">
            <w:pPr>
              <w:keepNext/>
              <w:keepLines/>
              <w:tabs>
                <w:tab w:val="left" w:pos="211"/>
              </w:tabs>
              <w:spacing w:before="40" w:after="40" w:line="240" w:lineRule="auto"/>
              <w:rPr>
                <w:rFonts w:asciiTheme="majorBidi" w:hAnsiTheme="majorBidi" w:cstheme="majorBidi"/>
                <w:sz w:val="16"/>
                <w:szCs w:val="16"/>
              </w:rPr>
            </w:pPr>
            <w:r w:rsidRPr="00D773F7">
              <w:rPr>
                <w:rFonts w:asciiTheme="majorBidi" w:hAnsiTheme="majorBidi" w:cstheme="majorBidi"/>
                <w:sz w:val="16"/>
                <w:szCs w:val="16"/>
              </w:rPr>
              <w:t>The following 4 conditions are all met in 2 of 2 or in the same 2 of 3 repetitions:</w:t>
            </w:r>
          </w:p>
          <w:p w14:paraId="244D372D" w14:textId="77777777" w:rsidR="00D909E0" w:rsidRPr="00D773F7" w:rsidRDefault="00D909E0" w:rsidP="007024AF">
            <w:pPr>
              <w:pStyle w:val="ListParagraph"/>
              <w:keepNext/>
              <w:keepLines/>
              <w:tabs>
                <w:tab w:val="left" w:pos="211"/>
              </w:tabs>
              <w:spacing w:before="40" w:after="40" w:line="240" w:lineRule="auto"/>
              <w:ind w:left="153" w:hanging="153"/>
              <w:rPr>
                <w:rFonts w:asciiTheme="majorBidi" w:hAnsiTheme="majorBidi" w:cstheme="majorBidi"/>
                <w:sz w:val="16"/>
                <w:szCs w:val="16"/>
              </w:rPr>
            </w:pPr>
            <w:r w:rsidRPr="00D773F7">
              <w:rPr>
                <w:rFonts w:asciiTheme="majorBidi" w:hAnsiTheme="majorBidi" w:cstheme="majorBidi"/>
                <w:sz w:val="16"/>
                <w:szCs w:val="16"/>
              </w:rPr>
              <w:t>1.</w:t>
            </w:r>
            <w:r w:rsidRPr="00D773F7">
              <w:rPr>
                <w:rFonts w:asciiTheme="majorBidi" w:hAnsiTheme="majorBidi" w:cstheme="majorBidi"/>
                <w:sz w:val="16"/>
                <w:szCs w:val="16"/>
              </w:rPr>
              <w:tab/>
              <w:t>Imax equal or higher than (</w:t>
            </w:r>
            <w:r w:rsidRPr="00D773F7">
              <w:rPr>
                <w:rFonts w:asciiTheme="majorBidi" w:hAnsiTheme="majorBidi" w:cstheme="majorBidi"/>
                <w:sz w:val="16"/>
                <w:szCs w:val="16"/>
              </w:rPr>
              <w:sym w:font="Symbol" w:char="F0B3"/>
            </w:r>
            <w:r w:rsidRPr="00D773F7">
              <w:rPr>
                <w:rFonts w:asciiTheme="majorBidi" w:hAnsiTheme="majorBidi" w:cstheme="majorBidi"/>
                <w:sz w:val="16"/>
                <w:szCs w:val="16"/>
              </w:rPr>
              <w:t xml:space="preserve">) 1.5 fold and statistically significantly different to the solvent control </w:t>
            </w:r>
          </w:p>
          <w:p w14:paraId="414A6F09" w14:textId="77777777" w:rsidR="00D909E0" w:rsidRPr="00D773F7" w:rsidRDefault="00D909E0" w:rsidP="007024AF">
            <w:pPr>
              <w:pStyle w:val="ListParagraph"/>
              <w:keepNext/>
              <w:keepLines/>
              <w:tabs>
                <w:tab w:val="left" w:pos="211"/>
              </w:tabs>
              <w:spacing w:before="40" w:after="40" w:line="240" w:lineRule="auto"/>
              <w:ind w:left="153" w:hanging="153"/>
              <w:rPr>
                <w:rFonts w:asciiTheme="majorBidi" w:hAnsiTheme="majorBidi" w:cstheme="majorBidi"/>
                <w:sz w:val="16"/>
                <w:szCs w:val="16"/>
              </w:rPr>
            </w:pPr>
            <w:r w:rsidRPr="00D773F7">
              <w:rPr>
                <w:rFonts w:asciiTheme="majorBidi" w:hAnsiTheme="majorBidi" w:cstheme="majorBidi"/>
                <w:sz w:val="16"/>
                <w:szCs w:val="16"/>
              </w:rPr>
              <w:t>2.</w:t>
            </w:r>
            <w:r w:rsidRPr="00D773F7">
              <w:rPr>
                <w:rFonts w:asciiTheme="majorBidi" w:hAnsiTheme="majorBidi" w:cstheme="majorBidi"/>
                <w:sz w:val="16"/>
                <w:szCs w:val="16"/>
              </w:rPr>
              <w:tab/>
              <w:t xml:space="preserve">The cellular viability is higher than (&gt;) 70% at the lowest concentration with induction of luciferase activity equal or above 1.5 fold </w:t>
            </w:r>
          </w:p>
          <w:p w14:paraId="5F927882" w14:textId="77777777" w:rsidR="00D909E0" w:rsidRPr="00D773F7" w:rsidRDefault="00D909E0" w:rsidP="007024AF">
            <w:pPr>
              <w:pStyle w:val="ListParagraph"/>
              <w:keepNext/>
              <w:keepLines/>
              <w:tabs>
                <w:tab w:val="left" w:pos="211"/>
              </w:tabs>
              <w:spacing w:before="40" w:after="40" w:line="240" w:lineRule="auto"/>
              <w:ind w:left="153" w:hanging="153"/>
              <w:rPr>
                <w:rFonts w:asciiTheme="majorBidi" w:hAnsiTheme="majorBidi" w:cstheme="majorBidi"/>
                <w:sz w:val="16"/>
                <w:szCs w:val="16"/>
              </w:rPr>
            </w:pPr>
            <w:r w:rsidRPr="00D773F7">
              <w:rPr>
                <w:rFonts w:asciiTheme="majorBidi" w:hAnsiTheme="majorBidi" w:cstheme="majorBidi"/>
                <w:sz w:val="16"/>
                <w:szCs w:val="16"/>
              </w:rPr>
              <w:t>3.</w:t>
            </w:r>
            <w:r w:rsidRPr="00D773F7">
              <w:rPr>
                <w:rFonts w:asciiTheme="majorBidi" w:hAnsiTheme="majorBidi" w:cstheme="majorBidi"/>
                <w:sz w:val="16"/>
                <w:szCs w:val="16"/>
              </w:rPr>
              <w:tab/>
              <w:t>The EC</w:t>
            </w:r>
            <w:r w:rsidRPr="00D773F7">
              <w:rPr>
                <w:rFonts w:asciiTheme="majorBidi" w:hAnsiTheme="majorBidi" w:cstheme="majorBidi"/>
                <w:sz w:val="16"/>
                <w:szCs w:val="16"/>
                <w:vertAlign w:val="subscript"/>
              </w:rPr>
              <w:t>1.5</w:t>
            </w:r>
            <w:r w:rsidRPr="00D773F7">
              <w:rPr>
                <w:rFonts w:asciiTheme="majorBidi" w:hAnsiTheme="majorBidi" w:cstheme="majorBidi"/>
                <w:sz w:val="16"/>
                <w:szCs w:val="16"/>
              </w:rPr>
              <w:t xml:space="preserve"> value is less than (&lt;) 1000 µM (or &lt; 200 µg/mL for test chemicals  with no defined molecular weight)</w:t>
            </w:r>
          </w:p>
          <w:p w14:paraId="1125F948" w14:textId="77777777" w:rsidR="00D909E0" w:rsidRPr="00D773F7" w:rsidRDefault="00D909E0" w:rsidP="007024AF">
            <w:pPr>
              <w:pStyle w:val="ListParagraph"/>
              <w:keepNext/>
              <w:keepLines/>
              <w:tabs>
                <w:tab w:val="left" w:pos="211"/>
              </w:tabs>
              <w:spacing w:before="40" w:after="40" w:line="240" w:lineRule="auto"/>
              <w:ind w:left="153" w:hanging="153"/>
              <w:rPr>
                <w:rFonts w:asciiTheme="majorBidi" w:hAnsiTheme="majorBidi" w:cstheme="majorBidi"/>
                <w:sz w:val="16"/>
                <w:szCs w:val="16"/>
              </w:rPr>
            </w:pPr>
            <w:r w:rsidRPr="00D773F7">
              <w:rPr>
                <w:rFonts w:asciiTheme="majorBidi" w:hAnsiTheme="majorBidi" w:cstheme="majorBidi"/>
                <w:sz w:val="16"/>
                <w:szCs w:val="16"/>
              </w:rPr>
              <w:t>4.</w:t>
            </w:r>
            <w:r w:rsidRPr="00D773F7">
              <w:rPr>
                <w:rFonts w:asciiTheme="majorBidi" w:hAnsiTheme="majorBidi" w:cstheme="majorBidi"/>
                <w:sz w:val="16"/>
                <w:szCs w:val="16"/>
              </w:rPr>
              <w:tab/>
              <w:t>There is an apparent overall dose-dependent increase in luciferase induction</w:t>
            </w:r>
          </w:p>
        </w:tc>
        <w:tc>
          <w:tcPr>
            <w:tcW w:w="1572" w:type="dxa"/>
            <w:tcBorders>
              <w:top w:val="single" w:sz="4" w:space="0" w:color="auto"/>
              <w:left w:val="single" w:sz="4" w:space="0" w:color="auto"/>
              <w:bottom w:val="single" w:sz="4" w:space="0" w:color="auto"/>
              <w:right w:val="single" w:sz="4" w:space="0" w:color="auto"/>
            </w:tcBorders>
          </w:tcPr>
          <w:p w14:paraId="78D901C4" w14:textId="77777777" w:rsidR="00D909E0" w:rsidRPr="00D773F7" w:rsidRDefault="00D909E0" w:rsidP="004C254C">
            <w:pPr>
              <w:keepNext/>
              <w:keepLines/>
              <w:spacing w:before="40" w:after="40" w:line="240" w:lineRule="auto"/>
              <w:rPr>
                <w:rFonts w:asciiTheme="majorBidi" w:hAnsiTheme="majorBidi" w:cstheme="majorBidi"/>
                <w:sz w:val="16"/>
                <w:szCs w:val="16"/>
              </w:rPr>
            </w:pPr>
            <w:r w:rsidRPr="00D773F7">
              <w:rPr>
                <w:rFonts w:asciiTheme="majorBidi" w:hAnsiTheme="majorBidi" w:cstheme="majorBidi"/>
                <w:sz w:val="16"/>
                <w:szCs w:val="16"/>
              </w:rPr>
              <w:t>The following conditions are all met in 2 of 2 or in the same 2 of 3 repetitions:</w:t>
            </w:r>
          </w:p>
          <w:p w14:paraId="3825A866" w14:textId="77777777" w:rsidR="00D909E0" w:rsidRPr="00D773F7" w:rsidRDefault="00D909E0" w:rsidP="004C254C">
            <w:pPr>
              <w:keepNext/>
              <w:keepLines/>
              <w:spacing w:before="40" w:after="40" w:line="240" w:lineRule="auto"/>
              <w:ind w:left="194" w:hanging="194"/>
              <w:rPr>
                <w:rFonts w:asciiTheme="majorBidi" w:hAnsiTheme="majorBidi" w:cstheme="majorBidi"/>
                <w:sz w:val="16"/>
                <w:szCs w:val="16"/>
              </w:rPr>
            </w:pPr>
            <w:r w:rsidRPr="00D773F7">
              <w:rPr>
                <w:rFonts w:asciiTheme="majorBidi" w:hAnsiTheme="majorBidi" w:cstheme="majorBidi"/>
                <w:sz w:val="16"/>
                <w:szCs w:val="16"/>
              </w:rPr>
              <w:t>1. A luciferase induction above or equal to (</w:t>
            </w:r>
            <w:r w:rsidRPr="00D773F7">
              <w:rPr>
                <w:rFonts w:asciiTheme="majorBidi" w:hAnsiTheme="majorBidi" w:cstheme="majorBidi"/>
                <w:sz w:val="16"/>
                <w:szCs w:val="16"/>
              </w:rPr>
              <w:sym w:font="Symbol" w:char="F0B3"/>
            </w:r>
            <w:r w:rsidRPr="00D773F7">
              <w:rPr>
                <w:rFonts w:asciiTheme="majorBidi" w:hAnsiTheme="majorBidi" w:cstheme="majorBidi"/>
                <w:sz w:val="16"/>
                <w:szCs w:val="16"/>
              </w:rPr>
              <w:t>) 1.5 fold as compared to the solvent control is observed in at least 2 consecutive non-cytotoxic tested concentrations (i.e. cellular viability is equal or higher than (</w:t>
            </w:r>
            <w:r w:rsidRPr="00D773F7">
              <w:rPr>
                <w:rFonts w:asciiTheme="majorBidi" w:hAnsiTheme="majorBidi" w:cstheme="majorBidi"/>
                <w:sz w:val="16"/>
                <w:szCs w:val="16"/>
              </w:rPr>
              <w:sym w:font="Symbol" w:char="F0B3"/>
            </w:r>
            <w:r w:rsidRPr="00D773F7">
              <w:rPr>
                <w:rFonts w:asciiTheme="majorBidi" w:hAnsiTheme="majorBidi" w:cstheme="majorBidi"/>
                <w:sz w:val="16"/>
                <w:szCs w:val="16"/>
              </w:rPr>
              <w:t>) 70%)</w:t>
            </w:r>
          </w:p>
          <w:p w14:paraId="17BA35FC" w14:textId="77777777" w:rsidR="00D909E0" w:rsidRPr="00D773F7" w:rsidRDefault="00D909E0" w:rsidP="004C254C">
            <w:pPr>
              <w:keepNext/>
              <w:keepLines/>
              <w:spacing w:before="40" w:after="40" w:line="240" w:lineRule="auto"/>
              <w:ind w:left="194" w:hanging="194"/>
              <w:rPr>
                <w:rFonts w:asciiTheme="majorBidi" w:hAnsiTheme="majorBidi" w:cstheme="majorBidi"/>
                <w:sz w:val="16"/>
                <w:szCs w:val="16"/>
              </w:rPr>
            </w:pPr>
            <w:r w:rsidRPr="00D773F7">
              <w:rPr>
                <w:rFonts w:asciiTheme="majorBidi" w:hAnsiTheme="majorBidi" w:cstheme="majorBidi"/>
                <w:sz w:val="16"/>
                <w:szCs w:val="16"/>
              </w:rPr>
              <w:t>2. At least three tested concentrations should be non-cytotoxic (cellular viability equal or higher than (</w:t>
            </w:r>
            <w:r w:rsidRPr="00D773F7">
              <w:rPr>
                <w:rFonts w:asciiTheme="majorBidi" w:hAnsiTheme="majorBidi" w:cstheme="majorBidi"/>
                <w:sz w:val="16"/>
                <w:szCs w:val="16"/>
              </w:rPr>
              <w:sym w:font="Symbol" w:char="F0B3"/>
            </w:r>
            <w:r w:rsidRPr="00D773F7">
              <w:rPr>
                <w:rFonts w:asciiTheme="majorBidi" w:hAnsiTheme="majorBidi" w:cstheme="majorBidi"/>
                <w:sz w:val="16"/>
                <w:szCs w:val="16"/>
              </w:rPr>
              <w:t>) 70%).</w:t>
            </w:r>
          </w:p>
        </w:tc>
        <w:tc>
          <w:tcPr>
            <w:tcW w:w="1497" w:type="dxa"/>
            <w:tcBorders>
              <w:top w:val="single" w:sz="4" w:space="0" w:color="auto"/>
              <w:left w:val="single" w:sz="4" w:space="0" w:color="auto"/>
              <w:bottom w:val="single" w:sz="4" w:space="0" w:color="auto"/>
              <w:right w:val="single" w:sz="4" w:space="0" w:color="auto"/>
            </w:tcBorders>
          </w:tcPr>
          <w:p w14:paraId="5DB5D1B9" w14:textId="77777777" w:rsidR="00D909E0" w:rsidRPr="00D773F7" w:rsidRDefault="00D909E0" w:rsidP="007024AF">
            <w:pPr>
              <w:keepNext/>
              <w:keepLines/>
              <w:spacing w:before="40" w:after="40" w:line="240" w:lineRule="auto"/>
              <w:rPr>
                <w:rFonts w:asciiTheme="majorBidi" w:hAnsiTheme="majorBidi" w:cstheme="majorBidi"/>
                <w:sz w:val="16"/>
                <w:szCs w:val="16"/>
              </w:rPr>
            </w:pPr>
            <w:r w:rsidRPr="00D773F7">
              <w:rPr>
                <w:rFonts w:asciiTheme="majorBidi" w:hAnsiTheme="majorBidi" w:cstheme="majorBidi"/>
                <w:sz w:val="16"/>
                <w:szCs w:val="16"/>
              </w:rPr>
              <w:t>At least one of the following conditions is met in 2 of 2 or in at least 2 of 3 independent runs:</w:t>
            </w:r>
          </w:p>
          <w:p w14:paraId="233B837F" w14:textId="70414F33" w:rsidR="00D909E0" w:rsidRPr="00D773F7" w:rsidRDefault="00D909E0" w:rsidP="007024AF">
            <w:pPr>
              <w:keepNext/>
              <w:keepLines/>
              <w:spacing w:before="40" w:after="40" w:line="240" w:lineRule="auto"/>
              <w:rPr>
                <w:rFonts w:asciiTheme="majorBidi" w:hAnsiTheme="majorBidi" w:cstheme="majorBidi"/>
                <w:sz w:val="16"/>
                <w:szCs w:val="16"/>
              </w:rPr>
            </w:pPr>
            <w:r w:rsidRPr="00D773F7">
              <w:rPr>
                <w:rFonts w:asciiTheme="majorBidi" w:hAnsiTheme="majorBidi" w:cstheme="majorBidi"/>
                <w:sz w:val="16"/>
                <w:szCs w:val="16"/>
              </w:rPr>
              <w:t xml:space="preserve">The Relative Fluorescence Intensity of CD86 is equal to or greater than 150% at any tested concentration (with cell viability </w:t>
            </w:r>
            <w:r w:rsidR="00BB3C1D" w:rsidRPr="00D773F7">
              <w:rPr>
                <w:rFonts w:asciiTheme="majorBidi" w:hAnsiTheme="majorBidi" w:cstheme="majorBidi"/>
                <w:sz w:val="16"/>
                <w:szCs w:val="16"/>
              </w:rPr>
              <w:t>≥</w:t>
            </w:r>
            <w:r w:rsidRPr="00D773F7">
              <w:rPr>
                <w:rFonts w:asciiTheme="majorBidi" w:hAnsiTheme="majorBidi" w:cstheme="majorBidi"/>
                <w:sz w:val="16"/>
                <w:szCs w:val="16"/>
              </w:rPr>
              <w:t xml:space="preserve"> 50%) </w:t>
            </w:r>
          </w:p>
          <w:p w14:paraId="3D305815" w14:textId="77777777" w:rsidR="00D909E0" w:rsidRPr="00D773F7" w:rsidRDefault="00D909E0" w:rsidP="007024AF">
            <w:pPr>
              <w:keepNext/>
              <w:keepLines/>
              <w:spacing w:before="40" w:after="40" w:line="240" w:lineRule="auto"/>
              <w:rPr>
                <w:rFonts w:asciiTheme="majorBidi" w:hAnsiTheme="majorBidi" w:cstheme="majorBidi"/>
                <w:sz w:val="16"/>
                <w:szCs w:val="16"/>
              </w:rPr>
            </w:pPr>
            <w:r w:rsidRPr="00D773F7">
              <w:rPr>
                <w:rFonts w:asciiTheme="majorBidi" w:hAnsiTheme="majorBidi" w:cstheme="majorBidi"/>
                <w:sz w:val="16"/>
                <w:szCs w:val="16"/>
              </w:rPr>
              <w:t xml:space="preserve">or </w:t>
            </w:r>
          </w:p>
          <w:p w14:paraId="02AFF945" w14:textId="14885988" w:rsidR="00D909E0" w:rsidRPr="00D773F7" w:rsidRDefault="00D909E0" w:rsidP="007024AF">
            <w:pPr>
              <w:keepNext/>
              <w:keepLines/>
              <w:spacing w:before="40" w:after="40" w:line="240" w:lineRule="auto"/>
              <w:rPr>
                <w:rFonts w:asciiTheme="majorBidi" w:hAnsiTheme="majorBidi" w:cstheme="majorBidi"/>
                <w:sz w:val="16"/>
                <w:szCs w:val="16"/>
              </w:rPr>
            </w:pPr>
            <w:r w:rsidRPr="00D773F7">
              <w:rPr>
                <w:rFonts w:asciiTheme="majorBidi" w:hAnsiTheme="majorBidi" w:cstheme="majorBidi"/>
                <w:sz w:val="16"/>
                <w:szCs w:val="16"/>
              </w:rPr>
              <w:t xml:space="preserve">the Relative Fluorescence Intensity of CD54 is equal to or greater than 200% at any tested concentration (with cell viability </w:t>
            </w:r>
            <w:r w:rsidR="00BB3C1D" w:rsidRPr="00D773F7">
              <w:rPr>
                <w:rFonts w:asciiTheme="majorBidi" w:hAnsiTheme="majorBidi" w:cstheme="majorBidi"/>
                <w:sz w:val="16"/>
                <w:szCs w:val="16"/>
              </w:rPr>
              <w:t>≥</w:t>
            </w:r>
            <w:r w:rsidRPr="00D773F7">
              <w:rPr>
                <w:rFonts w:asciiTheme="majorBidi" w:hAnsiTheme="majorBidi" w:cstheme="majorBidi"/>
                <w:sz w:val="16"/>
                <w:szCs w:val="16"/>
              </w:rPr>
              <w:t xml:space="preserve"> 50%).</w:t>
            </w:r>
          </w:p>
        </w:tc>
        <w:tc>
          <w:tcPr>
            <w:tcW w:w="1559" w:type="dxa"/>
            <w:tcBorders>
              <w:top w:val="single" w:sz="4" w:space="0" w:color="auto"/>
              <w:left w:val="single" w:sz="4" w:space="0" w:color="auto"/>
              <w:bottom w:val="single" w:sz="4" w:space="0" w:color="auto"/>
              <w:right w:val="single" w:sz="4" w:space="0" w:color="auto"/>
            </w:tcBorders>
          </w:tcPr>
          <w:p w14:paraId="33FA852A" w14:textId="77777777" w:rsidR="00D909E0" w:rsidRPr="00D773F7" w:rsidRDefault="00D909E0" w:rsidP="007024AF">
            <w:pPr>
              <w:keepNext/>
              <w:keepLines/>
              <w:spacing w:before="40" w:after="40" w:line="240" w:lineRule="auto"/>
              <w:rPr>
                <w:rFonts w:asciiTheme="majorBidi" w:hAnsiTheme="majorBidi" w:cstheme="majorBidi"/>
                <w:sz w:val="16"/>
                <w:szCs w:val="16"/>
              </w:rPr>
            </w:pPr>
            <w:r w:rsidRPr="00D773F7">
              <w:rPr>
                <w:rFonts w:asciiTheme="majorBidi" w:hAnsiTheme="majorBidi" w:cstheme="majorBidi"/>
                <w:sz w:val="16"/>
                <w:szCs w:val="16"/>
              </w:rPr>
              <w:t>The following condition is met in 2 of 2 or in at least 2 of 3 independent runs:</w:t>
            </w:r>
          </w:p>
          <w:p w14:paraId="2CD35F79" w14:textId="77777777" w:rsidR="00D909E0" w:rsidRPr="00D773F7" w:rsidRDefault="00D909E0" w:rsidP="007024AF">
            <w:pPr>
              <w:keepNext/>
              <w:keepLines/>
              <w:spacing w:before="40" w:after="40" w:line="240" w:lineRule="auto"/>
              <w:rPr>
                <w:rFonts w:asciiTheme="majorBidi" w:hAnsiTheme="majorBidi" w:cstheme="majorBidi"/>
                <w:sz w:val="16"/>
                <w:szCs w:val="16"/>
              </w:rPr>
            </w:pPr>
            <w:r w:rsidRPr="00D773F7">
              <w:rPr>
                <w:rFonts w:asciiTheme="majorBidi" w:hAnsiTheme="majorBidi" w:cstheme="majorBidi"/>
                <w:sz w:val="16"/>
                <w:szCs w:val="16"/>
              </w:rPr>
              <w:t>The stimulation index of CD86 is equal or higher (</w:t>
            </w:r>
            <w:r w:rsidRPr="00D773F7">
              <w:rPr>
                <w:rFonts w:asciiTheme="majorBidi" w:hAnsiTheme="majorBidi" w:cstheme="majorBidi"/>
                <w:sz w:val="16"/>
                <w:szCs w:val="16"/>
              </w:rPr>
              <w:sym w:font="Symbol" w:char="F0B3"/>
            </w:r>
            <w:r w:rsidRPr="00D773F7">
              <w:rPr>
                <w:rFonts w:asciiTheme="majorBidi" w:hAnsiTheme="majorBidi" w:cstheme="majorBidi"/>
                <w:sz w:val="16"/>
                <w:szCs w:val="16"/>
              </w:rPr>
              <w:t>) than 150% and/or interference is observed</w:t>
            </w:r>
          </w:p>
        </w:tc>
        <w:tc>
          <w:tcPr>
            <w:tcW w:w="1338" w:type="dxa"/>
            <w:tcBorders>
              <w:top w:val="single" w:sz="4" w:space="0" w:color="auto"/>
              <w:left w:val="single" w:sz="4" w:space="0" w:color="auto"/>
              <w:bottom w:val="single" w:sz="4" w:space="0" w:color="auto"/>
              <w:right w:val="single" w:sz="4" w:space="0" w:color="auto"/>
            </w:tcBorders>
          </w:tcPr>
          <w:p w14:paraId="44026CD0" w14:textId="77777777" w:rsidR="00D909E0" w:rsidRPr="00D773F7" w:rsidRDefault="00D909E0" w:rsidP="007024AF">
            <w:pPr>
              <w:keepNext/>
              <w:keepLines/>
              <w:spacing w:before="40" w:after="40" w:line="240" w:lineRule="auto"/>
              <w:rPr>
                <w:rFonts w:asciiTheme="majorBidi" w:hAnsiTheme="majorBidi" w:cstheme="majorBidi"/>
                <w:sz w:val="16"/>
                <w:szCs w:val="16"/>
              </w:rPr>
            </w:pPr>
            <w:r w:rsidRPr="00D773F7">
              <w:rPr>
                <w:rFonts w:asciiTheme="majorBidi" w:hAnsiTheme="majorBidi" w:cstheme="majorBidi"/>
                <w:sz w:val="16"/>
                <w:szCs w:val="16"/>
              </w:rPr>
              <w:t xml:space="preserve">The </w:t>
            </w:r>
            <w:r w:rsidRPr="00D773F7">
              <w:rPr>
                <w:rFonts w:asciiTheme="majorBidi" w:hAnsiTheme="majorBidi" w:cstheme="majorBidi"/>
                <w:sz w:val="16"/>
                <w:szCs w:val="16"/>
                <w:lang w:eastAsia="en-US"/>
              </w:rPr>
              <w:t>induction of normalised interleukin-8 luciferase activity</w:t>
            </w:r>
            <w:r w:rsidRPr="00D773F7">
              <w:rPr>
                <w:rFonts w:asciiTheme="majorBidi" w:hAnsiTheme="majorBidi" w:cstheme="majorBidi"/>
                <w:sz w:val="16"/>
                <w:szCs w:val="16"/>
              </w:rPr>
              <w:t xml:space="preserve"> (Ind-IL8LA) is equal or higher than (</w:t>
            </w:r>
            <w:r w:rsidRPr="00D773F7">
              <w:rPr>
                <w:rFonts w:asciiTheme="majorBidi" w:hAnsiTheme="majorBidi" w:cstheme="majorBidi"/>
                <w:sz w:val="16"/>
                <w:szCs w:val="16"/>
              </w:rPr>
              <w:sym w:font="Symbol" w:char="F0B3"/>
            </w:r>
            <w:r w:rsidRPr="00D773F7">
              <w:rPr>
                <w:rFonts w:asciiTheme="majorBidi" w:hAnsiTheme="majorBidi" w:cstheme="majorBidi"/>
                <w:sz w:val="16"/>
                <w:szCs w:val="16"/>
              </w:rPr>
              <w:t>) 1.4 and the lower limit of the 95% confidence interval of Ind-IL8LA is equal or higher than (</w:t>
            </w:r>
            <w:r w:rsidRPr="00D773F7">
              <w:rPr>
                <w:rFonts w:asciiTheme="majorBidi" w:hAnsiTheme="majorBidi" w:cstheme="majorBidi"/>
                <w:sz w:val="16"/>
                <w:szCs w:val="16"/>
              </w:rPr>
              <w:sym w:font="Symbol" w:char="F0B3"/>
            </w:r>
            <w:r w:rsidRPr="00D773F7">
              <w:rPr>
                <w:rFonts w:asciiTheme="majorBidi" w:hAnsiTheme="majorBidi" w:cstheme="majorBidi"/>
                <w:sz w:val="16"/>
                <w:szCs w:val="16"/>
              </w:rPr>
              <w:t>) 1.0 in at least 2 out of a maximum of 4 independent runs</w:t>
            </w:r>
          </w:p>
        </w:tc>
        <w:tc>
          <w:tcPr>
            <w:tcW w:w="1338" w:type="dxa"/>
            <w:tcBorders>
              <w:top w:val="single" w:sz="4" w:space="0" w:color="auto"/>
              <w:left w:val="single" w:sz="4" w:space="0" w:color="auto"/>
              <w:bottom w:val="single" w:sz="4" w:space="0" w:color="auto"/>
              <w:right w:val="single" w:sz="4" w:space="0" w:color="auto"/>
            </w:tcBorders>
          </w:tcPr>
          <w:p w14:paraId="2C1548D2" w14:textId="4DDF6F93" w:rsidR="00D909E0" w:rsidRPr="00D773F7" w:rsidRDefault="00D909E0" w:rsidP="007024AF">
            <w:pPr>
              <w:keepNext/>
              <w:keepLines/>
              <w:spacing w:before="40" w:after="40" w:line="240" w:lineRule="auto"/>
              <w:rPr>
                <w:rFonts w:asciiTheme="majorBidi" w:hAnsiTheme="majorBidi" w:cstheme="majorBidi"/>
                <w:sz w:val="16"/>
                <w:szCs w:val="16"/>
              </w:rPr>
            </w:pPr>
            <w:r w:rsidRPr="00D773F7">
              <w:rPr>
                <w:rFonts w:asciiTheme="majorBidi" w:hAnsiTheme="majorBidi" w:cstheme="majorBidi"/>
                <w:sz w:val="16"/>
                <w:szCs w:val="16"/>
              </w:rPr>
              <w:t xml:space="preserve">The mean Decision Value (DV) is </w:t>
            </w:r>
            <w:r w:rsidR="00BB3C1D" w:rsidRPr="00D773F7">
              <w:rPr>
                <w:rFonts w:asciiTheme="majorBidi" w:hAnsiTheme="majorBidi" w:cstheme="majorBidi"/>
                <w:sz w:val="16"/>
                <w:szCs w:val="16"/>
              </w:rPr>
              <w:t>≥</w:t>
            </w:r>
            <w:r w:rsidRPr="00D773F7">
              <w:rPr>
                <w:rFonts w:asciiTheme="majorBidi" w:hAnsiTheme="majorBidi" w:cstheme="majorBidi"/>
                <w:sz w:val="16"/>
                <w:szCs w:val="16"/>
              </w:rPr>
              <w:t>0</w:t>
            </w:r>
          </w:p>
        </w:tc>
      </w:tr>
      <w:tr w:rsidR="00D909E0" w:rsidRPr="00D773F7" w14:paraId="619EE1AE" w14:textId="77777777" w:rsidTr="00D243FB">
        <w:trPr>
          <w:trHeight w:val="20"/>
          <w:jc w:val="center"/>
        </w:trPr>
        <w:tc>
          <w:tcPr>
            <w:tcW w:w="855"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17E1E4EC" w14:textId="77777777" w:rsidR="00D909E0" w:rsidRPr="00D773F7" w:rsidRDefault="00D909E0" w:rsidP="004C254C">
            <w:pPr>
              <w:spacing w:before="40" w:after="40" w:line="240" w:lineRule="auto"/>
              <w:jc w:val="center"/>
              <w:rPr>
                <w:rFonts w:asciiTheme="majorBidi" w:hAnsiTheme="majorBidi" w:cstheme="majorBidi"/>
                <w:sz w:val="16"/>
                <w:szCs w:val="16"/>
              </w:rPr>
            </w:pPr>
            <w:r w:rsidRPr="00D773F7">
              <w:rPr>
                <w:rFonts w:asciiTheme="majorBidi" w:hAnsiTheme="majorBidi" w:cstheme="majorBidi"/>
                <w:sz w:val="16"/>
                <w:szCs w:val="16"/>
              </w:rPr>
              <w:t>1A</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5017FEAF" w14:textId="77777777" w:rsidR="00D909E0" w:rsidRPr="00D773F7" w:rsidRDefault="00D909E0" w:rsidP="007024AF">
            <w:pPr>
              <w:pStyle w:val="Default"/>
              <w:spacing w:before="40" w:after="40"/>
              <w:jc w:val="center"/>
              <w:rPr>
                <w:rFonts w:asciiTheme="majorBidi" w:hAnsiTheme="majorBidi" w:cstheme="majorBidi"/>
                <w:color w:val="auto"/>
                <w:sz w:val="16"/>
                <w:szCs w:val="16"/>
              </w:rPr>
            </w:pPr>
            <w:r w:rsidRPr="00D773F7">
              <w:rPr>
                <w:rFonts w:asciiTheme="majorBidi" w:hAnsiTheme="majorBidi" w:cstheme="majorBidi"/>
                <w:color w:val="auto"/>
                <w:sz w:val="16"/>
                <w:szCs w:val="16"/>
              </w:rPr>
              <w:t>Not applicable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3926E51" w14:textId="77777777" w:rsidR="00D909E0" w:rsidRPr="00D773F7" w:rsidRDefault="00D909E0" w:rsidP="007024AF">
            <w:pPr>
              <w:pStyle w:val="Default"/>
              <w:spacing w:before="40" w:after="40"/>
              <w:rPr>
                <w:rFonts w:asciiTheme="majorBidi" w:hAnsiTheme="majorBidi" w:cstheme="majorBidi"/>
                <w:color w:val="auto"/>
                <w:sz w:val="16"/>
                <w:szCs w:val="16"/>
              </w:rPr>
            </w:pP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639F0519" w14:textId="77777777" w:rsidR="00D909E0" w:rsidRPr="00D773F7" w:rsidRDefault="00D909E0" w:rsidP="007024AF">
            <w:pPr>
              <w:pStyle w:val="Default"/>
              <w:spacing w:before="40" w:after="40"/>
              <w:rPr>
                <w:rFonts w:asciiTheme="majorBidi" w:hAnsiTheme="majorBidi" w:cstheme="majorBidi"/>
                <w:color w:val="auto"/>
                <w:sz w:val="16"/>
                <w:szCs w:val="16"/>
              </w:rPr>
            </w:pPr>
            <w:r w:rsidRPr="00D773F7">
              <w:rPr>
                <w:rFonts w:asciiTheme="majorBidi" w:hAnsiTheme="majorBidi" w:cstheme="majorBidi"/>
                <w:color w:val="auto"/>
                <w:sz w:val="16"/>
                <w:szCs w:val="16"/>
              </w:rPr>
              <w:t xml:space="preserve">log </w:t>
            </w:r>
            <w:proofErr w:type="spellStart"/>
            <w:r w:rsidRPr="00D773F7">
              <w:rPr>
                <w:rFonts w:asciiTheme="majorBidi" w:hAnsiTheme="majorBidi" w:cstheme="majorBidi"/>
                <w:color w:val="auto"/>
                <w:sz w:val="16"/>
                <w:szCs w:val="16"/>
              </w:rPr>
              <w:t>kmax</w:t>
            </w:r>
            <w:proofErr w:type="spellEnd"/>
            <w:r w:rsidRPr="00D773F7">
              <w:rPr>
                <w:rFonts w:asciiTheme="majorBidi" w:hAnsiTheme="majorBidi" w:cstheme="majorBidi"/>
                <w:color w:val="auto"/>
                <w:sz w:val="16"/>
                <w:szCs w:val="16"/>
              </w:rPr>
              <w:t xml:space="preserve"> ≥ -2.0</w:t>
            </w:r>
          </w:p>
        </w:tc>
        <w:tc>
          <w:tcPr>
            <w:tcW w:w="2114" w:type="dxa"/>
            <w:tcBorders>
              <w:top w:val="single" w:sz="4" w:space="0" w:color="auto"/>
              <w:left w:val="single" w:sz="4" w:space="0" w:color="auto"/>
              <w:bottom w:val="single" w:sz="4" w:space="0" w:color="auto"/>
              <w:right w:val="single" w:sz="4" w:space="0" w:color="auto"/>
            </w:tcBorders>
            <w:shd w:val="clear" w:color="auto" w:fill="auto"/>
          </w:tcPr>
          <w:p w14:paraId="66936A98" w14:textId="77777777" w:rsidR="00D909E0" w:rsidRPr="00D773F7" w:rsidRDefault="00D909E0" w:rsidP="007024AF">
            <w:pPr>
              <w:pStyle w:val="Default"/>
              <w:spacing w:before="40" w:after="40"/>
              <w:jc w:val="center"/>
              <w:rPr>
                <w:rFonts w:asciiTheme="majorBidi" w:hAnsiTheme="majorBidi" w:cstheme="majorBidi"/>
                <w:color w:val="auto"/>
                <w:sz w:val="16"/>
                <w:szCs w:val="16"/>
              </w:rPr>
            </w:pPr>
            <w:r w:rsidRPr="00D773F7">
              <w:rPr>
                <w:rFonts w:asciiTheme="majorBidi" w:hAnsiTheme="majorBidi" w:cstheme="majorBidi"/>
                <w:color w:val="auto"/>
                <w:sz w:val="16"/>
                <w:szCs w:val="16"/>
              </w:rPr>
              <w:t>Not applicable</w:t>
            </w:r>
          </w:p>
        </w:tc>
        <w:tc>
          <w:tcPr>
            <w:tcW w:w="1572" w:type="dxa"/>
            <w:tcBorders>
              <w:top w:val="single" w:sz="4" w:space="0" w:color="auto"/>
              <w:left w:val="single" w:sz="4" w:space="0" w:color="auto"/>
              <w:bottom w:val="single" w:sz="4" w:space="0" w:color="auto"/>
              <w:right w:val="single" w:sz="4" w:space="0" w:color="auto"/>
            </w:tcBorders>
            <w:shd w:val="clear" w:color="auto" w:fill="auto"/>
          </w:tcPr>
          <w:p w14:paraId="406D333E" w14:textId="77777777" w:rsidR="00D909E0" w:rsidRPr="00D773F7" w:rsidRDefault="00D909E0" w:rsidP="007024AF">
            <w:pPr>
              <w:pStyle w:val="Default"/>
              <w:spacing w:before="40" w:after="40"/>
              <w:jc w:val="center"/>
              <w:rPr>
                <w:rFonts w:asciiTheme="majorBidi" w:hAnsiTheme="majorBidi" w:cstheme="majorBidi"/>
                <w:color w:val="auto"/>
                <w:sz w:val="16"/>
                <w:szCs w:val="16"/>
              </w:rPr>
            </w:pPr>
            <w:r w:rsidRPr="00D773F7">
              <w:rPr>
                <w:rFonts w:asciiTheme="majorBidi" w:hAnsiTheme="majorBidi" w:cstheme="majorBidi"/>
                <w:color w:val="auto"/>
                <w:sz w:val="16"/>
                <w:szCs w:val="16"/>
              </w:rPr>
              <w:t>Not applicable</w:t>
            </w:r>
          </w:p>
        </w:tc>
        <w:tc>
          <w:tcPr>
            <w:tcW w:w="1497" w:type="dxa"/>
            <w:tcBorders>
              <w:top w:val="single" w:sz="4" w:space="0" w:color="auto"/>
              <w:left w:val="single" w:sz="4" w:space="0" w:color="auto"/>
              <w:bottom w:val="single" w:sz="4" w:space="0" w:color="auto"/>
              <w:right w:val="single" w:sz="4" w:space="0" w:color="auto"/>
            </w:tcBorders>
            <w:shd w:val="clear" w:color="auto" w:fill="auto"/>
          </w:tcPr>
          <w:p w14:paraId="3853AC30" w14:textId="77777777" w:rsidR="00D909E0" w:rsidRPr="00D773F7" w:rsidRDefault="00D909E0" w:rsidP="007024AF">
            <w:pPr>
              <w:pStyle w:val="Default"/>
              <w:spacing w:before="40" w:after="40"/>
              <w:jc w:val="center"/>
              <w:rPr>
                <w:rFonts w:asciiTheme="majorBidi" w:hAnsiTheme="majorBidi" w:cstheme="majorBidi"/>
                <w:color w:val="auto"/>
                <w:sz w:val="16"/>
                <w:szCs w:val="16"/>
              </w:rPr>
            </w:pPr>
            <w:r w:rsidRPr="00D773F7">
              <w:rPr>
                <w:rFonts w:asciiTheme="majorBidi" w:hAnsiTheme="majorBidi" w:cstheme="majorBidi"/>
                <w:color w:val="auto"/>
                <w:sz w:val="16"/>
                <w:szCs w:val="16"/>
              </w:rPr>
              <w:t>Not applicable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D017F08" w14:textId="77777777" w:rsidR="00D909E0" w:rsidRPr="00D773F7" w:rsidRDefault="00D909E0" w:rsidP="007024AF">
            <w:pPr>
              <w:pStyle w:val="Default"/>
              <w:spacing w:before="40" w:after="40"/>
              <w:jc w:val="center"/>
              <w:rPr>
                <w:rFonts w:asciiTheme="majorBidi" w:hAnsiTheme="majorBidi" w:cstheme="majorBidi"/>
                <w:color w:val="auto"/>
                <w:sz w:val="16"/>
                <w:szCs w:val="16"/>
              </w:rPr>
            </w:pPr>
            <w:r w:rsidRPr="00D773F7">
              <w:rPr>
                <w:rFonts w:asciiTheme="majorBidi" w:hAnsiTheme="majorBidi" w:cstheme="majorBidi"/>
                <w:color w:val="auto"/>
                <w:sz w:val="16"/>
                <w:szCs w:val="16"/>
              </w:rPr>
              <w:t>Not applicable</w:t>
            </w:r>
          </w:p>
        </w:tc>
        <w:tc>
          <w:tcPr>
            <w:tcW w:w="1338" w:type="dxa"/>
            <w:tcBorders>
              <w:top w:val="single" w:sz="4" w:space="0" w:color="auto"/>
              <w:left w:val="single" w:sz="4" w:space="0" w:color="auto"/>
              <w:bottom w:val="single" w:sz="4" w:space="0" w:color="auto"/>
              <w:right w:val="single" w:sz="4" w:space="0" w:color="auto"/>
            </w:tcBorders>
            <w:shd w:val="clear" w:color="auto" w:fill="auto"/>
          </w:tcPr>
          <w:p w14:paraId="3D734EB1" w14:textId="77777777" w:rsidR="00D909E0" w:rsidRPr="00D773F7" w:rsidRDefault="00D909E0" w:rsidP="007024AF">
            <w:pPr>
              <w:pStyle w:val="Default"/>
              <w:spacing w:before="40" w:after="40"/>
              <w:jc w:val="center"/>
              <w:rPr>
                <w:rFonts w:asciiTheme="majorBidi" w:hAnsiTheme="majorBidi" w:cstheme="majorBidi"/>
                <w:color w:val="auto"/>
                <w:sz w:val="16"/>
                <w:szCs w:val="16"/>
              </w:rPr>
            </w:pPr>
            <w:r w:rsidRPr="00D773F7">
              <w:rPr>
                <w:rFonts w:asciiTheme="majorBidi" w:hAnsiTheme="majorBidi" w:cstheme="majorBidi"/>
                <w:color w:val="auto"/>
                <w:sz w:val="16"/>
                <w:szCs w:val="16"/>
              </w:rPr>
              <w:t>Not applicable</w:t>
            </w:r>
          </w:p>
        </w:tc>
        <w:tc>
          <w:tcPr>
            <w:tcW w:w="1338" w:type="dxa"/>
            <w:tcBorders>
              <w:top w:val="single" w:sz="4" w:space="0" w:color="auto"/>
              <w:left w:val="single" w:sz="4" w:space="0" w:color="auto"/>
              <w:bottom w:val="single" w:sz="4" w:space="0" w:color="auto"/>
              <w:right w:val="single" w:sz="4" w:space="0" w:color="auto"/>
            </w:tcBorders>
            <w:shd w:val="clear" w:color="auto" w:fill="auto"/>
          </w:tcPr>
          <w:p w14:paraId="0B9EAEA7" w14:textId="77777777" w:rsidR="00D909E0" w:rsidRPr="00D773F7" w:rsidRDefault="00D909E0" w:rsidP="007024AF">
            <w:pPr>
              <w:pStyle w:val="Default"/>
              <w:spacing w:before="40" w:after="40"/>
              <w:jc w:val="center"/>
              <w:rPr>
                <w:rFonts w:asciiTheme="majorBidi" w:hAnsiTheme="majorBidi" w:cstheme="majorBidi"/>
                <w:color w:val="auto"/>
                <w:sz w:val="16"/>
                <w:szCs w:val="16"/>
              </w:rPr>
            </w:pPr>
            <w:r w:rsidRPr="00D773F7">
              <w:rPr>
                <w:rFonts w:asciiTheme="majorBidi" w:hAnsiTheme="majorBidi" w:cstheme="majorBidi"/>
                <w:color w:val="auto"/>
                <w:sz w:val="16"/>
                <w:szCs w:val="16"/>
              </w:rPr>
              <w:t>Not applicable</w:t>
            </w:r>
          </w:p>
        </w:tc>
      </w:tr>
      <w:tr w:rsidR="00D909E0" w:rsidRPr="00D773F7" w14:paraId="2CF36978" w14:textId="77777777" w:rsidTr="00D243FB">
        <w:trPr>
          <w:jc w:val="center"/>
        </w:trPr>
        <w:tc>
          <w:tcPr>
            <w:tcW w:w="855"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2744C613" w14:textId="77777777" w:rsidR="00D909E0" w:rsidRPr="00D773F7" w:rsidRDefault="00D909E0" w:rsidP="004C254C">
            <w:pPr>
              <w:spacing w:before="40" w:after="40" w:line="240" w:lineRule="auto"/>
              <w:jc w:val="center"/>
              <w:rPr>
                <w:rFonts w:asciiTheme="majorBidi" w:hAnsiTheme="majorBidi" w:cstheme="majorBidi"/>
                <w:sz w:val="16"/>
                <w:szCs w:val="16"/>
              </w:rPr>
            </w:pPr>
            <w:r w:rsidRPr="00D773F7">
              <w:rPr>
                <w:rFonts w:asciiTheme="majorBidi" w:hAnsiTheme="majorBidi" w:cstheme="majorBidi"/>
                <w:sz w:val="16"/>
                <w:szCs w:val="16"/>
              </w:rPr>
              <w:t>1B</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6F9608" w14:textId="77777777" w:rsidR="00D909E0" w:rsidRPr="00D773F7" w:rsidRDefault="00D909E0" w:rsidP="007024AF">
            <w:pPr>
              <w:spacing w:before="40" w:after="40" w:line="240" w:lineRule="auto"/>
              <w:jc w:val="center"/>
              <w:rPr>
                <w:rFonts w:asciiTheme="majorBidi" w:hAnsiTheme="majorBidi" w:cstheme="majorBidi"/>
                <w:sz w:val="16"/>
                <w:szCs w:val="16"/>
              </w:rPr>
            </w:pPr>
            <w:r w:rsidRPr="00D773F7">
              <w:rPr>
                <w:rFonts w:asciiTheme="majorBidi" w:hAnsiTheme="majorBidi" w:cstheme="majorBidi"/>
                <w:sz w:val="16"/>
                <w:szCs w:val="16"/>
              </w:rPr>
              <w:t xml:space="preserve">Not applicable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7DB5D31" w14:textId="77777777" w:rsidR="00D909E0" w:rsidRPr="00D773F7" w:rsidRDefault="00D909E0" w:rsidP="007024AF">
            <w:pPr>
              <w:spacing w:before="40" w:after="40" w:line="240" w:lineRule="auto"/>
              <w:jc w:val="center"/>
              <w:rPr>
                <w:rFonts w:asciiTheme="majorBidi" w:hAnsiTheme="majorBidi" w:cstheme="majorBidi"/>
                <w:sz w:val="16"/>
                <w:szCs w:val="16"/>
              </w:rPr>
            </w:pPr>
            <w:r w:rsidRPr="00D773F7">
              <w:rPr>
                <w:rFonts w:asciiTheme="majorBidi" w:hAnsiTheme="majorBidi" w:cstheme="majorBidi"/>
                <w:sz w:val="16"/>
                <w:szCs w:val="16"/>
              </w:rPr>
              <w:t>Not applicable</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5592E1B0" w14:textId="77777777" w:rsidR="00D909E0" w:rsidRPr="00D773F7" w:rsidRDefault="00D909E0" w:rsidP="007024AF">
            <w:pPr>
              <w:spacing w:before="40" w:after="40" w:line="240" w:lineRule="auto"/>
              <w:jc w:val="center"/>
              <w:rPr>
                <w:rFonts w:asciiTheme="majorBidi" w:hAnsiTheme="majorBidi" w:cstheme="majorBidi"/>
                <w:sz w:val="16"/>
                <w:szCs w:val="16"/>
              </w:rPr>
            </w:pPr>
            <w:r w:rsidRPr="00D773F7">
              <w:rPr>
                <w:rFonts w:asciiTheme="majorBidi" w:hAnsiTheme="majorBidi" w:cstheme="majorBidi"/>
                <w:sz w:val="16"/>
                <w:szCs w:val="16"/>
              </w:rPr>
              <w:t>Not applicable</w:t>
            </w:r>
          </w:p>
        </w:tc>
        <w:tc>
          <w:tcPr>
            <w:tcW w:w="2114" w:type="dxa"/>
            <w:tcBorders>
              <w:top w:val="single" w:sz="4" w:space="0" w:color="auto"/>
              <w:left w:val="single" w:sz="4" w:space="0" w:color="auto"/>
              <w:bottom w:val="single" w:sz="4" w:space="0" w:color="auto"/>
              <w:right w:val="single" w:sz="4" w:space="0" w:color="auto"/>
            </w:tcBorders>
            <w:shd w:val="clear" w:color="auto" w:fill="auto"/>
          </w:tcPr>
          <w:p w14:paraId="7EE90250" w14:textId="77777777" w:rsidR="00D909E0" w:rsidRPr="00D773F7" w:rsidRDefault="00D909E0" w:rsidP="007024AF">
            <w:pPr>
              <w:spacing w:before="40" w:after="40" w:line="240" w:lineRule="auto"/>
              <w:jc w:val="center"/>
              <w:rPr>
                <w:rFonts w:asciiTheme="majorBidi" w:hAnsiTheme="majorBidi" w:cstheme="majorBidi"/>
                <w:sz w:val="16"/>
                <w:szCs w:val="16"/>
              </w:rPr>
            </w:pPr>
            <w:r w:rsidRPr="00D773F7">
              <w:rPr>
                <w:rFonts w:asciiTheme="majorBidi" w:hAnsiTheme="majorBidi" w:cstheme="majorBidi"/>
                <w:sz w:val="16"/>
                <w:szCs w:val="16"/>
              </w:rPr>
              <w:t>Not applicable</w:t>
            </w:r>
          </w:p>
        </w:tc>
        <w:tc>
          <w:tcPr>
            <w:tcW w:w="1572" w:type="dxa"/>
            <w:tcBorders>
              <w:top w:val="single" w:sz="4" w:space="0" w:color="auto"/>
              <w:left w:val="single" w:sz="4" w:space="0" w:color="auto"/>
              <w:bottom w:val="single" w:sz="4" w:space="0" w:color="auto"/>
              <w:right w:val="single" w:sz="4" w:space="0" w:color="auto"/>
            </w:tcBorders>
            <w:shd w:val="clear" w:color="auto" w:fill="auto"/>
          </w:tcPr>
          <w:p w14:paraId="4C0AAE0C" w14:textId="77777777" w:rsidR="00D909E0" w:rsidRPr="00D773F7" w:rsidRDefault="00D909E0" w:rsidP="007024AF">
            <w:pPr>
              <w:spacing w:before="40" w:after="40" w:line="240" w:lineRule="auto"/>
              <w:jc w:val="center"/>
              <w:rPr>
                <w:rFonts w:asciiTheme="majorBidi" w:hAnsiTheme="majorBidi" w:cstheme="majorBidi"/>
                <w:sz w:val="16"/>
                <w:szCs w:val="16"/>
              </w:rPr>
            </w:pPr>
            <w:r w:rsidRPr="00D773F7">
              <w:rPr>
                <w:rFonts w:asciiTheme="majorBidi" w:hAnsiTheme="majorBidi" w:cstheme="majorBidi"/>
                <w:sz w:val="16"/>
                <w:szCs w:val="16"/>
              </w:rPr>
              <w:t>Not applicable</w:t>
            </w:r>
          </w:p>
        </w:tc>
        <w:tc>
          <w:tcPr>
            <w:tcW w:w="1497" w:type="dxa"/>
            <w:tcBorders>
              <w:top w:val="single" w:sz="4" w:space="0" w:color="auto"/>
              <w:left w:val="single" w:sz="4" w:space="0" w:color="auto"/>
              <w:bottom w:val="single" w:sz="4" w:space="0" w:color="auto"/>
              <w:right w:val="single" w:sz="4" w:space="0" w:color="auto"/>
            </w:tcBorders>
            <w:shd w:val="clear" w:color="auto" w:fill="auto"/>
          </w:tcPr>
          <w:p w14:paraId="50C3ED48" w14:textId="77777777" w:rsidR="00D909E0" w:rsidRPr="00D773F7" w:rsidRDefault="00D909E0" w:rsidP="007024AF">
            <w:pPr>
              <w:spacing w:before="40" w:after="40" w:line="240" w:lineRule="auto"/>
              <w:jc w:val="center"/>
              <w:rPr>
                <w:rFonts w:asciiTheme="majorBidi" w:hAnsiTheme="majorBidi" w:cstheme="majorBidi"/>
                <w:sz w:val="16"/>
                <w:szCs w:val="16"/>
              </w:rPr>
            </w:pPr>
            <w:r w:rsidRPr="00D773F7">
              <w:rPr>
                <w:rFonts w:asciiTheme="majorBidi" w:hAnsiTheme="majorBidi" w:cstheme="majorBidi"/>
                <w:sz w:val="16"/>
                <w:szCs w:val="16"/>
              </w:rPr>
              <w:t>Not applicable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772C4B7" w14:textId="77777777" w:rsidR="00D909E0" w:rsidRPr="00D773F7" w:rsidRDefault="00D909E0" w:rsidP="007024AF">
            <w:pPr>
              <w:spacing w:before="40" w:after="40" w:line="240" w:lineRule="auto"/>
              <w:jc w:val="center"/>
              <w:rPr>
                <w:rFonts w:asciiTheme="majorBidi" w:hAnsiTheme="majorBidi" w:cstheme="majorBidi"/>
                <w:sz w:val="16"/>
                <w:szCs w:val="16"/>
              </w:rPr>
            </w:pPr>
            <w:r w:rsidRPr="00D773F7">
              <w:rPr>
                <w:rFonts w:asciiTheme="majorBidi" w:hAnsiTheme="majorBidi" w:cstheme="majorBidi"/>
                <w:sz w:val="16"/>
                <w:szCs w:val="16"/>
              </w:rPr>
              <w:t>Not applicable</w:t>
            </w:r>
          </w:p>
        </w:tc>
        <w:tc>
          <w:tcPr>
            <w:tcW w:w="1338" w:type="dxa"/>
            <w:tcBorders>
              <w:top w:val="single" w:sz="4" w:space="0" w:color="auto"/>
              <w:left w:val="single" w:sz="4" w:space="0" w:color="auto"/>
              <w:bottom w:val="single" w:sz="4" w:space="0" w:color="auto"/>
              <w:right w:val="single" w:sz="4" w:space="0" w:color="auto"/>
            </w:tcBorders>
            <w:shd w:val="clear" w:color="auto" w:fill="auto"/>
          </w:tcPr>
          <w:p w14:paraId="58F166FD" w14:textId="77777777" w:rsidR="00D909E0" w:rsidRPr="00D773F7" w:rsidRDefault="00D909E0" w:rsidP="007024AF">
            <w:pPr>
              <w:spacing w:before="40" w:after="40" w:line="240" w:lineRule="auto"/>
              <w:jc w:val="center"/>
              <w:rPr>
                <w:rFonts w:asciiTheme="majorBidi" w:hAnsiTheme="majorBidi" w:cstheme="majorBidi"/>
                <w:sz w:val="16"/>
                <w:szCs w:val="16"/>
              </w:rPr>
            </w:pPr>
            <w:r w:rsidRPr="00D773F7">
              <w:rPr>
                <w:rFonts w:asciiTheme="majorBidi" w:hAnsiTheme="majorBidi" w:cstheme="majorBidi"/>
                <w:sz w:val="16"/>
                <w:szCs w:val="16"/>
              </w:rPr>
              <w:t>Not applicable</w:t>
            </w:r>
          </w:p>
        </w:tc>
        <w:tc>
          <w:tcPr>
            <w:tcW w:w="1338" w:type="dxa"/>
            <w:tcBorders>
              <w:top w:val="single" w:sz="4" w:space="0" w:color="auto"/>
              <w:left w:val="single" w:sz="4" w:space="0" w:color="auto"/>
              <w:bottom w:val="single" w:sz="4" w:space="0" w:color="auto"/>
              <w:right w:val="single" w:sz="4" w:space="0" w:color="auto"/>
            </w:tcBorders>
            <w:shd w:val="clear" w:color="auto" w:fill="auto"/>
          </w:tcPr>
          <w:p w14:paraId="4008CED4" w14:textId="77777777" w:rsidR="00D909E0" w:rsidRPr="00D773F7" w:rsidRDefault="00D909E0" w:rsidP="007024AF">
            <w:pPr>
              <w:spacing w:before="40" w:after="40" w:line="240" w:lineRule="auto"/>
              <w:jc w:val="center"/>
              <w:rPr>
                <w:rFonts w:asciiTheme="majorBidi" w:hAnsiTheme="majorBidi" w:cstheme="majorBidi"/>
                <w:sz w:val="16"/>
                <w:szCs w:val="16"/>
              </w:rPr>
            </w:pPr>
            <w:r w:rsidRPr="00D773F7">
              <w:rPr>
                <w:rFonts w:asciiTheme="majorBidi" w:hAnsiTheme="majorBidi" w:cstheme="majorBidi"/>
                <w:sz w:val="16"/>
                <w:szCs w:val="16"/>
              </w:rPr>
              <w:t>Not applicable</w:t>
            </w:r>
          </w:p>
        </w:tc>
      </w:tr>
    </w:tbl>
    <w:p w14:paraId="089B56A2" w14:textId="77777777" w:rsidR="00DA4D71" w:rsidRDefault="00DA4D71">
      <w:pPr>
        <w:rPr>
          <w:rFonts w:asciiTheme="majorBidi" w:hAnsiTheme="majorBidi" w:cstheme="majorBidi"/>
        </w:rPr>
      </w:pPr>
      <w:r>
        <w:rPr>
          <w:rFonts w:asciiTheme="majorBidi" w:hAnsiTheme="majorBidi" w:cstheme="majorBidi"/>
        </w:rPr>
        <w:br w:type="page"/>
      </w:r>
    </w:p>
    <w:p w14:paraId="31B81F28" w14:textId="77777777" w:rsidR="00FD7681" w:rsidRPr="00D773F7" w:rsidRDefault="00FD7681" w:rsidP="00FD7681">
      <w:pPr>
        <w:spacing w:after="40"/>
        <w:jc w:val="center"/>
        <w:rPr>
          <w:rFonts w:asciiTheme="majorBidi" w:hAnsiTheme="majorBidi" w:cstheme="majorBidi"/>
          <w:b/>
        </w:rPr>
      </w:pPr>
      <w:r w:rsidRPr="00D773F7">
        <w:rPr>
          <w:rFonts w:asciiTheme="majorBidi" w:hAnsiTheme="majorBidi" w:cstheme="majorBidi"/>
          <w:b/>
        </w:rPr>
        <w:lastRenderedPageBreak/>
        <w:t xml:space="preserve">Table 3.4.8: Criteria for individual </w:t>
      </w:r>
      <w:r w:rsidRPr="00D773F7">
        <w:rPr>
          <w:rFonts w:asciiTheme="majorBidi" w:hAnsiTheme="majorBidi" w:cstheme="majorBidi"/>
          <w:b/>
          <w:i/>
        </w:rPr>
        <w:t xml:space="preserve">in </w:t>
      </w:r>
      <w:proofErr w:type="spellStart"/>
      <w:r w:rsidRPr="00D773F7">
        <w:rPr>
          <w:rFonts w:asciiTheme="majorBidi" w:hAnsiTheme="majorBidi" w:cstheme="majorBidi"/>
          <w:b/>
          <w:i/>
        </w:rPr>
        <w:t>chemico</w:t>
      </w:r>
      <w:proofErr w:type="spellEnd"/>
      <w:r w:rsidRPr="00D773F7">
        <w:rPr>
          <w:rFonts w:asciiTheme="majorBidi" w:hAnsiTheme="majorBidi" w:cstheme="majorBidi"/>
          <w:b/>
          <w:i/>
        </w:rPr>
        <w:t>/</w:t>
      </w:r>
      <w:r w:rsidRPr="00D773F7">
        <w:rPr>
          <w:rFonts w:asciiTheme="majorBidi" w:hAnsiTheme="majorBidi" w:cstheme="majorBidi"/>
          <w:b/>
          <w:iCs/>
        </w:rPr>
        <w:t>in vitro</w:t>
      </w:r>
      <w:r w:rsidRPr="00D773F7">
        <w:rPr>
          <w:rFonts w:asciiTheme="majorBidi" w:hAnsiTheme="majorBidi" w:cstheme="majorBidi"/>
          <w:b/>
        </w:rPr>
        <w:t xml:space="preserve"> methods </w:t>
      </w:r>
      <w:r w:rsidRPr="00D773F7">
        <w:rPr>
          <w:rFonts w:asciiTheme="majorBidi" w:hAnsiTheme="majorBidi" w:cstheme="majorBidi"/>
          <w:b/>
          <w:i/>
          <w:iCs/>
        </w:rPr>
        <w:t>(cont’d)</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48"/>
        <w:gridCol w:w="1395"/>
        <w:gridCol w:w="11"/>
        <w:gridCol w:w="1404"/>
        <w:gridCol w:w="1185"/>
        <w:gridCol w:w="2094"/>
        <w:gridCol w:w="1558"/>
        <w:gridCol w:w="1483"/>
        <w:gridCol w:w="1545"/>
        <w:gridCol w:w="1326"/>
        <w:gridCol w:w="1326"/>
      </w:tblGrid>
      <w:tr w:rsidR="00FD7681" w:rsidRPr="00D773F7" w14:paraId="7B46905D" w14:textId="77777777" w:rsidTr="00D243FB">
        <w:trPr>
          <w:tblHeader/>
          <w:jc w:val="center"/>
        </w:trPr>
        <w:tc>
          <w:tcPr>
            <w:tcW w:w="855" w:type="dxa"/>
            <w:tcBorders>
              <w:top w:val="single" w:sz="4" w:space="0" w:color="auto"/>
              <w:left w:val="single" w:sz="4" w:space="0" w:color="auto"/>
              <w:bottom w:val="nil"/>
              <w:right w:val="single" w:sz="4" w:space="0" w:color="auto"/>
            </w:tcBorders>
            <w:tcMar>
              <w:top w:w="57" w:type="dxa"/>
              <w:left w:w="57" w:type="dxa"/>
              <w:bottom w:w="57" w:type="dxa"/>
              <w:right w:w="57" w:type="dxa"/>
            </w:tcMar>
            <w:hideMark/>
          </w:tcPr>
          <w:p w14:paraId="552C5DD7" w14:textId="77777777" w:rsidR="00FD7681" w:rsidRPr="00D773F7" w:rsidRDefault="00FD7681">
            <w:pPr>
              <w:pStyle w:val="ListParagraph"/>
              <w:keepNext/>
              <w:keepLines/>
              <w:spacing w:before="40" w:after="40" w:line="240" w:lineRule="auto"/>
              <w:ind w:left="0"/>
              <w:rPr>
                <w:rFonts w:asciiTheme="majorBidi" w:hAnsiTheme="majorBidi" w:cstheme="majorBidi"/>
                <w:b/>
                <w:sz w:val="14"/>
                <w:szCs w:val="14"/>
              </w:rPr>
            </w:pPr>
            <w:r w:rsidRPr="00D773F7">
              <w:rPr>
                <w:rFonts w:asciiTheme="majorBidi" w:hAnsiTheme="majorBidi" w:cstheme="majorBidi"/>
                <w:b/>
                <w:sz w:val="14"/>
                <w:szCs w:val="14"/>
              </w:rPr>
              <w:t>Category</w:t>
            </w:r>
          </w:p>
        </w:tc>
        <w:tc>
          <w:tcPr>
            <w:tcW w:w="4032" w:type="dxa"/>
            <w:gridSpan w:val="4"/>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218DE18" w14:textId="77777777" w:rsidR="00FD7681" w:rsidRPr="00D773F7" w:rsidRDefault="00FD7681">
            <w:pPr>
              <w:keepNext/>
              <w:keepLines/>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 xml:space="preserve">OECD Test Guideline 442C </w:t>
            </w:r>
          </w:p>
          <w:p w14:paraId="2F0D0228" w14:textId="77777777" w:rsidR="00FD7681" w:rsidRPr="00D773F7" w:rsidRDefault="00FD7681">
            <w:pPr>
              <w:keepNext/>
              <w:keepLines/>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 xml:space="preserve">Key event-based Test Guideline for </w:t>
            </w:r>
            <w:r w:rsidRPr="00D773F7">
              <w:rPr>
                <w:rFonts w:asciiTheme="majorBidi" w:hAnsiTheme="majorBidi" w:cstheme="majorBidi"/>
                <w:b/>
                <w:i/>
                <w:sz w:val="16"/>
                <w:szCs w:val="16"/>
              </w:rPr>
              <w:t xml:space="preserve">in </w:t>
            </w:r>
            <w:proofErr w:type="spellStart"/>
            <w:r w:rsidRPr="00D773F7">
              <w:rPr>
                <w:rFonts w:asciiTheme="majorBidi" w:hAnsiTheme="majorBidi" w:cstheme="majorBidi"/>
                <w:b/>
                <w:i/>
                <w:sz w:val="16"/>
                <w:szCs w:val="16"/>
              </w:rPr>
              <w:t>chemico</w:t>
            </w:r>
            <w:proofErr w:type="spellEnd"/>
            <w:r w:rsidRPr="00D773F7">
              <w:rPr>
                <w:rFonts w:asciiTheme="majorBidi" w:hAnsiTheme="majorBidi" w:cstheme="majorBidi"/>
                <w:b/>
                <w:sz w:val="16"/>
                <w:szCs w:val="16"/>
              </w:rPr>
              <w:t xml:space="preserve"> skin sensitization assays addressing the adverse outcome pathway (AOP) Key Event on covalent binding to proteins</w:t>
            </w:r>
          </w:p>
        </w:tc>
        <w:tc>
          <w:tcPr>
            <w:tcW w:w="3686" w:type="dxa"/>
            <w:gridSpan w:val="2"/>
            <w:tcBorders>
              <w:top w:val="single" w:sz="4" w:space="0" w:color="auto"/>
              <w:left w:val="single" w:sz="4" w:space="0" w:color="auto"/>
              <w:bottom w:val="single" w:sz="4" w:space="0" w:color="auto"/>
              <w:right w:val="single" w:sz="4" w:space="0" w:color="auto"/>
            </w:tcBorders>
          </w:tcPr>
          <w:p w14:paraId="21187E4B" w14:textId="77777777" w:rsidR="00FD7681" w:rsidRPr="00D773F7" w:rsidRDefault="00FD7681">
            <w:pPr>
              <w:keepNext/>
              <w:keepLines/>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OECD Test Guideline 442D</w:t>
            </w:r>
          </w:p>
          <w:p w14:paraId="43B1BAD8" w14:textId="77777777" w:rsidR="00FD7681" w:rsidRPr="00D773F7" w:rsidRDefault="00FD7681">
            <w:pPr>
              <w:keepNext/>
              <w:keepLines/>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 xml:space="preserve">Key event-based Test Guideline for </w:t>
            </w:r>
            <w:r w:rsidRPr="00D773F7">
              <w:rPr>
                <w:rFonts w:asciiTheme="majorBidi" w:hAnsiTheme="majorBidi" w:cstheme="majorBidi"/>
                <w:b/>
                <w:iCs/>
                <w:sz w:val="16"/>
                <w:szCs w:val="16"/>
              </w:rPr>
              <w:t>in vitro</w:t>
            </w:r>
            <w:r w:rsidRPr="00D773F7">
              <w:rPr>
                <w:rFonts w:asciiTheme="majorBidi" w:hAnsiTheme="majorBidi" w:cstheme="majorBidi"/>
                <w:b/>
                <w:sz w:val="16"/>
                <w:szCs w:val="16"/>
              </w:rPr>
              <w:t xml:space="preserve"> skin sensitization assays addressing the AOP Key Event on keratinocyte activation </w:t>
            </w:r>
            <w:r w:rsidRPr="00D773F7">
              <w:rPr>
                <w:rFonts w:asciiTheme="majorBidi" w:hAnsiTheme="majorBidi" w:cstheme="majorBidi"/>
                <w:b/>
                <w:bCs/>
                <w:sz w:val="16"/>
                <w:szCs w:val="16"/>
              </w:rPr>
              <w:t>antioxidant response element-nuclear factor-erythroid 2-related factor 2</w:t>
            </w:r>
            <w:r w:rsidRPr="00D773F7">
              <w:rPr>
                <w:rFonts w:asciiTheme="majorBidi" w:hAnsiTheme="majorBidi" w:cstheme="majorBidi"/>
                <w:b/>
                <w:bCs/>
                <w:sz w:val="16"/>
                <w:szCs w:val="16"/>
              </w:rPr>
              <w:br/>
            </w:r>
            <w:r w:rsidRPr="00D773F7">
              <w:rPr>
                <w:rFonts w:asciiTheme="majorBidi" w:hAnsiTheme="majorBidi" w:cstheme="majorBidi"/>
                <w:b/>
                <w:sz w:val="16"/>
                <w:szCs w:val="16"/>
              </w:rPr>
              <w:t xml:space="preserve">(ARE-Nrf2) luciferase methods </w:t>
            </w:r>
          </w:p>
        </w:tc>
        <w:tc>
          <w:tcPr>
            <w:tcW w:w="5732" w:type="dxa"/>
            <w:gridSpan w:val="4"/>
            <w:tcBorders>
              <w:top w:val="single" w:sz="4" w:space="0" w:color="auto"/>
              <w:left w:val="single" w:sz="4" w:space="0" w:color="auto"/>
              <w:bottom w:val="single" w:sz="4" w:space="0" w:color="auto"/>
              <w:right w:val="single" w:sz="4" w:space="0" w:color="auto"/>
            </w:tcBorders>
          </w:tcPr>
          <w:p w14:paraId="1459C1C5" w14:textId="77777777" w:rsidR="00FD7681" w:rsidRPr="00D773F7" w:rsidRDefault="00FD7681">
            <w:pPr>
              <w:keepNext/>
              <w:keepLines/>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OECD Test Guideline 442E</w:t>
            </w:r>
          </w:p>
          <w:p w14:paraId="526B591D" w14:textId="77777777" w:rsidR="00FD7681" w:rsidRPr="00D773F7" w:rsidRDefault="00FD7681">
            <w:pPr>
              <w:keepNext/>
              <w:keepLines/>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 xml:space="preserve">In vitro skin sensitization assays addressing the AOP Key Event </w:t>
            </w:r>
            <w:r w:rsidRPr="00D773F7">
              <w:rPr>
                <w:rFonts w:asciiTheme="majorBidi" w:hAnsiTheme="majorBidi" w:cstheme="majorBidi"/>
                <w:b/>
                <w:sz w:val="16"/>
                <w:szCs w:val="16"/>
              </w:rPr>
              <w:br/>
              <w:t xml:space="preserve">on activation of dendritic cells </w:t>
            </w:r>
          </w:p>
        </w:tc>
      </w:tr>
      <w:tr w:rsidR="00FD7681" w:rsidRPr="00D773F7" w14:paraId="2C37CF30" w14:textId="77777777" w:rsidTr="006E65C1">
        <w:trPr>
          <w:trHeight w:val="406"/>
          <w:tblHeader/>
          <w:jc w:val="center"/>
        </w:trPr>
        <w:tc>
          <w:tcPr>
            <w:tcW w:w="855" w:type="dxa"/>
            <w:vMerge w:val="restart"/>
            <w:tcBorders>
              <w:top w:val="nil"/>
              <w:left w:val="single" w:sz="4" w:space="0" w:color="auto"/>
              <w:right w:val="single" w:sz="4" w:space="0" w:color="auto"/>
            </w:tcBorders>
            <w:tcMar>
              <w:top w:w="57" w:type="dxa"/>
              <w:left w:w="57" w:type="dxa"/>
              <w:bottom w:w="57" w:type="dxa"/>
              <w:right w:w="57" w:type="dxa"/>
            </w:tcMar>
          </w:tcPr>
          <w:p w14:paraId="5D1D3007" w14:textId="77777777" w:rsidR="00FD7681" w:rsidRPr="00D773F7" w:rsidRDefault="00FD7681">
            <w:pPr>
              <w:spacing w:line="260" w:lineRule="atLeast"/>
              <w:jc w:val="center"/>
              <w:rPr>
                <w:rFonts w:asciiTheme="majorBidi" w:hAnsiTheme="majorBidi" w:cstheme="majorBidi"/>
                <w:sz w:val="16"/>
                <w:szCs w:val="16"/>
              </w:rPr>
            </w:pPr>
          </w:p>
        </w:tc>
        <w:tc>
          <w:tcPr>
            <w:tcW w:w="1408" w:type="dxa"/>
            <w:tcBorders>
              <w:top w:val="single" w:sz="4" w:space="0" w:color="auto"/>
              <w:left w:val="single" w:sz="4" w:space="0" w:color="auto"/>
              <w:bottom w:val="nil"/>
              <w:right w:val="single" w:sz="4" w:space="0" w:color="auto"/>
            </w:tcBorders>
            <w:tcMar>
              <w:top w:w="57" w:type="dxa"/>
              <w:left w:w="57" w:type="dxa"/>
              <w:bottom w:w="57" w:type="dxa"/>
              <w:right w:w="57" w:type="dxa"/>
            </w:tcMar>
          </w:tcPr>
          <w:p w14:paraId="43C85A47" w14:textId="77777777" w:rsidR="00FD7681" w:rsidRPr="00D773F7" w:rsidRDefault="00FD7681">
            <w:pPr>
              <w:spacing w:line="240" w:lineRule="auto"/>
              <w:jc w:val="center"/>
              <w:rPr>
                <w:rFonts w:asciiTheme="majorBidi" w:hAnsiTheme="majorBidi" w:cstheme="majorBidi"/>
                <w:sz w:val="16"/>
                <w:szCs w:val="16"/>
              </w:rPr>
            </w:pPr>
            <w:r w:rsidRPr="00D773F7">
              <w:rPr>
                <w:rFonts w:asciiTheme="majorBidi" w:hAnsiTheme="majorBidi" w:cstheme="majorBidi"/>
                <w:b/>
                <w:sz w:val="16"/>
                <w:szCs w:val="16"/>
              </w:rPr>
              <w:t>Method described in Appendix I</w:t>
            </w:r>
          </w:p>
        </w:tc>
        <w:tc>
          <w:tcPr>
            <w:tcW w:w="1428" w:type="dxa"/>
            <w:gridSpan w:val="2"/>
            <w:tcBorders>
              <w:top w:val="single" w:sz="4" w:space="0" w:color="auto"/>
              <w:left w:val="single" w:sz="4" w:space="0" w:color="auto"/>
              <w:bottom w:val="nil"/>
              <w:right w:val="single" w:sz="4" w:space="0" w:color="auto"/>
            </w:tcBorders>
          </w:tcPr>
          <w:p w14:paraId="783C388C" w14:textId="77777777" w:rsidR="00FD7681" w:rsidRPr="00D773F7" w:rsidRDefault="00FD7681">
            <w:pPr>
              <w:spacing w:line="240" w:lineRule="auto"/>
              <w:jc w:val="center"/>
              <w:rPr>
                <w:rFonts w:asciiTheme="majorBidi" w:hAnsiTheme="majorBidi" w:cstheme="majorBidi"/>
                <w:b/>
                <w:bCs/>
                <w:sz w:val="16"/>
                <w:szCs w:val="16"/>
              </w:rPr>
            </w:pPr>
            <w:r w:rsidRPr="00D773F7">
              <w:rPr>
                <w:rFonts w:asciiTheme="majorBidi" w:hAnsiTheme="majorBidi" w:cstheme="majorBidi"/>
                <w:b/>
                <w:sz w:val="16"/>
                <w:szCs w:val="16"/>
              </w:rPr>
              <w:t xml:space="preserve">Method described in Appendix II </w:t>
            </w:r>
          </w:p>
        </w:tc>
        <w:tc>
          <w:tcPr>
            <w:tcW w:w="1196" w:type="dxa"/>
            <w:tcBorders>
              <w:top w:val="single" w:sz="4" w:space="0" w:color="auto"/>
              <w:left w:val="single" w:sz="4" w:space="0" w:color="auto"/>
              <w:bottom w:val="nil"/>
              <w:right w:val="single" w:sz="4" w:space="0" w:color="auto"/>
            </w:tcBorders>
          </w:tcPr>
          <w:p w14:paraId="39523C22" w14:textId="77777777" w:rsidR="00FD7681" w:rsidRPr="00D773F7" w:rsidRDefault="00FD7681">
            <w:pPr>
              <w:spacing w:line="240" w:lineRule="auto"/>
              <w:jc w:val="center"/>
              <w:rPr>
                <w:rFonts w:asciiTheme="majorBidi" w:hAnsiTheme="majorBidi" w:cstheme="majorBidi"/>
                <w:sz w:val="16"/>
                <w:szCs w:val="16"/>
              </w:rPr>
            </w:pPr>
            <w:r w:rsidRPr="00D773F7">
              <w:rPr>
                <w:rFonts w:asciiTheme="majorBidi" w:hAnsiTheme="majorBidi" w:cstheme="majorBidi"/>
                <w:b/>
                <w:sz w:val="16"/>
                <w:szCs w:val="16"/>
              </w:rPr>
              <w:t>Method described in Appendix III</w:t>
            </w:r>
          </w:p>
        </w:tc>
        <w:tc>
          <w:tcPr>
            <w:tcW w:w="2114" w:type="dxa"/>
            <w:tcBorders>
              <w:top w:val="single" w:sz="4" w:space="0" w:color="auto"/>
              <w:left w:val="single" w:sz="4" w:space="0" w:color="auto"/>
              <w:bottom w:val="nil"/>
              <w:right w:val="single" w:sz="4" w:space="0" w:color="auto"/>
            </w:tcBorders>
          </w:tcPr>
          <w:p w14:paraId="22D9C623" w14:textId="77777777" w:rsidR="00FD7681" w:rsidRPr="00D773F7" w:rsidRDefault="00FD7681">
            <w:pPr>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Method described in Appendix 1A</w:t>
            </w:r>
            <w:r w:rsidRPr="00D773F7">
              <w:rPr>
                <w:rFonts w:asciiTheme="majorBidi" w:hAnsiTheme="majorBidi" w:cstheme="majorBidi"/>
                <w:b/>
                <w:sz w:val="16"/>
                <w:szCs w:val="16"/>
                <w:vertAlign w:val="superscript"/>
              </w:rPr>
              <w:t>a</w:t>
            </w:r>
          </w:p>
        </w:tc>
        <w:tc>
          <w:tcPr>
            <w:tcW w:w="1572" w:type="dxa"/>
            <w:tcBorders>
              <w:top w:val="single" w:sz="4" w:space="0" w:color="auto"/>
              <w:left w:val="single" w:sz="4" w:space="0" w:color="auto"/>
              <w:bottom w:val="nil"/>
              <w:right w:val="single" w:sz="4" w:space="0" w:color="auto"/>
            </w:tcBorders>
          </w:tcPr>
          <w:p w14:paraId="1792E1C4" w14:textId="77777777" w:rsidR="00FD7681" w:rsidRPr="00D773F7" w:rsidRDefault="00FD7681">
            <w:pPr>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Method described in Appendix 1B</w:t>
            </w:r>
          </w:p>
        </w:tc>
        <w:tc>
          <w:tcPr>
            <w:tcW w:w="1497" w:type="dxa"/>
            <w:tcBorders>
              <w:top w:val="single" w:sz="4" w:space="0" w:color="auto"/>
              <w:left w:val="single" w:sz="4" w:space="0" w:color="auto"/>
              <w:bottom w:val="nil"/>
              <w:right w:val="single" w:sz="4" w:space="0" w:color="auto"/>
            </w:tcBorders>
          </w:tcPr>
          <w:p w14:paraId="78EBE6C1" w14:textId="77777777" w:rsidR="00FD7681" w:rsidRPr="00D773F7" w:rsidRDefault="00FD7681">
            <w:pPr>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Method described in Annex I</w:t>
            </w:r>
          </w:p>
        </w:tc>
        <w:tc>
          <w:tcPr>
            <w:tcW w:w="1559" w:type="dxa"/>
            <w:tcBorders>
              <w:top w:val="single" w:sz="4" w:space="0" w:color="auto"/>
              <w:left w:val="single" w:sz="4" w:space="0" w:color="auto"/>
              <w:bottom w:val="nil"/>
              <w:right w:val="single" w:sz="4" w:space="0" w:color="auto"/>
            </w:tcBorders>
          </w:tcPr>
          <w:p w14:paraId="0D00700E" w14:textId="77777777" w:rsidR="00FD7681" w:rsidRPr="00D773F7" w:rsidRDefault="00FD7681">
            <w:pPr>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Method described in Annex II</w:t>
            </w:r>
          </w:p>
        </w:tc>
        <w:tc>
          <w:tcPr>
            <w:tcW w:w="1338" w:type="dxa"/>
            <w:tcBorders>
              <w:top w:val="single" w:sz="4" w:space="0" w:color="auto"/>
              <w:left w:val="single" w:sz="4" w:space="0" w:color="auto"/>
              <w:bottom w:val="nil"/>
              <w:right w:val="single" w:sz="4" w:space="0" w:color="auto"/>
            </w:tcBorders>
          </w:tcPr>
          <w:p w14:paraId="64D778F7" w14:textId="77777777" w:rsidR="00FD7681" w:rsidRPr="00D773F7" w:rsidRDefault="00FD7681">
            <w:pPr>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Method described in Annex III</w:t>
            </w:r>
          </w:p>
        </w:tc>
        <w:tc>
          <w:tcPr>
            <w:tcW w:w="1338" w:type="dxa"/>
            <w:tcBorders>
              <w:top w:val="single" w:sz="4" w:space="0" w:color="auto"/>
              <w:left w:val="single" w:sz="4" w:space="0" w:color="auto"/>
              <w:bottom w:val="nil"/>
              <w:right w:val="single" w:sz="4" w:space="0" w:color="auto"/>
            </w:tcBorders>
          </w:tcPr>
          <w:p w14:paraId="39487831" w14:textId="77777777" w:rsidR="00FD7681" w:rsidRPr="00D773F7" w:rsidRDefault="00FD7681">
            <w:pPr>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 xml:space="preserve">Method described in Annex IV </w:t>
            </w:r>
          </w:p>
        </w:tc>
      </w:tr>
      <w:tr w:rsidR="00FD7681" w:rsidRPr="00D773F7" w14:paraId="08E2D4AC" w14:textId="77777777" w:rsidTr="006E65C1">
        <w:trPr>
          <w:trHeight w:val="727"/>
          <w:tblHeader/>
          <w:jc w:val="center"/>
        </w:trPr>
        <w:tc>
          <w:tcPr>
            <w:tcW w:w="855" w:type="dxa"/>
            <w:vMerge/>
            <w:tcBorders>
              <w:left w:val="single" w:sz="4" w:space="0" w:color="auto"/>
              <w:bottom w:val="single" w:sz="4" w:space="0" w:color="auto"/>
              <w:right w:val="single" w:sz="4" w:space="0" w:color="auto"/>
            </w:tcBorders>
            <w:tcMar>
              <w:top w:w="57" w:type="dxa"/>
              <w:left w:w="57" w:type="dxa"/>
              <w:bottom w:w="57" w:type="dxa"/>
              <w:right w:w="57" w:type="dxa"/>
            </w:tcMar>
          </w:tcPr>
          <w:p w14:paraId="741420AD" w14:textId="77777777" w:rsidR="00FD7681" w:rsidRPr="00D773F7" w:rsidRDefault="00FD7681">
            <w:pPr>
              <w:spacing w:line="260" w:lineRule="atLeast"/>
              <w:jc w:val="center"/>
              <w:rPr>
                <w:rFonts w:asciiTheme="majorBidi" w:hAnsiTheme="majorBidi" w:cstheme="majorBidi"/>
                <w:sz w:val="16"/>
                <w:szCs w:val="16"/>
              </w:rPr>
            </w:pPr>
          </w:p>
        </w:tc>
        <w:tc>
          <w:tcPr>
            <w:tcW w:w="1408"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43368E8C" w14:textId="77777777" w:rsidR="00FD7681" w:rsidRPr="00D773F7" w:rsidRDefault="00FD7681">
            <w:pPr>
              <w:spacing w:line="240" w:lineRule="auto"/>
              <w:jc w:val="center"/>
              <w:rPr>
                <w:rFonts w:asciiTheme="majorBidi" w:hAnsiTheme="majorBidi" w:cstheme="majorBidi"/>
                <w:b/>
                <w:bCs/>
                <w:sz w:val="16"/>
                <w:szCs w:val="16"/>
              </w:rPr>
            </w:pPr>
            <w:r w:rsidRPr="00D773F7">
              <w:rPr>
                <w:rFonts w:asciiTheme="majorBidi" w:hAnsiTheme="majorBidi" w:cstheme="majorBidi"/>
                <w:b/>
                <w:bCs/>
                <w:sz w:val="16"/>
                <w:szCs w:val="16"/>
              </w:rPr>
              <w:t>The Direct Peptide Reactivity Assay</w:t>
            </w:r>
          </w:p>
          <w:p w14:paraId="1F077AE3" w14:textId="77777777" w:rsidR="00FD7681" w:rsidRPr="00D773F7" w:rsidRDefault="00FD7681">
            <w:pPr>
              <w:spacing w:line="240" w:lineRule="auto"/>
              <w:jc w:val="center"/>
              <w:rPr>
                <w:rFonts w:asciiTheme="majorBidi" w:hAnsiTheme="majorBidi" w:cstheme="majorBidi"/>
                <w:b/>
                <w:sz w:val="16"/>
                <w:szCs w:val="16"/>
              </w:rPr>
            </w:pPr>
            <w:r w:rsidRPr="00D773F7">
              <w:rPr>
                <w:rFonts w:asciiTheme="majorBidi" w:hAnsiTheme="majorBidi" w:cstheme="majorBidi"/>
                <w:b/>
                <w:bCs/>
                <w:sz w:val="16"/>
                <w:szCs w:val="16"/>
              </w:rPr>
              <w:t>(DPRA)</w:t>
            </w:r>
            <w:r w:rsidRPr="00D773F7">
              <w:rPr>
                <w:rFonts w:asciiTheme="majorBidi" w:hAnsiTheme="majorBidi" w:cstheme="majorBidi"/>
                <w:b/>
                <w:bCs/>
                <w:sz w:val="16"/>
                <w:szCs w:val="16"/>
                <w:vertAlign w:val="superscript"/>
              </w:rPr>
              <w:t>a</w:t>
            </w:r>
          </w:p>
        </w:tc>
        <w:tc>
          <w:tcPr>
            <w:tcW w:w="1428" w:type="dxa"/>
            <w:gridSpan w:val="2"/>
            <w:tcBorders>
              <w:top w:val="nil"/>
              <w:left w:val="single" w:sz="4" w:space="0" w:color="auto"/>
              <w:bottom w:val="single" w:sz="4" w:space="0" w:color="auto"/>
              <w:right w:val="single" w:sz="4" w:space="0" w:color="auto"/>
            </w:tcBorders>
          </w:tcPr>
          <w:p w14:paraId="7D020AC3" w14:textId="77777777" w:rsidR="00FD7681" w:rsidRPr="00D773F7" w:rsidRDefault="00FD7681">
            <w:pPr>
              <w:spacing w:line="240" w:lineRule="auto"/>
              <w:jc w:val="center"/>
              <w:rPr>
                <w:rFonts w:asciiTheme="majorBidi" w:hAnsiTheme="majorBidi" w:cstheme="majorBidi"/>
                <w:b/>
                <w:sz w:val="16"/>
                <w:szCs w:val="16"/>
              </w:rPr>
            </w:pPr>
            <w:r w:rsidRPr="00D773F7">
              <w:rPr>
                <w:rFonts w:asciiTheme="majorBidi" w:hAnsiTheme="majorBidi" w:cstheme="majorBidi"/>
                <w:b/>
                <w:bCs/>
                <w:sz w:val="16"/>
                <w:szCs w:val="16"/>
              </w:rPr>
              <w:t>The Amino acid Derivative Reactivity Assay (ADRA)</w:t>
            </w:r>
            <w:r w:rsidRPr="00D773F7">
              <w:rPr>
                <w:rFonts w:asciiTheme="majorBidi" w:hAnsiTheme="majorBidi" w:cstheme="majorBidi"/>
                <w:b/>
                <w:bCs/>
                <w:sz w:val="14"/>
                <w:szCs w:val="14"/>
                <w:vertAlign w:val="superscript"/>
              </w:rPr>
              <w:t xml:space="preserve"> a</w:t>
            </w:r>
            <w:r w:rsidRPr="00D773F7">
              <w:rPr>
                <w:rFonts w:asciiTheme="majorBidi" w:hAnsiTheme="majorBidi" w:cstheme="majorBidi"/>
                <w:b/>
                <w:bCs/>
                <w:sz w:val="16"/>
                <w:szCs w:val="16"/>
              </w:rPr>
              <w:t xml:space="preserve"> </w:t>
            </w:r>
          </w:p>
        </w:tc>
        <w:tc>
          <w:tcPr>
            <w:tcW w:w="1196" w:type="dxa"/>
            <w:tcBorders>
              <w:top w:val="nil"/>
              <w:left w:val="single" w:sz="4" w:space="0" w:color="auto"/>
              <w:bottom w:val="single" w:sz="4" w:space="0" w:color="auto"/>
              <w:right w:val="single" w:sz="4" w:space="0" w:color="auto"/>
            </w:tcBorders>
          </w:tcPr>
          <w:p w14:paraId="5263D2CD" w14:textId="77777777" w:rsidR="00FD7681" w:rsidRPr="00D773F7" w:rsidRDefault="00FD7681">
            <w:pPr>
              <w:spacing w:line="240" w:lineRule="auto"/>
              <w:jc w:val="center"/>
              <w:rPr>
                <w:rFonts w:asciiTheme="majorBidi" w:hAnsiTheme="majorBidi" w:cstheme="majorBidi"/>
                <w:b/>
                <w:sz w:val="16"/>
                <w:szCs w:val="16"/>
              </w:rPr>
            </w:pPr>
            <w:r w:rsidRPr="00D773F7">
              <w:rPr>
                <w:rFonts w:asciiTheme="majorBidi" w:hAnsiTheme="majorBidi" w:cstheme="majorBidi"/>
                <w:b/>
                <w:bCs/>
                <w:sz w:val="16"/>
                <w:szCs w:val="16"/>
              </w:rPr>
              <w:t>The kinetic Direct Peptide Reactivity Assay (</w:t>
            </w:r>
            <w:proofErr w:type="spellStart"/>
            <w:r w:rsidRPr="00D773F7">
              <w:rPr>
                <w:rFonts w:asciiTheme="majorBidi" w:hAnsiTheme="majorBidi" w:cstheme="majorBidi"/>
                <w:b/>
                <w:bCs/>
                <w:sz w:val="16"/>
                <w:szCs w:val="16"/>
              </w:rPr>
              <w:t>kDPRA</w:t>
            </w:r>
            <w:proofErr w:type="spellEnd"/>
            <w:r w:rsidRPr="00D773F7">
              <w:rPr>
                <w:rFonts w:asciiTheme="majorBidi" w:hAnsiTheme="majorBidi" w:cstheme="majorBidi"/>
                <w:b/>
                <w:bCs/>
                <w:sz w:val="16"/>
                <w:szCs w:val="16"/>
              </w:rPr>
              <w:t>)</w:t>
            </w:r>
            <w:r w:rsidRPr="00D773F7">
              <w:rPr>
                <w:rFonts w:asciiTheme="majorBidi" w:hAnsiTheme="majorBidi" w:cstheme="majorBidi"/>
                <w:b/>
                <w:bCs/>
                <w:sz w:val="16"/>
                <w:szCs w:val="16"/>
                <w:vertAlign w:val="superscript"/>
              </w:rPr>
              <w:t>b</w:t>
            </w:r>
          </w:p>
        </w:tc>
        <w:tc>
          <w:tcPr>
            <w:tcW w:w="2114" w:type="dxa"/>
            <w:tcBorders>
              <w:top w:val="nil"/>
              <w:left w:val="single" w:sz="4" w:space="0" w:color="auto"/>
              <w:bottom w:val="single" w:sz="4" w:space="0" w:color="auto"/>
              <w:right w:val="single" w:sz="4" w:space="0" w:color="auto"/>
            </w:tcBorders>
          </w:tcPr>
          <w:p w14:paraId="5A9AD4F8" w14:textId="77777777" w:rsidR="00FD7681" w:rsidRPr="00D773F7" w:rsidRDefault="00FD7681">
            <w:pPr>
              <w:spacing w:line="240" w:lineRule="auto"/>
              <w:jc w:val="center"/>
              <w:rPr>
                <w:rFonts w:asciiTheme="majorBidi" w:hAnsiTheme="majorBidi" w:cstheme="majorBidi"/>
                <w:b/>
                <w:sz w:val="16"/>
                <w:szCs w:val="16"/>
              </w:rPr>
            </w:pPr>
          </w:p>
        </w:tc>
        <w:tc>
          <w:tcPr>
            <w:tcW w:w="1572" w:type="dxa"/>
            <w:tcBorders>
              <w:top w:val="nil"/>
              <w:left w:val="single" w:sz="4" w:space="0" w:color="auto"/>
              <w:bottom w:val="single" w:sz="4" w:space="0" w:color="auto"/>
              <w:right w:val="single" w:sz="4" w:space="0" w:color="auto"/>
            </w:tcBorders>
          </w:tcPr>
          <w:p w14:paraId="00E9076A" w14:textId="77777777" w:rsidR="00FD7681" w:rsidRPr="00D773F7" w:rsidRDefault="00FD7681">
            <w:pPr>
              <w:spacing w:line="240" w:lineRule="auto"/>
              <w:jc w:val="center"/>
              <w:rPr>
                <w:rFonts w:asciiTheme="majorBidi" w:hAnsiTheme="majorBidi" w:cstheme="majorBidi"/>
                <w:b/>
                <w:sz w:val="16"/>
                <w:szCs w:val="16"/>
              </w:rPr>
            </w:pPr>
            <w:proofErr w:type="spellStart"/>
            <w:r w:rsidRPr="00D773F7">
              <w:rPr>
                <w:rFonts w:asciiTheme="majorBidi" w:hAnsiTheme="majorBidi" w:cstheme="majorBidi"/>
                <w:b/>
                <w:sz w:val="16"/>
                <w:szCs w:val="16"/>
              </w:rPr>
              <w:t>Lusens</w:t>
            </w:r>
            <w:proofErr w:type="spellEnd"/>
            <w:r w:rsidRPr="00D773F7">
              <w:rPr>
                <w:rFonts w:asciiTheme="majorBidi" w:hAnsiTheme="majorBidi" w:cstheme="majorBidi"/>
                <w:b/>
                <w:bCs/>
                <w:sz w:val="14"/>
                <w:szCs w:val="14"/>
                <w:vertAlign w:val="superscript"/>
              </w:rPr>
              <w:t xml:space="preserve"> a</w:t>
            </w:r>
          </w:p>
        </w:tc>
        <w:tc>
          <w:tcPr>
            <w:tcW w:w="1497" w:type="dxa"/>
            <w:tcBorders>
              <w:top w:val="nil"/>
              <w:left w:val="single" w:sz="4" w:space="0" w:color="auto"/>
              <w:bottom w:val="single" w:sz="4" w:space="0" w:color="auto"/>
              <w:right w:val="single" w:sz="4" w:space="0" w:color="auto"/>
            </w:tcBorders>
          </w:tcPr>
          <w:p w14:paraId="06CE0E68" w14:textId="77777777" w:rsidR="00FD7681" w:rsidRPr="00D773F7" w:rsidRDefault="00FD7681">
            <w:pPr>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 xml:space="preserve">human Cell Line Activation Assay </w:t>
            </w:r>
            <w:r w:rsidRPr="00D773F7">
              <w:rPr>
                <w:rFonts w:asciiTheme="majorBidi" w:hAnsiTheme="majorBidi" w:cstheme="majorBidi"/>
                <w:b/>
                <w:sz w:val="16"/>
                <w:szCs w:val="16"/>
              </w:rPr>
              <w:br/>
              <w:t>(h-CLAT)</w:t>
            </w:r>
            <w:r w:rsidRPr="00D773F7">
              <w:rPr>
                <w:rFonts w:asciiTheme="majorBidi" w:hAnsiTheme="majorBidi" w:cstheme="majorBidi"/>
                <w:b/>
                <w:bCs/>
                <w:sz w:val="14"/>
                <w:szCs w:val="14"/>
                <w:vertAlign w:val="superscript"/>
              </w:rPr>
              <w:t xml:space="preserve"> a</w:t>
            </w:r>
          </w:p>
        </w:tc>
        <w:tc>
          <w:tcPr>
            <w:tcW w:w="1559" w:type="dxa"/>
            <w:tcBorders>
              <w:top w:val="nil"/>
              <w:left w:val="single" w:sz="4" w:space="0" w:color="auto"/>
              <w:bottom w:val="single" w:sz="4" w:space="0" w:color="auto"/>
              <w:right w:val="single" w:sz="4" w:space="0" w:color="auto"/>
            </w:tcBorders>
          </w:tcPr>
          <w:p w14:paraId="2A0B554B" w14:textId="77777777" w:rsidR="00FD7681" w:rsidRPr="00D773F7" w:rsidRDefault="00FD7681">
            <w:pPr>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U937 Cell Line Activation Test</w:t>
            </w:r>
            <w:r w:rsidRPr="00D773F7">
              <w:rPr>
                <w:rFonts w:asciiTheme="majorBidi" w:hAnsiTheme="majorBidi" w:cstheme="majorBidi"/>
                <w:b/>
                <w:bCs/>
                <w:sz w:val="14"/>
                <w:szCs w:val="14"/>
                <w:vertAlign w:val="superscript"/>
              </w:rPr>
              <w:t xml:space="preserve"> a</w:t>
            </w:r>
            <w:r w:rsidRPr="00D773F7">
              <w:rPr>
                <w:rFonts w:asciiTheme="majorBidi" w:hAnsiTheme="majorBidi" w:cstheme="majorBidi"/>
                <w:b/>
                <w:sz w:val="16"/>
                <w:szCs w:val="16"/>
              </w:rPr>
              <w:t xml:space="preserve"> </w:t>
            </w:r>
          </w:p>
          <w:p w14:paraId="0FD3F55A" w14:textId="77777777" w:rsidR="00FD7681" w:rsidRPr="00D773F7" w:rsidRDefault="00FD7681">
            <w:pPr>
              <w:spacing w:line="240" w:lineRule="auto"/>
              <w:jc w:val="center"/>
              <w:rPr>
                <w:rFonts w:asciiTheme="majorBidi" w:hAnsiTheme="majorBidi" w:cstheme="majorBidi"/>
                <w:b/>
                <w:sz w:val="16"/>
                <w:szCs w:val="16"/>
              </w:rPr>
            </w:pPr>
          </w:p>
        </w:tc>
        <w:tc>
          <w:tcPr>
            <w:tcW w:w="1338" w:type="dxa"/>
            <w:tcBorders>
              <w:top w:val="nil"/>
              <w:left w:val="single" w:sz="4" w:space="0" w:color="auto"/>
              <w:bottom w:val="single" w:sz="4" w:space="0" w:color="auto"/>
              <w:right w:val="single" w:sz="4" w:space="0" w:color="auto"/>
            </w:tcBorders>
          </w:tcPr>
          <w:p w14:paraId="51784A62" w14:textId="77777777" w:rsidR="00FD7681" w:rsidRPr="00D773F7" w:rsidRDefault="00FD7681">
            <w:pPr>
              <w:spacing w:line="240" w:lineRule="auto"/>
              <w:jc w:val="center"/>
              <w:rPr>
                <w:rFonts w:asciiTheme="majorBidi" w:hAnsiTheme="majorBidi" w:cstheme="majorBidi"/>
                <w:b/>
                <w:sz w:val="16"/>
                <w:szCs w:val="16"/>
              </w:rPr>
            </w:pPr>
            <w:r w:rsidRPr="00D773F7">
              <w:rPr>
                <w:rFonts w:asciiTheme="majorBidi" w:hAnsiTheme="majorBidi" w:cstheme="majorBidi"/>
                <w:b/>
                <w:bCs/>
                <w:sz w:val="16"/>
                <w:szCs w:val="16"/>
              </w:rPr>
              <w:t xml:space="preserve">Interleukin-8 luciferase </w:t>
            </w:r>
            <w:r w:rsidRPr="00D773F7">
              <w:rPr>
                <w:rFonts w:asciiTheme="majorBidi" w:hAnsiTheme="majorBidi" w:cstheme="majorBidi"/>
                <w:b/>
                <w:bCs/>
                <w:sz w:val="16"/>
                <w:szCs w:val="16"/>
              </w:rPr>
              <w:br/>
            </w:r>
            <w:r w:rsidRPr="00D773F7">
              <w:rPr>
                <w:rFonts w:asciiTheme="majorBidi" w:hAnsiTheme="majorBidi" w:cstheme="majorBidi"/>
                <w:b/>
                <w:sz w:val="16"/>
                <w:szCs w:val="16"/>
              </w:rPr>
              <w:t xml:space="preserve">(IL-8 Luc) assay </w:t>
            </w:r>
            <w:r w:rsidRPr="00D773F7">
              <w:rPr>
                <w:rFonts w:asciiTheme="majorBidi" w:hAnsiTheme="majorBidi" w:cstheme="majorBidi"/>
                <w:b/>
                <w:sz w:val="16"/>
                <w:szCs w:val="16"/>
                <w:vertAlign w:val="superscript"/>
              </w:rPr>
              <w:t>a</w:t>
            </w:r>
          </w:p>
        </w:tc>
        <w:tc>
          <w:tcPr>
            <w:tcW w:w="1338" w:type="dxa"/>
            <w:tcBorders>
              <w:top w:val="nil"/>
              <w:left w:val="single" w:sz="4" w:space="0" w:color="auto"/>
              <w:bottom w:val="single" w:sz="4" w:space="0" w:color="auto"/>
              <w:right w:val="single" w:sz="4" w:space="0" w:color="auto"/>
            </w:tcBorders>
          </w:tcPr>
          <w:p w14:paraId="0ECA7B24" w14:textId="07A0144D" w:rsidR="00FD7681" w:rsidRPr="00D773F7" w:rsidRDefault="00FD7681">
            <w:pPr>
              <w:spacing w:line="240" w:lineRule="auto"/>
              <w:jc w:val="center"/>
              <w:rPr>
                <w:rFonts w:asciiTheme="majorBidi" w:hAnsiTheme="majorBidi" w:cstheme="majorBidi"/>
                <w:b/>
                <w:sz w:val="16"/>
                <w:szCs w:val="16"/>
              </w:rPr>
            </w:pPr>
            <w:r w:rsidRPr="00D773F7">
              <w:rPr>
                <w:rFonts w:asciiTheme="majorBidi" w:hAnsiTheme="majorBidi" w:cstheme="majorBidi"/>
                <w:b/>
                <w:sz w:val="16"/>
                <w:szCs w:val="16"/>
              </w:rPr>
              <w:t xml:space="preserve">Genomic Allergen Rapid Detection for assessment of skin </w:t>
            </w:r>
            <w:proofErr w:type="spellStart"/>
            <w:r w:rsidRPr="00D773F7">
              <w:rPr>
                <w:rFonts w:asciiTheme="majorBidi" w:hAnsiTheme="majorBidi" w:cstheme="majorBidi"/>
                <w:b/>
                <w:sz w:val="16"/>
                <w:szCs w:val="16"/>
              </w:rPr>
              <w:t>sensitizers</w:t>
            </w:r>
            <w:r w:rsidR="00622384" w:rsidRPr="006E65C1">
              <w:rPr>
                <w:rFonts w:asciiTheme="majorBidi" w:hAnsiTheme="majorBidi" w:cstheme="majorBidi"/>
                <w:b/>
                <w:sz w:val="16"/>
                <w:szCs w:val="16"/>
                <w:vertAlign w:val="superscript"/>
              </w:rPr>
              <w:t>a</w:t>
            </w:r>
            <w:proofErr w:type="spellEnd"/>
          </w:p>
        </w:tc>
      </w:tr>
      <w:tr w:rsidR="00D909E0" w:rsidRPr="00D773F7" w14:paraId="6DF0A68E" w14:textId="77777777" w:rsidTr="00D243FB">
        <w:trPr>
          <w:jc w:val="center"/>
        </w:trPr>
        <w:tc>
          <w:tcPr>
            <w:tcW w:w="855"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121DAE4" w14:textId="77777777" w:rsidR="00D909E0" w:rsidRPr="00D773F7" w:rsidRDefault="00D909E0" w:rsidP="009303B7">
            <w:pPr>
              <w:keepNext/>
              <w:keepLines/>
              <w:spacing w:before="40" w:after="40" w:line="240" w:lineRule="auto"/>
              <w:jc w:val="center"/>
              <w:rPr>
                <w:rFonts w:asciiTheme="majorBidi" w:hAnsiTheme="majorBidi" w:cstheme="majorBidi"/>
                <w:sz w:val="16"/>
                <w:szCs w:val="16"/>
              </w:rPr>
            </w:pPr>
            <w:r w:rsidRPr="00D773F7">
              <w:rPr>
                <w:rFonts w:asciiTheme="majorBidi" w:hAnsiTheme="majorBidi" w:cstheme="majorBidi"/>
                <w:sz w:val="16"/>
                <w:szCs w:val="16"/>
              </w:rPr>
              <w:t>Not classified</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tcPr>
          <w:p w14:paraId="5AD71C71" w14:textId="0FC84AF3" w:rsidR="00D909E0" w:rsidRPr="00D773F7" w:rsidRDefault="00D909E0" w:rsidP="009303B7">
            <w:pPr>
              <w:keepNext/>
              <w:keepLines/>
              <w:tabs>
                <w:tab w:val="left" w:pos="294"/>
              </w:tabs>
              <w:spacing w:before="40" w:after="40" w:line="240" w:lineRule="auto"/>
              <w:rPr>
                <w:rFonts w:asciiTheme="majorBidi" w:hAnsiTheme="majorBidi" w:cstheme="majorBidi"/>
                <w:sz w:val="16"/>
                <w:szCs w:val="16"/>
              </w:rPr>
            </w:pPr>
            <w:r w:rsidRPr="00D773F7">
              <w:rPr>
                <w:rFonts w:asciiTheme="majorBidi" w:hAnsiTheme="majorBidi" w:cstheme="majorBidi"/>
                <w:sz w:val="16"/>
                <w:szCs w:val="16"/>
              </w:rPr>
              <w:t xml:space="preserve">The mean cysteine/lysine % depletion </w:t>
            </w:r>
            <w:r w:rsidR="0062495A" w:rsidRPr="00D773F7">
              <w:rPr>
                <w:rFonts w:asciiTheme="majorBidi" w:hAnsiTheme="majorBidi" w:cstheme="majorBidi"/>
                <w:sz w:val="16"/>
                <w:szCs w:val="16"/>
              </w:rPr>
              <w:t>≤</w:t>
            </w:r>
            <w:r w:rsidRPr="00D773F7">
              <w:rPr>
                <w:rFonts w:asciiTheme="majorBidi" w:hAnsiTheme="majorBidi" w:cstheme="majorBidi"/>
                <w:sz w:val="16"/>
                <w:szCs w:val="16"/>
              </w:rPr>
              <w:t xml:space="preserve"> 6.38%</w:t>
            </w:r>
          </w:p>
          <w:p w14:paraId="096AFD10" w14:textId="77777777" w:rsidR="00D909E0" w:rsidRPr="00D773F7" w:rsidRDefault="00D909E0" w:rsidP="009303B7">
            <w:pPr>
              <w:keepNext/>
              <w:keepLines/>
              <w:tabs>
                <w:tab w:val="left" w:pos="294"/>
              </w:tabs>
              <w:spacing w:before="40" w:after="40" w:line="240" w:lineRule="auto"/>
              <w:rPr>
                <w:rFonts w:asciiTheme="majorBidi" w:hAnsiTheme="majorBidi" w:cstheme="majorBidi"/>
                <w:sz w:val="16"/>
                <w:szCs w:val="16"/>
              </w:rPr>
            </w:pPr>
            <w:r w:rsidRPr="00D773F7">
              <w:rPr>
                <w:rFonts w:asciiTheme="majorBidi" w:hAnsiTheme="majorBidi" w:cstheme="majorBidi"/>
                <w:sz w:val="16"/>
                <w:szCs w:val="16"/>
              </w:rPr>
              <w:t xml:space="preserve">or </w:t>
            </w:r>
          </w:p>
          <w:p w14:paraId="4FB23DF9" w14:textId="618715C0" w:rsidR="00D909E0" w:rsidRPr="00D773F7" w:rsidRDefault="00D909E0" w:rsidP="009303B7">
            <w:pPr>
              <w:keepNext/>
              <w:keepLines/>
              <w:tabs>
                <w:tab w:val="left" w:pos="294"/>
              </w:tabs>
              <w:spacing w:before="40" w:after="40" w:line="240" w:lineRule="auto"/>
              <w:rPr>
                <w:rFonts w:asciiTheme="majorBidi" w:hAnsiTheme="majorBidi" w:cstheme="majorBidi"/>
                <w:sz w:val="16"/>
                <w:szCs w:val="16"/>
              </w:rPr>
            </w:pPr>
            <w:r w:rsidRPr="00D773F7">
              <w:rPr>
                <w:rFonts w:asciiTheme="majorBidi" w:hAnsiTheme="majorBidi" w:cstheme="majorBidi"/>
                <w:sz w:val="16"/>
                <w:szCs w:val="16"/>
              </w:rPr>
              <w:t xml:space="preserve">the mean cysteine % depletion </w:t>
            </w:r>
            <w:r w:rsidR="0062495A" w:rsidRPr="00D773F7">
              <w:rPr>
                <w:rFonts w:asciiTheme="majorBidi" w:hAnsiTheme="majorBidi" w:cstheme="majorBidi"/>
                <w:sz w:val="16"/>
                <w:szCs w:val="16"/>
              </w:rPr>
              <w:t>≤</w:t>
            </w:r>
            <w:r w:rsidRPr="00D773F7">
              <w:rPr>
                <w:rFonts w:asciiTheme="majorBidi" w:hAnsiTheme="majorBidi" w:cstheme="majorBidi"/>
                <w:sz w:val="16"/>
                <w:szCs w:val="16"/>
              </w:rPr>
              <w:t>13.89 %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4004A29" w14:textId="0598C9BC" w:rsidR="00D909E0" w:rsidRPr="00D773F7" w:rsidRDefault="00D909E0" w:rsidP="009303B7">
            <w:pPr>
              <w:keepNext/>
              <w:keepLines/>
              <w:tabs>
                <w:tab w:val="left" w:pos="294"/>
              </w:tabs>
              <w:spacing w:before="40" w:after="40" w:line="240" w:lineRule="auto"/>
              <w:rPr>
                <w:rFonts w:asciiTheme="majorBidi" w:hAnsiTheme="majorBidi" w:cstheme="majorBidi"/>
                <w:sz w:val="16"/>
                <w:szCs w:val="16"/>
              </w:rPr>
            </w:pPr>
            <w:r w:rsidRPr="00D773F7">
              <w:rPr>
                <w:rFonts w:asciiTheme="majorBidi" w:hAnsiTheme="majorBidi" w:cstheme="majorBidi"/>
                <w:sz w:val="16"/>
                <w:szCs w:val="16"/>
              </w:rPr>
              <w:t xml:space="preserve">The mean NAC </w:t>
            </w:r>
            <w:r w:rsidR="007024AF" w:rsidRPr="00D773F7">
              <w:rPr>
                <w:rFonts w:asciiTheme="majorBidi" w:hAnsiTheme="majorBidi" w:cstheme="majorBidi"/>
                <w:sz w:val="16"/>
                <w:szCs w:val="16"/>
              </w:rPr>
              <w:br/>
            </w:r>
            <w:r w:rsidRPr="00D773F7">
              <w:rPr>
                <w:rFonts w:asciiTheme="majorBidi" w:hAnsiTheme="majorBidi" w:cstheme="majorBidi"/>
                <w:sz w:val="16"/>
                <w:szCs w:val="16"/>
              </w:rPr>
              <w:t xml:space="preserve">and NAL % depletion &lt; 4.9% </w:t>
            </w:r>
          </w:p>
          <w:p w14:paraId="1A29AC10" w14:textId="12616E78" w:rsidR="00D909E0" w:rsidRPr="00D773F7" w:rsidRDefault="009303B7" w:rsidP="009303B7">
            <w:pPr>
              <w:keepNext/>
              <w:keepLines/>
              <w:tabs>
                <w:tab w:val="left" w:pos="294"/>
              </w:tabs>
              <w:spacing w:before="40" w:after="40" w:line="240" w:lineRule="auto"/>
              <w:rPr>
                <w:rFonts w:asciiTheme="majorBidi" w:hAnsiTheme="majorBidi" w:cstheme="majorBidi"/>
                <w:sz w:val="16"/>
                <w:szCs w:val="16"/>
              </w:rPr>
            </w:pPr>
            <w:r w:rsidRPr="00D773F7">
              <w:rPr>
                <w:rFonts w:asciiTheme="majorBidi" w:hAnsiTheme="majorBidi" w:cstheme="majorBidi"/>
                <w:sz w:val="16"/>
                <w:szCs w:val="16"/>
              </w:rPr>
              <w:t>o</w:t>
            </w:r>
            <w:r w:rsidR="00D909E0" w:rsidRPr="00D773F7">
              <w:rPr>
                <w:rFonts w:asciiTheme="majorBidi" w:hAnsiTheme="majorBidi" w:cstheme="majorBidi"/>
                <w:sz w:val="16"/>
                <w:szCs w:val="16"/>
              </w:rPr>
              <w:t>r</w:t>
            </w:r>
          </w:p>
          <w:p w14:paraId="4BBA98E2" w14:textId="4CE2FCDF" w:rsidR="00D909E0" w:rsidRPr="00D773F7" w:rsidRDefault="00D909E0" w:rsidP="009303B7">
            <w:pPr>
              <w:keepNext/>
              <w:keepLines/>
              <w:tabs>
                <w:tab w:val="left" w:pos="294"/>
              </w:tabs>
              <w:spacing w:before="40" w:after="40" w:line="240" w:lineRule="auto"/>
              <w:rPr>
                <w:rFonts w:asciiTheme="majorBidi" w:hAnsiTheme="majorBidi" w:cstheme="majorBidi"/>
                <w:sz w:val="16"/>
                <w:szCs w:val="16"/>
              </w:rPr>
            </w:pPr>
            <w:r w:rsidRPr="00D773F7">
              <w:rPr>
                <w:rFonts w:asciiTheme="majorBidi" w:hAnsiTheme="majorBidi" w:cstheme="majorBidi"/>
                <w:sz w:val="16"/>
                <w:szCs w:val="16"/>
              </w:rPr>
              <w:t>NAC% depletion</w:t>
            </w:r>
            <w:r w:rsidR="00A218B3" w:rsidRPr="00D773F7">
              <w:rPr>
                <w:rFonts w:asciiTheme="majorBidi" w:hAnsiTheme="majorBidi" w:cstheme="majorBidi"/>
                <w:sz w:val="16"/>
                <w:szCs w:val="16"/>
              </w:rPr>
              <w:br/>
            </w:r>
            <w:r w:rsidRPr="00D773F7">
              <w:rPr>
                <w:rFonts w:asciiTheme="majorBidi" w:hAnsiTheme="majorBidi" w:cstheme="majorBidi"/>
                <w:sz w:val="16"/>
                <w:szCs w:val="16"/>
              </w:rPr>
              <w:t xml:space="preserve"> &lt; 5.6%</w:t>
            </w: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50880359" w14:textId="77777777" w:rsidR="00D909E0" w:rsidRPr="00D773F7" w:rsidRDefault="00D909E0" w:rsidP="009303B7">
            <w:pPr>
              <w:pStyle w:val="Default"/>
              <w:keepNext/>
              <w:keepLines/>
              <w:spacing w:before="40" w:after="40"/>
              <w:rPr>
                <w:rFonts w:asciiTheme="majorBidi" w:hAnsiTheme="majorBidi" w:cstheme="majorBidi"/>
                <w:color w:val="auto"/>
                <w:sz w:val="16"/>
                <w:szCs w:val="16"/>
              </w:rPr>
            </w:pPr>
            <w:r w:rsidRPr="00D773F7">
              <w:rPr>
                <w:rFonts w:asciiTheme="majorBidi" w:hAnsiTheme="majorBidi" w:cstheme="majorBidi"/>
                <w:color w:val="auto"/>
                <w:sz w:val="16"/>
                <w:szCs w:val="16"/>
              </w:rPr>
              <w:t>Not applicable</w:t>
            </w:r>
          </w:p>
        </w:tc>
        <w:tc>
          <w:tcPr>
            <w:tcW w:w="2114" w:type="dxa"/>
            <w:tcBorders>
              <w:top w:val="single" w:sz="4" w:space="0" w:color="auto"/>
              <w:left w:val="single" w:sz="4" w:space="0" w:color="auto"/>
              <w:bottom w:val="single" w:sz="4" w:space="0" w:color="auto"/>
              <w:right w:val="single" w:sz="4" w:space="0" w:color="auto"/>
            </w:tcBorders>
            <w:shd w:val="clear" w:color="auto" w:fill="auto"/>
          </w:tcPr>
          <w:p w14:paraId="0CF540BB" w14:textId="77777777" w:rsidR="00D909E0" w:rsidRPr="00D773F7" w:rsidRDefault="00D909E0" w:rsidP="009303B7">
            <w:pPr>
              <w:keepNext/>
              <w:keepLines/>
              <w:spacing w:before="40" w:after="40" w:line="240" w:lineRule="auto"/>
              <w:rPr>
                <w:rFonts w:asciiTheme="majorBidi" w:hAnsiTheme="majorBidi" w:cstheme="majorBidi"/>
                <w:sz w:val="16"/>
                <w:szCs w:val="16"/>
              </w:rPr>
            </w:pPr>
            <w:r w:rsidRPr="00D773F7">
              <w:rPr>
                <w:rFonts w:asciiTheme="majorBidi" w:hAnsiTheme="majorBidi" w:cstheme="majorBidi"/>
                <w:sz w:val="16"/>
                <w:szCs w:val="16"/>
              </w:rPr>
              <w:t>At least one of the conditions for Category 1 is not met</w:t>
            </w:r>
          </w:p>
        </w:tc>
        <w:tc>
          <w:tcPr>
            <w:tcW w:w="1572" w:type="dxa"/>
            <w:tcBorders>
              <w:top w:val="single" w:sz="4" w:space="0" w:color="auto"/>
              <w:left w:val="single" w:sz="4" w:space="0" w:color="auto"/>
              <w:bottom w:val="single" w:sz="4" w:space="0" w:color="auto"/>
              <w:right w:val="single" w:sz="4" w:space="0" w:color="auto"/>
            </w:tcBorders>
            <w:shd w:val="clear" w:color="auto" w:fill="auto"/>
          </w:tcPr>
          <w:p w14:paraId="37C0FFC7" w14:textId="77777777" w:rsidR="00D909E0" w:rsidRPr="00D773F7" w:rsidRDefault="00D909E0" w:rsidP="009303B7">
            <w:pPr>
              <w:keepNext/>
              <w:keepLines/>
              <w:spacing w:before="40" w:after="40" w:line="240" w:lineRule="auto"/>
              <w:rPr>
                <w:rFonts w:asciiTheme="majorBidi" w:hAnsiTheme="majorBidi" w:cstheme="majorBidi"/>
                <w:sz w:val="16"/>
                <w:szCs w:val="16"/>
              </w:rPr>
            </w:pPr>
            <w:r w:rsidRPr="00D773F7">
              <w:rPr>
                <w:rFonts w:asciiTheme="majorBidi" w:hAnsiTheme="majorBidi" w:cstheme="majorBidi"/>
                <w:sz w:val="16"/>
                <w:szCs w:val="16"/>
              </w:rPr>
              <w:t>At least one of the conditions for Category 1 is not met</w:t>
            </w:r>
          </w:p>
        </w:tc>
        <w:tc>
          <w:tcPr>
            <w:tcW w:w="1497" w:type="dxa"/>
            <w:tcBorders>
              <w:top w:val="single" w:sz="4" w:space="0" w:color="auto"/>
              <w:left w:val="single" w:sz="4" w:space="0" w:color="auto"/>
              <w:bottom w:val="single" w:sz="4" w:space="0" w:color="auto"/>
              <w:right w:val="single" w:sz="4" w:space="0" w:color="auto"/>
            </w:tcBorders>
            <w:shd w:val="clear" w:color="auto" w:fill="auto"/>
          </w:tcPr>
          <w:p w14:paraId="022157D4" w14:textId="77777777" w:rsidR="00D909E0" w:rsidRPr="00D773F7" w:rsidRDefault="00D909E0" w:rsidP="009303B7">
            <w:pPr>
              <w:keepNext/>
              <w:keepLines/>
              <w:spacing w:before="40" w:after="40" w:line="240" w:lineRule="auto"/>
              <w:rPr>
                <w:rFonts w:asciiTheme="majorBidi" w:hAnsiTheme="majorBidi" w:cstheme="majorBidi"/>
                <w:sz w:val="16"/>
                <w:szCs w:val="16"/>
              </w:rPr>
            </w:pPr>
            <w:r w:rsidRPr="00D773F7">
              <w:rPr>
                <w:rFonts w:asciiTheme="majorBidi" w:hAnsiTheme="majorBidi" w:cstheme="majorBidi"/>
                <w:sz w:val="16"/>
                <w:szCs w:val="16"/>
              </w:rPr>
              <w:t>None of the conditions for Category 1 is met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4330E05" w14:textId="77777777" w:rsidR="00D909E0" w:rsidRPr="00D773F7" w:rsidRDefault="00D909E0" w:rsidP="009303B7">
            <w:pPr>
              <w:keepNext/>
              <w:keepLines/>
              <w:spacing w:before="40" w:after="40" w:line="240" w:lineRule="auto"/>
              <w:rPr>
                <w:rFonts w:asciiTheme="majorBidi" w:hAnsiTheme="majorBidi" w:cstheme="majorBidi"/>
                <w:sz w:val="16"/>
                <w:szCs w:val="16"/>
              </w:rPr>
            </w:pPr>
            <w:r w:rsidRPr="00D773F7">
              <w:rPr>
                <w:rFonts w:asciiTheme="majorBidi" w:hAnsiTheme="majorBidi" w:cstheme="majorBidi"/>
                <w:sz w:val="16"/>
                <w:szCs w:val="16"/>
              </w:rPr>
              <w:t>The stimulation index of CD86 is &lt; 150% at all non-cytotoxic concentrations (cell viability ≥ 70%) and if no interference is observed</w:t>
            </w:r>
          </w:p>
        </w:tc>
        <w:tc>
          <w:tcPr>
            <w:tcW w:w="1338" w:type="dxa"/>
            <w:tcBorders>
              <w:top w:val="single" w:sz="4" w:space="0" w:color="auto"/>
              <w:left w:val="single" w:sz="4" w:space="0" w:color="auto"/>
              <w:bottom w:val="single" w:sz="4" w:space="0" w:color="auto"/>
              <w:right w:val="single" w:sz="4" w:space="0" w:color="auto"/>
            </w:tcBorders>
            <w:shd w:val="clear" w:color="auto" w:fill="auto"/>
          </w:tcPr>
          <w:p w14:paraId="45ADC3E3" w14:textId="77777777" w:rsidR="00D909E0" w:rsidRPr="00D773F7" w:rsidRDefault="00D909E0" w:rsidP="009303B7">
            <w:pPr>
              <w:keepNext/>
              <w:keepLines/>
              <w:spacing w:before="40" w:after="40" w:line="240" w:lineRule="auto"/>
              <w:rPr>
                <w:rFonts w:asciiTheme="majorBidi" w:hAnsiTheme="majorBidi" w:cstheme="majorBidi"/>
                <w:sz w:val="16"/>
                <w:szCs w:val="16"/>
              </w:rPr>
            </w:pPr>
            <w:r w:rsidRPr="00D773F7">
              <w:rPr>
                <w:rFonts w:asciiTheme="majorBidi" w:hAnsiTheme="majorBidi" w:cstheme="majorBidi"/>
                <w:sz w:val="16"/>
                <w:szCs w:val="16"/>
              </w:rPr>
              <w:t>The Ind-IL8LA is less than (&lt;) 1.4 and/or the lower limit of the 95% confidence interval of Ind-IL8LA is less than (&lt;) 1.0 in at least 3 out of a maximum of 4 independent runs</w:t>
            </w:r>
          </w:p>
        </w:tc>
        <w:tc>
          <w:tcPr>
            <w:tcW w:w="1338" w:type="dxa"/>
            <w:tcBorders>
              <w:top w:val="single" w:sz="4" w:space="0" w:color="auto"/>
              <w:left w:val="single" w:sz="4" w:space="0" w:color="auto"/>
              <w:bottom w:val="single" w:sz="4" w:space="0" w:color="auto"/>
              <w:right w:val="single" w:sz="4" w:space="0" w:color="auto"/>
            </w:tcBorders>
            <w:shd w:val="clear" w:color="auto" w:fill="auto"/>
          </w:tcPr>
          <w:p w14:paraId="3640C5CA" w14:textId="517FF75B" w:rsidR="00D909E0" w:rsidRPr="00D773F7" w:rsidRDefault="00D909E0" w:rsidP="009303B7">
            <w:pPr>
              <w:keepNext/>
              <w:keepLines/>
              <w:spacing w:before="40" w:after="40" w:line="240" w:lineRule="auto"/>
              <w:rPr>
                <w:rFonts w:asciiTheme="majorBidi" w:hAnsiTheme="majorBidi" w:cstheme="majorBidi"/>
                <w:sz w:val="16"/>
                <w:szCs w:val="16"/>
              </w:rPr>
            </w:pPr>
            <w:r w:rsidRPr="00D773F7">
              <w:rPr>
                <w:rFonts w:asciiTheme="majorBidi" w:hAnsiTheme="majorBidi" w:cstheme="majorBidi"/>
                <w:sz w:val="16"/>
                <w:szCs w:val="16"/>
              </w:rPr>
              <w:t>The mean Decision Value (DV) is &lt;</w:t>
            </w:r>
            <w:r w:rsidR="007024AF" w:rsidRPr="00D773F7">
              <w:rPr>
                <w:rFonts w:asciiTheme="majorBidi" w:hAnsiTheme="majorBidi" w:cstheme="majorBidi"/>
                <w:sz w:val="16"/>
                <w:szCs w:val="16"/>
              </w:rPr>
              <w:t xml:space="preserve"> </w:t>
            </w:r>
            <w:r w:rsidRPr="00D773F7">
              <w:rPr>
                <w:rFonts w:asciiTheme="majorBidi" w:hAnsiTheme="majorBidi" w:cstheme="majorBidi"/>
                <w:sz w:val="16"/>
                <w:szCs w:val="16"/>
              </w:rPr>
              <w:t>0</w:t>
            </w:r>
          </w:p>
        </w:tc>
      </w:tr>
    </w:tbl>
    <w:p w14:paraId="44327D10" w14:textId="77777777" w:rsidR="00D909E0" w:rsidRPr="00D773F7" w:rsidRDefault="00D909E0" w:rsidP="00D909E0">
      <w:pPr>
        <w:rPr>
          <w:rFonts w:asciiTheme="majorBidi" w:eastAsia="Times New Roman" w:hAnsiTheme="majorBidi" w:cstheme="majorBidi"/>
          <w:sz w:val="16"/>
          <w:szCs w:val="16"/>
          <w:lang w:eastAsia="en-US"/>
        </w:rPr>
      </w:pPr>
    </w:p>
    <w:p w14:paraId="4716AA6D" w14:textId="7E4DE643" w:rsidR="00D909E0" w:rsidRPr="00D773F7" w:rsidRDefault="00D909E0" w:rsidP="00D909E0">
      <w:pPr>
        <w:ind w:right="2051"/>
        <w:jc w:val="both"/>
        <w:rPr>
          <w:rFonts w:asciiTheme="majorBidi" w:hAnsiTheme="majorBidi" w:cstheme="majorBidi"/>
          <w:i/>
          <w:iCs/>
        </w:rPr>
      </w:pPr>
      <w:r w:rsidRPr="00D773F7">
        <w:rPr>
          <w:rFonts w:asciiTheme="majorBidi" w:hAnsiTheme="majorBidi" w:cstheme="majorBidi"/>
          <w:i/>
          <w:iCs/>
          <w:vertAlign w:val="superscript"/>
        </w:rPr>
        <w:t>a</w:t>
      </w:r>
      <w:r w:rsidRPr="00D773F7">
        <w:rPr>
          <w:rFonts w:asciiTheme="majorBidi" w:hAnsiTheme="majorBidi" w:cstheme="majorBidi"/>
          <w:i/>
          <w:iCs/>
        </w:rPr>
        <w:t xml:space="preserve"> </w:t>
      </w:r>
      <w:r w:rsidRPr="00D773F7">
        <w:rPr>
          <w:rFonts w:asciiTheme="majorBidi" w:hAnsiTheme="majorBidi" w:cstheme="majorBidi"/>
          <w:i/>
          <w:iCs/>
        </w:rPr>
        <w:tab/>
        <w:t xml:space="preserve">Data cannot be used as stand-alone to conclude on classification in Category 1 or on no classification in tier 1 but could be used to conclude on classification in </w:t>
      </w:r>
      <w:r w:rsidR="00E648B8" w:rsidRPr="00D773F7">
        <w:rPr>
          <w:rFonts w:asciiTheme="majorBidi" w:hAnsiTheme="majorBidi" w:cstheme="majorBidi"/>
          <w:i/>
          <w:iCs/>
        </w:rPr>
        <w:t>C</w:t>
      </w:r>
      <w:r w:rsidRPr="00D773F7">
        <w:rPr>
          <w:rFonts w:asciiTheme="majorBidi" w:hAnsiTheme="majorBidi" w:cstheme="majorBidi"/>
          <w:i/>
          <w:iCs/>
        </w:rPr>
        <w:t xml:space="preserve">ategory 1 in </w:t>
      </w:r>
      <w:r w:rsidR="00D35014" w:rsidRPr="00D773F7">
        <w:rPr>
          <w:rFonts w:asciiTheme="majorBidi" w:hAnsiTheme="majorBidi" w:cstheme="majorBidi"/>
          <w:i/>
          <w:iCs/>
        </w:rPr>
        <w:t>t</w:t>
      </w:r>
      <w:r w:rsidRPr="00D773F7">
        <w:rPr>
          <w:rFonts w:asciiTheme="majorBidi" w:hAnsiTheme="majorBidi" w:cstheme="majorBidi"/>
          <w:i/>
          <w:iCs/>
        </w:rPr>
        <w:t>ier 2 depending on the decision of the competent authority for their regulatory framework.</w:t>
      </w:r>
    </w:p>
    <w:p w14:paraId="720325C4" w14:textId="7A218B11" w:rsidR="00B55E72" w:rsidRPr="00D773F7" w:rsidRDefault="00D909E0" w:rsidP="00D909E0">
      <w:pPr>
        <w:rPr>
          <w:rFonts w:asciiTheme="majorBidi" w:hAnsiTheme="majorBidi" w:cstheme="majorBidi"/>
          <w:i/>
          <w:iCs/>
        </w:rPr>
      </w:pPr>
      <w:r w:rsidRPr="00D773F7">
        <w:rPr>
          <w:rFonts w:asciiTheme="majorBidi" w:hAnsiTheme="majorBidi" w:cstheme="majorBidi"/>
          <w:i/>
          <w:iCs/>
          <w:vertAlign w:val="superscript"/>
        </w:rPr>
        <w:t>b</w:t>
      </w:r>
      <w:r w:rsidRPr="00D773F7">
        <w:rPr>
          <w:rFonts w:asciiTheme="majorBidi" w:hAnsiTheme="majorBidi" w:cstheme="majorBidi"/>
          <w:i/>
          <w:iCs/>
        </w:rPr>
        <w:t xml:space="preserve"> </w:t>
      </w:r>
      <w:r w:rsidRPr="00D773F7">
        <w:rPr>
          <w:rFonts w:asciiTheme="majorBidi" w:hAnsiTheme="majorBidi" w:cstheme="majorBidi"/>
          <w:i/>
          <w:iCs/>
        </w:rPr>
        <w:tab/>
        <w:t>A competent authority may decide that data can be used as stand-alone to conclude on classification in sub-category 1A.</w:t>
      </w:r>
      <w:r w:rsidR="00A218B3" w:rsidRPr="00D773F7">
        <w:rPr>
          <w:rFonts w:asciiTheme="majorBidi" w:hAnsiTheme="majorBidi" w:cstheme="majorBidi"/>
          <w:i/>
          <w:iCs/>
        </w:rPr>
        <w:t>”</w:t>
      </w:r>
    </w:p>
    <w:bookmarkEnd w:id="16"/>
    <w:p w14:paraId="6702BE5F" w14:textId="232588F0" w:rsidR="00D909E0" w:rsidRPr="00D773F7" w:rsidRDefault="00D909E0" w:rsidP="00D909E0">
      <w:pPr>
        <w:rPr>
          <w:rFonts w:asciiTheme="majorBidi" w:hAnsiTheme="majorBidi" w:cstheme="majorBidi"/>
          <w:i/>
          <w:iCs/>
        </w:rPr>
      </w:pPr>
      <w:r w:rsidRPr="00D773F7">
        <w:rPr>
          <w:rFonts w:asciiTheme="majorBidi" w:hAnsiTheme="majorBidi" w:cstheme="majorBidi"/>
          <w:i/>
          <w:iCs/>
        </w:rPr>
        <w:br w:type="page"/>
      </w:r>
    </w:p>
    <w:p w14:paraId="3FB02021" w14:textId="77777777" w:rsidR="004C4BC6" w:rsidRPr="00D773F7" w:rsidRDefault="004C4BC6" w:rsidP="00D909E0">
      <w:pPr>
        <w:rPr>
          <w:rFonts w:asciiTheme="majorBidi" w:hAnsiTheme="majorBidi" w:cstheme="majorBidi"/>
          <w:i/>
        </w:rPr>
        <w:sectPr w:rsidR="004C4BC6" w:rsidRPr="00D773F7" w:rsidSect="00BB69E8">
          <w:headerReference w:type="even" r:id="rId47"/>
          <w:headerReference w:type="default" r:id="rId48"/>
          <w:footerReference w:type="even" r:id="rId49"/>
          <w:footerReference w:type="default" r:id="rId50"/>
          <w:endnotePr>
            <w:numFmt w:val="decimal"/>
          </w:endnotePr>
          <w:pgSz w:w="16840" w:h="11907" w:orient="landscape" w:code="9"/>
          <w:pgMar w:top="1134" w:right="1417" w:bottom="1134" w:left="1134" w:header="567" w:footer="567" w:gutter="0"/>
          <w:cols w:space="720"/>
          <w:docGrid w:linePitch="272"/>
        </w:sectPr>
      </w:pPr>
    </w:p>
    <w:p w14:paraId="289D0975" w14:textId="553F2481" w:rsidR="00B55E72" w:rsidRPr="00D773F7" w:rsidRDefault="00B55E72" w:rsidP="00B55E72">
      <w:pPr>
        <w:pStyle w:val="GHSHeading3"/>
        <w:keepNext w:val="0"/>
        <w:spacing w:before="240" w:after="240"/>
        <w:ind w:left="851"/>
        <w:jc w:val="both"/>
        <w:rPr>
          <w:rFonts w:asciiTheme="majorBidi" w:hAnsiTheme="majorBidi" w:cstheme="majorBidi"/>
          <w:b w:val="0"/>
          <w:color w:val="auto"/>
          <w:sz w:val="20"/>
          <w:szCs w:val="20"/>
        </w:rPr>
      </w:pPr>
      <w:r w:rsidRPr="00D773F7">
        <w:rPr>
          <w:rFonts w:asciiTheme="majorBidi" w:hAnsiTheme="majorBidi" w:cstheme="majorBidi"/>
          <w:b w:val="0"/>
          <w:color w:val="auto"/>
          <w:sz w:val="20"/>
          <w:szCs w:val="20"/>
        </w:rPr>
        <w:lastRenderedPageBreak/>
        <w:t>Insert the following references</w:t>
      </w:r>
      <w:r w:rsidR="0018445A" w:rsidRPr="00D773F7">
        <w:rPr>
          <w:rFonts w:asciiTheme="majorBidi" w:hAnsiTheme="majorBidi" w:cstheme="majorBidi"/>
          <w:b w:val="0"/>
          <w:color w:val="auto"/>
          <w:sz w:val="20"/>
          <w:szCs w:val="20"/>
        </w:rPr>
        <w:t xml:space="preserve"> at the end of chapter 3.4</w:t>
      </w:r>
      <w:r w:rsidRPr="00D773F7">
        <w:rPr>
          <w:rFonts w:asciiTheme="majorBidi" w:hAnsiTheme="majorBidi" w:cstheme="majorBidi"/>
          <w:b w:val="0"/>
          <w:color w:val="auto"/>
          <w:sz w:val="20"/>
          <w:szCs w:val="20"/>
        </w:rPr>
        <w:t>:</w:t>
      </w:r>
    </w:p>
    <w:p w14:paraId="2B808FAB" w14:textId="27C6B5D5" w:rsidR="00B55E72" w:rsidRPr="00D773F7" w:rsidRDefault="00B55E72" w:rsidP="0014616B">
      <w:pPr>
        <w:pStyle w:val="GHSHeading3"/>
        <w:keepNext w:val="0"/>
        <w:tabs>
          <w:tab w:val="clear" w:pos="1418"/>
          <w:tab w:val="left" w:pos="851"/>
          <w:tab w:val="left" w:pos="8505"/>
        </w:tabs>
        <w:spacing w:before="240" w:after="240"/>
        <w:ind w:left="2268" w:right="1134"/>
        <w:jc w:val="both"/>
        <w:rPr>
          <w:rFonts w:asciiTheme="majorBidi" w:hAnsiTheme="majorBidi" w:cstheme="majorBidi"/>
          <w:b w:val="0"/>
          <w:color w:val="auto"/>
          <w:sz w:val="20"/>
          <w:szCs w:val="20"/>
        </w:rPr>
      </w:pPr>
      <w:bookmarkStart w:id="17" w:name="_Hlk124931458"/>
      <w:r w:rsidRPr="00D773F7">
        <w:rPr>
          <w:rFonts w:asciiTheme="majorBidi" w:hAnsiTheme="majorBidi" w:cstheme="majorBidi"/>
          <w:color w:val="auto"/>
          <w:sz w:val="20"/>
          <w:szCs w:val="20"/>
        </w:rPr>
        <w:t>“__________________</w:t>
      </w:r>
    </w:p>
    <w:p w14:paraId="7E145581" w14:textId="77777777" w:rsidR="00B55E72" w:rsidRPr="00D773F7" w:rsidRDefault="00B55E72" w:rsidP="0014616B">
      <w:pPr>
        <w:pStyle w:val="GHSHeading3"/>
        <w:keepNext w:val="0"/>
        <w:tabs>
          <w:tab w:val="left" w:pos="2410"/>
          <w:tab w:val="left" w:pos="8505"/>
        </w:tabs>
        <w:spacing w:before="240" w:after="240"/>
        <w:ind w:left="2268" w:right="1134"/>
        <w:jc w:val="both"/>
        <w:rPr>
          <w:rFonts w:asciiTheme="majorBidi" w:hAnsiTheme="majorBidi" w:cstheme="majorBidi"/>
          <w:b w:val="0"/>
          <w:i/>
          <w:color w:val="auto"/>
          <w:sz w:val="20"/>
          <w:szCs w:val="20"/>
        </w:rPr>
      </w:pPr>
      <w:r w:rsidRPr="00D773F7">
        <w:rPr>
          <w:rFonts w:asciiTheme="majorBidi" w:hAnsiTheme="majorBidi" w:cstheme="majorBidi"/>
          <w:b w:val="0"/>
          <w:color w:val="auto"/>
          <w:sz w:val="20"/>
          <w:szCs w:val="20"/>
        </w:rPr>
        <w:t>*</w:t>
      </w:r>
      <w:r w:rsidRPr="00D773F7">
        <w:rPr>
          <w:rFonts w:asciiTheme="majorBidi" w:hAnsiTheme="majorBidi" w:cstheme="majorBidi"/>
          <w:b w:val="0"/>
          <w:color w:val="auto"/>
          <w:sz w:val="20"/>
          <w:szCs w:val="20"/>
        </w:rPr>
        <w:tab/>
      </w:r>
      <w:r w:rsidRPr="00D773F7">
        <w:rPr>
          <w:rFonts w:asciiTheme="majorBidi" w:hAnsiTheme="majorBidi" w:cstheme="majorBidi"/>
          <w:b w:val="0"/>
          <w:i/>
          <w:color w:val="auto"/>
          <w:sz w:val="20"/>
          <w:szCs w:val="20"/>
        </w:rPr>
        <w:t>References:</w:t>
      </w:r>
    </w:p>
    <w:p w14:paraId="6D213384" w14:textId="378F5B62" w:rsidR="00B55E72" w:rsidRPr="00D773F7" w:rsidRDefault="00B55E72" w:rsidP="0014616B">
      <w:pPr>
        <w:tabs>
          <w:tab w:val="left" w:pos="8505"/>
        </w:tabs>
        <w:spacing w:after="120"/>
        <w:ind w:left="2268" w:right="1134"/>
        <w:jc w:val="both"/>
        <w:rPr>
          <w:rFonts w:asciiTheme="majorBidi" w:hAnsiTheme="majorBidi" w:cstheme="majorBidi"/>
        </w:rPr>
      </w:pPr>
      <w:proofErr w:type="spellStart"/>
      <w:r w:rsidRPr="00D773F7">
        <w:rPr>
          <w:rFonts w:asciiTheme="majorBidi" w:hAnsiTheme="majorBidi" w:cstheme="majorBidi"/>
        </w:rPr>
        <w:t>Corsini</w:t>
      </w:r>
      <w:proofErr w:type="spellEnd"/>
      <w:r w:rsidRPr="00D773F7">
        <w:rPr>
          <w:rFonts w:asciiTheme="majorBidi" w:hAnsiTheme="majorBidi" w:cstheme="majorBidi"/>
        </w:rPr>
        <w:t xml:space="preserve">, E., </w:t>
      </w:r>
      <w:proofErr w:type="spellStart"/>
      <w:r w:rsidRPr="00D773F7">
        <w:rPr>
          <w:rFonts w:asciiTheme="majorBidi" w:hAnsiTheme="majorBidi" w:cstheme="majorBidi"/>
        </w:rPr>
        <w:t>Clewell</w:t>
      </w:r>
      <w:proofErr w:type="spellEnd"/>
      <w:r w:rsidRPr="00D773F7">
        <w:rPr>
          <w:rFonts w:asciiTheme="majorBidi" w:hAnsiTheme="majorBidi" w:cstheme="majorBidi"/>
        </w:rPr>
        <w:t xml:space="preserve">, R., </w:t>
      </w:r>
      <w:proofErr w:type="spellStart"/>
      <w:r w:rsidRPr="00D773F7">
        <w:rPr>
          <w:rFonts w:asciiTheme="majorBidi" w:hAnsiTheme="majorBidi" w:cstheme="majorBidi"/>
        </w:rPr>
        <w:t>Cotgreave</w:t>
      </w:r>
      <w:proofErr w:type="spellEnd"/>
      <w:r w:rsidRPr="00D773F7">
        <w:rPr>
          <w:rFonts w:asciiTheme="majorBidi" w:hAnsiTheme="majorBidi" w:cstheme="majorBidi"/>
        </w:rPr>
        <w:t xml:space="preserve">, I., </w:t>
      </w:r>
      <w:proofErr w:type="spellStart"/>
      <w:r w:rsidRPr="00D773F7">
        <w:rPr>
          <w:rFonts w:asciiTheme="majorBidi" w:hAnsiTheme="majorBidi" w:cstheme="majorBidi"/>
        </w:rPr>
        <w:t>Eskes</w:t>
      </w:r>
      <w:proofErr w:type="spellEnd"/>
      <w:r w:rsidRPr="00D773F7">
        <w:rPr>
          <w:rFonts w:asciiTheme="majorBidi" w:hAnsiTheme="majorBidi" w:cstheme="majorBidi"/>
        </w:rPr>
        <w:t xml:space="preserve">, C., Kopp-Schneider, A., Westmoreland, C., Alves, P.M., </w:t>
      </w:r>
      <w:proofErr w:type="spellStart"/>
      <w:r w:rsidRPr="00D773F7">
        <w:rPr>
          <w:rFonts w:asciiTheme="majorBidi" w:hAnsiTheme="majorBidi" w:cstheme="majorBidi"/>
        </w:rPr>
        <w:t>Navas</w:t>
      </w:r>
      <w:proofErr w:type="spellEnd"/>
      <w:r w:rsidRPr="00D773F7">
        <w:rPr>
          <w:rFonts w:asciiTheme="majorBidi" w:hAnsiTheme="majorBidi" w:cstheme="majorBidi"/>
        </w:rPr>
        <w:t xml:space="preserve">, J.M. and </w:t>
      </w:r>
      <w:proofErr w:type="spellStart"/>
      <w:r w:rsidRPr="00D773F7">
        <w:rPr>
          <w:rFonts w:asciiTheme="majorBidi" w:hAnsiTheme="majorBidi" w:cstheme="majorBidi"/>
        </w:rPr>
        <w:t>Piersma</w:t>
      </w:r>
      <w:proofErr w:type="spellEnd"/>
      <w:r w:rsidRPr="00D773F7">
        <w:rPr>
          <w:rFonts w:asciiTheme="majorBidi" w:hAnsiTheme="majorBidi" w:cstheme="majorBidi"/>
        </w:rPr>
        <w:t xml:space="preserve">, A., ESAC Opinion on the Scientific Validity of the </w:t>
      </w:r>
      <w:proofErr w:type="spellStart"/>
      <w:r w:rsidRPr="00D773F7">
        <w:rPr>
          <w:rFonts w:asciiTheme="majorBidi" w:hAnsiTheme="majorBidi" w:cstheme="majorBidi"/>
        </w:rPr>
        <w:t>GARDskin</w:t>
      </w:r>
      <w:proofErr w:type="spellEnd"/>
      <w:r w:rsidRPr="00D773F7">
        <w:rPr>
          <w:rFonts w:asciiTheme="majorBidi" w:hAnsiTheme="majorBidi" w:cstheme="majorBidi"/>
        </w:rPr>
        <w:t xml:space="preserve"> and </w:t>
      </w:r>
      <w:proofErr w:type="spellStart"/>
      <w:r w:rsidRPr="00D773F7">
        <w:rPr>
          <w:rFonts w:asciiTheme="majorBidi" w:hAnsiTheme="majorBidi" w:cstheme="majorBidi"/>
        </w:rPr>
        <w:t>GARDpotency</w:t>
      </w:r>
      <w:proofErr w:type="spellEnd"/>
      <w:r w:rsidRPr="00D773F7">
        <w:rPr>
          <w:rFonts w:asciiTheme="majorBidi" w:hAnsiTheme="majorBidi" w:cstheme="majorBidi"/>
        </w:rPr>
        <w:t xml:space="preserve"> Test Methods, </w:t>
      </w:r>
      <w:proofErr w:type="spellStart"/>
      <w:r w:rsidRPr="00D773F7">
        <w:rPr>
          <w:rFonts w:asciiTheme="majorBidi" w:hAnsiTheme="majorBidi" w:cstheme="majorBidi"/>
        </w:rPr>
        <w:t>Asturiol</w:t>
      </w:r>
      <w:proofErr w:type="spellEnd"/>
      <w:r w:rsidRPr="00D773F7">
        <w:rPr>
          <w:rFonts w:asciiTheme="majorBidi" w:hAnsiTheme="majorBidi" w:cstheme="majorBidi"/>
        </w:rPr>
        <w:t xml:space="preserve"> </w:t>
      </w:r>
      <w:proofErr w:type="spellStart"/>
      <w:r w:rsidRPr="00D773F7">
        <w:rPr>
          <w:rFonts w:asciiTheme="majorBidi" w:hAnsiTheme="majorBidi" w:cstheme="majorBidi"/>
        </w:rPr>
        <w:t>Bofill</w:t>
      </w:r>
      <w:proofErr w:type="spellEnd"/>
      <w:r w:rsidRPr="00D773F7">
        <w:rPr>
          <w:rFonts w:asciiTheme="majorBidi" w:hAnsiTheme="majorBidi" w:cstheme="majorBidi"/>
        </w:rPr>
        <w:t xml:space="preserve">, D., </w:t>
      </w:r>
      <w:proofErr w:type="spellStart"/>
      <w:r w:rsidRPr="00D773F7">
        <w:rPr>
          <w:rFonts w:asciiTheme="majorBidi" w:hAnsiTheme="majorBidi" w:cstheme="majorBidi"/>
        </w:rPr>
        <w:t>Casati</w:t>
      </w:r>
      <w:proofErr w:type="spellEnd"/>
      <w:r w:rsidRPr="00D773F7">
        <w:rPr>
          <w:rFonts w:asciiTheme="majorBidi" w:hAnsiTheme="majorBidi" w:cstheme="majorBidi"/>
        </w:rPr>
        <w:t xml:space="preserve">, S. and </w:t>
      </w:r>
      <w:proofErr w:type="spellStart"/>
      <w:r w:rsidRPr="00D773F7">
        <w:rPr>
          <w:rFonts w:asciiTheme="majorBidi" w:hAnsiTheme="majorBidi" w:cstheme="majorBidi"/>
        </w:rPr>
        <w:t>Viegas</w:t>
      </w:r>
      <w:proofErr w:type="spellEnd"/>
      <w:r w:rsidRPr="00D773F7">
        <w:rPr>
          <w:rFonts w:asciiTheme="majorBidi" w:hAnsiTheme="majorBidi" w:cstheme="majorBidi"/>
        </w:rPr>
        <w:t xml:space="preserve"> Barroso, J.F. editor(s), Publications Office of the European Union, Luxembourg, 2021, ISBN 978-92-76-40345-6, </w:t>
      </w:r>
      <w:r w:rsidR="000A2DAB" w:rsidRPr="00D773F7">
        <w:rPr>
          <w:rFonts w:asciiTheme="majorBidi" w:hAnsiTheme="majorBidi" w:cstheme="majorBidi"/>
        </w:rPr>
        <w:t>Doi</w:t>
      </w:r>
      <w:r w:rsidRPr="00D773F7">
        <w:rPr>
          <w:rFonts w:asciiTheme="majorBidi" w:hAnsiTheme="majorBidi" w:cstheme="majorBidi"/>
        </w:rPr>
        <w:t>:10.2760/626728, JRC125963.</w:t>
      </w:r>
    </w:p>
    <w:p w14:paraId="102A5CE3" w14:textId="7412A6DB" w:rsidR="00B55E72" w:rsidRPr="00D773F7" w:rsidRDefault="00B55E72" w:rsidP="0014616B">
      <w:pPr>
        <w:tabs>
          <w:tab w:val="left" w:pos="8505"/>
        </w:tabs>
        <w:spacing w:after="120"/>
        <w:ind w:left="2268" w:right="1134"/>
        <w:jc w:val="both"/>
        <w:rPr>
          <w:rFonts w:asciiTheme="majorBidi" w:hAnsiTheme="majorBidi" w:cstheme="majorBidi"/>
        </w:rPr>
      </w:pPr>
      <w:proofErr w:type="spellStart"/>
      <w:r w:rsidRPr="00D773F7">
        <w:rPr>
          <w:rFonts w:asciiTheme="majorBidi" w:hAnsiTheme="majorBidi" w:cstheme="majorBidi"/>
        </w:rPr>
        <w:t>Cottrez</w:t>
      </w:r>
      <w:proofErr w:type="spellEnd"/>
      <w:r w:rsidRPr="00D773F7">
        <w:rPr>
          <w:rFonts w:asciiTheme="majorBidi" w:hAnsiTheme="majorBidi" w:cstheme="majorBidi"/>
        </w:rPr>
        <w:t xml:space="preserve"> F, </w:t>
      </w:r>
      <w:proofErr w:type="spellStart"/>
      <w:r w:rsidRPr="00D773F7">
        <w:rPr>
          <w:rFonts w:asciiTheme="majorBidi" w:hAnsiTheme="majorBidi" w:cstheme="majorBidi"/>
        </w:rPr>
        <w:t>Boitel</w:t>
      </w:r>
      <w:proofErr w:type="spellEnd"/>
      <w:r w:rsidRPr="00D773F7">
        <w:rPr>
          <w:rFonts w:asciiTheme="majorBidi" w:hAnsiTheme="majorBidi" w:cstheme="majorBidi"/>
        </w:rPr>
        <w:t xml:space="preserve"> E, </w:t>
      </w:r>
      <w:proofErr w:type="spellStart"/>
      <w:r w:rsidRPr="00D773F7">
        <w:rPr>
          <w:rFonts w:asciiTheme="majorBidi" w:hAnsiTheme="majorBidi" w:cstheme="majorBidi"/>
        </w:rPr>
        <w:t>Auriault</w:t>
      </w:r>
      <w:proofErr w:type="spellEnd"/>
      <w:r w:rsidRPr="00D773F7">
        <w:rPr>
          <w:rFonts w:asciiTheme="majorBidi" w:hAnsiTheme="majorBidi" w:cstheme="majorBidi"/>
        </w:rPr>
        <w:t xml:space="preserve"> C, </w:t>
      </w:r>
      <w:proofErr w:type="spellStart"/>
      <w:r w:rsidRPr="00D773F7">
        <w:rPr>
          <w:rFonts w:asciiTheme="majorBidi" w:hAnsiTheme="majorBidi" w:cstheme="majorBidi"/>
        </w:rPr>
        <w:t>Aeby</w:t>
      </w:r>
      <w:proofErr w:type="spellEnd"/>
      <w:r w:rsidRPr="00D773F7">
        <w:rPr>
          <w:rFonts w:asciiTheme="majorBidi" w:hAnsiTheme="majorBidi" w:cstheme="majorBidi"/>
        </w:rPr>
        <w:t xml:space="preserve"> P, </w:t>
      </w:r>
      <w:proofErr w:type="spellStart"/>
      <w:r w:rsidRPr="00D773F7">
        <w:rPr>
          <w:rFonts w:asciiTheme="majorBidi" w:hAnsiTheme="majorBidi" w:cstheme="majorBidi"/>
        </w:rPr>
        <w:t>Groux</w:t>
      </w:r>
      <w:proofErr w:type="spellEnd"/>
      <w:r w:rsidRPr="00D773F7">
        <w:rPr>
          <w:rFonts w:asciiTheme="majorBidi" w:hAnsiTheme="majorBidi" w:cstheme="majorBidi"/>
        </w:rPr>
        <w:t xml:space="preserve"> </w:t>
      </w:r>
      <w:proofErr w:type="spellStart"/>
      <w:r w:rsidRPr="00D773F7">
        <w:rPr>
          <w:rFonts w:asciiTheme="majorBidi" w:hAnsiTheme="majorBidi" w:cstheme="majorBidi"/>
        </w:rPr>
        <w:t>H.</w:t>
      </w:r>
      <w:hyperlink r:id="rId51" w:history="1">
        <w:r w:rsidRPr="00D773F7">
          <w:rPr>
            <w:rStyle w:val="Hyperlink"/>
            <w:rFonts w:asciiTheme="majorBidi" w:hAnsiTheme="majorBidi" w:cstheme="majorBidi"/>
            <w:color w:val="auto"/>
          </w:rPr>
          <w:t>Genes</w:t>
        </w:r>
        <w:proofErr w:type="spellEnd"/>
        <w:r w:rsidRPr="00D773F7">
          <w:rPr>
            <w:rStyle w:val="Hyperlink"/>
            <w:rFonts w:asciiTheme="majorBidi" w:hAnsiTheme="majorBidi" w:cstheme="majorBidi"/>
            <w:color w:val="auto"/>
          </w:rPr>
          <w:t xml:space="preserve"> specifically modulated in sensitized skins allow the detection of sensitizers in a reconstructed human skin model. Development of the SENS-IS assay.</w:t>
        </w:r>
      </w:hyperlink>
      <w:r w:rsidRPr="00D773F7">
        <w:rPr>
          <w:rFonts w:asciiTheme="majorBidi" w:hAnsiTheme="majorBidi" w:cstheme="majorBidi"/>
        </w:rPr>
        <w:t xml:space="preserve"> </w:t>
      </w:r>
      <w:proofErr w:type="spellStart"/>
      <w:r w:rsidRPr="00D773F7">
        <w:rPr>
          <w:rFonts w:asciiTheme="majorBidi" w:hAnsiTheme="majorBidi" w:cstheme="majorBidi"/>
        </w:rPr>
        <w:t>Toxicol</w:t>
      </w:r>
      <w:proofErr w:type="spellEnd"/>
      <w:r w:rsidRPr="00D773F7">
        <w:rPr>
          <w:rFonts w:asciiTheme="majorBidi" w:hAnsiTheme="majorBidi" w:cstheme="majorBidi"/>
        </w:rPr>
        <w:t xml:space="preserve"> In Vitro. 2015 Jun;29(4):787-802. </w:t>
      </w:r>
      <w:r w:rsidR="004A6659" w:rsidRPr="00D773F7">
        <w:rPr>
          <w:rFonts w:asciiTheme="majorBidi" w:hAnsiTheme="majorBidi" w:cstheme="majorBidi"/>
        </w:rPr>
        <w:t>Doi</w:t>
      </w:r>
      <w:r w:rsidRPr="00D773F7">
        <w:rPr>
          <w:rFonts w:asciiTheme="majorBidi" w:hAnsiTheme="majorBidi" w:cstheme="majorBidi"/>
        </w:rPr>
        <w:t>: 10.1016/j.tiv.2015.02.012.</w:t>
      </w:r>
    </w:p>
    <w:p w14:paraId="08086921" w14:textId="0A982456" w:rsidR="00B55E72" w:rsidRPr="00D773F7" w:rsidRDefault="00B55E72" w:rsidP="0014616B">
      <w:pPr>
        <w:tabs>
          <w:tab w:val="left" w:pos="8505"/>
        </w:tabs>
        <w:spacing w:after="120"/>
        <w:ind w:left="2268" w:right="1134"/>
        <w:jc w:val="both"/>
        <w:rPr>
          <w:rFonts w:asciiTheme="majorBidi" w:hAnsiTheme="majorBidi" w:cstheme="majorBidi"/>
        </w:rPr>
      </w:pPr>
      <w:proofErr w:type="spellStart"/>
      <w:r w:rsidRPr="00D773F7">
        <w:rPr>
          <w:rFonts w:asciiTheme="majorBidi" w:hAnsiTheme="majorBidi" w:cstheme="majorBidi"/>
        </w:rPr>
        <w:t>Cottrez</w:t>
      </w:r>
      <w:proofErr w:type="spellEnd"/>
      <w:r w:rsidRPr="00D773F7">
        <w:rPr>
          <w:rFonts w:asciiTheme="majorBidi" w:hAnsiTheme="majorBidi" w:cstheme="majorBidi"/>
        </w:rPr>
        <w:t xml:space="preserve"> F, </w:t>
      </w:r>
      <w:proofErr w:type="spellStart"/>
      <w:r w:rsidRPr="00D773F7">
        <w:rPr>
          <w:rFonts w:asciiTheme="majorBidi" w:hAnsiTheme="majorBidi" w:cstheme="majorBidi"/>
        </w:rPr>
        <w:t>Boitel</w:t>
      </w:r>
      <w:proofErr w:type="spellEnd"/>
      <w:r w:rsidRPr="00D773F7">
        <w:rPr>
          <w:rFonts w:asciiTheme="majorBidi" w:hAnsiTheme="majorBidi" w:cstheme="majorBidi"/>
        </w:rPr>
        <w:t xml:space="preserve"> E, </w:t>
      </w:r>
      <w:proofErr w:type="spellStart"/>
      <w:r w:rsidRPr="00D773F7">
        <w:rPr>
          <w:rFonts w:asciiTheme="majorBidi" w:hAnsiTheme="majorBidi" w:cstheme="majorBidi"/>
        </w:rPr>
        <w:t>Ourlin</w:t>
      </w:r>
      <w:proofErr w:type="spellEnd"/>
      <w:r w:rsidRPr="00D773F7">
        <w:rPr>
          <w:rFonts w:asciiTheme="majorBidi" w:hAnsiTheme="majorBidi" w:cstheme="majorBidi"/>
        </w:rPr>
        <w:t xml:space="preserve"> JC, </w:t>
      </w:r>
      <w:proofErr w:type="spellStart"/>
      <w:r w:rsidRPr="00D773F7">
        <w:rPr>
          <w:rFonts w:asciiTheme="majorBidi" w:hAnsiTheme="majorBidi" w:cstheme="majorBidi"/>
        </w:rPr>
        <w:t>Peiffer</w:t>
      </w:r>
      <w:proofErr w:type="spellEnd"/>
      <w:r w:rsidRPr="00D773F7">
        <w:rPr>
          <w:rFonts w:asciiTheme="majorBidi" w:hAnsiTheme="majorBidi" w:cstheme="majorBidi"/>
        </w:rPr>
        <w:t xml:space="preserve"> JL, Fabre I, </w:t>
      </w:r>
      <w:proofErr w:type="spellStart"/>
      <w:r w:rsidRPr="00D773F7">
        <w:rPr>
          <w:rFonts w:asciiTheme="majorBidi" w:hAnsiTheme="majorBidi" w:cstheme="majorBidi"/>
        </w:rPr>
        <w:t>Henaoui</w:t>
      </w:r>
      <w:proofErr w:type="spellEnd"/>
      <w:r w:rsidRPr="00D773F7">
        <w:rPr>
          <w:rFonts w:asciiTheme="majorBidi" w:hAnsiTheme="majorBidi" w:cstheme="majorBidi"/>
        </w:rPr>
        <w:t xml:space="preserve"> IS, Mari B, </w:t>
      </w:r>
      <w:proofErr w:type="spellStart"/>
      <w:r w:rsidRPr="00D773F7">
        <w:rPr>
          <w:rFonts w:asciiTheme="majorBidi" w:hAnsiTheme="majorBidi" w:cstheme="majorBidi"/>
        </w:rPr>
        <w:t>Vallauri</w:t>
      </w:r>
      <w:proofErr w:type="spellEnd"/>
      <w:r w:rsidRPr="00D773F7">
        <w:rPr>
          <w:rFonts w:asciiTheme="majorBidi" w:hAnsiTheme="majorBidi" w:cstheme="majorBidi"/>
        </w:rPr>
        <w:t xml:space="preserve"> A, Paquet A, </w:t>
      </w:r>
      <w:proofErr w:type="spellStart"/>
      <w:r w:rsidRPr="00D773F7">
        <w:rPr>
          <w:rFonts w:asciiTheme="majorBidi" w:hAnsiTheme="majorBidi" w:cstheme="majorBidi"/>
        </w:rPr>
        <w:t>Barbry</w:t>
      </w:r>
      <w:proofErr w:type="spellEnd"/>
      <w:r w:rsidRPr="00D773F7">
        <w:rPr>
          <w:rFonts w:asciiTheme="majorBidi" w:hAnsiTheme="majorBidi" w:cstheme="majorBidi"/>
        </w:rPr>
        <w:t xml:space="preserve"> P, </w:t>
      </w:r>
      <w:proofErr w:type="spellStart"/>
      <w:r w:rsidRPr="00D773F7">
        <w:rPr>
          <w:rFonts w:asciiTheme="majorBidi" w:hAnsiTheme="majorBidi" w:cstheme="majorBidi"/>
        </w:rPr>
        <w:t>Auriault</w:t>
      </w:r>
      <w:proofErr w:type="spellEnd"/>
      <w:r w:rsidRPr="00D773F7">
        <w:rPr>
          <w:rFonts w:asciiTheme="majorBidi" w:hAnsiTheme="majorBidi" w:cstheme="majorBidi"/>
        </w:rPr>
        <w:t xml:space="preserve"> C, </w:t>
      </w:r>
      <w:proofErr w:type="spellStart"/>
      <w:r w:rsidRPr="00D773F7">
        <w:rPr>
          <w:rFonts w:asciiTheme="majorBidi" w:hAnsiTheme="majorBidi" w:cstheme="majorBidi"/>
        </w:rPr>
        <w:t>Aeby</w:t>
      </w:r>
      <w:proofErr w:type="spellEnd"/>
      <w:r w:rsidRPr="00D773F7">
        <w:rPr>
          <w:rFonts w:asciiTheme="majorBidi" w:hAnsiTheme="majorBidi" w:cstheme="majorBidi"/>
        </w:rPr>
        <w:t xml:space="preserve"> P, </w:t>
      </w:r>
      <w:proofErr w:type="spellStart"/>
      <w:r w:rsidRPr="00D773F7">
        <w:rPr>
          <w:rFonts w:asciiTheme="majorBidi" w:hAnsiTheme="majorBidi" w:cstheme="majorBidi"/>
        </w:rPr>
        <w:t>Groux</w:t>
      </w:r>
      <w:proofErr w:type="spellEnd"/>
      <w:r w:rsidRPr="00D773F7">
        <w:rPr>
          <w:rFonts w:asciiTheme="majorBidi" w:hAnsiTheme="majorBidi" w:cstheme="majorBidi"/>
        </w:rPr>
        <w:t xml:space="preserve"> H. SENS-IS, a 3D reconstituted epidermis based model for quantifying chemical sensitization potency: Reproducibility and predictivity results from an inter-laboratory study. </w:t>
      </w:r>
      <w:proofErr w:type="spellStart"/>
      <w:r w:rsidRPr="00D773F7">
        <w:rPr>
          <w:rFonts w:asciiTheme="majorBidi" w:hAnsiTheme="majorBidi" w:cstheme="majorBidi"/>
        </w:rPr>
        <w:t>Toxicol</w:t>
      </w:r>
      <w:proofErr w:type="spellEnd"/>
      <w:r w:rsidRPr="00D773F7">
        <w:rPr>
          <w:rFonts w:asciiTheme="majorBidi" w:hAnsiTheme="majorBidi" w:cstheme="majorBidi"/>
        </w:rPr>
        <w:t xml:space="preserve"> In Vitro 2016 Apr;32:248-60. </w:t>
      </w:r>
      <w:r w:rsidR="00960002" w:rsidRPr="00D773F7">
        <w:rPr>
          <w:rFonts w:asciiTheme="majorBidi" w:hAnsiTheme="majorBidi" w:cstheme="majorBidi"/>
        </w:rPr>
        <w:t>Doi</w:t>
      </w:r>
      <w:r w:rsidRPr="00D773F7">
        <w:rPr>
          <w:rFonts w:asciiTheme="majorBidi" w:hAnsiTheme="majorBidi" w:cstheme="majorBidi"/>
        </w:rPr>
        <w:t>: 10.1016/j.tiv.2016.01.007.</w:t>
      </w:r>
    </w:p>
    <w:p w14:paraId="6919B4ED" w14:textId="77777777" w:rsidR="00B55E72" w:rsidRPr="00D773F7" w:rsidRDefault="00B55E72" w:rsidP="0014616B">
      <w:pPr>
        <w:tabs>
          <w:tab w:val="left" w:pos="8505"/>
        </w:tabs>
        <w:spacing w:after="120"/>
        <w:ind w:left="2268" w:right="1134"/>
        <w:jc w:val="both"/>
        <w:rPr>
          <w:rFonts w:asciiTheme="majorBidi" w:hAnsiTheme="majorBidi" w:cstheme="majorBidi"/>
        </w:rPr>
      </w:pPr>
      <w:r w:rsidRPr="00D773F7">
        <w:rPr>
          <w:rFonts w:asciiTheme="majorBidi" w:hAnsiTheme="majorBidi" w:cstheme="majorBidi"/>
        </w:rPr>
        <w:t>ECHA Guidance on the Application of the CLP Criteria Guidance to Regulation (EC) No 1272/2008 on classification, labelling and packaging (CLP) of substances and mixtures Version 5.0 July 2017</w:t>
      </w:r>
    </w:p>
    <w:p w14:paraId="7A430510" w14:textId="77777777" w:rsidR="00B55E72" w:rsidRPr="00D773F7" w:rsidRDefault="00B55E72" w:rsidP="0014616B">
      <w:pPr>
        <w:tabs>
          <w:tab w:val="left" w:pos="8505"/>
        </w:tabs>
        <w:spacing w:after="120"/>
        <w:ind w:left="2268" w:right="1134"/>
        <w:jc w:val="both"/>
        <w:rPr>
          <w:rFonts w:asciiTheme="majorBidi" w:hAnsiTheme="majorBidi" w:cstheme="majorBidi"/>
        </w:rPr>
      </w:pPr>
      <w:r w:rsidRPr="00D773F7">
        <w:rPr>
          <w:rFonts w:asciiTheme="majorBidi" w:hAnsiTheme="majorBidi" w:cstheme="majorBidi"/>
        </w:rPr>
        <w:t xml:space="preserve">Gradin R., Johansson A., </w:t>
      </w:r>
      <w:proofErr w:type="spellStart"/>
      <w:r w:rsidRPr="00D773F7">
        <w:rPr>
          <w:rFonts w:asciiTheme="majorBidi" w:hAnsiTheme="majorBidi" w:cstheme="majorBidi"/>
        </w:rPr>
        <w:t>Forreryd</w:t>
      </w:r>
      <w:proofErr w:type="spellEnd"/>
      <w:r w:rsidRPr="00D773F7">
        <w:rPr>
          <w:rFonts w:asciiTheme="majorBidi" w:hAnsiTheme="majorBidi" w:cstheme="majorBidi"/>
        </w:rPr>
        <w:t xml:space="preserve"> A., </w:t>
      </w:r>
      <w:proofErr w:type="spellStart"/>
      <w:r w:rsidRPr="00D773F7">
        <w:rPr>
          <w:rFonts w:asciiTheme="majorBidi" w:hAnsiTheme="majorBidi" w:cstheme="majorBidi"/>
        </w:rPr>
        <w:t>Aaltonen</w:t>
      </w:r>
      <w:proofErr w:type="spellEnd"/>
      <w:r w:rsidRPr="00D773F7">
        <w:rPr>
          <w:rFonts w:asciiTheme="majorBidi" w:hAnsiTheme="majorBidi" w:cstheme="majorBidi"/>
        </w:rPr>
        <w:t xml:space="preserve"> E., </w:t>
      </w:r>
      <w:proofErr w:type="spellStart"/>
      <w:r w:rsidRPr="00D773F7">
        <w:rPr>
          <w:rFonts w:asciiTheme="majorBidi" w:hAnsiTheme="majorBidi" w:cstheme="majorBidi"/>
        </w:rPr>
        <w:t>Jerre</w:t>
      </w:r>
      <w:proofErr w:type="spellEnd"/>
      <w:r w:rsidRPr="00D773F7">
        <w:rPr>
          <w:rFonts w:asciiTheme="majorBidi" w:hAnsiTheme="majorBidi" w:cstheme="majorBidi"/>
        </w:rPr>
        <w:t xml:space="preserve"> A., Larne O., Mattson U., Johansson H. (2020) The </w:t>
      </w:r>
      <w:proofErr w:type="spellStart"/>
      <w:r w:rsidRPr="00D773F7">
        <w:rPr>
          <w:rFonts w:asciiTheme="majorBidi" w:hAnsiTheme="majorBidi" w:cstheme="majorBidi"/>
        </w:rPr>
        <w:t>GARDpotency</w:t>
      </w:r>
      <w:proofErr w:type="spellEnd"/>
      <w:r w:rsidRPr="00D773F7">
        <w:rPr>
          <w:rFonts w:asciiTheme="majorBidi" w:hAnsiTheme="majorBidi" w:cstheme="majorBidi"/>
        </w:rPr>
        <w:t xml:space="preserve"> assay for potency-associated subclassification of chemical skin sensitizers – Rationale, method development, and ring trial results of predictive performance and reproducibility. </w:t>
      </w:r>
      <w:proofErr w:type="spellStart"/>
      <w:r w:rsidRPr="00D773F7">
        <w:rPr>
          <w:rFonts w:asciiTheme="majorBidi" w:hAnsiTheme="majorBidi" w:cstheme="majorBidi"/>
        </w:rPr>
        <w:t>Toxicol</w:t>
      </w:r>
      <w:proofErr w:type="spellEnd"/>
      <w:r w:rsidRPr="00D773F7">
        <w:rPr>
          <w:rFonts w:asciiTheme="majorBidi" w:hAnsiTheme="majorBidi" w:cstheme="majorBidi"/>
        </w:rPr>
        <w:t>. Sci. 176(2):423-432. Doi: 10.1093/</w:t>
      </w:r>
      <w:proofErr w:type="spellStart"/>
      <w:r w:rsidRPr="00D773F7">
        <w:rPr>
          <w:rFonts w:asciiTheme="majorBidi" w:hAnsiTheme="majorBidi" w:cstheme="majorBidi"/>
        </w:rPr>
        <w:t>toxsci</w:t>
      </w:r>
      <w:proofErr w:type="spellEnd"/>
      <w:r w:rsidRPr="00D773F7">
        <w:rPr>
          <w:rFonts w:asciiTheme="majorBidi" w:hAnsiTheme="majorBidi" w:cstheme="majorBidi"/>
        </w:rPr>
        <w:t>/kfaa068</w:t>
      </w:r>
    </w:p>
    <w:p w14:paraId="6E137B05" w14:textId="77777777" w:rsidR="00B55E72" w:rsidRPr="00D773F7" w:rsidRDefault="00B55E72" w:rsidP="0014616B">
      <w:pPr>
        <w:tabs>
          <w:tab w:val="left" w:pos="8505"/>
        </w:tabs>
        <w:spacing w:after="120"/>
        <w:ind w:left="2268" w:right="1134"/>
        <w:jc w:val="both"/>
        <w:rPr>
          <w:rFonts w:asciiTheme="majorBidi" w:hAnsiTheme="majorBidi" w:cstheme="majorBidi"/>
        </w:rPr>
      </w:pPr>
      <w:r w:rsidRPr="00D773F7">
        <w:rPr>
          <w:rFonts w:asciiTheme="majorBidi" w:hAnsiTheme="majorBidi" w:cstheme="majorBidi"/>
        </w:rPr>
        <w:t xml:space="preserve">Johansson H., </w:t>
      </w:r>
      <w:proofErr w:type="spellStart"/>
      <w:r w:rsidRPr="00D773F7">
        <w:rPr>
          <w:rFonts w:asciiTheme="majorBidi" w:hAnsiTheme="majorBidi" w:cstheme="majorBidi"/>
        </w:rPr>
        <w:t>Lindstedt</w:t>
      </w:r>
      <w:proofErr w:type="spellEnd"/>
      <w:r w:rsidRPr="00D773F7">
        <w:rPr>
          <w:rFonts w:asciiTheme="majorBidi" w:hAnsiTheme="majorBidi" w:cstheme="majorBidi"/>
        </w:rPr>
        <w:t xml:space="preserve"> M., </w:t>
      </w:r>
      <w:proofErr w:type="spellStart"/>
      <w:r w:rsidRPr="00D773F7">
        <w:rPr>
          <w:rFonts w:asciiTheme="majorBidi" w:hAnsiTheme="majorBidi" w:cstheme="majorBidi"/>
        </w:rPr>
        <w:t>Albrekt</w:t>
      </w:r>
      <w:proofErr w:type="spellEnd"/>
      <w:r w:rsidRPr="00D773F7">
        <w:rPr>
          <w:rFonts w:asciiTheme="majorBidi" w:hAnsiTheme="majorBidi" w:cstheme="majorBidi"/>
        </w:rPr>
        <w:t xml:space="preserve"> A.S., </w:t>
      </w:r>
      <w:proofErr w:type="spellStart"/>
      <w:r w:rsidRPr="00D773F7">
        <w:rPr>
          <w:rFonts w:asciiTheme="majorBidi" w:hAnsiTheme="majorBidi" w:cstheme="majorBidi"/>
        </w:rPr>
        <w:t>Borrebaeck</w:t>
      </w:r>
      <w:proofErr w:type="spellEnd"/>
      <w:r w:rsidRPr="00D773F7">
        <w:rPr>
          <w:rFonts w:asciiTheme="majorBidi" w:hAnsiTheme="majorBidi" w:cstheme="majorBidi"/>
        </w:rPr>
        <w:t xml:space="preserve"> C.A. (2011) A genomic biomarker signature can predict skin sensitizers using a cell-based in vitro alternative to animal tests. BMC Genomics 12:399. Doi: 10.1186/1471-2164-12-399.</w:t>
      </w:r>
    </w:p>
    <w:p w14:paraId="0DB2640D" w14:textId="77777777" w:rsidR="00B55E72" w:rsidRPr="00D773F7" w:rsidRDefault="00B55E72" w:rsidP="0014616B">
      <w:pPr>
        <w:tabs>
          <w:tab w:val="left" w:pos="8505"/>
        </w:tabs>
        <w:spacing w:after="120"/>
        <w:ind w:left="2268" w:right="1134"/>
        <w:jc w:val="both"/>
        <w:rPr>
          <w:rFonts w:asciiTheme="majorBidi" w:hAnsiTheme="majorBidi" w:cstheme="majorBidi"/>
        </w:rPr>
      </w:pPr>
      <w:r w:rsidRPr="00D773F7">
        <w:rPr>
          <w:rFonts w:asciiTheme="majorBidi" w:hAnsiTheme="majorBidi" w:cstheme="majorBidi"/>
        </w:rPr>
        <w:t xml:space="preserve">Johansson H., </w:t>
      </w:r>
      <w:proofErr w:type="spellStart"/>
      <w:r w:rsidRPr="00D773F7">
        <w:rPr>
          <w:rFonts w:asciiTheme="majorBidi" w:hAnsiTheme="majorBidi" w:cstheme="majorBidi"/>
        </w:rPr>
        <w:t>Rydnert</w:t>
      </w:r>
      <w:proofErr w:type="spellEnd"/>
      <w:r w:rsidRPr="00D773F7">
        <w:rPr>
          <w:rFonts w:asciiTheme="majorBidi" w:hAnsiTheme="majorBidi" w:cstheme="majorBidi"/>
        </w:rPr>
        <w:t xml:space="preserve"> F., </w:t>
      </w:r>
      <w:proofErr w:type="spellStart"/>
      <w:r w:rsidRPr="00D773F7">
        <w:rPr>
          <w:rFonts w:asciiTheme="majorBidi" w:hAnsiTheme="majorBidi" w:cstheme="majorBidi"/>
        </w:rPr>
        <w:t>Kühnl</w:t>
      </w:r>
      <w:proofErr w:type="spellEnd"/>
      <w:r w:rsidRPr="00D773F7">
        <w:rPr>
          <w:rFonts w:asciiTheme="majorBidi" w:hAnsiTheme="majorBidi" w:cstheme="majorBidi"/>
        </w:rPr>
        <w:t xml:space="preserve"> J., </w:t>
      </w:r>
      <w:proofErr w:type="spellStart"/>
      <w:r w:rsidRPr="00D773F7">
        <w:rPr>
          <w:rFonts w:asciiTheme="majorBidi" w:hAnsiTheme="majorBidi" w:cstheme="majorBidi"/>
        </w:rPr>
        <w:t>Schepky</w:t>
      </w:r>
      <w:proofErr w:type="spellEnd"/>
      <w:r w:rsidRPr="00D773F7">
        <w:rPr>
          <w:rFonts w:asciiTheme="majorBidi" w:hAnsiTheme="majorBidi" w:cstheme="majorBidi"/>
        </w:rPr>
        <w:t xml:space="preserve"> A., </w:t>
      </w:r>
      <w:proofErr w:type="spellStart"/>
      <w:r w:rsidRPr="00D773F7">
        <w:rPr>
          <w:rFonts w:asciiTheme="majorBidi" w:hAnsiTheme="majorBidi" w:cstheme="majorBidi"/>
        </w:rPr>
        <w:t>Borrebaeck</w:t>
      </w:r>
      <w:proofErr w:type="spellEnd"/>
      <w:r w:rsidRPr="00D773F7">
        <w:rPr>
          <w:rFonts w:asciiTheme="majorBidi" w:hAnsiTheme="majorBidi" w:cstheme="majorBidi"/>
        </w:rPr>
        <w:t xml:space="preserve"> C., </w:t>
      </w:r>
      <w:proofErr w:type="spellStart"/>
      <w:r w:rsidRPr="00D773F7">
        <w:rPr>
          <w:rFonts w:asciiTheme="majorBidi" w:hAnsiTheme="majorBidi" w:cstheme="majorBidi"/>
        </w:rPr>
        <w:t>Lindstedt</w:t>
      </w:r>
      <w:proofErr w:type="spellEnd"/>
      <w:r w:rsidRPr="00D773F7">
        <w:rPr>
          <w:rFonts w:asciiTheme="majorBidi" w:hAnsiTheme="majorBidi" w:cstheme="majorBidi"/>
        </w:rPr>
        <w:t xml:space="preserve"> M. (2014) Genomic allergen rapid detection in-house validation – A proof of concept. </w:t>
      </w:r>
      <w:proofErr w:type="spellStart"/>
      <w:r w:rsidRPr="00D773F7">
        <w:rPr>
          <w:rFonts w:asciiTheme="majorBidi" w:hAnsiTheme="majorBidi" w:cstheme="majorBidi"/>
        </w:rPr>
        <w:t>Toxicol</w:t>
      </w:r>
      <w:proofErr w:type="spellEnd"/>
      <w:r w:rsidRPr="00D773F7">
        <w:rPr>
          <w:rFonts w:asciiTheme="majorBidi" w:hAnsiTheme="majorBidi" w:cstheme="majorBidi"/>
        </w:rPr>
        <w:t>. Sci. 139(2):362- 370. Doi: 10.1093/</w:t>
      </w:r>
      <w:proofErr w:type="spellStart"/>
      <w:r w:rsidRPr="00D773F7">
        <w:rPr>
          <w:rFonts w:asciiTheme="majorBidi" w:hAnsiTheme="majorBidi" w:cstheme="majorBidi"/>
        </w:rPr>
        <w:t>toxsci</w:t>
      </w:r>
      <w:proofErr w:type="spellEnd"/>
      <w:r w:rsidRPr="00D773F7">
        <w:rPr>
          <w:rFonts w:asciiTheme="majorBidi" w:hAnsiTheme="majorBidi" w:cstheme="majorBidi"/>
        </w:rPr>
        <w:t>/kfu046.</w:t>
      </w:r>
    </w:p>
    <w:p w14:paraId="2B73D946" w14:textId="77777777" w:rsidR="00B55E72" w:rsidRPr="00D773F7" w:rsidRDefault="00B55E72" w:rsidP="0014616B">
      <w:pPr>
        <w:tabs>
          <w:tab w:val="left" w:pos="8505"/>
        </w:tabs>
        <w:spacing w:after="120"/>
        <w:ind w:left="2268" w:right="1134"/>
        <w:jc w:val="both"/>
        <w:rPr>
          <w:rFonts w:asciiTheme="majorBidi" w:hAnsiTheme="majorBidi" w:cstheme="majorBidi"/>
        </w:rPr>
      </w:pPr>
      <w:r w:rsidRPr="00D773F7">
        <w:rPr>
          <w:rFonts w:asciiTheme="majorBidi" w:hAnsiTheme="majorBidi" w:cstheme="majorBidi"/>
        </w:rPr>
        <w:t xml:space="preserve">Johansson H., Gradin R., </w:t>
      </w:r>
      <w:proofErr w:type="spellStart"/>
      <w:r w:rsidRPr="00D773F7">
        <w:rPr>
          <w:rFonts w:asciiTheme="majorBidi" w:hAnsiTheme="majorBidi" w:cstheme="majorBidi"/>
        </w:rPr>
        <w:t>Forreryd</w:t>
      </w:r>
      <w:proofErr w:type="spellEnd"/>
      <w:r w:rsidRPr="00D773F7">
        <w:rPr>
          <w:rFonts w:asciiTheme="majorBidi" w:hAnsiTheme="majorBidi" w:cstheme="majorBidi"/>
        </w:rPr>
        <w:t xml:space="preserve"> A., </w:t>
      </w:r>
      <w:proofErr w:type="spellStart"/>
      <w:r w:rsidRPr="00D773F7">
        <w:rPr>
          <w:rFonts w:asciiTheme="majorBidi" w:hAnsiTheme="majorBidi" w:cstheme="majorBidi"/>
        </w:rPr>
        <w:t>Agemark</w:t>
      </w:r>
      <w:proofErr w:type="spellEnd"/>
      <w:r w:rsidRPr="00D773F7">
        <w:rPr>
          <w:rFonts w:asciiTheme="majorBidi" w:hAnsiTheme="majorBidi" w:cstheme="majorBidi"/>
        </w:rPr>
        <w:t xml:space="preserve"> M., Zeller K., Johansson A., Larne O., van Vliet E., </w:t>
      </w:r>
      <w:proofErr w:type="spellStart"/>
      <w:r w:rsidRPr="00D773F7">
        <w:rPr>
          <w:rFonts w:asciiTheme="majorBidi" w:hAnsiTheme="majorBidi" w:cstheme="majorBidi"/>
        </w:rPr>
        <w:t>Borrebaeck</w:t>
      </w:r>
      <w:proofErr w:type="spellEnd"/>
      <w:r w:rsidRPr="00D773F7">
        <w:rPr>
          <w:rFonts w:asciiTheme="majorBidi" w:hAnsiTheme="majorBidi" w:cstheme="majorBidi"/>
        </w:rPr>
        <w:t xml:space="preserve"> C., </w:t>
      </w:r>
      <w:proofErr w:type="spellStart"/>
      <w:r w:rsidRPr="00D773F7">
        <w:rPr>
          <w:rFonts w:asciiTheme="majorBidi" w:hAnsiTheme="majorBidi" w:cstheme="majorBidi"/>
        </w:rPr>
        <w:t>Lindstedt</w:t>
      </w:r>
      <w:proofErr w:type="spellEnd"/>
      <w:r w:rsidRPr="00D773F7">
        <w:rPr>
          <w:rFonts w:asciiTheme="majorBidi" w:hAnsiTheme="majorBidi" w:cstheme="majorBidi"/>
        </w:rPr>
        <w:t xml:space="preserve"> M. (2017) Evaluation of the GARD assay in a blind Cosmetics Europe study. ALTEX 34(4):515-523. Doi: 10.14573/altex.1701121</w:t>
      </w:r>
    </w:p>
    <w:p w14:paraId="70DD9BD4" w14:textId="06BD5BB7" w:rsidR="00B55E72" w:rsidRPr="00D773F7" w:rsidRDefault="00A07370" w:rsidP="0014616B">
      <w:pPr>
        <w:tabs>
          <w:tab w:val="left" w:pos="8505"/>
        </w:tabs>
        <w:spacing w:after="120"/>
        <w:ind w:left="2268" w:right="1134"/>
        <w:jc w:val="both"/>
        <w:rPr>
          <w:rFonts w:asciiTheme="majorBidi" w:hAnsiTheme="majorBidi" w:cstheme="majorBidi"/>
        </w:rPr>
      </w:pPr>
      <w:proofErr w:type="spellStart"/>
      <w:r w:rsidRPr="00D773F7">
        <w:rPr>
          <w:rFonts w:asciiTheme="majorBidi" w:hAnsiTheme="majorBidi" w:cstheme="majorBidi"/>
        </w:rPr>
        <w:t>Jowsey</w:t>
      </w:r>
      <w:proofErr w:type="spellEnd"/>
      <w:r w:rsidRPr="00D773F7">
        <w:rPr>
          <w:rFonts w:asciiTheme="majorBidi" w:hAnsiTheme="majorBidi" w:cstheme="majorBidi"/>
        </w:rPr>
        <w:t xml:space="preserve"> IR, Clapp CJ, Safford B, Gibbons BT, </w:t>
      </w:r>
      <w:proofErr w:type="spellStart"/>
      <w:r w:rsidRPr="00D773F7">
        <w:rPr>
          <w:rFonts w:asciiTheme="majorBidi" w:hAnsiTheme="majorBidi" w:cstheme="majorBidi"/>
        </w:rPr>
        <w:t>Basketter</w:t>
      </w:r>
      <w:proofErr w:type="spellEnd"/>
      <w:r w:rsidRPr="00D773F7">
        <w:rPr>
          <w:rFonts w:asciiTheme="majorBidi" w:hAnsiTheme="majorBidi" w:cstheme="majorBidi"/>
        </w:rPr>
        <w:t xml:space="preserve"> DA. (2008). The impact of vehicle on the relative potency of skin-sensitizing chemicals in the local lymph node assay.  </w:t>
      </w:r>
      <w:proofErr w:type="spellStart"/>
      <w:r w:rsidRPr="00D773F7">
        <w:rPr>
          <w:rFonts w:asciiTheme="majorBidi" w:hAnsiTheme="majorBidi" w:cstheme="majorBidi"/>
        </w:rPr>
        <w:t>Cutan</w:t>
      </w:r>
      <w:proofErr w:type="spellEnd"/>
      <w:r w:rsidRPr="00D773F7">
        <w:rPr>
          <w:rFonts w:asciiTheme="majorBidi" w:hAnsiTheme="majorBidi" w:cstheme="majorBidi"/>
        </w:rPr>
        <w:t xml:space="preserve"> </w:t>
      </w:r>
      <w:proofErr w:type="spellStart"/>
      <w:r w:rsidRPr="00D773F7">
        <w:rPr>
          <w:rFonts w:asciiTheme="majorBidi" w:hAnsiTheme="majorBidi" w:cstheme="majorBidi"/>
        </w:rPr>
        <w:t>Ocul</w:t>
      </w:r>
      <w:proofErr w:type="spellEnd"/>
      <w:r w:rsidRPr="00D773F7">
        <w:rPr>
          <w:rFonts w:asciiTheme="majorBidi" w:hAnsiTheme="majorBidi" w:cstheme="majorBidi"/>
        </w:rPr>
        <w:t xml:space="preserve"> </w:t>
      </w:r>
      <w:proofErr w:type="spellStart"/>
      <w:r w:rsidRPr="00D773F7">
        <w:rPr>
          <w:rFonts w:asciiTheme="majorBidi" w:hAnsiTheme="majorBidi" w:cstheme="majorBidi"/>
        </w:rPr>
        <w:t>Toxicol</w:t>
      </w:r>
      <w:proofErr w:type="spellEnd"/>
      <w:r w:rsidRPr="00D773F7">
        <w:rPr>
          <w:rFonts w:asciiTheme="majorBidi" w:hAnsiTheme="majorBidi" w:cstheme="majorBidi"/>
        </w:rPr>
        <w:t>: 27 (2); 67-75. Doi: 10.1080/15569520801904655.</w:t>
      </w:r>
    </w:p>
    <w:p w14:paraId="00B00AA2" w14:textId="297429B7" w:rsidR="00B55E72" w:rsidRPr="00D773F7" w:rsidRDefault="00B55E72" w:rsidP="0014616B">
      <w:pPr>
        <w:tabs>
          <w:tab w:val="left" w:pos="8505"/>
        </w:tabs>
        <w:spacing w:after="120"/>
        <w:ind w:left="2268" w:right="1134"/>
        <w:jc w:val="both"/>
        <w:rPr>
          <w:rFonts w:asciiTheme="majorBidi" w:hAnsiTheme="majorBidi" w:cstheme="majorBidi"/>
        </w:rPr>
      </w:pPr>
      <w:proofErr w:type="spellStart"/>
      <w:r w:rsidRPr="00D773F7">
        <w:rPr>
          <w:rFonts w:asciiTheme="majorBidi" w:hAnsiTheme="majorBidi" w:cstheme="majorBidi"/>
        </w:rPr>
        <w:t>Kligman</w:t>
      </w:r>
      <w:proofErr w:type="spellEnd"/>
      <w:r w:rsidRPr="00D773F7">
        <w:rPr>
          <w:rFonts w:asciiTheme="majorBidi" w:hAnsiTheme="majorBidi" w:cstheme="majorBidi"/>
        </w:rPr>
        <w:t xml:space="preserve"> A.M. (1966): The identification of contact allergens by human assay: II. Factors influencing the induction and measurement of allergic contact dermatitis. Journal of Investigative Dermatology 47 (5), 375-392. </w:t>
      </w:r>
      <w:r w:rsidR="0046161C" w:rsidRPr="00D773F7">
        <w:rPr>
          <w:rFonts w:asciiTheme="majorBidi" w:hAnsiTheme="majorBidi" w:cstheme="majorBidi"/>
        </w:rPr>
        <w:t>Doi</w:t>
      </w:r>
      <w:r w:rsidRPr="00D773F7">
        <w:rPr>
          <w:rFonts w:asciiTheme="majorBidi" w:hAnsiTheme="majorBidi" w:cstheme="majorBidi"/>
        </w:rPr>
        <w:t>: 10.1038/jid.1966.159</w:t>
      </w:r>
    </w:p>
    <w:p w14:paraId="35FAC8FE" w14:textId="633EA897" w:rsidR="00373F2B" w:rsidRPr="00D773F7" w:rsidRDefault="00373F2B" w:rsidP="0014616B">
      <w:pPr>
        <w:tabs>
          <w:tab w:val="left" w:pos="8505"/>
        </w:tabs>
        <w:spacing w:after="120"/>
        <w:ind w:left="2268" w:right="1134"/>
        <w:jc w:val="both"/>
        <w:rPr>
          <w:rFonts w:asciiTheme="majorBidi" w:hAnsiTheme="majorBidi" w:cstheme="majorBidi"/>
        </w:rPr>
      </w:pPr>
      <w:r w:rsidRPr="00D773F7">
        <w:rPr>
          <w:rFonts w:asciiTheme="majorBidi" w:hAnsiTheme="majorBidi" w:cstheme="majorBidi"/>
        </w:rPr>
        <w:t xml:space="preserve">Kobayashi T., Maeda Y., Kondo H., Takeyoshi M. (2020) Applicability of the proposed GHS subcategorization criterion for </w:t>
      </w:r>
      <w:proofErr w:type="spellStart"/>
      <w:r w:rsidRPr="00D773F7">
        <w:rPr>
          <w:rFonts w:asciiTheme="majorBidi" w:hAnsiTheme="majorBidi" w:cstheme="majorBidi"/>
        </w:rPr>
        <w:t>LLNA:BrdU-ELISA</w:t>
      </w:r>
      <w:proofErr w:type="spellEnd"/>
      <w:r w:rsidRPr="00D773F7">
        <w:rPr>
          <w:rFonts w:asciiTheme="majorBidi" w:hAnsiTheme="majorBidi" w:cstheme="majorBidi"/>
        </w:rPr>
        <w:t xml:space="preserve"> (OECD TG442B) to the CBA/J strain mouse. Journal of Applied Toxicology. 40(10):1435-1439</w:t>
      </w:r>
    </w:p>
    <w:p w14:paraId="61470EE8" w14:textId="247760CC" w:rsidR="001E2580" w:rsidRPr="00D773F7" w:rsidRDefault="00DE58B1" w:rsidP="0014616B">
      <w:pPr>
        <w:tabs>
          <w:tab w:val="left" w:pos="8505"/>
        </w:tabs>
        <w:spacing w:after="120"/>
        <w:ind w:left="2268" w:right="1134"/>
        <w:jc w:val="both"/>
        <w:rPr>
          <w:rFonts w:asciiTheme="majorBidi" w:hAnsiTheme="majorBidi" w:cstheme="majorBidi"/>
        </w:rPr>
      </w:pPr>
      <w:r w:rsidRPr="00D773F7">
        <w:rPr>
          <w:rFonts w:asciiTheme="majorBidi" w:hAnsiTheme="majorBidi" w:cstheme="majorBidi"/>
        </w:rPr>
        <w:lastRenderedPageBreak/>
        <w:t xml:space="preserve">Maeda Y., Takeyoshi M. (2019) Proposal of GHS sub-categorization criteria for LLNA: </w:t>
      </w:r>
      <w:proofErr w:type="spellStart"/>
      <w:r w:rsidRPr="00D773F7">
        <w:rPr>
          <w:rFonts w:asciiTheme="majorBidi" w:hAnsiTheme="majorBidi" w:cstheme="majorBidi"/>
        </w:rPr>
        <w:t>BrdU</w:t>
      </w:r>
      <w:proofErr w:type="spellEnd"/>
      <w:r w:rsidRPr="00D773F7">
        <w:rPr>
          <w:rFonts w:asciiTheme="majorBidi" w:hAnsiTheme="majorBidi" w:cstheme="majorBidi"/>
        </w:rPr>
        <w:t>-ELISA (OECD TG442B). Regulatory Toxicology and Pharmacology. 107:104409.</w:t>
      </w:r>
    </w:p>
    <w:p w14:paraId="6997B2B5" w14:textId="3332A031" w:rsidR="00B55E72" w:rsidRPr="00D773F7" w:rsidRDefault="00B55E72" w:rsidP="0014616B">
      <w:pPr>
        <w:tabs>
          <w:tab w:val="left" w:pos="8505"/>
        </w:tabs>
        <w:spacing w:after="120"/>
        <w:ind w:left="2268" w:right="1134"/>
        <w:jc w:val="both"/>
        <w:rPr>
          <w:rFonts w:asciiTheme="majorBidi" w:hAnsiTheme="majorBidi" w:cstheme="majorBidi"/>
        </w:rPr>
      </w:pPr>
      <w:r w:rsidRPr="00D773F7">
        <w:rPr>
          <w:rFonts w:asciiTheme="majorBidi" w:hAnsiTheme="majorBidi" w:cstheme="majorBidi"/>
        </w:rPr>
        <w:t xml:space="preserve">OECD (2014). The Adverse Outcome Pathway for Skin Sensitisation Initiated by Covalent Binding to Proteins, OECD Series on Testing and Assessment, No. 168, OECD Publishing, Paris. </w:t>
      </w:r>
      <w:r w:rsidR="00A439DD" w:rsidRPr="00D773F7">
        <w:rPr>
          <w:rFonts w:asciiTheme="majorBidi" w:hAnsiTheme="majorBidi" w:cstheme="majorBidi"/>
        </w:rPr>
        <w:t>Doi.org/10.1787/9789264221444-en</w:t>
      </w:r>
    </w:p>
    <w:p w14:paraId="6BB305B4" w14:textId="05748CF5" w:rsidR="00EE58B5" w:rsidRPr="00D773F7" w:rsidRDefault="00EE58B5" w:rsidP="0014616B">
      <w:pPr>
        <w:spacing w:after="120"/>
        <w:ind w:left="2268" w:right="1134"/>
        <w:jc w:val="both"/>
        <w:rPr>
          <w:rFonts w:asciiTheme="majorBidi" w:hAnsiTheme="majorBidi" w:cstheme="majorBidi"/>
        </w:rPr>
      </w:pPr>
      <w:r w:rsidRPr="00D773F7">
        <w:rPr>
          <w:rFonts w:asciiTheme="majorBidi" w:hAnsiTheme="majorBidi" w:cstheme="majorBidi"/>
        </w:rPr>
        <w:t>OECD (2017), Guidance Document on the Reporting of Defined Approaches and Individual Information Sources to be Used within Integrated Approaches to Testing and Assessment (IATA) for Skin Sensitisation, OECD Series on Testing and Assessment, No. 256, OECD Publishing, Paris. Doi.org/10.1787/9789264279285-en.</w:t>
      </w:r>
    </w:p>
    <w:p w14:paraId="3DFE3891" w14:textId="16151582" w:rsidR="003B6650" w:rsidRPr="00D773F7" w:rsidRDefault="003B6650" w:rsidP="0014616B">
      <w:pPr>
        <w:pStyle w:val="SingleTxtG"/>
        <w:tabs>
          <w:tab w:val="clear" w:pos="1701"/>
        </w:tabs>
        <w:ind w:left="2268"/>
        <w:rPr>
          <w:rFonts w:asciiTheme="majorBidi" w:hAnsiTheme="majorBidi" w:cstheme="majorBidi"/>
        </w:rPr>
      </w:pPr>
      <w:r w:rsidRPr="00D773F7">
        <w:rPr>
          <w:rFonts w:asciiTheme="majorBidi" w:hAnsiTheme="majorBidi" w:cstheme="majorBidi"/>
        </w:rPr>
        <w:t xml:space="preserve">Ryan CA et al. (2007): Extrapolating local lymph node assay EC3 values to estimate relative sensitizing potency. </w:t>
      </w:r>
      <w:proofErr w:type="spellStart"/>
      <w:r w:rsidRPr="00D773F7">
        <w:rPr>
          <w:rFonts w:asciiTheme="majorBidi" w:hAnsiTheme="majorBidi" w:cstheme="majorBidi"/>
        </w:rPr>
        <w:t>Cutan</w:t>
      </w:r>
      <w:proofErr w:type="spellEnd"/>
      <w:r w:rsidRPr="00D773F7">
        <w:rPr>
          <w:rFonts w:asciiTheme="majorBidi" w:hAnsiTheme="majorBidi" w:cstheme="majorBidi"/>
        </w:rPr>
        <w:t xml:space="preserve"> </w:t>
      </w:r>
      <w:proofErr w:type="spellStart"/>
      <w:r w:rsidRPr="00D773F7">
        <w:rPr>
          <w:rFonts w:asciiTheme="majorBidi" w:hAnsiTheme="majorBidi" w:cstheme="majorBidi"/>
        </w:rPr>
        <w:t>Ocul</w:t>
      </w:r>
      <w:proofErr w:type="spellEnd"/>
      <w:r w:rsidRPr="00D773F7">
        <w:rPr>
          <w:rFonts w:asciiTheme="majorBidi" w:hAnsiTheme="majorBidi" w:cstheme="majorBidi"/>
        </w:rPr>
        <w:t xml:space="preserve"> </w:t>
      </w:r>
      <w:proofErr w:type="spellStart"/>
      <w:r w:rsidRPr="00D773F7">
        <w:rPr>
          <w:rFonts w:asciiTheme="majorBidi" w:hAnsiTheme="majorBidi" w:cstheme="majorBidi"/>
        </w:rPr>
        <w:t>Toxicol</w:t>
      </w:r>
      <w:proofErr w:type="spellEnd"/>
      <w:r w:rsidRPr="00D773F7">
        <w:rPr>
          <w:rFonts w:asciiTheme="majorBidi" w:hAnsiTheme="majorBidi" w:cstheme="majorBidi"/>
        </w:rPr>
        <w:t xml:space="preserve"> 26(2), 135-45.</w:t>
      </w:r>
    </w:p>
    <w:p w14:paraId="2F423746" w14:textId="11B18A48" w:rsidR="00B55E72" w:rsidRPr="00D773F7" w:rsidRDefault="00B55E72" w:rsidP="0014616B">
      <w:pPr>
        <w:spacing w:after="120"/>
        <w:ind w:left="2268" w:right="1134"/>
        <w:jc w:val="both"/>
        <w:rPr>
          <w:rFonts w:asciiTheme="majorBidi" w:hAnsiTheme="majorBidi" w:cstheme="majorBidi"/>
        </w:rPr>
      </w:pPr>
      <w:r w:rsidRPr="00D773F7">
        <w:rPr>
          <w:rFonts w:asciiTheme="majorBidi" w:hAnsiTheme="majorBidi" w:cstheme="majorBidi"/>
        </w:rPr>
        <w:t xml:space="preserve">Saito K, </w:t>
      </w:r>
      <w:proofErr w:type="spellStart"/>
      <w:r w:rsidRPr="00D773F7">
        <w:rPr>
          <w:rFonts w:asciiTheme="majorBidi" w:hAnsiTheme="majorBidi" w:cstheme="majorBidi"/>
        </w:rPr>
        <w:t>Takenouchi</w:t>
      </w:r>
      <w:proofErr w:type="spellEnd"/>
      <w:r w:rsidRPr="00D773F7">
        <w:rPr>
          <w:rFonts w:asciiTheme="majorBidi" w:hAnsiTheme="majorBidi" w:cstheme="majorBidi"/>
        </w:rPr>
        <w:t xml:space="preserve"> O, </w:t>
      </w:r>
      <w:proofErr w:type="spellStart"/>
      <w:r w:rsidRPr="00D773F7">
        <w:rPr>
          <w:rFonts w:asciiTheme="majorBidi" w:hAnsiTheme="majorBidi" w:cstheme="majorBidi"/>
        </w:rPr>
        <w:t>Nukada</w:t>
      </w:r>
      <w:proofErr w:type="spellEnd"/>
      <w:r w:rsidRPr="00D773F7">
        <w:rPr>
          <w:rFonts w:asciiTheme="majorBidi" w:hAnsiTheme="majorBidi" w:cstheme="majorBidi"/>
        </w:rPr>
        <w:t xml:space="preserve"> Y, Miyazawa M, </w:t>
      </w:r>
      <w:proofErr w:type="spellStart"/>
      <w:r w:rsidRPr="00D773F7">
        <w:rPr>
          <w:rFonts w:asciiTheme="majorBidi" w:hAnsiTheme="majorBidi" w:cstheme="majorBidi"/>
        </w:rPr>
        <w:t>Sakaguchi</w:t>
      </w:r>
      <w:proofErr w:type="spellEnd"/>
      <w:r w:rsidRPr="00D773F7">
        <w:rPr>
          <w:rFonts w:asciiTheme="majorBidi" w:hAnsiTheme="majorBidi" w:cstheme="majorBidi"/>
        </w:rPr>
        <w:t xml:space="preserve"> H. </w:t>
      </w:r>
      <w:hyperlink r:id="rId52" w:history="1">
        <w:r w:rsidRPr="00D773F7">
          <w:rPr>
            <w:rStyle w:val="Hyperlink"/>
            <w:rFonts w:asciiTheme="majorBidi" w:hAnsiTheme="majorBidi" w:cstheme="majorBidi"/>
            <w:color w:val="auto"/>
          </w:rPr>
          <w:t xml:space="preserve">An in vitro skin sensitization assay termed </w:t>
        </w:r>
        <w:proofErr w:type="spellStart"/>
        <w:r w:rsidRPr="00D773F7">
          <w:rPr>
            <w:rStyle w:val="Hyperlink"/>
            <w:rFonts w:asciiTheme="majorBidi" w:hAnsiTheme="majorBidi" w:cstheme="majorBidi"/>
            <w:color w:val="auto"/>
          </w:rPr>
          <w:t>EpiSensA</w:t>
        </w:r>
        <w:proofErr w:type="spellEnd"/>
        <w:r w:rsidRPr="00D773F7">
          <w:rPr>
            <w:rStyle w:val="Hyperlink"/>
            <w:rFonts w:asciiTheme="majorBidi" w:hAnsiTheme="majorBidi" w:cstheme="majorBidi"/>
            <w:color w:val="auto"/>
          </w:rPr>
          <w:t xml:space="preserve"> for broad sets of chemicals including lipophilic chemicals and pre/pro-</w:t>
        </w:r>
        <w:proofErr w:type="spellStart"/>
        <w:r w:rsidRPr="00D773F7">
          <w:rPr>
            <w:rStyle w:val="Hyperlink"/>
            <w:rFonts w:asciiTheme="majorBidi" w:hAnsiTheme="majorBidi" w:cstheme="majorBidi"/>
            <w:color w:val="auto"/>
          </w:rPr>
          <w:t>haptens</w:t>
        </w:r>
        <w:proofErr w:type="spellEnd"/>
        <w:r w:rsidRPr="00D773F7">
          <w:rPr>
            <w:rStyle w:val="Hyperlink"/>
            <w:rFonts w:asciiTheme="majorBidi" w:hAnsiTheme="majorBidi" w:cstheme="majorBidi"/>
            <w:color w:val="auto"/>
          </w:rPr>
          <w:t>.</w:t>
        </w:r>
      </w:hyperlink>
      <w:r w:rsidR="0045697B" w:rsidRPr="00D773F7">
        <w:rPr>
          <w:rStyle w:val="Hyperlink"/>
          <w:rFonts w:asciiTheme="majorBidi" w:hAnsiTheme="majorBidi" w:cstheme="majorBidi"/>
          <w:color w:val="auto"/>
        </w:rPr>
        <w:t xml:space="preserve"> </w:t>
      </w:r>
      <w:proofErr w:type="spellStart"/>
      <w:r w:rsidRPr="00D773F7">
        <w:rPr>
          <w:rFonts w:asciiTheme="majorBidi" w:hAnsiTheme="majorBidi" w:cstheme="majorBidi"/>
        </w:rPr>
        <w:t>Toxicol</w:t>
      </w:r>
      <w:proofErr w:type="spellEnd"/>
      <w:r w:rsidRPr="00D773F7">
        <w:rPr>
          <w:rFonts w:asciiTheme="majorBidi" w:hAnsiTheme="majorBidi" w:cstheme="majorBidi"/>
        </w:rPr>
        <w:t xml:space="preserve"> In Vitro. 2017 Apr;40:11-25. </w:t>
      </w:r>
      <w:r w:rsidR="0045697B" w:rsidRPr="00D773F7">
        <w:rPr>
          <w:rFonts w:asciiTheme="majorBidi" w:hAnsiTheme="majorBidi" w:cstheme="majorBidi"/>
        </w:rPr>
        <w:t>Doi</w:t>
      </w:r>
      <w:r w:rsidRPr="00D773F7">
        <w:rPr>
          <w:rFonts w:asciiTheme="majorBidi" w:hAnsiTheme="majorBidi" w:cstheme="majorBidi"/>
        </w:rPr>
        <w:t xml:space="preserve">: 10.1016/j.tiv.2016.12.005. </w:t>
      </w:r>
    </w:p>
    <w:p w14:paraId="6BD5639F" w14:textId="6312B12A" w:rsidR="00B55E72" w:rsidRPr="00D773F7" w:rsidRDefault="00B55E72" w:rsidP="0014616B">
      <w:pPr>
        <w:spacing w:after="120"/>
        <w:ind w:left="2268" w:right="1134"/>
        <w:jc w:val="both"/>
        <w:rPr>
          <w:rFonts w:asciiTheme="majorBidi" w:hAnsiTheme="majorBidi" w:cstheme="majorBidi"/>
        </w:rPr>
      </w:pPr>
      <w:r w:rsidRPr="00D773F7">
        <w:rPr>
          <w:rFonts w:asciiTheme="majorBidi" w:hAnsiTheme="majorBidi" w:cstheme="majorBidi"/>
        </w:rPr>
        <w:t xml:space="preserve">Wright ZM, </w:t>
      </w:r>
      <w:proofErr w:type="spellStart"/>
      <w:r w:rsidRPr="00D773F7">
        <w:rPr>
          <w:rFonts w:asciiTheme="majorBidi" w:hAnsiTheme="majorBidi" w:cstheme="majorBidi"/>
        </w:rPr>
        <w:t>Basketter</w:t>
      </w:r>
      <w:proofErr w:type="spellEnd"/>
      <w:r w:rsidRPr="00D773F7">
        <w:rPr>
          <w:rFonts w:asciiTheme="majorBidi" w:hAnsiTheme="majorBidi" w:cstheme="majorBidi"/>
        </w:rPr>
        <w:t xml:space="preserve"> PA, Blaikie L, Cooper KJ, </w:t>
      </w:r>
      <w:proofErr w:type="spellStart"/>
      <w:r w:rsidRPr="00D773F7">
        <w:rPr>
          <w:rFonts w:asciiTheme="majorBidi" w:hAnsiTheme="majorBidi" w:cstheme="majorBidi"/>
        </w:rPr>
        <w:t>Warbrick</w:t>
      </w:r>
      <w:proofErr w:type="spellEnd"/>
      <w:r w:rsidRPr="00D773F7">
        <w:rPr>
          <w:rFonts w:asciiTheme="majorBidi" w:hAnsiTheme="majorBidi" w:cstheme="majorBidi"/>
        </w:rPr>
        <w:t xml:space="preserve"> EV, Dearman RJ, Kimber I. Vehicle effects on skin sensitizing potency of four chemicals: assessment using the local lymph node assay. Int J </w:t>
      </w:r>
      <w:proofErr w:type="spellStart"/>
      <w:r w:rsidRPr="00D773F7">
        <w:rPr>
          <w:rFonts w:asciiTheme="majorBidi" w:hAnsiTheme="majorBidi" w:cstheme="majorBidi"/>
        </w:rPr>
        <w:t>Cosmet</w:t>
      </w:r>
      <w:proofErr w:type="spellEnd"/>
      <w:r w:rsidRPr="00D773F7">
        <w:rPr>
          <w:rFonts w:asciiTheme="majorBidi" w:hAnsiTheme="majorBidi" w:cstheme="majorBidi"/>
        </w:rPr>
        <w:t xml:space="preserve"> Sci. 2001 Apr;23(2):75-83. </w:t>
      </w:r>
      <w:r w:rsidR="00E648B8" w:rsidRPr="00D773F7">
        <w:rPr>
          <w:rFonts w:asciiTheme="majorBidi" w:hAnsiTheme="majorBidi" w:cstheme="majorBidi"/>
        </w:rPr>
        <w:t>D</w:t>
      </w:r>
      <w:r w:rsidRPr="00D773F7">
        <w:rPr>
          <w:rFonts w:asciiTheme="majorBidi" w:hAnsiTheme="majorBidi" w:cstheme="majorBidi"/>
        </w:rPr>
        <w:t xml:space="preserve">oi: 10.1046/j.1467-2494.2001.00066.x. </w:t>
      </w:r>
    </w:p>
    <w:p w14:paraId="7E305260" w14:textId="77777777" w:rsidR="00B55E72" w:rsidRPr="00D773F7" w:rsidRDefault="00B55E72" w:rsidP="0014616B">
      <w:pPr>
        <w:ind w:left="2268" w:right="1134"/>
        <w:jc w:val="both"/>
        <w:rPr>
          <w:rFonts w:asciiTheme="majorBidi" w:hAnsiTheme="majorBidi" w:cstheme="majorBidi"/>
        </w:rPr>
      </w:pPr>
      <w:r w:rsidRPr="00D773F7">
        <w:rPr>
          <w:rFonts w:asciiTheme="majorBidi" w:hAnsiTheme="majorBidi" w:cstheme="majorBidi"/>
        </w:rPr>
        <w:t xml:space="preserve">Zeller K.S., </w:t>
      </w:r>
      <w:proofErr w:type="spellStart"/>
      <w:r w:rsidRPr="00D773F7">
        <w:rPr>
          <w:rFonts w:asciiTheme="majorBidi" w:hAnsiTheme="majorBidi" w:cstheme="majorBidi"/>
        </w:rPr>
        <w:t>Forreryd</w:t>
      </w:r>
      <w:proofErr w:type="spellEnd"/>
      <w:r w:rsidRPr="00D773F7">
        <w:rPr>
          <w:rFonts w:asciiTheme="majorBidi" w:hAnsiTheme="majorBidi" w:cstheme="majorBidi"/>
        </w:rPr>
        <w:t xml:space="preserve"> A., Lindberg T., Gradin R., </w:t>
      </w:r>
      <w:proofErr w:type="spellStart"/>
      <w:r w:rsidRPr="00D773F7">
        <w:rPr>
          <w:rFonts w:asciiTheme="majorBidi" w:hAnsiTheme="majorBidi" w:cstheme="majorBidi"/>
        </w:rPr>
        <w:t>Chawade</w:t>
      </w:r>
      <w:proofErr w:type="spellEnd"/>
      <w:r w:rsidRPr="00D773F7">
        <w:rPr>
          <w:rFonts w:asciiTheme="majorBidi" w:hAnsiTheme="majorBidi" w:cstheme="majorBidi"/>
        </w:rPr>
        <w:t xml:space="preserve"> A., </w:t>
      </w:r>
      <w:proofErr w:type="spellStart"/>
      <w:r w:rsidRPr="00D773F7">
        <w:rPr>
          <w:rFonts w:asciiTheme="majorBidi" w:hAnsiTheme="majorBidi" w:cstheme="majorBidi"/>
        </w:rPr>
        <w:t>Lindstedt</w:t>
      </w:r>
      <w:proofErr w:type="spellEnd"/>
      <w:r w:rsidRPr="00D773F7">
        <w:rPr>
          <w:rFonts w:asciiTheme="majorBidi" w:hAnsiTheme="majorBidi" w:cstheme="majorBidi"/>
        </w:rPr>
        <w:t xml:space="preserve"> M. (2017) The GARD platform for potency assessment of skin sensitizing chemicals. ALTEX 34(4):539-559. Doi: 10.14573/altex.1701101.”.</w:t>
      </w:r>
    </w:p>
    <w:bookmarkEnd w:id="17"/>
    <w:p w14:paraId="7371B83E" w14:textId="4BDE5805" w:rsidR="00EB1FDB" w:rsidRPr="00D773F7" w:rsidRDefault="00EB1FDB" w:rsidP="005659D2">
      <w:pPr>
        <w:pStyle w:val="H1G"/>
        <w:rPr>
          <w:rFonts w:asciiTheme="majorBidi" w:hAnsiTheme="majorBidi" w:cstheme="majorBidi"/>
          <w:lang w:eastAsia="en-US"/>
        </w:rPr>
      </w:pPr>
      <w:r w:rsidRPr="00D773F7">
        <w:rPr>
          <w:rFonts w:asciiTheme="majorBidi" w:hAnsiTheme="majorBidi" w:cstheme="majorBidi"/>
          <w:lang w:eastAsia="en-US"/>
        </w:rPr>
        <w:tab/>
      </w:r>
      <w:r w:rsidRPr="00D773F7">
        <w:rPr>
          <w:rFonts w:asciiTheme="majorBidi" w:hAnsiTheme="majorBidi" w:cstheme="majorBidi"/>
          <w:lang w:eastAsia="en-US"/>
        </w:rPr>
        <w:tab/>
        <w:t>Chapter 3.5</w:t>
      </w:r>
    </w:p>
    <w:p w14:paraId="5A253CA4" w14:textId="1B323C5A" w:rsidR="00B663F4" w:rsidRPr="00D773F7" w:rsidRDefault="00B663F4" w:rsidP="002F742C">
      <w:pPr>
        <w:pStyle w:val="SingleTxtG"/>
        <w:tabs>
          <w:tab w:val="clear" w:pos="1701"/>
        </w:tabs>
        <w:rPr>
          <w:rFonts w:asciiTheme="majorBidi" w:hAnsiTheme="majorBidi" w:cstheme="majorBidi"/>
        </w:rPr>
      </w:pPr>
      <w:r w:rsidRPr="00D773F7">
        <w:rPr>
          <w:rFonts w:asciiTheme="majorBidi" w:hAnsiTheme="majorBidi" w:cstheme="majorBidi"/>
        </w:rPr>
        <w:t>3.5.3.2.4</w:t>
      </w:r>
      <w:r w:rsidRPr="00D773F7">
        <w:rPr>
          <w:rFonts w:asciiTheme="majorBidi" w:hAnsiTheme="majorBidi" w:cstheme="majorBidi"/>
        </w:rPr>
        <w:tab/>
      </w:r>
      <w:r w:rsidR="00A5506C" w:rsidRPr="00D773F7">
        <w:rPr>
          <w:rFonts w:asciiTheme="majorBidi" w:hAnsiTheme="majorBidi" w:cstheme="majorBidi"/>
        </w:rPr>
        <w:t>In the last sentence r</w:t>
      </w:r>
      <w:r w:rsidRPr="00D773F7">
        <w:rPr>
          <w:rFonts w:asciiTheme="majorBidi" w:hAnsiTheme="majorBidi" w:cstheme="majorBidi"/>
        </w:rPr>
        <w:t>eplace “by testing” with “based on test data”.</w:t>
      </w:r>
    </w:p>
    <w:p w14:paraId="3C7499B8" w14:textId="204C242D" w:rsidR="00D2410C" w:rsidRPr="00D773F7" w:rsidRDefault="00D2410C" w:rsidP="0080156F">
      <w:pPr>
        <w:pStyle w:val="SingleTxtG"/>
        <w:tabs>
          <w:tab w:val="clear" w:pos="1701"/>
        </w:tabs>
        <w:ind w:left="2268" w:hanging="1134"/>
        <w:rPr>
          <w:rFonts w:asciiTheme="majorBidi" w:hAnsiTheme="majorBidi" w:cstheme="majorBidi"/>
        </w:rPr>
      </w:pPr>
      <w:r w:rsidRPr="00D773F7">
        <w:rPr>
          <w:rFonts w:asciiTheme="majorBidi" w:hAnsiTheme="majorBidi" w:cstheme="majorBidi"/>
        </w:rPr>
        <w:t>3.5.4</w:t>
      </w:r>
      <w:r w:rsidRPr="00D773F7">
        <w:rPr>
          <w:rFonts w:asciiTheme="majorBidi" w:hAnsiTheme="majorBidi" w:cstheme="majorBidi"/>
        </w:rPr>
        <w:tab/>
      </w:r>
      <w:r w:rsidR="002B03A0" w:rsidRPr="00D773F7">
        <w:rPr>
          <w:rFonts w:asciiTheme="majorBidi" w:hAnsiTheme="majorBidi" w:cstheme="majorBidi"/>
        </w:rPr>
        <w:t xml:space="preserve">Amend </w:t>
      </w:r>
      <w:r w:rsidRPr="00D773F7">
        <w:rPr>
          <w:rFonts w:asciiTheme="majorBidi" w:hAnsiTheme="majorBidi" w:cstheme="majorBidi"/>
        </w:rPr>
        <w:t>the last sentence of the paragraph</w:t>
      </w:r>
      <w:r w:rsidR="002B03A0" w:rsidRPr="00D773F7">
        <w:rPr>
          <w:rFonts w:asciiTheme="majorBidi" w:hAnsiTheme="majorBidi" w:cstheme="majorBidi"/>
        </w:rPr>
        <w:t xml:space="preserve"> to read as follows:</w:t>
      </w:r>
      <w:r w:rsidRPr="00D773F7">
        <w:rPr>
          <w:rFonts w:asciiTheme="majorBidi" w:hAnsiTheme="majorBidi" w:cstheme="majorBidi"/>
        </w:rPr>
        <w:t xml:space="preserve"> “Table 3.5.2 presents specific label elements for substances and mixtures classified into this hazard class based on the criteria in this chapter.”</w:t>
      </w:r>
      <w:r w:rsidR="002B03A0" w:rsidRPr="00D773F7" w:rsidDel="002B03A0">
        <w:rPr>
          <w:rFonts w:asciiTheme="majorBidi" w:hAnsiTheme="majorBidi" w:cstheme="majorBidi"/>
        </w:rPr>
        <w:t xml:space="preserve"> </w:t>
      </w:r>
    </w:p>
    <w:p w14:paraId="6F819227" w14:textId="680D20AD" w:rsidR="00922867" w:rsidRPr="00D773F7" w:rsidRDefault="00922867" w:rsidP="002F742C">
      <w:pPr>
        <w:pStyle w:val="SingleTxtG"/>
        <w:tabs>
          <w:tab w:val="clear" w:pos="1701"/>
        </w:tabs>
        <w:ind w:left="2268" w:hanging="1134"/>
        <w:rPr>
          <w:rFonts w:asciiTheme="majorBidi" w:hAnsiTheme="majorBidi" w:cstheme="majorBidi"/>
        </w:rPr>
      </w:pPr>
      <w:r w:rsidRPr="00D773F7">
        <w:rPr>
          <w:rFonts w:asciiTheme="majorBidi" w:hAnsiTheme="majorBidi" w:cstheme="majorBidi"/>
        </w:rPr>
        <w:t xml:space="preserve">3.5.5.1.1 </w:t>
      </w:r>
      <w:r w:rsidRPr="00D773F7">
        <w:rPr>
          <w:rFonts w:asciiTheme="majorBidi" w:hAnsiTheme="majorBidi" w:cstheme="majorBidi"/>
        </w:rPr>
        <w:tab/>
      </w:r>
      <w:r w:rsidR="00A5506C" w:rsidRPr="00D773F7">
        <w:rPr>
          <w:rFonts w:asciiTheme="majorBidi" w:hAnsiTheme="majorBidi" w:cstheme="majorBidi"/>
        </w:rPr>
        <w:t>In d</w:t>
      </w:r>
      <w:r w:rsidRPr="00D773F7">
        <w:rPr>
          <w:rFonts w:asciiTheme="majorBidi" w:hAnsiTheme="majorBidi" w:cstheme="majorBidi"/>
        </w:rPr>
        <w:t xml:space="preserve">ecision logic 3.5.1, replace “approach” with “assessment” </w:t>
      </w:r>
      <w:r w:rsidR="00A5506C" w:rsidRPr="00D773F7">
        <w:rPr>
          <w:rFonts w:asciiTheme="majorBidi" w:hAnsiTheme="majorBidi" w:cstheme="majorBidi"/>
        </w:rPr>
        <w:t>in the second and third text boxes down.</w:t>
      </w:r>
    </w:p>
    <w:p w14:paraId="1F0662E2" w14:textId="0080ECE6" w:rsidR="00C777B3" w:rsidRPr="00D773F7" w:rsidRDefault="00C777B3" w:rsidP="005659D2">
      <w:pPr>
        <w:pStyle w:val="H1G"/>
        <w:rPr>
          <w:rFonts w:asciiTheme="majorBidi" w:hAnsiTheme="majorBidi" w:cstheme="majorBidi"/>
          <w:lang w:eastAsia="en-US"/>
        </w:rPr>
      </w:pPr>
      <w:r w:rsidRPr="00D773F7">
        <w:rPr>
          <w:rFonts w:asciiTheme="majorBidi" w:hAnsiTheme="majorBidi" w:cstheme="majorBidi"/>
          <w:lang w:eastAsia="en-US"/>
        </w:rPr>
        <w:tab/>
      </w:r>
      <w:r w:rsidRPr="00D773F7">
        <w:rPr>
          <w:rFonts w:asciiTheme="majorBidi" w:hAnsiTheme="majorBidi" w:cstheme="majorBidi"/>
          <w:lang w:eastAsia="en-US"/>
        </w:rPr>
        <w:tab/>
        <w:t>Chapter 3.6</w:t>
      </w:r>
    </w:p>
    <w:p w14:paraId="5552D134" w14:textId="12E757C8" w:rsidR="00893053" w:rsidRPr="00D773F7" w:rsidRDefault="00893053" w:rsidP="00FF5260">
      <w:pPr>
        <w:pStyle w:val="SingleTxtG"/>
        <w:tabs>
          <w:tab w:val="clear" w:pos="1701"/>
          <w:tab w:val="clear" w:pos="2835"/>
        </w:tabs>
        <w:ind w:left="2268" w:hanging="1134"/>
        <w:rPr>
          <w:rFonts w:asciiTheme="majorBidi" w:hAnsiTheme="majorBidi" w:cstheme="majorBidi"/>
        </w:rPr>
      </w:pPr>
      <w:r w:rsidRPr="00D773F7">
        <w:rPr>
          <w:rFonts w:asciiTheme="majorBidi" w:hAnsiTheme="majorBidi" w:cstheme="majorBidi"/>
        </w:rPr>
        <w:t>3.6.3.2.4</w:t>
      </w:r>
      <w:r w:rsidRPr="00D773F7">
        <w:rPr>
          <w:rFonts w:asciiTheme="majorBidi" w:hAnsiTheme="majorBidi" w:cstheme="majorBidi"/>
        </w:rPr>
        <w:tab/>
      </w:r>
      <w:r w:rsidR="00A5506C" w:rsidRPr="00D773F7">
        <w:rPr>
          <w:rFonts w:asciiTheme="majorBidi" w:hAnsiTheme="majorBidi" w:cstheme="majorBidi"/>
        </w:rPr>
        <w:tab/>
      </w:r>
      <w:r w:rsidR="002B03A0" w:rsidRPr="00D773F7">
        <w:rPr>
          <w:rFonts w:asciiTheme="majorBidi" w:hAnsiTheme="majorBidi" w:cstheme="majorBidi"/>
        </w:rPr>
        <w:t>In the last sentence r</w:t>
      </w:r>
      <w:r w:rsidRPr="00D773F7">
        <w:rPr>
          <w:rFonts w:asciiTheme="majorBidi" w:hAnsiTheme="majorBidi" w:cstheme="majorBidi"/>
        </w:rPr>
        <w:t xml:space="preserve">eplace “by testing” with “based on test data” </w:t>
      </w:r>
      <w:r w:rsidR="002F7051" w:rsidRPr="00D773F7">
        <w:rPr>
          <w:rFonts w:asciiTheme="majorBidi" w:hAnsiTheme="majorBidi" w:cstheme="majorBidi"/>
        </w:rPr>
        <w:t>and “assigned” with “classified in”.</w:t>
      </w:r>
    </w:p>
    <w:p w14:paraId="1ABC8206" w14:textId="7D9C97E1" w:rsidR="00EC0D7C" w:rsidRPr="00D773F7" w:rsidRDefault="00EC0D7C" w:rsidP="00EC0D7C">
      <w:pPr>
        <w:pStyle w:val="SingleTxtG"/>
        <w:tabs>
          <w:tab w:val="clear" w:pos="1701"/>
        </w:tabs>
        <w:rPr>
          <w:rFonts w:asciiTheme="majorBidi" w:hAnsiTheme="majorBidi" w:cstheme="majorBidi"/>
        </w:rPr>
      </w:pPr>
      <w:r w:rsidRPr="00D773F7">
        <w:rPr>
          <w:rFonts w:asciiTheme="majorBidi" w:hAnsiTheme="majorBidi" w:cstheme="majorBidi"/>
        </w:rPr>
        <w:t>3.6.4</w:t>
      </w:r>
      <w:r w:rsidRPr="00D773F7">
        <w:rPr>
          <w:rFonts w:asciiTheme="majorBidi" w:hAnsiTheme="majorBidi" w:cstheme="majorBidi"/>
        </w:rPr>
        <w:tab/>
      </w:r>
      <w:r w:rsidR="002B03A0" w:rsidRPr="00D773F7">
        <w:rPr>
          <w:rFonts w:asciiTheme="majorBidi" w:hAnsiTheme="majorBidi" w:cstheme="majorBidi"/>
        </w:rPr>
        <w:t xml:space="preserve">Amend </w:t>
      </w:r>
      <w:r w:rsidRPr="00D773F7">
        <w:rPr>
          <w:rFonts w:asciiTheme="majorBidi" w:hAnsiTheme="majorBidi" w:cstheme="majorBidi"/>
        </w:rPr>
        <w:t>the last sentence of the paragraph</w:t>
      </w:r>
      <w:r w:rsidR="002B03A0" w:rsidRPr="00D773F7">
        <w:rPr>
          <w:rFonts w:asciiTheme="majorBidi" w:hAnsiTheme="majorBidi" w:cstheme="majorBidi"/>
        </w:rPr>
        <w:t xml:space="preserve"> to read as follows:</w:t>
      </w:r>
    </w:p>
    <w:p w14:paraId="4CD4EAE2" w14:textId="2940321A" w:rsidR="00EC0D7C" w:rsidRPr="00D773F7" w:rsidRDefault="00EC0D7C">
      <w:pPr>
        <w:pStyle w:val="SingleTxtG"/>
        <w:tabs>
          <w:tab w:val="clear" w:pos="1701"/>
        </w:tabs>
        <w:ind w:left="2268"/>
        <w:rPr>
          <w:rFonts w:asciiTheme="majorBidi" w:hAnsiTheme="majorBidi" w:cstheme="majorBidi"/>
        </w:rPr>
      </w:pPr>
      <w:r w:rsidRPr="00D773F7">
        <w:rPr>
          <w:rFonts w:asciiTheme="majorBidi" w:hAnsiTheme="majorBidi" w:cstheme="majorBidi"/>
        </w:rPr>
        <w:t xml:space="preserve">“Table 3.6.2 presents specific label elements for substances and mixtures classified into this hazard class based on the criteria in this chapter.” </w:t>
      </w:r>
    </w:p>
    <w:p w14:paraId="2723AFFC" w14:textId="6B165C48" w:rsidR="008E0B11" w:rsidRPr="00D773F7" w:rsidRDefault="008E0B11">
      <w:pPr>
        <w:pStyle w:val="SingleTxtG"/>
        <w:ind w:left="2268" w:hanging="1134"/>
        <w:rPr>
          <w:rFonts w:asciiTheme="majorBidi" w:hAnsiTheme="majorBidi" w:cstheme="majorBidi"/>
        </w:rPr>
      </w:pPr>
      <w:r w:rsidRPr="00D773F7">
        <w:rPr>
          <w:rFonts w:asciiTheme="majorBidi" w:hAnsiTheme="majorBidi" w:cstheme="majorBidi"/>
        </w:rPr>
        <w:t>3.6.5.3.2</w:t>
      </w:r>
      <w:r w:rsidRPr="00D773F7">
        <w:rPr>
          <w:rFonts w:asciiTheme="majorBidi" w:hAnsiTheme="majorBidi" w:cstheme="majorBidi"/>
        </w:rPr>
        <w:tab/>
      </w:r>
      <w:r w:rsidR="002B03A0" w:rsidRPr="00D773F7">
        <w:rPr>
          <w:rFonts w:asciiTheme="majorBidi" w:hAnsiTheme="majorBidi" w:cstheme="majorBidi"/>
        </w:rPr>
        <w:t>I</w:t>
      </w:r>
      <w:r w:rsidR="004D7417" w:rsidRPr="00D773F7">
        <w:rPr>
          <w:rFonts w:asciiTheme="majorBidi" w:hAnsiTheme="majorBidi" w:cstheme="majorBidi"/>
        </w:rPr>
        <w:t>n</w:t>
      </w:r>
      <w:r w:rsidR="002B03A0" w:rsidRPr="00D773F7">
        <w:rPr>
          <w:rFonts w:asciiTheme="majorBidi" w:hAnsiTheme="majorBidi" w:cstheme="majorBidi"/>
        </w:rPr>
        <w:t xml:space="preserve"> the second sentence r</w:t>
      </w:r>
      <w:r w:rsidRPr="00D773F7">
        <w:rPr>
          <w:rFonts w:asciiTheme="majorBidi" w:hAnsiTheme="majorBidi" w:cstheme="majorBidi"/>
        </w:rPr>
        <w:t>eplace “analysis” with “assessment”</w:t>
      </w:r>
      <w:r w:rsidR="002B03A0" w:rsidRPr="00D773F7">
        <w:rPr>
          <w:rFonts w:asciiTheme="majorBidi" w:hAnsiTheme="majorBidi" w:cstheme="majorBidi"/>
        </w:rPr>
        <w:t xml:space="preserve">. </w:t>
      </w:r>
    </w:p>
    <w:p w14:paraId="4395DBC7" w14:textId="0D11CA7B" w:rsidR="008E0B11" w:rsidRPr="00D773F7" w:rsidRDefault="008E0B11">
      <w:pPr>
        <w:pStyle w:val="SingleTxtG"/>
        <w:ind w:left="2268" w:hanging="1134"/>
        <w:rPr>
          <w:rFonts w:asciiTheme="majorBidi" w:hAnsiTheme="majorBidi" w:cstheme="majorBidi"/>
        </w:rPr>
      </w:pPr>
      <w:r w:rsidRPr="00D773F7">
        <w:rPr>
          <w:rFonts w:asciiTheme="majorBidi" w:hAnsiTheme="majorBidi" w:cstheme="majorBidi"/>
        </w:rPr>
        <w:t>3.6.5.3.2.1</w:t>
      </w:r>
      <w:r w:rsidRPr="00D773F7">
        <w:rPr>
          <w:rFonts w:asciiTheme="majorBidi" w:hAnsiTheme="majorBidi" w:cstheme="majorBidi"/>
        </w:rPr>
        <w:tab/>
      </w:r>
      <w:r w:rsidR="002B03A0" w:rsidRPr="00D773F7">
        <w:rPr>
          <w:rFonts w:asciiTheme="majorBidi" w:hAnsiTheme="majorBidi" w:cstheme="majorBidi"/>
        </w:rPr>
        <w:t>In the last sentence r</w:t>
      </w:r>
      <w:r w:rsidRPr="00D773F7">
        <w:rPr>
          <w:rFonts w:asciiTheme="majorBidi" w:hAnsiTheme="majorBidi" w:cstheme="majorBidi"/>
        </w:rPr>
        <w:t xml:space="preserve">eplace “evaluation” with “assessment” </w:t>
      </w:r>
    </w:p>
    <w:p w14:paraId="671D3642" w14:textId="31201834" w:rsidR="008E0B11" w:rsidRPr="00D773F7" w:rsidRDefault="008E0B11" w:rsidP="008E0B11">
      <w:pPr>
        <w:pStyle w:val="SingleTxtG"/>
        <w:ind w:left="2268" w:hanging="1134"/>
        <w:rPr>
          <w:rFonts w:asciiTheme="majorBidi" w:hAnsiTheme="majorBidi" w:cstheme="majorBidi"/>
        </w:rPr>
      </w:pPr>
      <w:r w:rsidRPr="00D773F7">
        <w:rPr>
          <w:rFonts w:asciiTheme="majorBidi" w:hAnsiTheme="majorBidi" w:cstheme="majorBidi"/>
        </w:rPr>
        <w:t xml:space="preserve">3.6.5.1 </w:t>
      </w:r>
      <w:r w:rsidRPr="00D773F7">
        <w:rPr>
          <w:rFonts w:asciiTheme="majorBidi" w:hAnsiTheme="majorBidi" w:cstheme="majorBidi"/>
        </w:rPr>
        <w:tab/>
      </w:r>
      <w:r w:rsidR="00A5506C" w:rsidRPr="00D773F7">
        <w:rPr>
          <w:rFonts w:asciiTheme="majorBidi" w:hAnsiTheme="majorBidi" w:cstheme="majorBidi"/>
        </w:rPr>
        <w:t>In d</w:t>
      </w:r>
      <w:r w:rsidRPr="00D773F7">
        <w:rPr>
          <w:rFonts w:asciiTheme="majorBidi" w:hAnsiTheme="majorBidi" w:cstheme="majorBidi"/>
        </w:rPr>
        <w:t>ecision logic 3.6.1 replace “approach” with “assessment” in the second and third textboxes down.</w:t>
      </w:r>
    </w:p>
    <w:p w14:paraId="4713C4C3" w14:textId="3FFF9791" w:rsidR="00D77B67" w:rsidRPr="00D773F7" w:rsidRDefault="00D77B67" w:rsidP="00DA4D71">
      <w:pPr>
        <w:pStyle w:val="H1G"/>
        <w:rPr>
          <w:rFonts w:asciiTheme="majorBidi" w:hAnsiTheme="majorBidi" w:cstheme="majorBidi"/>
          <w:lang w:eastAsia="en-US"/>
        </w:rPr>
      </w:pPr>
      <w:r w:rsidRPr="00D773F7">
        <w:rPr>
          <w:rFonts w:asciiTheme="majorBidi" w:hAnsiTheme="majorBidi" w:cstheme="majorBidi"/>
          <w:lang w:eastAsia="en-US"/>
        </w:rPr>
        <w:lastRenderedPageBreak/>
        <w:tab/>
      </w:r>
      <w:r w:rsidRPr="00D773F7">
        <w:rPr>
          <w:rFonts w:asciiTheme="majorBidi" w:hAnsiTheme="majorBidi" w:cstheme="majorBidi"/>
          <w:lang w:eastAsia="en-US"/>
        </w:rPr>
        <w:tab/>
        <w:t>Chapter 3.7</w:t>
      </w:r>
    </w:p>
    <w:p w14:paraId="386D6DCC" w14:textId="2C645532" w:rsidR="00BD534D" w:rsidRPr="00D773F7" w:rsidRDefault="00BD534D" w:rsidP="00DA4D71">
      <w:pPr>
        <w:pStyle w:val="SingleTxtG"/>
        <w:keepNext/>
        <w:keepLines/>
        <w:tabs>
          <w:tab w:val="clear" w:pos="1701"/>
        </w:tabs>
        <w:ind w:left="2268" w:hanging="1134"/>
        <w:rPr>
          <w:rFonts w:asciiTheme="majorBidi" w:hAnsiTheme="majorBidi" w:cstheme="majorBidi"/>
        </w:rPr>
      </w:pPr>
      <w:r w:rsidRPr="00D773F7">
        <w:rPr>
          <w:rFonts w:asciiTheme="majorBidi" w:hAnsiTheme="majorBidi" w:cstheme="majorBidi"/>
        </w:rPr>
        <w:t>3.7.2.2.1</w:t>
      </w:r>
      <w:r w:rsidRPr="00D773F7">
        <w:rPr>
          <w:rFonts w:asciiTheme="majorBidi" w:hAnsiTheme="majorBidi" w:cstheme="majorBidi"/>
        </w:rPr>
        <w:tab/>
      </w:r>
      <w:r w:rsidR="002B03A0" w:rsidRPr="00D773F7">
        <w:rPr>
          <w:rFonts w:asciiTheme="majorBidi" w:hAnsiTheme="majorBidi" w:cstheme="majorBidi"/>
        </w:rPr>
        <w:t>In the first sentence r</w:t>
      </w:r>
      <w:r w:rsidRPr="00D773F7">
        <w:rPr>
          <w:rFonts w:asciiTheme="majorBidi" w:hAnsiTheme="majorBidi" w:cstheme="majorBidi"/>
        </w:rPr>
        <w:t>eplace “an assessment of the total weight of evidence” with “a total weight of evidence assessment”.</w:t>
      </w:r>
    </w:p>
    <w:p w14:paraId="5919EF98" w14:textId="4CB887AD" w:rsidR="00BD534D" w:rsidRPr="00D773F7" w:rsidRDefault="00BD534D" w:rsidP="002F742C">
      <w:pPr>
        <w:pStyle w:val="SingleTxtG"/>
        <w:tabs>
          <w:tab w:val="clear" w:pos="1701"/>
        </w:tabs>
        <w:ind w:left="2268" w:hanging="1134"/>
        <w:rPr>
          <w:rFonts w:asciiTheme="majorBidi" w:hAnsiTheme="majorBidi" w:cstheme="majorBidi"/>
        </w:rPr>
      </w:pPr>
      <w:r w:rsidRPr="00D773F7">
        <w:rPr>
          <w:rFonts w:asciiTheme="majorBidi" w:hAnsiTheme="majorBidi" w:cstheme="majorBidi"/>
        </w:rPr>
        <w:t>3.7.2.3.1</w:t>
      </w:r>
      <w:r w:rsidRPr="00D773F7">
        <w:rPr>
          <w:rFonts w:asciiTheme="majorBidi" w:hAnsiTheme="majorBidi" w:cstheme="majorBidi"/>
        </w:rPr>
        <w:tab/>
      </w:r>
      <w:r w:rsidR="002B03A0" w:rsidRPr="00D773F7">
        <w:rPr>
          <w:rFonts w:asciiTheme="majorBidi" w:hAnsiTheme="majorBidi" w:cstheme="majorBidi"/>
        </w:rPr>
        <w:t>In the first sentence r</w:t>
      </w:r>
      <w:r w:rsidRPr="00D773F7">
        <w:rPr>
          <w:rFonts w:asciiTheme="majorBidi" w:hAnsiTheme="majorBidi" w:cstheme="majorBidi"/>
        </w:rPr>
        <w:t>eplace “an assessment of the total weight of evidence” with “a total weight of evidence assessment”.</w:t>
      </w:r>
    </w:p>
    <w:p w14:paraId="530974CE" w14:textId="3BD9F180" w:rsidR="00BD534D" w:rsidRPr="00D773F7" w:rsidRDefault="00BD534D" w:rsidP="002F742C">
      <w:pPr>
        <w:pStyle w:val="SingleTxtG"/>
        <w:tabs>
          <w:tab w:val="clear" w:pos="1701"/>
          <w:tab w:val="clear" w:pos="2268"/>
        </w:tabs>
        <w:ind w:left="2268" w:hanging="1134"/>
        <w:rPr>
          <w:rFonts w:asciiTheme="majorBidi" w:hAnsiTheme="majorBidi" w:cstheme="majorBidi"/>
        </w:rPr>
      </w:pPr>
      <w:r w:rsidRPr="00D773F7">
        <w:rPr>
          <w:rFonts w:asciiTheme="majorBidi" w:hAnsiTheme="majorBidi" w:cstheme="majorBidi"/>
        </w:rPr>
        <w:t>3.7.2.4.1</w:t>
      </w:r>
      <w:r w:rsidRPr="00D773F7">
        <w:rPr>
          <w:rFonts w:asciiTheme="majorBidi" w:hAnsiTheme="majorBidi" w:cstheme="majorBidi"/>
        </w:rPr>
        <w:tab/>
      </w:r>
      <w:r w:rsidR="002B03A0" w:rsidRPr="00D773F7">
        <w:rPr>
          <w:rFonts w:asciiTheme="majorBidi" w:hAnsiTheme="majorBidi" w:cstheme="majorBidi"/>
        </w:rPr>
        <w:t>In the fourth sentence r</w:t>
      </w:r>
      <w:r w:rsidRPr="00D773F7">
        <w:rPr>
          <w:rFonts w:asciiTheme="majorBidi" w:hAnsiTheme="majorBidi" w:cstheme="majorBidi"/>
        </w:rPr>
        <w:t>eplace “approach” with “assessment”</w:t>
      </w:r>
      <w:r w:rsidR="002B03A0" w:rsidRPr="00D773F7">
        <w:rPr>
          <w:rFonts w:asciiTheme="majorBidi" w:hAnsiTheme="majorBidi" w:cstheme="majorBidi"/>
        </w:rPr>
        <w:t>.</w:t>
      </w:r>
      <w:r w:rsidRPr="00D773F7">
        <w:rPr>
          <w:rFonts w:asciiTheme="majorBidi" w:hAnsiTheme="majorBidi" w:cstheme="majorBidi"/>
        </w:rPr>
        <w:t xml:space="preserve"> </w:t>
      </w:r>
    </w:p>
    <w:p w14:paraId="7E74E532" w14:textId="152AD972" w:rsidR="00BF4C8D" w:rsidRPr="00D773F7" w:rsidRDefault="00BF4C8D" w:rsidP="002F742C">
      <w:pPr>
        <w:pStyle w:val="SingleTxtG"/>
        <w:tabs>
          <w:tab w:val="clear" w:pos="1701"/>
          <w:tab w:val="clear" w:pos="2835"/>
        </w:tabs>
        <w:ind w:left="2268" w:hanging="1134"/>
        <w:rPr>
          <w:rFonts w:asciiTheme="majorBidi" w:hAnsiTheme="majorBidi" w:cstheme="majorBidi"/>
        </w:rPr>
      </w:pPr>
      <w:r w:rsidRPr="00D773F7">
        <w:rPr>
          <w:rFonts w:asciiTheme="majorBidi" w:hAnsiTheme="majorBidi" w:cstheme="majorBidi"/>
        </w:rPr>
        <w:t>3.7.3.2.4</w:t>
      </w:r>
      <w:r w:rsidRPr="00D773F7">
        <w:rPr>
          <w:rFonts w:asciiTheme="majorBidi" w:hAnsiTheme="majorBidi" w:cstheme="majorBidi"/>
        </w:rPr>
        <w:tab/>
      </w:r>
      <w:r w:rsidR="002F742C" w:rsidRPr="00D773F7">
        <w:rPr>
          <w:rFonts w:asciiTheme="majorBidi" w:hAnsiTheme="majorBidi" w:cstheme="majorBidi"/>
        </w:rPr>
        <w:tab/>
      </w:r>
      <w:r w:rsidR="002B03A0" w:rsidRPr="00D773F7">
        <w:rPr>
          <w:rFonts w:asciiTheme="majorBidi" w:hAnsiTheme="majorBidi" w:cstheme="majorBidi"/>
        </w:rPr>
        <w:t xml:space="preserve">In the last sentence </w:t>
      </w:r>
      <w:r w:rsidR="00255BFE" w:rsidRPr="00D773F7">
        <w:rPr>
          <w:rFonts w:asciiTheme="majorBidi" w:hAnsiTheme="majorBidi" w:cstheme="majorBidi"/>
        </w:rPr>
        <w:t>replace “by testing” with “based on test data”</w:t>
      </w:r>
      <w:r w:rsidR="00F23D82" w:rsidRPr="00D773F7">
        <w:rPr>
          <w:rFonts w:asciiTheme="majorBidi" w:hAnsiTheme="majorBidi" w:cstheme="majorBidi"/>
        </w:rPr>
        <w:t xml:space="preserve"> and “assigned” with “classified in”</w:t>
      </w:r>
      <w:r w:rsidRPr="00D773F7">
        <w:rPr>
          <w:rFonts w:asciiTheme="majorBidi" w:hAnsiTheme="majorBidi" w:cstheme="majorBidi"/>
        </w:rPr>
        <w:t xml:space="preserve">. </w:t>
      </w:r>
    </w:p>
    <w:p w14:paraId="041211A5" w14:textId="5104401D" w:rsidR="00426215" w:rsidRPr="00D773F7" w:rsidRDefault="00426215" w:rsidP="002F742C">
      <w:pPr>
        <w:pStyle w:val="SingleTxtG"/>
        <w:tabs>
          <w:tab w:val="clear" w:pos="1701"/>
        </w:tabs>
        <w:ind w:left="2268" w:hanging="1134"/>
        <w:rPr>
          <w:rFonts w:asciiTheme="majorBidi" w:hAnsiTheme="majorBidi" w:cstheme="majorBidi"/>
        </w:rPr>
      </w:pPr>
      <w:r w:rsidRPr="00D773F7">
        <w:rPr>
          <w:rFonts w:asciiTheme="majorBidi" w:hAnsiTheme="majorBidi" w:cstheme="majorBidi"/>
        </w:rPr>
        <w:t>3.7.4</w:t>
      </w:r>
      <w:r w:rsidRPr="00D773F7">
        <w:rPr>
          <w:rFonts w:asciiTheme="majorBidi" w:hAnsiTheme="majorBidi" w:cstheme="majorBidi"/>
        </w:rPr>
        <w:tab/>
      </w:r>
      <w:r w:rsidR="00F23D82" w:rsidRPr="00D773F7">
        <w:rPr>
          <w:rFonts w:asciiTheme="majorBidi" w:hAnsiTheme="majorBidi" w:cstheme="majorBidi"/>
        </w:rPr>
        <w:t xml:space="preserve">Add the following sentence at the end of the paragraph: </w:t>
      </w:r>
      <w:r w:rsidRPr="00D773F7">
        <w:rPr>
          <w:rFonts w:asciiTheme="majorBidi" w:hAnsiTheme="majorBidi" w:cstheme="majorBidi"/>
        </w:rPr>
        <w:t>“</w:t>
      </w:r>
      <w:bookmarkStart w:id="18" w:name="_Hlk124935572"/>
      <w:r w:rsidRPr="00D773F7">
        <w:rPr>
          <w:rFonts w:asciiTheme="majorBidi" w:hAnsiTheme="majorBidi" w:cstheme="majorBidi"/>
        </w:rPr>
        <w:t>Table 3.7.2 presents specific label elements for substances and mixtures classified into this hazard class based on the criteria in this chapter.</w:t>
      </w:r>
      <w:bookmarkEnd w:id="18"/>
      <w:r w:rsidRPr="00D773F7">
        <w:rPr>
          <w:rFonts w:asciiTheme="majorBidi" w:hAnsiTheme="majorBidi" w:cstheme="majorBidi"/>
        </w:rPr>
        <w:t xml:space="preserve">” </w:t>
      </w:r>
    </w:p>
    <w:p w14:paraId="2CD2F3D4" w14:textId="604945B8" w:rsidR="00BD534D" w:rsidRPr="00D773F7" w:rsidRDefault="00BD534D" w:rsidP="002F742C">
      <w:pPr>
        <w:pStyle w:val="SingleTxtG"/>
        <w:tabs>
          <w:tab w:val="clear" w:pos="1701"/>
        </w:tabs>
        <w:ind w:left="2268" w:hanging="1134"/>
        <w:rPr>
          <w:rFonts w:asciiTheme="majorBidi" w:hAnsiTheme="majorBidi" w:cstheme="majorBidi"/>
        </w:rPr>
      </w:pPr>
      <w:r w:rsidRPr="00D773F7">
        <w:rPr>
          <w:rFonts w:asciiTheme="majorBidi" w:hAnsiTheme="majorBidi" w:cstheme="majorBidi"/>
        </w:rPr>
        <w:t xml:space="preserve">3.7.5.1.1 </w:t>
      </w:r>
      <w:r w:rsidRPr="00D773F7">
        <w:rPr>
          <w:rFonts w:asciiTheme="majorBidi" w:hAnsiTheme="majorBidi" w:cstheme="majorBidi"/>
        </w:rPr>
        <w:tab/>
      </w:r>
      <w:r w:rsidR="00A5506C" w:rsidRPr="00D773F7">
        <w:rPr>
          <w:rFonts w:asciiTheme="majorBidi" w:hAnsiTheme="majorBidi" w:cstheme="majorBidi"/>
        </w:rPr>
        <w:t>In d</w:t>
      </w:r>
      <w:r w:rsidRPr="00D773F7">
        <w:rPr>
          <w:rFonts w:asciiTheme="majorBidi" w:hAnsiTheme="majorBidi" w:cstheme="majorBidi"/>
        </w:rPr>
        <w:t>ecision logic 3.7.1 replace “approach” with “assessment” in the second and third textboxes down.</w:t>
      </w:r>
    </w:p>
    <w:p w14:paraId="0793C629" w14:textId="038A97ED" w:rsidR="00905CEC" w:rsidRPr="00D773F7" w:rsidRDefault="00905CEC" w:rsidP="005270DE">
      <w:pPr>
        <w:pStyle w:val="H1G"/>
        <w:rPr>
          <w:rFonts w:asciiTheme="majorBidi" w:hAnsiTheme="majorBidi" w:cstheme="majorBidi"/>
          <w:lang w:eastAsia="en-US"/>
        </w:rPr>
      </w:pPr>
      <w:r w:rsidRPr="00D773F7">
        <w:rPr>
          <w:rFonts w:asciiTheme="majorBidi" w:hAnsiTheme="majorBidi" w:cstheme="majorBidi"/>
          <w:lang w:eastAsia="en-US"/>
        </w:rPr>
        <w:tab/>
      </w:r>
      <w:r w:rsidRPr="00D773F7">
        <w:rPr>
          <w:rFonts w:asciiTheme="majorBidi" w:hAnsiTheme="majorBidi" w:cstheme="majorBidi"/>
          <w:lang w:eastAsia="en-US"/>
        </w:rPr>
        <w:tab/>
        <w:t>Chapter 3.8</w:t>
      </w:r>
    </w:p>
    <w:p w14:paraId="3AFDC397" w14:textId="6D8AB133" w:rsidR="00E82DBE" w:rsidRPr="00D773F7" w:rsidRDefault="00E82DBE" w:rsidP="00F734CA">
      <w:pPr>
        <w:pStyle w:val="Bullet1G"/>
        <w:numPr>
          <w:ilvl w:val="0"/>
          <w:numId w:val="0"/>
        </w:numPr>
        <w:suppressAutoHyphens/>
        <w:kinsoku w:val="0"/>
        <w:overflowPunct w:val="0"/>
        <w:autoSpaceDE w:val="0"/>
        <w:autoSpaceDN w:val="0"/>
        <w:adjustRightInd w:val="0"/>
        <w:snapToGrid w:val="0"/>
        <w:ind w:left="2268" w:hanging="1134"/>
        <w:rPr>
          <w:rFonts w:asciiTheme="majorBidi" w:hAnsiTheme="majorBidi" w:cstheme="majorBidi"/>
        </w:rPr>
      </w:pPr>
      <w:r w:rsidRPr="00D773F7">
        <w:rPr>
          <w:rFonts w:asciiTheme="majorBidi" w:hAnsiTheme="majorBidi" w:cstheme="majorBidi"/>
        </w:rPr>
        <w:t xml:space="preserve">Table 3.8.1 </w:t>
      </w:r>
      <w:r w:rsidR="008F5AE6" w:rsidRPr="00D773F7">
        <w:rPr>
          <w:rFonts w:asciiTheme="majorBidi" w:hAnsiTheme="majorBidi" w:cstheme="majorBidi"/>
        </w:rPr>
        <w:tab/>
      </w:r>
      <w:r w:rsidRPr="00D773F7">
        <w:rPr>
          <w:rFonts w:asciiTheme="majorBidi" w:hAnsiTheme="majorBidi" w:cstheme="majorBidi"/>
        </w:rPr>
        <w:t xml:space="preserve">In Note a, </w:t>
      </w:r>
      <w:r w:rsidR="00F23D82" w:rsidRPr="00D773F7">
        <w:rPr>
          <w:rFonts w:asciiTheme="majorBidi" w:hAnsiTheme="majorBidi" w:cstheme="majorBidi"/>
        </w:rPr>
        <w:t xml:space="preserve">first sentence: </w:t>
      </w:r>
      <w:r w:rsidRPr="00D773F7">
        <w:rPr>
          <w:rFonts w:asciiTheme="majorBidi" w:hAnsiTheme="majorBidi" w:cstheme="majorBidi"/>
        </w:rPr>
        <w:t>replace “approach” with “assessment”.</w:t>
      </w:r>
    </w:p>
    <w:p w14:paraId="3445530B" w14:textId="36BA3CBA" w:rsidR="00E82DBE" w:rsidRPr="00D773F7" w:rsidRDefault="002F742C" w:rsidP="00F734CA">
      <w:pPr>
        <w:pStyle w:val="Bullet1G"/>
        <w:numPr>
          <w:ilvl w:val="0"/>
          <w:numId w:val="0"/>
        </w:numPr>
        <w:suppressAutoHyphens/>
        <w:kinsoku w:val="0"/>
        <w:overflowPunct w:val="0"/>
        <w:autoSpaceDE w:val="0"/>
        <w:autoSpaceDN w:val="0"/>
        <w:adjustRightInd w:val="0"/>
        <w:snapToGrid w:val="0"/>
        <w:ind w:left="2268"/>
        <w:rPr>
          <w:rFonts w:asciiTheme="majorBidi" w:hAnsiTheme="majorBidi" w:cstheme="majorBidi"/>
        </w:rPr>
      </w:pPr>
      <w:r w:rsidRPr="00D773F7">
        <w:rPr>
          <w:rFonts w:asciiTheme="majorBidi" w:hAnsiTheme="majorBidi" w:cstheme="majorBidi"/>
        </w:rPr>
        <w:t>I</w:t>
      </w:r>
      <w:r w:rsidR="00E82DBE" w:rsidRPr="00D773F7">
        <w:rPr>
          <w:rFonts w:asciiTheme="majorBidi" w:hAnsiTheme="majorBidi" w:cstheme="majorBidi"/>
        </w:rPr>
        <w:t xml:space="preserve">n Note b, </w:t>
      </w:r>
      <w:r w:rsidR="00F23D82" w:rsidRPr="00D773F7">
        <w:rPr>
          <w:rFonts w:asciiTheme="majorBidi" w:hAnsiTheme="majorBidi" w:cstheme="majorBidi"/>
        </w:rPr>
        <w:t xml:space="preserve">second sentence: </w:t>
      </w:r>
      <w:r w:rsidR="00E82DBE" w:rsidRPr="00D773F7">
        <w:rPr>
          <w:rFonts w:asciiTheme="majorBidi" w:hAnsiTheme="majorBidi" w:cstheme="majorBidi"/>
        </w:rPr>
        <w:t>replace “evaluation” with “assessment”.</w:t>
      </w:r>
    </w:p>
    <w:p w14:paraId="628FA902" w14:textId="2AF41AF0" w:rsidR="00E82DBE" w:rsidRPr="00D773F7" w:rsidRDefault="00E82DBE" w:rsidP="00F734CA">
      <w:pPr>
        <w:pStyle w:val="SingleTxtG"/>
        <w:tabs>
          <w:tab w:val="clear" w:pos="1701"/>
        </w:tabs>
        <w:ind w:left="2268" w:hanging="1134"/>
        <w:rPr>
          <w:rFonts w:asciiTheme="majorBidi" w:hAnsiTheme="majorBidi" w:cstheme="majorBidi"/>
        </w:rPr>
      </w:pPr>
      <w:r w:rsidRPr="00D773F7">
        <w:rPr>
          <w:rFonts w:asciiTheme="majorBidi" w:hAnsiTheme="majorBidi" w:cstheme="majorBidi"/>
        </w:rPr>
        <w:t xml:space="preserve">3.8.2.1.10.1 </w:t>
      </w:r>
      <w:r w:rsidRPr="00D773F7">
        <w:rPr>
          <w:rFonts w:asciiTheme="majorBidi" w:hAnsiTheme="majorBidi" w:cstheme="majorBidi"/>
        </w:rPr>
        <w:tab/>
        <w:t>Replace “approach” with “assessment”.</w:t>
      </w:r>
    </w:p>
    <w:p w14:paraId="3C538DAA" w14:textId="26EE4A61" w:rsidR="00E82DBE" w:rsidRPr="00D773F7" w:rsidRDefault="00E82DBE" w:rsidP="00F734CA">
      <w:pPr>
        <w:pStyle w:val="SingleTxtG"/>
        <w:tabs>
          <w:tab w:val="clear" w:pos="1701"/>
        </w:tabs>
        <w:ind w:left="2268" w:hanging="1134"/>
        <w:rPr>
          <w:rFonts w:asciiTheme="majorBidi" w:hAnsiTheme="majorBidi" w:cstheme="majorBidi"/>
        </w:rPr>
      </w:pPr>
      <w:r w:rsidRPr="00D773F7">
        <w:rPr>
          <w:rFonts w:asciiTheme="majorBidi" w:hAnsiTheme="majorBidi" w:cstheme="majorBidi"/>
        </w:rPr>
        <w:t>3.8.2.2.1 (d)</w:t>
      </w:r>
      <w:r w:rsidRPr="00D773F7">
        <w:rPr>
          <w:rFonts w:asciiTheme="majorBidi" w:hAnsiTheme="majorBidi" w:cstheme="majorBidi"/>
        </w:rPr>
        <w:tab/>
      </w:r>
      <w:r w:rsidR="00F23D82" w:rsidRPr="00D773F7">
        <w:rPr>
          <w:rFonts w:asciiTheme="majorBidi" w:hAnsiTheme="majorBidi" w:cstheme="majorBidi"/>
        </w:rPr>
        <w:t>In the last sentence r</w:t>
      </w:r>
      <w:r w:rsidRPr="00D773F7">
        <w:rPr>
          <w:rFonts w:asciiTheme="majorBidi" w:hAnsiTheme="majorBidi" w:cstheme="majorBidi"/>
        </w:rPr>
        <w:t xml:space="preserve">eplace “evaluation” with “assessment”.  </w:t>
      </w:r>
    </w:p>
    <w:p w14:paraId="6C6E87B9" w14:textId="21B86ABD" w:rsidR="00E82DBE" w:rsidRPr="00D773F7" w:rsidRDefault="00E82DBE" w:rsidP="00F734CA">
      <w:pPr>
        <w:pStyle w:val="SingleTxtG"/>
        <w:tabs>
          <w:tab w:val="clear" w:pos="1701"/>
        </w:tabs>
        <w:ind w:left="2268" w:hanging="1134"/>
        <w:rPr>
          <w:rFonts w:asciiTheme="majorBidi" w:hAnsiTheme="majorBidi" w:cstheme="majorBidi"/>
        </w:rPr>
      </w:pPr>
      <w:r w:rsidRPr="00D773F7">
        <w:rPr>
          <w:rFonts w:asciiTheme="majorBidi" w:hAnsiTheme="majorBidi" w:cstheme="majorBidi"/>
        </w:rPr>
        <w:t>3.8.3.2</w:t>
      </w:r>
      <w:r w:rsidRPr="00D773F7">
        <w:rPr>
          <w:rFonts w:asciiTheme="majorBidi" w:hAnsiTheme="majorBidi" w:cstheme="majorBidi"/>
        </w:rPr>
        <w:tab/>
      </w:r>
      <w:r w:rsidR="00F23D82" w:rsidRPr="00D773F7">
        <w:rPr>
          <w:rFonts w:asciiTheme="majorBidi" w:hAnsiTheme="majorBidi" w:cstheme="majorBidi"/>
        </w:rPr>
        <w:t>In the first sentence r</w:t>
      </w:r>
      <w:r w:rsidRPr="00D773F7">
        <w:rPr>
          <w:rFonts w:asciiTheme="majorBidi" w:hAnsiTheme="majorBidi" w:cstheme="majorBidi"/>
        </w:rPr>
        <w:t>eplace “evaluation” with “assessment”.</w:t>
      </w:r>
    </w:p>
    <w:p w14:paraId="153E523B" w14:textId="2F0571D0" w:rsidR="00462BF4" w:rsidRPr="00D773F7" w:rsidRDefault="00462BF4" w:rsidP="00F734CA">
      <w:pPr>
        <w:pStyle w:val="SingleTxtG"/>
        <w:tabs>
          <w:tab w:val="clear" w:pos="1701"/>
          <w:tab w:val="clear" w:pos="2268"/>
        </w:tabs>
        <w:ind w:left="2268" w:hanging="1134"/>
        <w:rPr>
          <w:rFonts w:asciiTheme="majorBidi" w:hAnsiTheme="majorBidi" w:cstheme="majorBidi"/>
        </w:rPr>
      </w:pPr>
      <w:r w:rsidRPr="00D773F7">
        <w:rPr>
          <w:rFonts w:asciiTheme="majorBidi" w:hAnsiTheme="majorBidi" w:cstheme="majorBidi"/>
        </w:rPr>
        <w:t>3.8.3.3.6</w:t>
      </w:r>
      <w:r w:rsidRPr="00D773F7">
        <w:rPr>
          <w:rFonts w:asciiTheme="majorBidi" w:hAnsiTheme="majorBidi" w:cstheme="majorBidi"/>
        </w:rPr>
        <w:tab/>
      </w:r>
      <w:r w:rsidR="00A75A97" w:rsidRPr="00D773F7">
        <w:rPr>
          <w:rFonts w:asciiTheme="majorBidi" w:hAnsiTheme="majorBidi" w:cstheme="majorBidi"/>
        </w:rPr>
        <w:t xml:space="preserve"> </w:t>
      </w:r>
      <w:r w:rsidR="00F23D82" w:rsidRPr="00D773F7">
        <w:rPr>
          <w:rFonts w:asciiTheme="majorBidi" w:hAnsiTheme="majorBidi" w:cstheme="majorBidi"/>
        </w:rPr>
        <w:t>In the last sentence r</w:t>
      </w:r>
      <w:r w:rsidRPr="00D773F7">
        <w:rPr>
          <w:rFonts w:asciiTheme="majorBidi" w:hAnsiTheme="majorBidi" w:cstheme="majorBidi"/>
        </w:rPr>
        <w:t xml:space="preserve">eplace </w:t>
      </w:r>
      <w:r w:rsidR="00E1314A" w:rsidRPr="00D773F7">
        <w:rPr>
          <w:rFonts w:asciiTheme="majorBidi" w:hAnsiTheme="majorBidi" w:cstheme="majorBidi"/>
        </w:rPr>
        <w:t xml:space="preserve">“by testing” with “based on test data” and </w:t>
      </w:r>
      <w:r w:rsidRPr="00D773F7">
        <w:rPr>
          <w:rFonts w:asciiTheme="majorBidi" w:hAnsiTheme="majorBidi" w:cstheme="majorBidi"/>
        </w:rPr>
        <w:t xml:space="preserve">“assigned” with “classified in”. </w:t>
      </w:r>
    </w:p>
    <w:p w14:paraId="63D2B521" w14:textId="79FE6CF0" w:rsidR="00BB0231" w:rsidRPr="00D773F7" w:rsidRDefault="00BB0231" w:rsidP="002F742C">
      <w:pPr>
        <w:pStyle w:val="SingleTxtG"/>
        <w:tabs>
          <w:tab w:val="clear" w:pos="1701"/>
        </w:tabs>
        <w:ind w:left="2268" w:hanging="1134"/>
        <w:rPr>
          <w:rFonts w:asciiTheme="majorBidi" w:hAnsiTheme="majorBidi" w:cstheme="majorBidi"/>
        </w:rPr>
      </w:pPr>
      <w:r w:rsidRPr="00D773F7">
        <w:rPr>
          <w:rFonts w:asciiTheme="majorBidi" w:hAnsiTheme="majorBidi" w:cstheme="majorBidi"/>
        </w:rPr>
        <w:t>3.8.3.3.7</w:t>
      </w:r>
      <w:r w:rsidRPr="00D773F7">
        <w:rPr>
          <w:rFonts w:asciiTheme="majorBidi" w:hAnsiTheme="majorBidi" w:cstheme="majorBidi"/>
        </w:rPr>
        <w:tab/>
      </w:r>
      <w:r w:rsidR="00152F76" w:rsidRPr="00D773F7">
        <w:rPr>
          <w:rFonts w:asciiTheme="majorBidi" w:hAnsiTheme="majorBidi" w:cstheme="majorBidi"/>
        </w:rPr>
        <w:t>At the beginning of the first sentence r</w:t>
      </w:r>
      <w:r w:rsidRPr="00D773F7">
        <w:rPr>
          <w:rFonts w:asciiTheme="majorBidi" w:hAnsiTheme="majorBidi" w:cstheme="majorBidi"/>
        </w:rPr>
        <w:t>eplace “aerosol</w:t>
      </w:r>
      <w:r w:rsidR="00152F76" w:rsidRPr="00D773F7">
        <w:rPr>
          <w:rFonts w:asciiTheme="majorBidi" w:hAnsiTheme="majorBidi" w:cstheme="majorBidi"/>
        </w:rPr>
        <w:t xml:space="preserve"> form</w:t>
      </w:r>
      <w:r w:rsidRPr="00D773F7">
        <w:rPr>
          <w:rFonts w:asciiTheme="majorBidi" w:hAnsiTheme="majorBidi" w:cstheme="majorBidi"/>
        </w:rPr>
        <w:t>” with “aerosoli</w:t>
      </w:r>
      <w:r w:rsidR="008A3EF4" w:rsidRPr="00D773F7">
        <w:rPr>
          <w:rFonts w:asciiTheme="majorBidi" w:hAnsiTheme="majorBidi" w:cstheme="majorBidi"/>
        </w:rPr>
        <w:t>z</w:t>
      </w:r>
      <w:r w:rsidRPr="00D773F7">
        <w:rPr>
          <w:rFonts w:asciiTheme="majorBidi" w:hAnsiTheme="majorBidi" w:cstheme="majorBidi"/>
        </w:rPr>
        <w:t>ed</w:t>
      </w:r>
      <w:r w:rsidR="00152F76" w:rsidRPr="00D773F7">
        <w:rPr>
          <w:rFonts w:asciiTheme="majorBidi" w:hAnsiTheme="majorBidi" w:cstheme="majorBidi"/>
        </w:rPr>
        <w:t xml:space="preserve"> form</w:t>
      </w:r>
      <w:r w:rsidRPr="00D773F7">
        <w:rPr>
          <w:rFonts w:asciiTheme="majorBidi" w:hAnsiTheme="majorBidi" w:cstheme="majorBidi"/>
        </w:rPr>
        <w:t>”.</w:t>
      </w:r>
    </w:p>
    <w:p w14:paraId="342F2C8F" w14:textId="05A58820" w:rsidR="00974E68" w:rsidRPr="00D773F7" w:rsidRDefault="00974E68" w:rsidP="002F742C">
      <w:pPr>
        <w:pStyle w:val="SingleTxtG"/>
        <w:tabs>
          <w:tab w:val="clear" w:pos="1701"/>
        </w:tabs>
        <w:ind w:left="2268" w:hanging="1134"/>
        <w:rPr>
          <w:rFonts w:asciiTheme="majorBidi" w:hAnsiTheme="majorBidi" w:cstheme="majorBidi"/>
        </w:rPr>
      </w:pPr>
      <w:r w:rsidRPr="00D773F7">
        <w:rPr>
          <w:rFonts w:asciiTheme="majorBidi" w:hAnsiTheme="majorBidi" w:cstheme="majorBidi"/>
        </w:rPr>
        <w:t>3.8.4.1</w:t>
      </w:r>
      <w:r w:rsidRPr="00D773F7">
        <w:rPr>
          <w:rFonts w:asciiTheme="majorBidi" w:hAnsiTheme="majorBidi" w:cstheme="majorBidi"/>
        </w:rPr>
        <w:tab/>
        <w:t xml:space="preserve">Insert </w:t>
      </w:r>
      <w:r w:rsidR="00152F76" w:rsidRPr="00D773F7">
        <w:rPr>
          <w:rFonts w:asciiTheme="majorBidi" w:hAnsiTheme="majorBidi" w:cstheme="majorBidi"/>
        </w:rPr>
        <w:t xml:space="preserve">the following sentence at the end of the paragraph: </w:t>
      </w:r>
      <w:r w:rsidRPr="00D773F7">
        <w:rPr>
          <w:rFonts w:asciiTheme="majorBidi" w:hAnsiTheme="majorBidi" w:cstheme="majorBidi"/>
        </w:rPr>
        <w:t>“</w:t>
      </w:r>
      <w:bookmarkStart w:id="19" w:name="_Hlk124935967"/>
      <w:r w:rsidRPr="00D773F7">
        <w:rPr>
          <w:rFonts w:asciiTheme="majorBidi" w:hAnsiTheme="majorBidi" w:cstheme="majorBidi"/>
        </w:rPr>
        <w:t>Table 3.8.3 presents specific label elements for substances and mixtures classified into this hazard class based on the criteria in this chapter.</w:t>
      </w:r>
      <w:bookmarkEnd w:id="19"/>
      <w:r w:rsidRPr="00D773F7">
        <w:rPr>
          <w:rFonts w:asciiTheme="majorBidi" w:hAnsiTheme="majorBidi" w:cstheme="majorBidi"/>
        </w:rPr>
        <w:t>”.</w:t>
      </w:r>
    </w:p>
    <w:p w14:paraId="6759C3A8" w14:textId="2307E041" w:rsidR="00E82DBE" w:rsidRPr="00D773F7" w:rsidRDefault="00E82DBE" w:rsidP="002F742C">
      <w:pPr>
        <w:pStyle w:val="SingleTxtG"/>
        <w:tabs>
          <w:tab w:val="clear" w:pos="1701"/>
        </w:tabs>
        <w:ind w:left="2268" w:hanging="1134"/>
        <w:rPr>
          <w:rFonts w:asciiTheme="majorBidi" w:hAnsiTheme="majorBidi" w:cstheme="majorBidi"/>
        </w:rPr>
      </w:pPr>
      <w:r w:rsidRPr="00D773F7">
        <w:rPr>
          <w:rFonts w:asciiTheme="majorBidi" w:hAnsiTheme="majorBidi" w:cstheme="majorBidi"/>
        </w:rPr>
        <w:t xml:space="preserve">3.8.5.1 </w:t>
      </w:r>
      <w:r w:rsidRPr="00D773F7">
        <w:rPr>
          <w:rFonts w:asciiTheme="majorBidi" w:hAnsiTheme="majorBidi" w:cstheme="majorBidi"/>
        </w:rPr>
        <w:tab/>
      </w:r>
      <w:r w:rsidR="00152F76" w:rsidRPr="00D773F7">
        <w:rPr>
          <w:rFonts w:asciiTheme="majorBidi" w:hAnsiTheme="majorBidi" w:cstheme="majorBidi"/>
        </w:rPr>
        <w:t>In d</w:t>
      </w:r>
      <w:r w:rsidRPr="00D773F7">
        <w:rPr>
          <w:rFonts w:asciiTheme="majorBidi" w:hAnsiTheme="majorBidi" w:cstheme="majorBidi"/>
        </w:rPr>
        <w:t>ecision logic 3.8.1</w:t>
      </w:r>
      <w:r w:rsidR="00152F76" w:rsidRPr="00D773F7">
        <w:rPr>
          <w:rFonts w:asciiTheme="majorBidi" w:hAnsiTheme="majorBidi" w:cstheme="majorBidi"/>
        </w:rPr>
        <w:t xml:space="preserve"> r</w:t>
      </w:r>
      <w:r w:rsidRPr="00D773F7">
        <w:rPr>
          <w:rFonts w:asciiTheme="majorBidi" w:hAnsiTheme="majorBidi" w:cstheme="majorBidi"/>
        </w:rPr>
        <w:t>eplace “approach” with “assessment” in the fourth, fifth and sixth text boxes down.</w:t>
      </w:r>
    </w:p>
    <w:p w14:paraId="7F60BEFC" w14:textId="56C4794B" w:rsidR="00EF7F22" w:rsidRPr="00D773F7" w:rsidRDefault="00EF7F22" w:rsidP="005270DE">
      <w:pPr>
        <w:pStyle w:val="H1G"/>
        <w:rPr>
          <w:rFonts w:asciiTheme="majorBidi" w:hAnsiTheme="majorBidi" w:cstheme="majorBidi"/>
          <w:lang w:eastAsia="en-US"/>
        </w:rPr>
      </w:pPr>
      <w:r w:rsidRPr="00D773F7">
        <w:rPr>
          <w:rFonts w:asciiTheme="majorBidi" w:hAnsiTheme="majorBidi" w:cstheme="majorBidi"/>
          <w:lang w:eastAsia="en-US"/>
        </w:rPr>
        <w:tab/>
      </w:r>
      <w:r w:rsidRPr="00D773F7">
        <w:rPr>
          <w:rFonts w:asciiTheme="majorBidi" w:hAnsiTheme="majorBidi" w:cstheme="majorBidi"/>
          <w:lang w:eastAsia="en-US"/>
        </w:rPr>
        <w:tab/>
        <w:t>Chapter 3.9</w:t>
      </w:r>
    </w:p>
    <w:p w14:paraId="58D37288" w14:textId="38A60FDD" w:rsidR="00EF7F22" w:rsidRPr="00D773F7" w:rsidRDefault="00EF7F22" w:rsidP="002F742C">
      <w:pPr>
        <w:pStyle w:val="SingleTxtG"/>
        <w:tabs>
          <w:tab w:val="clear" w:pos="1701"/>
          <w:tab w:val="clear" w:pos="2268"/>
        </w:tabs>
        <w:ind w:left="2127" w:hanging="993"/>
        <w:rPr>
          <w:rFonts w:asciiTheme="majorBidi" w:hAnsiTheme="majorBidi" w:cstheme="majorBidi"/>
        </w:rPr>
      </w:pPr>
      <w:r w:rsidRPr="00D773F7">
        <w:rPr>
          <w:rFonts w:asciiTheme="majorBidi" w:hAnsiTheme="majorBidi" w:cstheme="majorBidi"/>
        </w:rPr>
        <w:t>3.9.2.9.8</w:t>
      </w:r>
      <w:r w:rsidRPr="00D773F7">
        <w:rPr>
          <w:rFonts w:asciiTheme="majorBidi" w:hAnsiTheme="majorBidi" w:cstheme="majorBidi"/>
        </w:rPr>
        <w:tab/>
      </w:r>
      <w:r w:rsidR="00F23D82" w:rsidRPr="00D773F7">
        <w:rPr>
          <w:rFonts w:asciiTheme="majorBidi" w:hAnsiTheme="majorBidi" w:cstheme="majorBidi"/>
        </w:rPr>
        <w:t>In the first sentence r</w:t>
      </w:r>
      <w:r w:rsidRPr="00D773F7">
        <w:rPr>
          <w:rFonts w:asciiTheme="majorBidi" w:hAnsiTheme="majorBidi" w:cstheme="majorBidi"/>
        </w:rPr>
        <w:t>eplace “approach” with “assessment”.</w:t>
      </w:r>
    </w:p>
    <w:p w14:paraId="42DDB80D" w14:textId="55BB6BF3" w:rsidR="00EF7F22" w:rsidRPr="00D773F7" w:rsidRDefault="00EF7F22" w:rsidP="002F742C">
      <w:pPr>
        <w:pStyle w:val="SingleTxtG"/>
        <w:tabs>
          <w:tab w:val="clear" w:pos="1701"/>
          <w:tab w:val="clear" w:pos="2268"/>
        </w:tabs>
        <w:ind w:left="2127" w:hanging="993"/>
        <w:rPr>
          <w:rFonts w:asciiTheme="majorBidi" w:hAnsiTheme="majorBidi" w:cstheme="majorBidi"/>
        </w:rPr>
      </w:pPr>
      <w:r w:rsidRPr="00D773F7">
        <w:rPr>
          <w:rFonts w:asciiTheme="majorBidi" w:hAnsiTheme="majorBidi" w:cstheme="majorBidi"/>
        </w:rPr>
        <w:t>3.9.2.10.1</w:t>
      </w:r>
      <w:r w:rsidRPr="00D773F7">
        <w:rPr>
          <w:rFonts w:asciiTheme="majorBidi" w:hAnsiTheme="majorBidi" w:cstheme="majorBidi"/>
        </w:rPr>
        <w:tab/>
      </w:r>
      <w:r w:rsidR="00F16EAA" w:rsidRPr="00D773F7">
        <w:rPr>
          <w:rFonts w:asciiTheme="majorBidi" w:hAnsiTheme="majorBidi" w:cstheme="majorBidi"/>
        </w:rPr>
        <w:t>At the end of the paragraph r</w:t>
      </w:r>
      <w:r w:rsidRPr="00D773F7">
        <w:rPr>
          <w:rFonts w:asciiTheme="majorBidi" w:hAnsiTheme="majorBidi" w:cstheme="majorBidi"/>
        </w:rPr>
        <w:t>eplace “approach” with “assessment”.</w:t>
      </w:r>
    </w:p>
    <w:p w14:paraId="4EEAB319" w14:textId="3AE38CDB" w:rsidR="00EF7F22" w:rsidRPr="00D773F7" w:rsidRDefault="00EF7F22" w:rsidP="002F742C">
      <w:pPr>
        <w:pStyle w:val="SingleTxtG"/>
        <w:tabs>
          <w:tab w:val="clear" w:pos="1701"/>
          <w:tab w:val="clear" w:pos="2268"/>
        </w:tabs>
        <w:ind w:left="2127" w:hanging="993"/>
        <w:rPr>
          <w:rFonts w:asciiTheme="majorBidi" w:hAnsiTheme="majorBidi" w:cstheme="majorBidi"/>
        </w:rPr>
      </w:pPr>
      <w:r w:rsidRPr="00D773F7">
        <w:rPr>
          <w:rFonts w:asciiTheme="majorBidi" w:hAnsiTheme="majorBidi" w:cstheme="majorBidi"/>
        </w:rPr>
        <w:t>3.9.3.2</w:t>
      </w:r>
      <w:r w:rsidRPr="00D773F7">
        <w:rPr>
          <w:rFonts w:asciiTheme="majorBidi" w:hAnsiTheme="majorBidi" w:cstheme="majorBidi"/>
        </w:rPr>
        <w:tab/>
      </w:r>
      <w:r w:rsidR="00622289" w:rsidRPr="00D773F7">
        <w:rPr>
          <w:rFonts w:asciiTheme="majorBidi" w:hAnsiTheme="majorBidi" w:cstheme="majorBidi"/>
        </w:rPr>
        <w:t>In the first sentence r</w:t>
      </w:r>
      <w:r w:rsidRPr="00D773F7">
        <w:rPr>
          <w:rFonts w:asciiTheme="majorBidi" w:hAnsiTheme="majorBidi" w:cstheme="majorBidi"/>
        </w:rPr>
        <w:t>eplace “evaluation” with “assessment”.</w:t>
      </w:r>
    </w:p>
    <w:p w14:paraId="5EFF58D6" w14:textId="726D5677" w:rsidR="007A7C0A" w:rsidRPr="00D773F7" w:rsidRDefault="007A7C0A" w:rsidP="002F742C">
      <w:pPr>
        <w:pStyle w:val="SingleTxtG"/>
        <w:tabs>
          <w:tab w:val="clear" w:pos="1701"/>
          <w:tab w:val="clear" w:pos="2268"/>
        </w:tabs>
        <w:ind w:left="2127" w:hanging="993"/>
        <w:rPr>
          <w:rFonts w:asciiTheme="majorBidi" w:hAnsiTheme="majorBidi" w:cstheme="majorBidi"/>
        </w:rPr>
      </w:pPr>
      <w:r w:rsidRPr="00D773F7">
        <w:rPr>
          <w:rFonts w:asciiTheme="majorBidi" w:hAnsiTheme="majorBidi" w:cstheme="majorBidi"/>
        </w:rPr>
        <w:t xml:space="preserve">3.9.3.3.6 </w:t>
      </w:r>
      <w:r w:rsidRPr="00D773F7">
        <w:rPr>
          <w:rFonts w:asciiTheme="majorBidi" w:hAnsiTheme="majorBidi" w:cstheme="majorBidi"/>
        </w:rPr>
        <w:tab/>
      </w:r>
      <w:r w:rsidR="00622289" w:rsidRPr="00D773F7">
        <w:rPr>
          <w:rFonts w:asciiTheme="majorBidi" w:hAnsiTheme="majorBidi" w:cstheme="majorBidi"/>
        </w:rPr>
        <w:t>In the last sentence r</w:t>
      </w:r>
      <w:r w:rsidRPr="00D773F7">
        <w:rPr>
          <w:rFonts w:asciiTheme="majorBidi" w:hAnsiTheme="majorBidi" w:cstheme="majorBidi"/>
        </w:rPr>
        <w:t xml:space="preserve">eplace “by testing” with “based on test data” </w:t>
      </w:r>
      <w:r w:rsidR="006C0AF7" w:rsidRPr="00D773F7">
        <w:rPr>
          <w:rFonts w:asciiTheme="majorBidi" w:hAnsiTheme="majorBidi" w:cstheme="majorBidi"/>
        </w:rPr>
        <w:t xml:space="preserve">and “assigned” with “classified in” </w:t>
      </w:r>
    </w:p>
    <w:p w14:paraId="085DA9F7" w14:textId="712BB48F" w:rsidR="004C1136" w:rsidRPr="00D773F7" w:rsidRDefault="004C1136" w:rsidP="002F742C">
      <w:pPr>
        <w:pStyle w:val="SingleTxtG"/>
        <w:tabs>
          <w:tab w:val="clear" w:pos="1701"/>
          <w:tab w:val="clear" w:pos="2268"/>
          <w:tab w:val="clear" w:pos="2835"/>
          <w:tab w:val="left" w:pos="2127"/>
        </w:tabs>
        <w:ind w:left="2127" w:hanging="993"/>
        <w:rPr>
          <w:rFonts w:asciiTheme="majorBidi" w:hAnsiTheme="majorBidi" w:cstheme="majorBidi"/>
        </w:rPr>
      </w:pPr>
      <w:r w:rsidRPr="00D773F7">
        <w:rPr>
          <w:rFonts w:asciiTheme="majorBidi" w:hAnsiTheme="majorBidi" w:cstheme="majorBidi"/>
        </w:rPr>
        <w:t xml:space="preserve">3.9.3.3.7 </w:t>
      </w:r>
      <w:r w:rsidRPr="00D773F7">
        <w:rPr>
          <w:rFonts w:asciiTheme="majorBidi" w:hAnsiTheme="majorBidi" w:cstheme="majorBidi"/>
        </w:rPr>
        <w:tab/>
      </w:r>
      <w:r w:rsidR="00F16EAA" w:rsidRPr="00D773F7">
        <w:rPr>
          <w:rFonts w:asciiTheme="majorBidi" w:hAnsiTheme="majorBidi" w:cstheme="majorBidi"/>
        </w:rPr>
        <w:t xml:space="preserve">At the beginning of the </w:t>
      </w:r>
      <w:r w:rsidR="00571E2F" w:rsidRPr="00D773F7">
        <w:rPr>
          <w:rFonts w:asciiTheme="majorBidi" w:hAnsiTheme="majorBidi" w:cstheme="majorBidi"/>
        </w:rPr>
        <w:t>paragraph r</w:t>
      </w:r>
      <w:r w:rsidRPr="00D773F7">
        <w:rPr>
          <w:rFonts w:asciiTheme="majorBidi" w:hAnsiTheme="majorBidi" w:cstheme="majorBidi"/>
        </w:rPr>
        <w:t>eplace “aerosol</w:t>
      </w:r>
      <w:r w:rsidR="00571E2F" w:rsidRPr="00D773F7">
        <w:rPr>
          <w:rFonts w:asciiTheme="majorBidi" w:hAnsiTheme="majorBidi" w:cstheme="majorBidi"/>
        </w:rPr>
        <w:t xml:space="preserve"> form</w:t>
      </w:r>
      <w:r w:rsidRPr="00D773F7">
        <w:rPr>
          <w:rFonts w:asciiTheme="majorBidi" w:hAnsiTheme="majorBidi" w:cstheme="majorBidi"/>
        </w:rPr>
        <w:t>” with “aerosoli</w:t>
      </w:r>
      <w:r w:rsidR="008A3EF4" w:rsidRPr="00D773F7">
        <w:rPr>
          <w:rFonts w:asciiTheme="majorBidi" w:hAnsiTheme="majorBidi" w:cstheme="majorBidi"/>
        </w:rPr>
        <w:t>z</w:t>
      </w:r>
      <w:r w:rsidRPr="00D773F7">
        <w:rPr>
          <w:rFonts w:asciiTheme="majorBidi" w:hAnsiTheme="majorBidi" w:cstheme="majorBidi"/>
        </w:rPr>
        <w:t>ed</w:t>
      </w:r>
      <w:r w:rsidR="00571E2F" w:rsidRPr="00D773F7">
        <w:rPr>
          <w:rFonts w:asciiTheme="majorBidi" w:hAnsiTheme="majorBidi" w:cstheme="majorBidi"/>
        </w:rPr>
        <w:t xml:space="preserve"> form</w:t>
      </w:r>
      <w:r w:rsidRPr="00D773F7">
        <w:rPr>
          <w:rFonts w:asciiTheme="majorBidi" w:hAnsiTheme="majorBidi" w:cstheme="majorBidi"/>
        </w:rPr>
        <w:t>”.</w:t>
      </w:r>
    </w:p>
    <w:p w14:paraId="195B6B72" w14:textId="41C1D2D8" w:rsidR="0098645D" w:rsidRPr="00D773F7" w:rsidRDefault="0098645D" w:rsidP="002F742C">
      <w:pPr>
        <w:pStyle w:val="SingleTxtG"/>
        <w:tabs>
          <w:tab w:val="clear" w:pos="1701"/>
          <w:tab w:val="clear" w:pos="2268"/>
        </w:tabs>
        <w:ind w:left="2127" w:hanging="993"/>
        <w:rPr>
          <w:rFonts w:asciiTheme="majorBidi" w:hAnsiTheme="majorBidi" w:cstheme="majorBidi"/>
        </w:rPr>
      </w:pPr>
      <w:r w:rsidRPr="00D773F7">
        <w:rPr>
          <w:rFonts w:asciiTheme="majorBidi" w:hAnsiTheme="majorBidi" w:cstheme="majorBidi"/>
        </w:rPr>
        <w:t>3.9.4</w:t>
      </w:r>
      <w:r w:rsidRPr="00D773F7">
        <w:rPr>
          <w:rFonts w:asciiTheme="majorBidi" w:hAnsiTheme="majorBidi" w:cstheme="majorBidi"/>
        </w:rPr>
        <w:tab/>
      </w:r>
      <w:r w:rsidR="00622289" w:rsidRPr="00D773F7">
        <w:rPr>
          <w:rFonts w:asciiTheme="majorBidi" w:hAnsiTheme="majorBidi" w:cstheme="majorBidi"/>
        </w:rPr>
        <w:t xml:space="preserve">Add the following sentence at the end of the paragraph: </w:t>
      </w:r>
      <w:r w:rsidRPr="00D773F7">
        <w:rPr>
          <w:rFonts w:asciiTheme="majorBidi" w:hAnsiTheme="majorBidi" w:cstheme="majorBidi"/>
        </w:rPr>
        <w:t>“</w:t>
      </w:r>
      <w:bookmarkStart w:id="20" w:name="_Hlk124936255"/>
      <w:r w:rsidRPr="00D773F7">
        <w:rPr>
          <w:rFonts w:asciiTheme="majorBidi" w:hAnsiTheme="majorBidi" w:cstheme="majorBidi"/>
        </w:rPr>
        <w:t>Table 3.9.4 presents specific label elements for substances and mixtures classified into this hazard class based on the criteria in this chapter</w:t>
      </w:r>
      <w:bookmarkEnd w:id="20"/>
      <w:r w:rsidRPr="00D773F7">
        <w:rPr>
          <w:rFonts w:asciiTheme="majorBidi" w:hAnsiTheme="majorBidi" w:cstheme="majorBidi"/>
        </w:rPr>
        <w:t>.”</w:t>
      </w:r>
    </w:p>
    <w:p w14:paraId="1CE5A0E6" w14:textId="0D5C06F3" w:rsidR="00EF7F22" w:rsidRPr="00D773F7" w:rsidRDefault="00EF7F22" w:rsidP="002F742C">
      <w:pPr>
        <w:pStyle w:val="SingleTxtG"/>
        <w:tabs>
          <w:tab w:val="clear" w:pos="1701"/>
          <w:tab w:val="clear" w:pos="2268"/>
        </w:tabs>
        <w:ind w:left="2127" w:hanging="993"/>
        <w:rPr>
          <w:rFonts w:asciiTheme="majorBidi" w:hAnsiTheme="majorBidi" w:cstheme="majorBidi"/>
        </w:rPr>
      </w:pPr>
      <w:r w:rsidRPr="00D773F7">
        <w:rPr>
          <w:rFonts w:asciiTheme="majorBidi" w:hAnsiTheme="majorBidi" w:cstheme="majorBidi"/>
        </w:rPr>
        <w:t xml:space="preserve">3.9.5.1 </w:t>
      </w:r>
      <w:r w:rsidRPr="00D773F7">
        <w:rPr>
          <w:rFonts w:asciiTheme="majorBidi" w:hAnsiTheme="majorBidi" w:cstheme="majorBidi"/>
        </w:rPr>
        <w:tab/>
      </w:r>
      <w:r w:rsidR="00595DE5" w:rsidRPr="00D773F7">
        <w:rPr>
          <w:rFonts w:asciiTheme="majorBidi" w:hAnsiTheme="majorBidi" w:cstheme="majorBidi"/>
        </w:rPr>
        <w:t>In d</w:t>
      </w:r>
      <w:r w:rsidRPr="00D773F7">
        <w:rPr>
          <w:rFonts w:asciiTheme="majorBidi" w:hAnsiTheme="majorBidi" w:cstheme="majorBidi"/>
        </w:rPr>
        <w:t>ecision logic 3.9.1 replace “approach” with “assessment” in the fourth and fifth text boxes</w:t>
      </w:r>
      <w:r w:rsidR="00595DE5" w:rsidRPr="00D773F7">
        <w:rPr>
          <w:rFonts w:asciiTheme="majorBidi" w:hAnsiTheme="majorBidi" w:cstheme="majorBidi"/>
        </w:rPr>
        <w:t xml:space="preserve"> down</w:t>
      </w:r>
      <w:r w:rsidRPr="00D773F7">
        <w:rPr>
          <w:rFonts w:asciiTheme="majorBidi" w:hAnsiTheme="majorBidi" w:cstheme="majorBidi"/>
        </w:rPr>
        <w:t>.</w:t>
      </w:r>
    </w:p>
    <w:p w14:paraId="18B38A81" w14:textId="45F65D29" w:rsidR="00D132B6" w:rsidRPr="00D773F7" w:rsidRDefault="00D132B6" w:rsidP="005270DE">
      <w:pPr>
        <w:pStyle w:val="H1G"/>
        <w:rPr>
          <w:rFonts w:asciiTheme="majorBidi" w:hAnsiTheme="majorBidi" w:cstheme="majorBidi"/>
          <w:lang w:eastAsia="en-US"/>
        </w:rPr>
      </w:pPr>
      <w:r w:rsidRPr="00D773F7">
        <w:rPr>
          <w:rFonts w:asciiTheme="majorBidi" w:hAnsiTheme="majorBidi" w:cstheme="majorBidi"/>
          <w:lang w:eastAsia="en-US"/>
        </w:rPr>
        <w:lastRenderedPageBreak/>
        <w:tab/>
      </w:r>
      <w:r w:rsidRPr="00D773F7">
        <w:rPr>
          <w:rFonts w:asciiTheme="majorBidi" w:hAnsiTheme="majorBidi" w:cstheme="majorBidi"/>
          <w:lang w:eastAsia="en-US"/>
        </w:rPr>
        <w:tab/>
        <w:t>Chapter 3.10</w:t>
      </w:r>
    </w:p>
    <w:p w14:paraId="27442675" w14:textId="520BB48E" w:rsidR="00985812" w:rsidRPr="00D773F7" w:rsidRDefault="00985812" w:rsidP="002F742C">
      <w:pPr>
        <w:pStyle w:val="SingleTxtG"/>
        <w:tabs>
          <w:tab w:val="clear" w:pos="1701"/>
        </w:tabs>
        <w:ind w:left="2268" w:hanging="1134"/>
        <w:rPr>
          <w:rFonts w:asciiTheme="majorBidi" w:hAnsiTheme="majorBidi" w:cstheme="majorBidi"/>
        </w:rPr>
      </w:pPr>
      <w:r w:rsidRPr="00D773F7">
        <w:rPr>
          <w:rFonts w:asciiTheme="majorBidi" w:hAnsiTheme="majorBidi" w:cstheme="majorBidi"/>
        </w:rPr>
        <w:t>3.10.3.2.6</w:t>
      </w:r>
      <w:r w:rsidRPr="00D773F7">
        <w:rPr>
          <w:rFonts w:asciiTheme="majorBidi" w:hAnsiTheme="majorBidi" w:cstheme="majorBidi"/>
        </w:rPr>
        <w:tab/>
      </w:r>
      <w:r w:rsidR="00622289" w:rsidRPr="00D773F7">
        <w:rPr>
          <w:rFonts w:asciiTheme="majorBidi" w:hAnsiTheme="majorBidi" w:cstheme="majorBidi"/>
        </w:rPr>
        <w:t>In the last sentence r</w:t>
      </w:r>
      <w:r w:rsidRPr="00D773F7">
        <w:rPr>
          <w:rFonts w:asciiTheme="majorBidi" w:hAnsiTheme="majorBidi" w:cstheme="majorBidi"/>
        </w:rPr>
        <w:t xml:space="preserve">eplace “assigned” with “classified in”. </w:t>
      </w:r>
    </w:p>
    <w:p w14:paraId="5FDB8650" w14:textId="6C22B336" w:rsidR="004B7739" w:rsidRPr="00D773F7" w:rsidRDefault="004B7739" w:rsidP="005D530A">
      <w:pPr>
        <w:pStyle w:val="SingleTxtG"/>
        <w:tabs>
          <w:tab w:val="clear" w:pos="1701"/>
        </w:tabs>
        <w:ind w:left="2268" w:hanging="1134"/>
        <w:rPr>
          <w:rFonts w:asciiTheme="majorBidi" w:hAnsiTheme="majorBidi" w:cstheme="majorBidi"/>
        </w:rPr>
      </w:pPr>
      <w:r w:rsidRPr="00D773F7">
        <w:rPr>
          <w:rFonts w:asciiTheme="majorBidi" w:hAnsiTheme="majorBidi" w:cstheme="majorBidi"/>
        </w:rPr>
        <w:t>3.10.4.1</w:t>
      </w:r>
      <w:r w:rsidRPr="00D773F7">
        <w:rPr>
          <w:rFonts w:asciiTheme="majorBidi" w:hAnsiTheme="majorBidi" w:cstheme="majorBidi"/>
        </w:rPr>
        <w:tab/>
      </w:r>
      <w:r w:rsidR="00622289" w:rsidRPr="00D773F7">
        <w:rPr>
          <w:rFonts w:asciiTheme="majorBidi" w:hAnsiTheme="majorBidi" w:cstheme="majorBidi"/>
        </w:rPr>
        <w:t xml:space="preserve">Amend </w:t>
      </w:r>
      <w:r w:rsidRPr="00D773F7">
        <w:rPr>
          <w:rFonts w:asciiTheme="majorBidi" w:hAnsiTheme="majorBidi" w:cstheme="majorBidi"/>
        </w:rPr>
        <w:t>the last sentence of the paragraph</w:t>
      </w:r>
      <w:r w:rsidR="00622289" w:rsidRPr="00D773F7">
        <w:rPr>
          <w:rFonts w:asciiTheme="majorBidi" w:hAnsiTheme="majorBidi" w:cstheme="majorBidi"/>
        </w:rPr>
        <w:t xml:space="preserve"> to read as follows:</w:t>
      </w:r>
      <w:r w:rsidR="005D530A" w:rsidRPr="00D773F7">
        <w:rPr>
          <w:rFonts w:asciiTheme="majorBidi" w:hAnsiTheme="majorBidi" w:cstheme="majorBidi"/>
        </w:rPr>
        <w:t xml:space="preserve"> </w:t>
      </w:r>
      <w:r w:rsidRPr="00D773F7">
        <w:rPr>
          <w:rFonts w:asciiTheme="majorBidi" w:hAnsiTheme="majorBidi" w:cstheme="majorBidi"/>
        </w:rPr>
        <w:t>“Table 3.10.2 presents specific label elements for substances and mixtures classified into this hazard class based on the criteria in this chapter.”.</w:t>
      </w:r>
    </w:p>
    <w:p w14:paraId="49A7762D" w14:textId="51ADD107" w:rsidR="00BD534D" w:rsidRPr="00D773F7" w:rsidRDefault="00BD18C9" w:rsidP="005270DE">
      <w:pPr>
        <w:pStyle w:val="H1G"/>
        <w:rPr>
          <w:rFonts w:asciiTheme="majorBidi" w:hAnsiTheme="majorBidi" w:cstheme="majorBidi"/>
          <w:lang w:eastAsia="en-US"/>
        </w:rPr>
      </w:pPr>
      <w:r w:rsidRPr="00D773F7">
        <w:rPr>
          <w:rFonts w:asciiTheme="majorBidi" w:hAnsiTheme="majorBidi" w:cstheme="majorBidi"/>
          <w:lang w:eastAsia="en-US"/>
        </w:rPr>
        <w:tab/>
      </w:r>
      <w:r w:rsidRPr="00D773F7">
        <w:rPr>
          <w:rFonts w:asciiTheme="majorBidi" w:hAnsiTheme="majorBidi" w:cstheme="majorBidi"/>
          <w:lang w:eastAsia="en-US"/>
        </w:rPr>
        <w:tab/>
      </w:r>
      <w:r w:rsidR="00B446F9" w:rsidRPr="00D773F7">
        <w:rPr>
          <w:rFonts w:asciiTheme="majorBidi" w:hAnsiTheme="majorBidi" w:cstheme="majorBidi"/>
          <w:lang w:eastAsia="en-US"/>
        </w:rPr>
        <w:t>Chapter 4.1</w:t>
      </w:r>
    </w:p>
    <w:p w14:paraId="1252A6BD" w14:textId="5D692035" w:rsidR="00560D4E" w:rsidRPr="00D773F7" w:rsidRDefault="00560D4E" w:rsidP="002F742C">
      <w:pPr>
        <w:pStyle w:val="SingleTxtG"/>
        <w:tabs>
          <w:tab w:val="clear" w:pos="1701"/>
        </w:tabs>
        <w:ind w:left="2268" w:hanging="1134"/>
        <w:rPr>
          <w:rFonts w:asciiTheme="majorBidi" w:hAnsiTheme="majorBidi" w:cstheme="majorBidi"/>
        </w:rPr>
      </w:pPr>
      <w:r w:rsidRPr="00D773F7">
        <w:rPr>
          <w:rFonts w:asciiTheme="majorBidi" w:hAnsiTheme="majorBidi" w:cstheme="majorBidi"/>
        </w:rPr>
        <w:t>4.1.2.5</w:t>
      </w:r>
      <w:r w:rsidRPr="00D773F7">
        <w:rPr>
          <w:rFonts w:asciiTheme="majorBidi" w:hAnsiTheme="majorBidi" w:cstheme="majorBidi"/>
        </w:rPr>
        <w:tab/>
      </w:r>
      <w:r w:rsidR="00622289" w:rsidRPr="00D773F7">
        <w:rPr>
          <w:rFonts w:asciiTheme="majorBidi" w:hAnsiTheme="majorBidi" w:cstheme="majorBidi"/>
        </w:rPr>
        <w:t>In the fourth sentence r</w:t>
      </w:r>
      <w:r w:rsidRPr="00D773F7">
        <w:rPr>
          <w:rFonts w:asciiTheme="majorBidi" w:hAnsiTheme="majorBidi" w:cstheme="majorBidi"/>
        </w:rPr>
        <w:t>eplace “approach” with “assessment”.</w:t>
      </w:r>
    </w:p>
    <w:p w14:paraId="5BE11595" w14:textId="35D28426" w:rsidR="00472FA0" w:rsidRPr="00D773F7" w:rsidRDefault="00472FA0" w:rsidP="002F742C">
      <w:pPr>
        <w:pStyle w:val="SingleTxtG"/>
        <w:tabs>
          <w:tab w:val="clear" w:pos="1701"/>
        </w:tabs>
        <w:ind w:left="2268" w:hanging="1134"/>
        <w:rPr>
          <w:rFonts w:asciiTheme="majorBidi" w:hAnsiTheme="majorBidi" w:cstheme="majorBidi"/>
        </w:rPr>
      </w:pPr>
      <w:r w:rsidRPr="00D773F7">
        <w:rPr>
          <w:rFonts w:asciiTheme="majorBidi" w:hAnsiTheme="majorBidi" w:cstheme="majorBidi"/>
        </w:rPr>
        <w:t xml:space="preserve">4.1.3.4.6 </w:t>
      </w:r>
      <w:r w:rsidRPr="00D773F7">
        <w:rPr>
          <w:rFonts w:asciiTheme="majorBidi" w:hAnsiTheme="majorBidi" w:cstheme="majorBidi"/>
        </w:rPr>
        <w:tab/>
      </w:r>
      <w:r w:rsidR="00622289" w:rsidRPr="00D773F7">
        <w:rPr>
          <w:rFonts w:asciiTheme="majorBidi" w:hAnsiTheme="majorBidi" w:cstheme="majorBidi"/>
        </w:rPr>
        <w:t>In the last sentence r</w:t>
      </w:r>
      <w:r w:rsidRPr="00D773F7">
        <w:rPr>
          <w:rFonts w:asciiTheme="majorBidi" w:hAnsiTheme="majorBidi" w:cstheme="majorBidi"/>
        </w:rPr>
        <w:t xml:space="preserve">eplace “assigned” with “classified in”. </w:t>
      </w:r>
    </w:p>
    <w:p w14:paraId="152F99C9" w14:textId="5A0E1C73" w:rsidR="00FB1995" w:rsidRPr="00D773F7" w:rsidRDefault="00FB1995" w:rsidP="002F742C">
      <w:pPr>
        <w:pStyle w:val="SingleTxtG"/>
        <w:tabs>
          <w:tab w:val="clear" w:pos="1701"/>
        </w:tabs>
        <w:ind w:left="2268" w:hanging="1134"/>
        <w:rPr>
          <w:rFonts w:asciiTheme="majorBidi" w:hAnsiTheme="majorBidi" w:cstheme="majorBidi"/>
        </w:rPr>
      </w:pPr>
      <w:r w:rsidRPr="00D773F7">
        <w:rPr>
          <w:rFonts w:asciiTheme="majorBidi" w:hAnsiTheme="majorBidi" w:cstheme="majorBidi"/>
        </w:rPr>
        <w:t>4.1.4</w:t>
      </w:r>
      <w:r w:rsidRPr="00D773F7">
        <w:rPr>
          <w:rFonts w:asciiTheme="majorBidi" w:hAnsiTheme="majorBidi" w:cstheme="majorBidi"/>
        </w:rPr>
        <w:tab/>
        <w:t>Insert</w:t>
      </w:r>
      <w:r w:rsidR="00622289" w:rsidRPr="00D773F7">
        <w:rPr>
          <w:rFonts w:asciiTheme="majorBidi" w:hAnsiTheme="majorBidi" w:cstheme="majorBidi"/>
        </w:rPr>
        <w:t xml:space="preserve"> the following sentence at the end of the paragraph:</w:t>
      </w:r>
      <w:r w:rsidRPr="00D773F7">
        <w:rPr>
          <w:rFonts w:asciiTheme="majorBidi" w:hAnsiTheme="majorBidi" w:cstheme="majorBidi"/>
        </w:rPr>
        <w:t xml:space="preserve"> “</w:t>
      </w:r>
      <w:bookmarkStart w:id="21" w:name="_Hlk124936612"/>
      <w:r w:rsidRPr="00D773F7">
        <w:rPr>
          <w:rFonts w:asciiTheme="majorBidi" w:hAnsiTheme="majorBidi" w:cstheme="majorBidi"/>
        </w:rPr>
        <w:t>Table 4.1.6 presents specific label elements for substances and mixtures classified into this hazard class based on the criteria in this chapter.</w:t>
      </w:r>
      <w:bookmarkEnd w:id="21"/>
      <w:r w:rsidRPr="00D773F7">
        <w:rPr>
          <w:rFonts w:asciiTheme="majorBidi" w:hAnsiTheme="majorBidi" w:cstheme="majorBidi"/>
        </w:rPr>
        <w:t>”.</w:t>
      </w:r>
    </w:p>
    <w:p w14:paraId="4024E87F" w14:textId="725F002E" w:rsidR="00C64C44" w:rsidRPr="00D773F7" w:rsidRDefault="00C64C44" w:rsidP="005270DE">
      <w:pPr>
        <w:pStyle w:val="H1G"/>
        <w:rPr>
          <w:rFonts w:asciiTheme="majorBidi" w:hAnsiTheme="majorBidi" w:cstheme="majorBidi"/>
          <w:lang w:eastAsia="en-US"/>
        </w:rPr>
      </w:pPr>
      <w:r w:rsidRPr="00D773F7">
        <w:rPr>
          <w:rFonts w:asciiTheme="majorBidi" w:hAnsiTheme="majorBidi" w:cstheme="majorBidi"/>
          <w:lang w:eastAsia="en-US"/>
        </w:rPr>
        <w:tab/>
      </w:r>
      <w:r w:rsidRPr="00D773F7">
        <w:rPr>
          <w:rFonts w:asciiTheme="majorBidi" w:hAnsiTheme="majorBidi" w:cstheme="majorBidi"/>
          <w:lang w:eastAsia="en-US"/>
        </w:rPr>
        <w:tab/>
        <w:t>Chapter 4.2</w:t>
      </w:r>
    </w:p>
    <w:p w14:paraId="38602FDF" w14:textId="6A66541F" w:rsidR="00F86361" w:rsidRPr="00D773F7" w:rsidRDefault="00F86361" w:rsidP="00F86361">
      <w:pPr>
        <w:pStyle w:val="SingleTxtG"/>
        <w:tabs>
          <w:tab w:val="clear" w:pos="1701"/>
        </w:tabs>
        <w:ind w:left="2268" w:hanging="1134"/>
        <w:rPr>
          <w:rFonts w:asciiTheme="majorBidi" w:hAnsiTheme="majorBidi" w:cstheme="majorBidi"/>
        </w:rPr>
      </w:pPr>
      <w:r w:rsidRPr="00D773F7">
        <w:rPr>
          <w:rFonts w:asciiTheme="majorBidi" w:hAnsiTheme="majorBidi" w:cstheme="majorBidi"/>
        </w:rPr>
        <w:t>4.2.3</w:t>
      </w:r>
      <w:r w:rsidRPr="00D773F7">
        <w:rPr>
          <w:rFonts w:asciiTheme="majorBidi" w:hAnsiTheme="majorBidi" w:cstheme="majorBidi"/>
        </w:rPr>
        <w:tab/>
        <w:t xml:space="preserve">Insert </w:t>
      </w:r>
      <w:r w:rsidR="00D648E1" w:rsidRPr="00D773F7">
        <w:rPr>
          <w:rFonts w:asciiTheme="majorBidi" w:hAnsiTheme="majorBidi" w:cstheme="majorBidi"/>
        </w:rPr>
        <w:t xml:space="preserve">the following sentence at the end of the paragraph: </w:t>
      </w:r>
      <w:r w:rsidRPr="00D773F7">
        <w:rPr>
          <w:rFonts w:asciiTheme="majorBidi" w:hAnsiTheme="majorBidi" w:cstheme="majorBidi"/>
        </w:rPr>
        <w:t>“</w:t>
      </w:r>
      <w:bookmarkStart w:id="22" w:name="_Hlk124936715"/>
      <w:r w:rsidRPr="00D773F7">
        <w:rPr>
          <w:rFonts w:asciiTheme="majorBidi" w:hAnsiTheme="majorBidi" w:cstheme="majorBidi"/>
        </w:rPr>
        <w:t>Table 4.2.2 presents specific label elements for substances and mixtures classified into this hazard class based on the criteria in this chapter.</w:t>
      </w:r>
      <w:bookmarkEnd w:id="22"/>
      <w:r w:rsidRPr="00D773F7">
        <w:rPr>
          <w:rFonts w:asciiTheme="majorBidi" w:hAnsiTheme="majorBidi" w:cstheme="majorBidi"/>
        </w:rPr>
        <w:t>”</w:t>
      </w:r>
      <w:r w:rsidR="00D648E1" w:rsidRPr="00D773F7">
        <w:rPr>
          <w:rFonts w:asciiTheme="majorBidi" w:hAnsiTheme="majorBidi" w:cstheme="majorBidi"/>
        </w:rPr>
        <w:t>.</w:t>
      </w:r>
    </w:p>
    <w:p w14:paraId="281560A4" w14:textId="17224711" w:rsidR="00F56B65" w:rsidRPr="00D773F7" w:rsidRDefault="00F56B65" w:rsidP="005270DE">
      <w:pPr>
        <w:pStyle w:val="H1G"/>
        <w:rPr>
          <w:rFonts w:asciiTheme="majorBidi" w:hAnsiTheme="majorBidi" w:cstheme="majorBidi"/>
          <w:lang w:eastAsia="en-US"/>
        </w:rPr>
      </w:pPr>
      <w:r w:rsidRPr="00D773F7">
        <w:rPr>
          <w:rFonts w:asciiTheme="majorBidi" w:hAnsiTheme="majorBidi" w:cstheme="majorBidi"/>
          <w:lang w:eastAsia="en-US"/>
        </w:rPr>
        <w:tab/>
      </w:r>
      <w:r w:rsidRPr="00D773F7">
        <w:rPr>
          <w:rFonts w:asciiTheme="majorBidi" w:hAnsiTheme="majorBidi" w:cstheme="majorBidi"/>
          <w:lang w:eastAsia="en-US"/>
        </w:rPr>
        <w:tab/>
        <w:t>Annex 3</w:t>
      </w:r>
    </w:p>
    <w:p w14:paraId="5729434D" w14:textId="77777777" w:rsidR="00F56B65" w:rsidRPr="00D773F7" w:rsidRDefault="00F56B65" w:rsidP="005270DE">
      <w:pPr>
        <w:pStyle w:val="H23G"/>
        <w:rPr>
          <w:rFonts w:asciiTheme="majorBidi" w:hAnsiTheme="majorBidi" w:cstheme="majorBidi"/>
        </w:rPr>
      </w:pPr>
      <w:r w:rsidRPr="00D773F7">
        <w:rPr>
          <w:rFonts w:asciiTheme="majorBidi" w:hAnsiTheme="majorBidi" w:cstheme="majorBidi"/>
        </w:rPr>
        <w:tab/>
      </w:r>
      <w:r w:rsidRPr="00D773F7">
        <w:rPr>
          <w:rFonts w:asciiTheme="majorBidi" w:hAnsiTheme="majorBidi" w:cstheme="majorBidi"/>
        </w:rPr>
        <w:tab/>
        <w:t>Section 1</w:t>
      </w:r>
    </w:p>
    <w:p w14:paraId="6507C500" w14:textId="4F61E2EC" w:rsidR="00F56B65" w:rsidRPr="00D773F7" w:rsidRDefault="00F56B65" w:rsidP="002F742C">
      <w:pPr>
        <w:pStyle w:val="SingleTxtG"/>
        <w:keepNext/>
        <w:keepLines/>
        <w:tabs>
          <w:tab w:val="clear" w:pos="1701"/>
        </w:tabs>
        <w:rPr>
          <w:rFonts w:asciiTheme="majorBidi" w:hAnsiTheme="majorBidi" w:cstheme="majorBidi"/>
        </w:rPr>
      </w:pPr>
      <w:r w:rsidRPr="00D773F7">
        <w:rPr>
          <w:rFonts w:asciiTheme="majorBidi" w:hAnsiTheme="majorBidi" w:cstheme="majorBidi"/>
        </w:rPr>
        <w:t>A3.1.2.3</w:t>
      </w:r>
      <w:r w:rsidRPr="00D773F7">
        <w:rPr>
          <w:rFonts w:asciiTheme="majorBidi" w:hAnsiTheme="majorBidi" w:cstheme="majorBidi"/>
        </w:rPr>
        <w:tab/>
      </w:r>
      <w:r w:rsidR="00805BC2" w:rsidRPr="00D773F7">
        <w:rPr>
          <w:rFonts w:asciiTheme="majorBidi" w:hAnsiTheme="majorBidi" w:cstheme="majorBidi"/>
        </w:rPr>
        <w:t xml:space="preserve">Amend </w:t>
      </w:r>
      <w:r w:rsidRPr="00D773F7">
        <w:rPr>
          <w:rFonts w:asciiTheme="majorBidi" w:hAnsiTheme="majorBidi" w:cstheme="majorBidi"/>
        </w:rPr>
        <w:t xml:space="preserve">the last sentence </w:t>
      </w:r>
      <w:r w:rsidR="00805BC2" w:rsidRPr="00D773F7">
        <w:rPr>
          <w:rFonts w:asciiTheme="majorBidi" w:hAnsiTheme="majorBidi" w:cstheme="majorBidi"/>
        </w:rPr>
        <w:t>to read as follows</w:t>
      </w:r>
      <w:r w:rsidRPr="00D773F7">
        <w:rPr>
          <w:rFonts w:asciiTheme="majorBidi" w:hAnsiTheme="majorBidi" w:cstheme="majorBidi"/>
        </w:rPr>
        <w:t>:</w:t>
      </w:r>
    </w:p>
    <w:p w14:paraId="761D7DA5" w14:textId="77777777" w:rsidR="00F56B65" w:rsidRPr="00D773F7" w:rsidRDefault="00F56B65" w:rsidP="002F742C">
      <w:pPr>
        <w:pStyle w:val="SingleTxtG"/>
        <w:tabs>
          <w:tab w:val="clear" w:pos="1701"/>
        </w:tabs>
        <w:ind w:left="2268"/>
        <w:rPr>
          <w:rFonts w:asciiTheme="majorBidi" w:hAnsiTheme="majorBidi" w:cstheme="majorBidi"/>
        </w:rPr>
      </w:pPr>
      <w:r w:rsidRPr="00D773F7">
        <w:rPr>
          <w:rFonts w:asciiTheme="majorBidi" w:hAnsiTheme="majorBidi" w:cstheme="majorBidi"/>
        </w:rPr>
        <w:t>“For example, H300 + H310 + H330 indicates that the text to appear on the label is “</w:t>
      </w:r>
      <w:r w:rsidRPr="00D773F7">
        <w:rPr>
          <w:rFonts w:asciiTheme="majorBidi" w:hAnsiTheme="majorBidi" w:cstheme="majorBidi"/>
          <w:b/>
        </w:rPr>
        <w:t>Fatal if swallowed, in contact with skin or if inhaled.</w:t>
      </w:r>
      <w:r w:rsidRPr="00D773F7">
        <w:rPr>
          <w:rFonts w:asciiTheme="majorBidi" w:hAnsiTheme="majorBidi" w:cstheme="majorBidi"/>
          <w:bCs/>
        </w:rPr>
        <w:t>”</w:t>
      </w:r>
      <w:r w:rsidRPr="00D773F7">
        <w:rPr>
          <w:rFonts w:asciiTheme="majorBidi" w:hAnsiTheme="majorBidi" w:cstheme="majorBidi"/>
        </w:rPr>
        <w:t>.”</w:t>
      </w:r>
    </w:p>
    <w:p w14:paraId="646A0B51" w14:textId="5A263ED5" w:rsidR="00F56B65" w:rsidRPr="00D773F7" w:rsidRDefault="00F56B65" w:rsidP="002F742C">
      <w:pPr>
        <w:pStyle w:val="SingleTxtG"/>
        <w:tabs>
          <w:tab w:val="clear" w:pos="1701"/>
        </w:tabs>
        <w:spacing w:before="120"/>
        <w:ind w:left="1701" w:hanging="567"/>
        <w:rPr>
          <w:rFonts w:asciiTheme="majorBidi" w:hAnsiTheme="majorBidi" w:cstheme="majorBidi"/>
        </w:rPr>
      </w:pPr>
      <w:r w:rsidRPr="00D773F7">
        <w:rPr>
          <w:rFonts w:asciiTheme="majorBidi" w:hAnsiTheme="majorBidi" w:cstheme="majorBidi"/>
        </w:rPr>
        <w:t>A3.1.2.4</w:t>
      </w:r>
      <w:r w:rsidRPr="00D773F7">
        <w:rPr>
          <w:rFonts w:asciiTheme="majorBidi" w:hAnsiTheme="majorBidi" w:cstheme="majorBidi"/>
        </w:rPr>
        <w:tab/>
      </w:r>
      <w:r w:rsidR="00805BC2" w:rsidRPr="00D773F7">
        <w:rPr>
          <w:rFonts w:asciiTheme="majorBidi" w:hAnsiTheme="majorBidi" w:cstheme="majorBidi"/>
        </w:rPr>
        <w:t>Amend the last sentence to read as follows:</w:t>
      </w:r>
      <w:r w:rsidRPr="00D773F7">
        <w:rPr>
          <w:rFonts w:asciiTheme="majorBidi" w:hAnsiTheme="majorBidi" w:cstheme="majorBidi"/>
        </w:rPr>
        <w:t xml:space="preserve"> </w:t>
      </w:r>
    </w:p>
    <w:p w14:paraId="5340FD50" w14:textId="77777777" w:rsidR="00F56B65" w:rsidRPr="00D773F7" w:rsidRDefault="00F56B65" w:rsidP="002F742C">
      <w:pPr>
        <w:pStyle w:val="SingleTxtG"/>
        <w:tabs>
          <w:tab w:val="clear" w:pos="1701"/>
        </w:tabs>
        <w:ind w:left="2268"/>
        <w:rPr>
          <w:rFonts w:asciiTheme="majorBidi" w:hAnsiTheme="majorBidi" w:cstheme="majorBidi"/>
        </w:rPr>
      </w:pPr>
      <w:r w:rsidRPr="00D773F7">
        <w:rPr>
          <w:rFonts w:asciiTheme="majorBidi" w:hAnsiTheme="majorBidi" w:cstheme="majorBidi"/>
        </w:rPr>
        <w:t xml:space="preserve">“Also, where a combined hazard statement is permitted for two or more hazard statements </w:t>
      </w:r>
      <w:bookmarkStart w:id="23" w:name="_Hlk124947974"/>
      <w:r w:rsidRPr="00D773F7">
        <w:rPr>
          <w:rFonts w:asciiTheme="majorBidi" w:hAnsiTheme="majorBidi" w:cstheme="majorBidi"/>
        </w:rPr>
        <w:t>(see A3.1.2.5)</w:t>
      </w:r>
      <w:bookmarkEnd w:id="23"/>
      <w:r w:rsidRPr="00D773F7">
        <w:rPr>
          <w:rFonts w:asciiTheme="majorBidi" w:hAnsiTheme="majorBidi" w:cstheme="majorBidi"/>
        </w:rPr>
        <w:t>, the competent authority may specify whether the combined hazard statement or the corresponding individual statements should appear on the label or may leave the choice to the manufacturer/supplier.”</w:t>
      </w:r>
    </w:p>
    <w:p w14:paraId="7F42CC90" w14:textId="3BE10DB9" w:rsidR="00F56B65" w:rsidRPr="00D773F7" w:rsidRDefault="00F56B65" w:rsidP="002F742C">
      <w:pPr>
        <w:pStyle w:val="SingleTxtG"/>
        <w:tabs>
          <w:tab w:val="clear" w:pos="1701"/>
        </w:tabs>
        <w:rPr>
          <w:rFonts w:asciiTheme="majorBidi" w:hAnsiTheme="majorBidi" w:cstheme="majorBidi"/>
        </w:rPr>
      </w:pPr>
      <w:r w:rsidRPr="00D773F7">
        <w:rPr>
          <w:rFonts w:asciiTheme="majorBidi" w:hAnsiTheme="majorBidi" w:cstheme="majorBidi"/>
        </w:rPr>
        <w:t xml:space="preserve">A3.1.2.5 </w:t>
      </w:r>
      <w:r w:rsidR="00E673E9" w:rsidRPr="00D773F7">
        <w:rPr>
          <w:rFonts w:asciiTheme="majorBidi" w:hAnsiTheme="majorBidi" w:cstheme="majorBidi"/>
        </w:rPr>
        <w:t>(new)</w:t>
      </w:r>
      <w:r w:rsidRPr="00D773F7">
        <w:rPr>
          <w:rFonts w:asciiTheme="majorBidi" w:hAnsiTheme="majorBidi" w:cstheme="majorBidi"/>
        </w:rPr>
        <w:tab/>
        <w:t xml:space="preserve">Insert </w:t>
      </w:r>
      <w:r w:rsidR="00805BC2" w:rsidRPr="00D773F7">
        <w:rPr>
          <w:rFonts w:asciiTheme="majorBidi" w:hAnsiTheme="majorBidi" w:cstheme="majorBidi"/>
        </w:rPr>
        <w:t xml:space="preserve">the following </w:t>
      </w:r>
      <w:r w:rsidRPr="00D773F7">
        <w:rPr>
          <w:rFonts w:asciiTheme="majorBidi" w:hAnsiTheme="majorBidi" w:cstheme="majorBidi"/>
        </w:rPr>
        <w:t>new paragraph</w:t>
      </w:r>
      <w:r w:rsidR="00A62B9D" w:rsidRPr="00D773F7">
        <w:rPr>
          <w:rFonts w:asciiTheme="majorBidi" w:hAnsiTheme="majorBidi" w:cstheme="majorBidi"/>
        </w:rPr>
        <w:t xml:space="preserve"> before current </w:t>
      </w:r>
      <w:r w:rsidR="001806B2" w:rsidRPr="00D773F7">
        <w:rPr>
          <w:rFonts w:asciiTheme="majorBidi" w:hAnsiTheme="majorBidi" w:cstheme="majorBidi"/>
        </w:rPr>
        <w:t>t</w:t>
      </w:r>
      <w:r w:rsidR="00A62B9D" w:rsidRPr="00D773F7">
        <w:rPr>
          <w:rFonts w:asciiTheme="majorBidi" w:hAnsiTheme="majorBidi" w:cstheme="majorBidi"/>
        </w:rPr>
        <w:t>able A3.1.1</w:t>
      </w:r>
      <w:r w:rsidRPr="00D773F7">
        <w:rPr>
          <w:rFonts w:asciiTheme="majorBidi" w:hAnsiTheme="majorBidi" w:cstheme="majorBidi"/>
        </w:rPr>
        <w:t>:</w:t>
      </w:r>
    </w:p>
    <w:p w14:paraId="40AE9CBC" w14:textId="6E508331" w:rsidR="00F56B65" w:rsidRPr="00D773F7" w:rsidRDefault="00F56B65" w:rsidP="002F742C">
      <w:pPr>
        <w:pStyle w:val="SingleTxtG"/>
        <w:tabs>
          <w:tab w:val="clear" w:pos="1701"/>
        </w:tabs>
        <w:spacing w:after="200"/>
        <w:ind w:left="2268"/>
        <w:rPr>
          <w:rFonts w:asciiTheme="majorBidi" w:hAnsiTheme="majorBidi" w:cstheme="majorBidi"/>
        </w:rPr>
      </w:pPr>
      <w:bookmarkStart w:id="24" w:name="_Hlk124948137"/>
      <w:r w:rsidRPr="00D773F7">
        <w:rPr>
          <w:rFonts w:asciiTheme="majorBidi" w:hAnsiTheme="majorBidi" w:cstheme="majorBidi"/>
        </w:rPr>
        <w:t>“A3.1.2.5</w:t>
      </w:r>
      <w:r w:rsidRPr="00D773F7">
        <w:rPr>
          <w:rFonts w:asciiTheme="majorBidi" w:hAnsiTheme="majorBidi" w:cstheme="majorBidi"/>
        </w:rPr>
        <w:tab/>
        <w:t xml:space="preserve">In addition to the combinations found in </w:t>
      </w:r>
      <w:r w:rsidR="001806B2" w:rsidRPr="00D773F7">
        <w:rPr>
          <w:rFonts w:asciiTheme="majorBidi" w:hAnsiTheme="majorBidi" w:cstheme="majorBidi"/>
        </w:rPr>
        <w:t>t</w:t>
      </w:r>
      <w:r w:rsidRPr="00D773F7">
        <w:rPr>
          <w:rFonts w:asciiTheme="majorBidi" w:hAnsiTheme="majorBidi" w:cstheme="majorBidi"/>
        </w:rPr>
        <w:t>able A3.1.2, it is also permitted to combine more than one health hazard statement of equivalent severity if, for example, there is insufficient space on the label.  When hazard statements are combined, all hazards must be clearly conveyed and only the repetitive text may be deleted.  Statements can be combined by using the word “and”, additional punctuation, and changing the case of the initial letter of the word at the beginning of a statement.  For example, H317 “May cause an allergic skin reaction” + H340 “May cause genetic defects” + H350 “May cause cancer” may all be combined because they are all for Category 1 health hazards (i.e., health hazard statements of equivalent severity) and have repetitive elements of the hazard statement (i.e., the statements begin with “may cause”).  These statements may be combined to “May cause an allergic skin reaction, genetic defects, and cancer.”  The competent authority may limit the types of combinations permitted to ensure comprehensibility (e.g., limit the number of hazard statements that can be combined).”</w:t>
      </w:r>
      <w:r w:rsidR="00595DE5" w:rsidRPr="00D773F7">
        <w:rPr>
          <w:rFonts w:asciiTheme="majorBidi" w:hAnsiTheme="majorBidi" w:cstheme="majorBidi"/>
        </w:rPr>
        <w:t>.</w:t>
      </w:r>
    </w:p>
    <w:bookmarkEnd w:id="24"/>
    <w:p w14:paraId="05BFABD9" w14:textId="77777777" w:rsidR="00F56B65" w:rsidRPr="00D773F7" w:rsidRDefault="00F56B65" w:rsidP="00DA4D71">
      <w:pPr>
        <w:pStyle w:val="H23G"/>
        <w:rPr>
          <w:rFonts w:asciiTheme="majorBidi" w:hAnsiTheme="majorBidi" w:cstheme="majorBidi"/>
        </w:rPr>
      </w:pPr>
      <w:r w:rsidRPr="00D773F7">
        <w:rPr>
          <w:rFonts w:asciiTheme="majorBidi" w:hAnsiTheme="majorBidi" w:cstheme="majorBidi"/>
        </w:rPr>
        <w:lastRenderedPageBreak/>
        <w:tab/>
      </w:r>
      <w:r w:rsidRPr="00D773F7">
        <w:rPr>
          <w:rFonts w:asciiTheme="majorBidi" w:hAnsiTheme="majorBidi" w:cstheme="majorBidi"/>
        </w:rPr>
        <w:tab/>
        <w:t>Table A3.1.2</w:t>
      </w:r>
    </w:p>
    <w:p w14:paraId="165B474A" w14:textId="77777777" w:rsidR="00F76A20" w:rsidRPr="00D773F7" w:rsidRDefault="00F76A20" w:rsidP="00DA4D71">
      <w:pPr>
        <w:pStyle w:val="Bullet1G"/>
        <w:keepNext/>
        <w:keepLines/>
        <w:numPr>
          <w:ilvl w:val="0"/>
          <w:numId w:val="0"/>
        </w:numPr>
        <w:suppressAutoHyphens/>
        <w:kinsoku w:val="0"/>
        <w:overflowPunct w:val="0"/>
        <w:autoSpaceDE w:val="0"/>
        <w:autoSpaceDN w:val="0"/>
        <w:adjustRightInd w:val="0"/>
        <w:snapToGrid w:val="0"/>
        <w:spacing w:after="80"/>
        <w:ind w:left="567" w:firstLine="567"/>
        <w:rPr>
          <w:rFonts w:asciiTheme="majorBidi" w:hAnsiTheme="majorBidi" w:cstheme="majorBidi"/>
        </w:rPr>
      </w:pPr>
      <w:r w:rsidRPr="00D773F7">
        <w:rPr>
          <w:rFonts w:asciiTheme="majorBidi" w:hAnsiTheme="majorBidi" w:cstheme="majorBidi"/>
        </w:rPr>
        <w:t>Insert the following note “a” under table A3.1.2:</w:t>
      </w:r>
    </w:p>
    <w:p w14:paraId="46CA8E17" w14:textId="77777777" w:rsidR="00F76A20" w:rsidRPr="00D773F7" w:rsidRDefault="00F76A20" w:rsidP="00F76A20">
      <w:pPr>
        <w:pStyle w:val="SingleTxtG"/>
        <w:tabs>
          <w:tab w:val="clear" w:pos="1701"/>
          <w:tab w:val="left" w:pos="1985"/>
        </w:tabs>
        <w:spacing w:before="120" w:after="80"/>
        <w:ind w:left="1701"/>
        <w:rPr>
          <w:rFonts w:asciiTheme="majorBidi" w:hAnsiTheme="majorBidi" w:cstheme="majorBidi"/>
          <w:i/>
          <w:iCs/>
        </w:rPr>
      </w:pPr>
      <w:r w:rsidRPr="00D773F7">
        <w:rPr>
          <w:rFonts w:asciiTheme="majorBidi" w:hAnsiTheme="majorBidi" w:cstheme="majorBidi"/>
          <w:i/>
          <w:iCs/>
          <w:vertAlign w:val="superscript"/>
        </w:rPr>
        <w:t>“</w:t>
      </w:r>
      <w:bookmarkStart w:id="25" w:name="_Hlk124949019"/>
      <w:r w:rsidRPr="00D773F7">
        <w:rPr>
          <w:rFonts w:asciiTheme="majorBidi" w:hAnsiTheme="majorBidi" w:cstheme="majorBidi"/>
          <w:b/>
          <w:bCs/>
          <w:vertAlign w:val="superscript"/>
        </w:rPr>
        <w:t>a</w:t>
      </w:r>
      <w:r w:rsidRPr="00D773F7">
        <w:rPr>
          <w:rFonts w:asciiTheme="majorBidi" w:hAnsiTheme="majorBidi" w:cstheme="majorBidi"/>
          <w:vertAlign w:val="superscript"/>
        </w:rPr>
        <w:t xml:space="preserve"> </w:t>
      </w:r>
      <w:r w:rsidRPr="00D773F7">
        <w:rPr>
          <w:rFonts w:asciiTheme="majorBidi" w:hAnsiTheme="majorBidi" w:cstheme="majorBidi"/>
          <w:i/>
          <w:iCs/>
          <w:vertAlign w:val="superscript"/>
        </w:rPr>
        <w:tab/>
      </w:r>
      <w:r w:rsidRPr="00D773F7">
        <w:rPr>
          <w:rFonts w:asciiTheme="majorBidi" w:hAnsiTheme="majorBidi" w:cstheme="majorBidi"/>
          <w:i/>
          <w:iCs/>
        </w:rPr>
        <w:t>Competent authorities may select the applicable hazard statement(s) depending on the serious eye damage/eye irritation hazard categories implemented in their jurisdiction (2/2A or 2A/2B).</w:t>
      </w:r>
      <w:bookmarkEnd w:id="25"/>
      <w:r w:rsidRPr="00D773F7">
        <w:rPr>
          <w:rFonts w:asciiTheme="majorBidi" w:hAnsiTheme="majorBidi" w:cstheme="majorBidi"/>
          <w:i/>
          <w:iCs/>
        </w:rPr>
        <w:t>”.</w:t>
      </w:r>
    </w:p>
    <w:p w14:paraId="25304541" w14:textId="14DC2C71" w:rsidR="00F56B65" w:rsidRPr="00D773F7" w:rsidRDefault="00F56B65" w:rsidP="007F6C8E">
      <w:pPr>
        <w:pStyle w:val="SingleTxtG"/>
        <w:spacing w:before="240"/>
        <w:rPr>
          <w:rFonts w:asciiTheme="majorBidi" w:hAnsiTheme="majorBidi" w:cstheme="majorBidi"/>
          <w:b/>
          <w:bCs/>
        </w:rPr>
      </w:pPr>
      <w:r w:rsidRPr="00D773F7">
        <w:rPr>
          <w:rFonts w:asciiTheme="majorBidi" w:hAnsiTheme="majorBidi" w:cstheme="majorBidi"/>
          <w:b/>
          <w:bCs/>
        </w:rPr>
        <w:t>H317, column (3)</w:t>
      </w:r>
    </w:p>
    <w:p w14:paraId="47DD828A" w14:textId="77777777" w:rsidR="00F56B65" w:rsidRPr="00D773F7" w:rsidRDefault="00F56B65" w:rsidP="00F56B65">
      <w:pPr>
        <w:pStyle w:val="SingleTxtG"/>
        <w:spacing w:after="80"/>
        <w:ind w:left="1701"/>
        <w:rPr>
          <w:rFonts w:asciiTheme="majorBidi" w:hAnsiTheme="majorBidi" w:cstheme="majorBidi"/>
        </w:rPr>
      </w:pPr>
      <w:r w:rsidRPr="00D773F7">
        <w:rPr>
          <w:rFonts w:asciiTheme="majorBidi" w:hAnsiTheme="majorBidi" w:cstheme="majorBidi"/>
        </w:rPr>
        <w:t>Replace “Sensitization, skin (chapter 3.4)” with “Skin sensitization (chapter 3.4)”.</w:t>
      </w:r>
    </w:p>
    <w:p w14:paraId="17E5BD41" w14:textId="471E7ECD" w:rsidR="00F56B65" w:rsidRPr="00D773F7" w:rsidRDefault="00F56B65" w:rsidP="007F6C8E">
      <w:pPr>
        <w:pStyle w:val="SingleTxtG"/>
        <w:spacing w:before="240"/>
        <w:rPr>
          <w:rFonts w:asciiTheme="majorBidi" w:hAnsiTheme="majorBidi" w:cstheme="majorBidi"/>
          <w:b/>
          <w:bCs/>
        </w:rPr>
      </w:pPr>
      <w:r w:rsidRPr="00D773F7">
        <w:rPr>
          <w:rFonts w:asciiTheme="majorBidi" w:hAnsiTheme="majorBidi" w:cstheme="majorBidi"/>
          <w:b/>
          <w:bCs/>
        </w:rPr>
        <w:t>H334, column (3)</w:t>
      </w:r>
    </w:p>
    <w:p w14:paraId="639A2746" w14:textId="77777777" w:rsidR="00F56B65" w:rsidRPr="00D773F7" w:rsidRDefault="00F56B65" w:rsidP="00F56B65">
      <w:pPr>
        <w:spacing w:after="80" w:line="240" w:lineRule="auto"/>
        <w:ind w:left="1701" w:right="992"/>
        <w:jc w:val="both"/>
        <w:rPr>
          <w:rFonts w:asciiTheme="majorBidi" w:hAnsiTheme="majorBidi" w:cstheme="majorBidi"/>
          <w:color w:val="000000" w:themeColor="text1"/>
        </w:rPr>
      </w:pPr>
      <w:r w:rsidRPr="00D773F7">
        <w:rPr>
          <w:rFonts w:asciiTheme="majorBidi" w:hAnsiTheme="majorBidi" w:cstheme="majorBidi"/>
        </w:rPr>
        <w:t xml:space="preserve">Replace “Sensitization, respiratory (chapter 3.4)” with </w:t>
      </w:r>
      <w:r w:rsidRPr="00D773F7">
        <w:rPr>
          <w:rFonts w:asciiTheme="majorBidi" w:hAnsiTheme="majorBidi" w:cstheme="majorBidi"/>
          <w:color w:val="000000" w:themeColor="text1"/>
        </w:rPr>
        <w:t>“Respiratory sensitization (chapter 3.4)”.</w:t>
      </w:r>
    </w:p>
    <w:p w14:paraId="236FF823" w14:textId="1B166DD8" w:rsidR="007A633E" w:rsidRPr="00D773F7" w:rsidRDefault="007A633E" w:rsidP="007F6C8E">
      <w:pPr>
        <w:pStyle w:val="SingleTxtG"/>
        <w:spacing w:before="240"/>
        <w:rPr>
          <w:rFonts w:asciiTheme="majorBidi" w:hAnsiTheme="majorBidi" w:cstheme="majorBidi"/>
          <w:b/>
          <w:bCs/>
        </w:rPr>
      </w:pPr>
      <w:r w:rsidRPr="00D773F7">
        <w:rPr>
          <w:rFonts w:asciiTheme="majorBidi" w:hAnsiTheme="majorBidi" w:cstheme="majorBidi"/>
          <w:b/>
          <w:bCs/>
        </w:rPr>
        <w:t>H315 + H319</w:t>
      </w:r>
      <w:r w:rsidR="00690855" w:rsidRPr="00D773F7">
        <w:rPr>
          <w:rFonts w:asciiTheme="majorBidi" w:hAnsiTheme="majorBidi" w:cstheme="majorBidi"/>
          <w:b/>
          <w:bCs/>
        </w:rPr>
        <w:t xml:space="preserve"> (new)</w:t>
      </w:r>
    </w:p>
    <w:p w14:paraId="2BE19F44" w14:textId="575F88F7" w:rsidR="00F56B65" w:rsidRPr="00D773F7" w:rsidRDefault="00595DE5" w:rsidP="007A633E">
      <w:pPr>
        <w:pStyle w:val="Bullet1G"/>
        <w:numPr>
          <w:ilvl w:val="0"/>
          <w:numId w:val="0"/>
        </w:numPr>
        <w:suppressAutoHyphens/>
        <w:kinsoku w:val="0"/>
        <w:overflowPunct w:val="0"/>
        <w:autoSpaceDE w:val="0"/>
        <w:autoSpaceDN w:val="0"/>
        <w:adjustRightInd w:val="0"/>
        <w:snapToGrid w:val="0"/>
        <w:ind w:left="1701"/>
        <w:rPr>
          <w:rFonts w:asciiTheme="majorBidi" w:hAnsiTheme="majorBidi" w:cstheme="majorBidi"/>
        </w:rPr>
      </w:pPr>
      <w:r w:rsidRPr="00D773F7">
        <w:rPr>
          <w:rFonts w:asciiTheme="majorBidi" w:hAnsiTheme="majorBidi" w:cstheme="majorBidi"/>
        </w:rPr>
        <w:t>Insert the following new entry a</w:t>
      </w:r>
      <w:r w:rsidR="00F56B65" w:rsidRPr="00D773F7">
        <w:rPr>
          <w:rFonts w:asciiTheme="majorBidi" w:hAnsiTheme="majorBidi" w:cstheme="majorBidi"/>
        </w:rPr>
        <w:t>fter “H303 + H313 + H333”:</w:t>
      </w:r>
    </w:p>
    <w:tbl>
      <w:tblPr>
        <w:tblStyle w:val="TableGrid"/>
        <w:tblW w:w="0" w:type="auto"/>
        <w:tblInd w:w="1134" w:type="dxa"/>
        <w:tblLook w:val="04A0" w:firstRow="1" w:lastRow="0" w:firstColumn="1" w:lastColumn="0" w:noHBand="0" w:noVBand="1"/>
      </w:tblPr>
      <w:tblGrid>
        <w:gridCol w:w="704"/>
        <w:gridCol w:w="2268"/>
        <w:gridCol w:w="3454"/>
        <w:gridCol w:w="940"/>
      </w:tblGrid>
      <w:tr w:rsidR="00F56B65" w:rsidRPr="00D773F7" w14:paraId="1B495FD4" w14:textId="77777777">
        <w:tc>
          <w:tcPr>
            <w:tcW w:w="704" w:type="dxa"/>
          </w:tcPr>
          <w:p w14:paraId="09A7D0B1" w14:textId="77777777" w:rsidR="00F56B65" w:rsidRPr="00D773F7" w:rsidRDefault="00F56B65">
            <w:pPr>
              <w:pStyle w:val="SingleTxtG"/>
              <w:spacing w:before="40" w:after="40"/>
              <w:ind w:left="0" w:right="0"/>
              <w:jc w:val="center"/>
              <w:rPr>
                <w:rFonts w:asciiTheme="majorBidi" w:hAnsiTheme="majorBidi" w:cstheme="majorBidi"/>
              </w:rPr>
            </w:pPr>
            <w:r w:rsidRPr="00D773F7">
              <w:rPr>
                <w:rFonts w:asciiTheme="majorBidi" w:hAnsiTheme="majorBidi" w:cstheme="majorBidi"/>
              </w:rPr>
              <w:t xml:space="preserve">H315 </w:t>
            </w:r>
            <w:r w:rsidRPr="00D773F7">
              <w:rPr>
                <w:rFonts w:asciiTheme="majorBidi" w:hAnsiTheme="majorBidi" w:cstheme="majorBidi"/>
              </w:rPr>
              <w:br/>
              <w:t>+</w:t>
            </w:r>
            <w:r w:rsidRPr="00D773F7">
              <w:rPr>
                <w:rFonts w:asciiTheme="majorBidi" w:hAnsiTheme="majorBidi" w:cstheme="majorBidi"/>
              </w:rPr>
              <w:br/>
              <w:t>H319</w:t>
            </w:r>
          </w:p>
        </w:tc>
        <w:tc>
          <w:tcPr>
            <w:tcW w:w="2268" w:type="dxa"/>
          </w:tcPr>
          <w:p w14:paraId="05FDD9BD" w14:textId="4A59D0D5" w:rsidR="00F56B65" w:rsidRPr="00D773F7" w:rsidRDefault="00F56B65">
            <w:pPr>
              <w:pStyle w:val="SingleTxtG"/>
              <w:spacing w:before="40" w:after="40"/>
              <w:ind w:left="0" w:right="0"/>
              <w:jc w:val="left"/>
              <w:rPr>
                <w:rFonts w:asciiTheme="majorBidi" w:hAnsiTheme="majorBidi" w:cstheme="majorBidi"/>
                <w:b/>
                <w:bCs/>
              </w:rPr>
            </w:pPr>
            <w:r w:rsidRPr="00D773F7">
              <w:rPr>
                <w:rFonts w:asciiTheme="majorBidi" w:hAnsiTheme="majorBidi" w:cstheme="majorBidi"/>
                <w:b/>
                <w:bCs/>
              </w:rPr>
              <w:t>Causes skin irritation and serious eye irritation</w:t>
            </w:r>
            <w:r w:rsidR="00A03D9E" w:rsidRPr="00D773F7">
              <w:rPr>
                <w:rFonts w:asciiTheme="majorBidi" w:hAnsiTheme="majorBidi" w:cstheme="majorBidi"/>
                <w:b/>
                <w:bCs/>
              </w:rPr>
              <w:t> </w:t>
            </w:r>
            <w:r w:rsidRPr="00D773F7">
              <w:rPr>
                <w:rFonts w:asciiTheme="majorBidi" w:hAnsiTheme="majorBidi" w:cstheme="majorBidi"/>
                <w:b/>
                <w:bCs/>
                <w:vertAlign w:val="superscript"/>
              </w:rPr>
              <w:t>a</w:t>
            </w:r>
          </w:p>
        </w:tc>
        <w:tc>
          <w:tcPr>
            <w:tcW w:w="3454" w:type="dxa"/>
          </w:tcPr>
          <w:p w14:paraId="7696ED6A" w14:textId="77777777" w:rsidR="00F56B65" w:rsidRPr="00D773F7" w:rsidRDefault="00F56B65">
            <w:pPr>
              <w:pStyle w:val="SingleTxtG"/>
              <w:spacing w:before="40" w:after="40"/>
              <w:ind w:left="137" w:right="0"/>
              <w:jc w:val="left"/>
              <w:rPr>
                <w:rFonts w:asciiTheme="majorBidi" w:hAnsiTheme="majorBidi" w:cstheme="majorBidi"/>
              </w:rPr>
            </w:pPr>
            <w:r w:rsidRPr="00D773F7">
              <w:rPr>
                <w:rFonts w:asciiTheme="majorBidi" w:hAnsiTheme="majorBidi" w:cstheme="majorBidi"/>
              </w:rPr>
              <w:t>Skin corrosion/irritation (chapter 3.2) and serious eye damage/eye irritation (chapter 3.3)</w:t>
            </w:r>
          </w:p>
        </w:tc>
        <w:tc>
          <w:tcPr>
            <w:tcW w:w="940" w:type="dxa"/>
          </w:tcPr>
          <w:p w14:paraId="171EFFD6" w14:textId="77777777" w:rsidR="00F56B65" w:rsidRPr="00D773F7" w:rsidRDefault="00F56B65">
            <w:pPr>
              <w:pStyle w:val="SingleTxtG"/>
              <w:spacing w:before="40" w:after="40"/>
              <w:ind w:left="0" w:right="0"/>
              <w:jc w:val="center"/>
              <w:rPr>
                <w:rFonts w:asciiTheme="majorBidi" w:hAnsiTheme="majorBidi" w:cstheme="majorBidi"/>
              </w:rPr>
            </w:pPr>
            <w:r w:rsidRPr="00D773F7">
              <w:rPr>
                <w:rFonts w:asciiTheme="majorBidi" w:hAnsiTheme="majorBidi" w:cstheme="majorBidi"/>
              </w:rPr>
              <w:t>2 (skin) + 2/2A (eye)</w:t>
            </w:r>
          </w:p>
        </w:tc>
      </w:tr>
    </w:tbl>
    <w:p w14:paraId="68EE0C7F" w14:textId="321F69B7" w:rsidR="00F56B65" w:rsidRPr="00D773F7" w:rsidRDefault="00F56B65" w:rsidP="007F6C8E">
      <w:pPr>
        <w:pStyle w:val="SingleTxtG"/>
        <w:spacing w:before="240"/>
        <w:rPr>
          <w:rFonts w:asciiTheme="majorBidi" w:hAnsiTheme="majorBidi" w:cstheme="majorBidi"/>
          <w:b/>
          <w:bCs/>
        </w:rPr>
      </w:pPr>
      <w:r w:rsidRPr="00D773F7">
        <w:rPr>
          <w:rFonts w:asciiTheme="majorBidi" w:hAnsiTheme="majorBidi" w:cstheme="majorBidi"/>
          <w:b/>
          <w:bCs/>
        </w:rPr>
        <w:t>H315 + H320</w:t>
      </w:r>
    </w:p>
    <w:p w14:paraId="0F626517" w14:textId="215ED156" w:rsidR="00F56B65" w:rsidRPr="00D773F7" w:rsidRDefault="00F56B65" w:rsidP="00F56B65">
      <w:pPr>
        <w:pStyle w:val="Bullet1G"/>
        <w:numPr>
          <w:ilvl w:val="0"/>
          <w:numId w:val="0"/>
        </w:numPr>
        <w:spacing w:after="80"/>
        <w:ind w:left="1701"/>
        <w:rPr>
          <w:rFonts w:asciiTheme="majorBidi" w:hAnsiTheme="majorBidi" w:cstheme="majorBidi"/>
        </w:rPr>
      </w:pPr>
      <w:r w:rsidRPr="00D773F7">
        <w:rPr>
          <w:rFonts w:asciiTheme="majorBidi" w:hAnsiTheme="majorBidi" w:cstheme="majorBidi"/>
        </w:rPr>
        <w:t>Under column (2), add a reference to note “</w:t>
      </w:r>
      <w:r w:rsidRPr="00D773F7">
        <w:rPr>
          <w:rFonts w:asciiTheme="majorBidi" w:hAnsiTheme="majorBidi" w:cstheme="majorBidi"/>
          <w:b/>
          <w:bCs/>
          <w:vertAlign w:val="superscript"/>
        </w:rPr>
        <w:t>a</w:t>
      </w:r>
      <w:r w:rsidRPr="00D773F7">
        <w:rPr>
          <w:rFonts w:asciiTheme="majorBidi" w:hAnsiTheme="majorBidi" w:cstheme="majorBidi"/>
        </w:rPr>
        <w:t>”” at the end of the hazard statement</w:t>
      </w:r>
      <w:r w:rsidR="00C264B0" w:rsidRPr="00D773F7">
        <w:rPr>
          <w:rFonts w:asciiTheme="majorBidi" w:hAnsiTheme="majorBidi" w:cstheme="majorBidi"/>
        </w:rPr>
        <w:t xml:space="preserve">, to read </w:t>
      </w:r>
      <w:r w:rsidRPr="00D773F7">
        <w:rPr>
          <w:rFonts w:asciiTheme="majorBidi" w:hAnsiTheme="majorBidi" w:cstheme="majorBidi"/>
        </w:rPr>
        <w:t>as follows: “Causes skin and eye irritation </w:t>
      </w:r>
      <w:r w:rsidRPr="00D773F7">
        <w:rPr>
          <w:rFonts w:asciiTheme="majorBidi" w:hAnsiTheme="majorBidi" w:cstheme="majorBidi"/>
          <w:b/>
          <w:bCs/>
          <w:vertAlign w:val="superscript"/>
        </w:rPr>
        <w:t>a</w:t>
      </w:r>
      <w:r w:rsidRPr="00D773F7">
        <w:rPr>
          <w:rFonts w:asciiTheme="majorBidi" w:hAnsiTheme="majorBidi" w:cstheme="majorBidi"/>
        </w:rPr>
        <w:t xml:space="preserve">”. </w:t>
      </w:r>
    </w:p>
    <w:p w14:paraId="4CCCEDFC" w14:textId="77777777" w:rsidR="00F56B65" w:rsidRPr="00D773F7" w:rsidRDefault="00F56B65" w:rsidP="00F56B65">
      <w:pPr>
        <w:pStyle w:val="Bullet1G"/>
        <w:numPr>
          <w:ilvl w:val="0"/>
          <w:numId w:val="0"/>
        </w:numPr>
        <w:spacing w:after="80"/>
        <w:ind w:left="1701"/>
        <w:rPr>
          <w:rFonts w:asciiTheme="majorBidi" w:hAnsiTheme="majorBidi" w:cstheme="majorBidi"/>
        </w:rPr>
      </w:pPr>
      <w:r w:rsidRPr="00D773F7">
        <w:rPr>
          <w:rFonts w:asciiTheme="majorBidi" w:hAnsiTheme="majorBidi" w:cstheme="majorBidi"/>
        </w:rPr>
        <w:t>Under column (4) , replace “2 (skin)/2B (eye)” with “2 (skin) + 2B (eye)”.</w:t>
      </w:r>
    </w:p>
    <w:p w14:paraId="66AFA490" w14:textId="4DDBE4AB" w:rsidR="00F56B65" w:rsidRPr="00D773F7" w:rsidRDefault="00F56B65" w:rsidP="005119E6">
      <w:pPr>
        <w:pStyle w:val="H23G"/>
        <w:rPr>
          <w:rFonts w:asciiTheme="majorBidi" w:hAnsiTheme="majorBidi" w:cstheme="majorBidi"/>
        </w:rPr>
      </w:pPr>
      <w:r w:rsidRPr="00D773F7">
        <w:rPr>
          <w:rFonts w:asciiTheme="majorBidi" w:hAnsiTheme="majorBidi" w:cstheme="majorBidi"/>
        </w:rPr>
        <w:tab/>
      </w:r>
      <w:r w:rsidRPr="00D773F7">
        <w:rPr>
          <w:rFonts w:asciiTheme="majorBidi" w:hAnsiTheme="majorBidi" w:cstheme="majorBidi"/>
        </w:rPr>
        <w:tab/>
        <w:t>Section 2</w:t>
      </w:r>
    </w:p>
    <w:p w14:paraId="43DC3F60" w14:textId="77777777" w:rsidR="00431494" w:rsidRPr="00D773F7" w:rsidRDefault="00431494" w:rsidP="00431494">
      <w:pPr>
        <w:pStyle w:val="SingleTxtG"/>
        <w:spacing w:after="80"/>
        <w:rPr>
          <w:rFonts w:asciiTheme="majorBidi" w:hAnsiTheme="majorBidi" w:cstheme="majorBidi"/>
        </w:rPr>
      </w:pPr>
      <w:r w:rsidRPr="00D773F7">
        <w:rPr>
          <w:rFonts w:asciiTheme="majorBidi" w:hAnsiTheme="majorBidi" w:cstheme="majorBidi"/>
        </w:rPr>
        <w:t>A3.2.2.4</w:t>
      </w:r>
      <w:r w:rsidRPr="00D773F7">
        <w:rPr>
          <w:rFonts w:asciiTheme="majorBidi" w:hAnsiTheme="majorBidi" w:cstheme="majorBidi"/>
        </w:rPr>
        <w:tab/>
        <w:t>Insert the following new paragraph:</w:t>
      </w:r>
    </w:p>
    <w:p w14:paraId="737817B2" w14:textId="77777777" w:rsidR="00431494" w:rsidRPr="00D773F7" w:rsidRDefault="00431494" w:rsidP="00FF5260">
      <w:pPr>
        <w:pStyle w:val="SingleTxtG"/>
        <w:tabs>
          <w:tab w:val="clear" w:pos="1701"/>
        </w:tabs>
        <w:spacing w:after="80"/>
        <w:ind w:left="2268"/>
        <w:rPr>
          <w:rFonts w:asciiTheme="majorBidi" w:hAnsiTheme="majorBidi" w:cstheme="majorBidi"/>
        </w:rPr>
      </w:pPr>
      <w:bookmarkStart w:id="26" w:name="_Hlk124949447"/>
      <w:r w:rsidRPr="00D773F7">
        <w:rPr>
          <w:rFonts w:asciiTheme="majorBidi" w:hAnsiTheme="majorBidi" w:cstheme="majorBidi"/>
        </w:rPr>
        <w:t>“A3.2.2.4</w:t>
      </w:r>
      <w:r w:rsidRPr="00D773F7">
        <w:rPr>
          <w:rFonts w:asciiTheme="majorBidi" w:hAnsiTheme="majorBidi" w:cstheme="majorBidi"/>
        </w:rPr>
        <w:tab/>
        <w:t>Where square brackets […] appear around a precautionary statement code, this indicates the precautionary statement is not appropriate in every case and should be used only in certain circumstances. In these cases, conditions for use explaining when the text should be used are given in column (5) of the tables.”.</w:t>
      </w:r>
    </w:p>
    <w:bookmarkEnd w:id="26"/>
    <w:p w14:paraId="0E29C4AE" w14:textId="7FD4303A" w:rsidR="00D33836" w:rsidRPr="00D773F7" w:rsidRDefault="00D33836" w:rsidP="0054651A">
      <w:pPr>
        <w:pStyle w:val="SingleTxtG"/>
        <w:rPr>
          <w:rFonts w:asciiTheme="majorBidi" w:hAnsiTheme="majorBidi" w:cstheme="majorBidi"/>
        </w:rPr>
      </w:pPr>
      <w:r w:rsidRPr="00D773F7">
        <w:rPr>
          <w:rFonts w:asciiTheme="majorBidi" w:hAnsiTheme="majorBidi" w:cstheme="majorBidi"/>
        </w:rPr>
        <w:t>A3.2.4.4</w:t>
      </w:r>
      <w:r w:rsidRPr="00D773F7">
        <w:rPr>
          <w:rFonts w:asciiTheme="majorBidi" w:hAnsiTheme="majorBidi" w:cstheme="majorBidi"/>
        </w:rPr>
        <w:tab/>
        <w:t>Amend to read as follows:</w:t>
      </w:r>
    </w:p>
    <w:p w14:paraId="10A2BC87" w14:textId="25B4564F" w:rsidR="003C2397" w:rsidRPr="00D773F7" w:rsidRDefault="003C2397" w:rsidP="0054651A">
      <w:pPr>
        <w:pStyle w:val="SingleTxtG"/>
        <w:ind w:left="2268"/>
        <w:rPr>
          <w:rFonts w:asciiTheme="majorBidi" w:hAnsiTheme="majorBidi" w:cstheme="majorBidi"/>
          <w:b/>
          <w:bCs/>
        </w:rPr>
      </w:pPr>
      <w:r w:rsidRPr="00D773F7">
        <w:rPr>
          <w:rFonts w:asciiTheme="majorBidi" w:hAnsiTheme="majorBidi" w:cstheme="majorBidi"/>
        </w:rPr>
        <w:t>“A3.2.4.4</w:t>
      </w:r>
      <w:r w:rsidRPr="00D773F7">
        <w:rPr>
          <w:rFonts w:asciiTheme="majorBidi" w:hAnsiTheme="majorBidi" w:cstheme="majorBidi"/>
        </w:rPr>
        <w:tab/>
        <w:t xml:space="preserve">Where square brackets [...] appear around some text in a precautionary statement, this indicates that the text in square brackets is not appropriate in every case and should be used only in certain circumstances.  In these cases, conditions for use explaining when the text should be used are given in column (5) of the tables.  </w:t>
      </w:r>
      <w:bookmarkStart w:id="27" w:name="_Hlk124949192"/>
      <w:r w:rsidRPr="00D773F7">
        <w:rPr>
          <w:rFonts w:asciiTheme="majorBidi" w:hAnsiTheme="majorBidi" w:cstheme="majorBidi"/>
        </w:rPr>
        <w:t>For example, P264 states:</w:t>
      </w:r>
      <w:r w:rsidRPr="00D773F7">
        <w:rPr>
          <w:rFonts w:asciiTheme="majorBidi" w:hAnsiTheme="majorBidi" w:cstheme="majorBidi"/>
          <w:b/>
          <w:bCs/>
        </w:rPr>
        <w:t xml:space="preserve"> “</w:t>
      </w:r>
      <w:r w:rsidRPr="00D773F7">
        <w:rPr>
          <w:rStyle w:val="StyleBold"/>
          <w:rFonts w:asciiTheme="majorBidi" w:hAnsiTheme="majorBidi" w:cstheme="majorBidi"/>
        </w:rPr>
        <w:t xml:space="preserve">Wash hands [and </w:t>
      </w:r>
      <w:r w:rsidRPr="00D773F7">
        <w:rPr>
          <w:rFonts w:asciiTheme="majorBidi" w:hAnsiTheme="majorBidi" w:cstheme="majorBidi"/>
          <w:bCs/>
        </w:rPr>
        <w:t>...]</w:t>
      </w:r>
      <w:r w:rsidRPr="00D773F7">
        <w:rPr>
          <w:rStyle w:val="StyleBold"/>
          <w:rFonts w:asciiTheme="majorBidi" w:hAnsiTheme="majorBidi" w:cstheme="majorBidi"/>
        </w:rPr>
        <w:t xml:space="preserve"> thoroughly after handling.</w:t>
      </w:r>
      <w:r w:rsidRPr="00D773F7">
        <w:rPr>
          <w:rFonts w:asciiTheme="majorBidi" w:hAnsiTheme="majorBidi" w:cstheme="majorBidi"/>
          <w:b/>
          <w:bCs/>
        </w:rPr>
        <w:t xml:space="preserve">”. </w:t>
      </w:r>
      <w:bookmarkStart w:id="28" w:name="_Hlk124949261"/>
      <w:bookmarkEnd w:id="27"/>
      <w:r w:rsidRPr="00D773F7">
        <w:rPr>
          <w:rFonts w:asciiTheme="majorBidi" w:hAnsiTheme="majorBidi" w:cstheme="majorBidi"/>
        </w:rPr>
        <w:t>This statement is given with the condition for use:</w:t>
      </w:r>
      <w:r w:rsidRPr="00D773F7">
        <w:rPr>
          <w:rFonts w:asciiTheme="majorBidi" w:hAnsiTheme="majorBidi" w:cstheme="majorBidi"/>
          <w:b/>
          <w:bCs/>
        </w:rPr>
        <w:t xml:space="preserve"> </w:t>
      </w:r>
      <w:r w:rsidRPr="00D773F7">
        <w:rPr>
          <w:rFonts w:asciiTheme="majorBidi" w:hAnsiTheme="majorBidi" w:cstheme="majorBidi"/>
        </w:rPr>
        <w:t>“</w:t>
      </w:r>
      <w:r w:rsidRPr="00D773F7">
        <w:rPr>
          <w:rFonts w:asciiTheme="majorBidi" w:hAnsiTheme="majorBidi" w:cstheme="majorBidi"/>
          <w:i/>
          <w:iCs/>
        </w:rPr>
        <w:t>-</w:t>
      </w:r>
      <w:r w:rsidRPr="00D773F7">
        <w:rPr>
          <w:rFonts w:asciiTheme="majorBidi" w:hAnsiTheme="majorBidi" w:cstheme="majorBidi"/>
          <w:b/>
          <w:bCs/>
          <w:i/>
          <w:iCs/>
        </w:rPr>
        <w:t xml:space="preserve"> </w:t>
      </w:r>
      <w:r w:rsidRPr="00D773F7">
        <w:rPr>
          <w:rFonts w:asciiTheme="majorBidi" w:hAnsiTheme="majorBidi" w:cstheme="majorBidi"/>
          <w:i/>
          <w:iCs/>
        </w:rPr>
        <w:t>text in square brackets to be used when the manufacturer/supplier or the competent authority specify other parts of the body to be washed after handling</w:t>
      </w:r>
      <w:r w:rsidRPr="00D773F7">
        <w:rPr>
          <w:rFonts w:asciiTheme="majorBidi" w:hAnsiTheme="majorBidi" w:cstheme="majorBidi"/>
        </w:rPr>
        <w:t>.”.</w:t>
      </w:r>
      <w:bookmarkEnd w:id="28"/>
      <w:r w:rsidRPr="00D773F7">
        <w:rPr>
          <w:rFonts w:asciiTheme="majorBidi" w:hAnsiTheme="majorBidi" w:cstheme="majorBidi"/>
          <w:b/>
          <w:bCs/>
        </w:rPr>
        <w:t xml:space="preserve"> </w:t>
      </w:r>
      <w:r w:rsidRPr="00D773F7">
        <w:rPr>
          <w:rFonts w:asciiTheme="majorBidi" w:hAnsiTheme="majorBidi" w:cstheme="majorBidi"/>
        </w:rPr>
        <w:t xml:space="preserve">The application of the condition for use should be interpreted as follows:  </w:t>
      </w:r>
      <w:bookmarkStart w:id="29" w:name="_Hlk124949302"/>
      <w:r w:rsidRPr="00D773F7">
        <w:rPr>
          <w:rFonts w:asciiTheme="majorBidi" w:hAnsiTheme="majorBidi" w:cstheme="majorBidi"/>
        </w:rPr>
        <w:t>If additional information is provided explaining what other part(s) of the body is to be washed following handling, then the text in brackets is to be used followed by the name of the relevant body part(s). However, if other part(s) of the body do not need to be specified, the text in square brackets should not be used, and the precautionary statement should read:</w:t>
      </w:r>
      <w:r w:rsidRPr="00D773F7">
        <w:rPr>
          <w:rFonts w:asciiTheme="majorBidi" w:hAnsiTheme="majorBidi" w:cstheme="majorBidi"/>
          <w:b/>
          <w:bCs/>
        </w:rPr>
        <w:t xml:space="preserve"> “</w:t>
      </w:r>
      <w:r w:rsidRPr="00D773F7">
        <w:rPr>
          <w:rStyle w:val="StyleBold"/>
          <w:rFonts w:asciiTheme="majorBidi" w:hAnsiTheme="majorBidi" w:cstheme="majorBidi"/>
        </w:rPr>
        <w:t>Wash hands thoroughly after handling</w:t>
      </w:r>
      <w:r w:rsidRPr="00D773F7">
        <w:rPr>
          <w:rFonts w:asciiTheme="majorBidi" w:hAnsiTheme="majorBidi" w:cstheme="majorBidi"/>
          <w:bCs/>
        </w:rPr>
        <w:t>.</w:t>
      </w:r>
      <w:r w:rsidRPr="00D773F7">
        <w:rPr>
          <w:rFonts w:asciiTheme="majorBidi" w:hAnsiTheme="majorBidi" w:cstheme="majorBidi"/>
          <w:b/>
          <w:bCs/>
        </w:rPr>
        <w:t>”.”</w:t>
      </w:r>
    </w:p>
    <w:bookmarkEnd w:id="29"/>
    <w:p w14:paraId="7B491A5A" w14:textId="77777777" w:rsidR="00F56B65" w:rsidRPr="00D773F7" w:rsidRDefault="00F56B65" w:rsidP="00F56B65">
      <w:pPr>
        <w:pStyle w:val="SingleTxtG"/>
        <w:keepNext/>
        <w:keepLines/>
        <w:spacing w:after="80"/>
        <w:rPr>
          <w:rFonts w:asciiTheme="majorBidi" w:hAnsiTheme="majorBidi" w:cstheme="majorBidi"/>
        </w:rPr>
      </w:pPr>
      <w:r w:rsidRPr="00D773F7">
        <w:rPr>
          <w:rFonts w:asciiTheme="majorBidi" w:hAnsiTheme="majorBidi" w:cstheme="majorBidi"/>
        </w:rPr>
        <w:t>A3.2.5.2.2</w:t>
      </w:r>
      <w:r w:rsidRPr="00D773F7">
        <w:rPr>
          <w:rFonts w:asciiTheme="majorBidi" w:hAnsiTheme="majorBidi" w:cstheme="majorBidi"/>
        </w:rPr>
        <w:tab/>
        <w:t>Insert the following text after the first sentence:</w:t>
      </w:r>
    </w:p>
    <w:p w14:paraId="3E84DA11" w14:textId="77777777" w:rsidR="00F56B65" w:rsidRPr="00D773F7" w:rsidRDefault="00F56B65" w:rsidP="00FF5260">
      <w:pPr>
        <w:pStyle w:val="SingleTxtG"/>
        <w:tabs>
          <w:tab w:val="clear" w:pos="1701"/>
        </w:tabs>
        <w:spacing w:after="80"/>
        <w:ind w:left="2268"/>
        <w:rPr>
          <w:rFonts w:asciiTheme="majorBidi" w:hAnsiTheme="majorBidi" w:cstheme="majorBidi"/>
        </w:rPr>
      </w:pPr>
      <w:r w:rsidRPr="00D773F7">
        <w:rPr>
          <w:rFonts w:asciiTheme="majorBidi" w:hAnsiTheme="majorBidi" w:cstheme="majorBidi"/>
          <w:b/>
          <w:bCs/>
        </w:rPr>
        <w:t>“</w:t>
      </w:r>
      <w:bookmarkStart w:id="30" w:name="_Hlk124949363"/>
      <w:r w:rsidRPr="00D773F7">
        <w:rPr>
          <w:rFonts w:asciiTheme="majorBidi" w:hAnsiTheme="majorBidi" w:cstheme="majorBidi"/>
        </w:rPr>
        <w:t>Precautionary statements can be combined by using the word “and”, additional punctuation, and changing the case of the initial letter of the word at the beginning of a statement. For example, P</w:t>
      </w:r>
      <w:r w:rsidRPr="00D773F7">
        <w:rPr>
          <w:rFonts w:asciiTheme="majorBidi" w:hAnsiTheme="majorBidi" w:cstheme="majorBidi"/>
          <w:lang w:val="en-US"/>
        </w:rPr>
        <w:t>302 + P335 + P334 “</w:t>
      </w:r>
      <w:r w:rsidRPr="00D773F7">
        <w:rPr>
          <w:rFonts w:asciiTheme="majorBidi" w:hAnsiTheme="majorBidi" w:cstheme="majorBidi"/>
          <w:b/>
          <w:bCs/>
          <w:lang w:val="en-US"/>
        </w:rPr>
        <w:t xml:space="preserve">IF ON </w:t>
      </w:r>
      <w:r w:rsidRPr="00D773F7">
        <w:rPr>
          <w:rFonts w:asciiTheme="majorBidi" w:hAnsiTheme="majorBidi" w:cstheme="majorBidi"/>
          <w:b/>
          <w:bCs/>
          <w:lang w:val="en-US"/>
        </w:rPr>
        <w:lastRenderedPageBreak/>
        <w:t>SKIN: Brush off loose particles from skin and immerse in cool water [or wrap in wet bandages].</w:t>
      </w:r>
      <w:r w:rsidRPr="00D773F7">
        <w:rPr>
          <w:rFonts w:asciiTheme="majorBidi" w:hAnsiTheme="majorBidi" w:cstheme="majorBidi"/>
        </w:rPr>
        <w:t>”</w:t>
      </w:r>
      <w:bookmarkEnd w:id="30"/>
    </w:p>
    <w:p w14:paraId="7262E79C" w14:textId="77777777" w:rsidR="00F56B65" w:rsidRPr="00D773F7" w:rsidRDefault="00F56B65" w:rsidP="005119E6">
      <w:pPr>
        <w:pStyle w:val="H23G"/>
        <w:rPr>
          <w:rFonts w:asciiTheme="majorBidi" w:hAnsiTheme="majorBidi" w:cstheme="majorBidi"/>
        </w:rPr>
      </w:pPr>
      <w:r w:rsidRPr="00D773F7">
        <w:rPr>
          <w:rFonts w:asciiTheme="majorBidi" w:hAnsiTheme="majorBidi" w:cstheme="majorBidi"/>
        </w:rPr>
        <w:tab/>
      </w:r>
      <w:r w:rsidRPr="00D773F7">
        <w:rPr>
          <w:rFonts w:asciiTheme="majorBidi" w:hAnsiTheme="majorBidi" w:cstheme="majorBidi"/>
        </w:rPr>
        <w:tab/>
        <w:t>Table A3.2.2</w:t>
      </w:r>
    </w:p>
    <w:p w14:paraId="15DD54C0" w14:textId="540C0D21" w:rsidR="00A96701" w:rsidRPr="00D773F7" w:rsidRDefault="00A01F95" w:rsidP="006B5902">
      <w:pPr>
        <w:pStyle w:val="SingleTxtG"/>
        <w:spacing w:before="240"/>
        <w:rPr>
          <w:rFonts w:asciiTheme="majorBidi" w:hAnsiTheme="majorBidi" w:cstheme="majorBidi"/>
          <w:b/>
          <w:bCs/>
        </w:rPr>
      </w:pPr>
      <w:r w:rsidRPr="00D773F7">
        <w:rPr>
          <w:rFonts w:asciiTheme="majorBidi" w:hAnsiTheme="majorBidi" w:cstheme="majorBidi"/>
          <w:b/>
          <w:bCs/>
        </w:rPr>
        <w:t>P233</w:t>
      </w:r>
    </w:p>
    <w:p w14:paraId="77E66987" w14:textId="6BFBDBFE" w:rsidR="00275016" w:rsidRPr="00D773F7" w:rsidRDefault="0091231D" w:rsidP="009668B8">
      <w:pPr>
        <w:pStyle w:val="Bullet1G"/>
        <w:numPr>
          <w:ilvl w:val="0"/>
          <w:numId w:val="0"/>
        </w:numPr>
        <w:suppressAutoHyphens/>
        <w:kinsoku w:val="0"/>
        <w:overflowPunct w:val="0"/>
        <w:autoSpaceDE w:val="0"/>
        <w:autoSpaceDN w:val="0"/>
        <w:adjustRightInd w:val="0"/>
        <w:snapToGrid w:val="0"/>
        <w:ind w:left="1134"/>
        <w:rPr>
          <w:rFonts w:asciiTheme="majorBidi" w:hAnsiTheme="majorBidi" w:cstheme="majorBidi"/>
        </w:rPr>
      </w:pPr>
      <w:r w:rsidRPr="00D773F7">
        <w:rPr>
          <w:rFonts w:asciiTheme="majorBidi" w:hAnsiTheme="majorBidi" w:cstheme="majorBidi"/>
        </w:rPr>
        <w:t>A</w:t>
      </w:r>
      <w:r w:rsidR="00F9598E" w:rsidRPr="00D773F7">
        <w:rPr>
          <w:rFonts w:asciiTheme="majorBidi" w:hAnsiTheme="majorBidi" w:cstheme="majorBidi"/>
        </w:rPr>
        <w:t xml:space="preserve">fter </w:t>
      </w:r>
      <w:r w:rsidR="00275016" w:rsidRPr="00D773F7">
        <w:rPr>
          <w:rFonts w:asciiTheme="majorBidi" w:hAnsiTheme="majorBidi" w:cstheme="majorBidi"/>
        </w:rPr>
        <w:t>the row applicable to</w:t>
      </w:r>
      <w:r w:rsidR="00F9598E" w:rsidRPr="00D773F7">
        <w:rPr>
          <w:rFonts w:asciiTheme="majorBidi" w:hAnsiTheme="majorBidi" w:cstheme="majorBidi"/>
        </w:rPr>
        <w:t xml:space="preserve"> “Acute toxicity, inhalation (chapter 3.1)” insert </w:t>
      </w:r>
      <w:r w:rsidR="00275016" w:rsidRPr="00D773F7">
        <w:rPr>
          <w:rFonts w:asciiTheme="majorBidi" w:hAnsiTheme="majorBidi" w:cstheme="majorBidi"/>
        </w:rPr>
        <w:t>the following new row:</w:t>
      </w:r>
    </w:p>
    <w:tbl>
      <w:tblPr>
        <w:tblStyle w:val="TableGrid"/>
        <w:tblW w:w="0" w:type="auto"/>
        <w:tblInd w:w="1271" w:type="dxa"/>
        <w:tblLook w:val="04A0" w:firstRow="1" w:lastRow="0" w:firstColumn="1" w:lastColumn="0" w:noHBand="0" w:noVBand="1"/>
      </w:tblPr>
      <w:tblGrid>
        <w:gridCol w:w="1149"/>
        <w:gridCol w:w="709"/>
        <w:gridCol w:w="2970"/>
        <w:gridCol w:w="1521"/>
        <w:gridCol w:w="1022"/>
      </w:tblGrid>
      <w:tr w:rsidR="00354108" w:rsidRPr="00D773F7" w14:paraId="78C747C1" w14:textId="77777777" w:rsidTr="00E21018">
        <w:tc>
          <w:tcPr>
            <w:tcW w:w="1149" w:type="dxa"/>
          </w:tcPr>
          <w:p w14:paraId="67D5E2C2" w14:textId="77777777" w:rsidR="00275016" w:rsidRPr="00D773F7" w:rsidRDefault="00275016" w:rsidP="009668B8">
            <w:pPr>
              <w:pStyle w:val="Bullet2G"/>
              <w:numPr>
                <w:ilvl w:val="0"/>
                <w:numId w:val="0"/>
              </w:numPr>
              <w:ind w:right="112"/>
              <w:rPr>
                <w:rFonts w:asciiTheme="majorBidi" w:eastAsia="SimSun" w:hAnsiTheme="majorBidi" w:cstheme="majorBidi"/>
                <w:sz w:val="18"/>
                <w:szCs w:val="18"/>
                <w:lang w:val="en-GB" w:eastAsia="zh-CN"/>
              </w:rPr>
            </w:pPr>
          </w:p>
        </w:tc>
        <w:tc>
          <w:tcPr>
            <w:tcW w:w="709" w:type="dxa"/>
          </w:tcPr>
          <w:p w14:paraId="1369123B" w14:textId="77777777" w:rsidR="00275016" w:rsidRPr="00D773F7" w:rsidRDefault="00275016" w:rsidP="009668B8">
            <w:pPr>
              <w:pStyle w:val="Bullet2G"/>
              <w:numPr>
                <w:ilvl w:val="0"/>
                <w:numId w:val="0"/>
              </w:numPr>
              <w:ind w:right="112"/>
              <w:rPr>
                <w:rFonts w:asciiTheme="majorBidi" w:eastAsia="SimSun" w:hAnsiTheme="majorBidi" w:cstheme="majorBidi"/>
                <w:sz w:val="18"/>
                <w:szCs w:val="18"/>
                <w:lang w:val="en-GB" w:eastAsia="zh-CN"/>
              </w:rPr>
            </w:pPr>
          </w:p>
        </w:tc>
        <w:tc>
          <w:tcPr>
            <w:tcW w:w="2970" w:type="dxa"/>
          </w:tcPr>
          <w:p w14:paraId="40ED2E89" w14:textId="239A9D39" w:rsidR="00275016" w:rsidRPr="00D773F7" w:rsidRDefault="00275016" w:rsidP="009668B8">
            <w:pPr>
              <w:pStyle w:val="Bullet2G"/>
              <w:numPr>
                <w:ilvl w:val="0"/>
                <w:numId w:val="0"/>
              </w:numPr>
              <w:ind w:right="112"/>
              <w:jc w:val="left"/>
              <w:rPr>
                <w:rFonts w:asciiTheme="majorBidi" w:eastAsia="SimSun" w:hAnsiTheme="majorBidi" w:cstheme="majorBidi"/>
                <w:sz w:val="18"/>
                <w:szCs w:val="18"/>
                <w:lang w:val="en-GB" w:eastAsia="zh-CN"/>
              </w:rPr>
            </w:pPr>
            <w:r w:rsidRPr="00D773F7">
              <w:rPr>
                <w:rFonts w:asciiTheme="majorBidi" w:hAnsiTheme="majorBidi" w:cstheme="majorBidi"/>
                <w:sz w:val="18"/>
                <w:szCs w:val="18"/>
              </w:rPr>
              <w:t>Respiratory sensitization (chapter 3.4)</w:t>
            </w:r>
          </w:p>
        </w:tc>
        <w:tc>
          <w:tcPr>
            <w:tcW w:w="1521" w:type="dxa"/>
          </w:tcPr>
          <w:p w14:paraId="661F1416" w14:textId="6572ACEF" w:rsidR="00275016" w:rsidRPr="00D773F7" w:rsidRDefault="00275016" w:rsidP="009668B8">
            <w:pPr>
              <w:pStyle w:val="Bullet2G"/>
              <w:numPr>
                <w:ilvl w:val="0"/>
                <w:numId w:val="0"/>
              </w:numPr>
              <w:ind w:right="0"/>
              <w:jc w:val="center"/>
              <w:rPr>
                <w:rFonts w:asciiTheme="majorBidi" w:eastAsia="SimSun" w:hAnsiTheme="majorBidi" w:cstheme="majorBidi"/>
                <w:sz w:val="18"/>
                <w:szCs w:val="18"/>
                <w:lang w:val="en-GB" w:eastAsia="zh-CN"/>
              </w:rPr>
            </w:pPr>
            <w:r w:rsidRPr="00D773F7">
              <w:rPr>
                <w:rFonts w:asciiTheme="majorBidi" w:hAnsiTheme="majorBidi" w:cstheme="majorBidi"/>
                <w:sz w:val="18"/>
                <w:szCs w:val="18"/>
              </w:rPr>
              <w:t>1, 1A, 1B</w:t>
            </w:r>
          </w:p>
        </w:tc>
        <w:tc>
          <w:tcPr>
            <w:tcW w:w="1022" w:type="dxa"/>
          </w:tcPr>
          <w:p w14:paraId="5152736C" w14:textId="77777777" w:rsidR="00275016" w:rsidRPr="00D773F7" w:rsidRDefault="00275016" w:rsidP="009668B8">
            <w:pPr>
              <w:pStyle w:val="Bullet2G"/>
              <w:numPr>
                <w:ilvl w:val="0"/>
                <w:numId w:val="0"/>
              </w:numPr>
              <w:ind w:right="112"/>
              <w:rPr>
                <w:rFonts w:asciiTheme="majorBidi" w:eastAsia="SimSun" w:hAnsiTheme="majorBidi" w:cstheme="majorBidi"/>
                <w:sz w:val="18"/>
                <w:szCs w:val="18"/>
                <w:lang w:val="en-GB" w:eastAsia="zh-CN"/>
              </w:rPr>
            </w:pPr>
          </w:p>
        </w:tc>
      </w:tr>
    </w:tbl>
    <w:p w14:paraId="20612440" w14:textId="79AF2FCB" w:rsidR="00B612A4" w:rsidRPr="00D773F7" w:rsidRDefault="00B612A4" w:rsidP="00E832C2">
      <w:pPr>
        <w:pStyle w:val="Bullet2G"/>
        <w:numPr>
          <w:ilvl w:val="0"/>
          <w:numId w:val="0"/>
        </w:numPr>
        <w:spacing w:before="120"/>
        <w:ind w:left="1134"/>
        <w:rPr>
          <w:rFonts w:asciiTheme="majorBidi" w:hAnsiTheme="majorBidi" w:cstheme="majorBidi"/>
          <w:i/>
          <w:iCs/>
        </w:rPr>
      </w:pPr>
      <w:r w:rsidRPr="00D773F7">
        <w:rPr>
          <w:rFonts w:asciiTheme="majorBidi" w:hAnsiTheme="majorBidi" w:cstheme="majorBidi"/>
          <w:i/>
          <w:iCs/>
        </w:rPr>
        <w:t>(</w:t>
      </w:r>
      <w:r w:rsidRPr="00D773F7">
        <w:rPr>
          <w:rFonts w:asciiTheme="majorBidi" w:hAnsiTheme="majorBidi" w:cstheme="majorBidi"/>
          <w:b/>
          <w:bCs/>
          <w:i/>
          <w:iCs/>
        </w:rPr>
        <w:t>Note</w:t>
      </w:r>
      <w:r w:rsidR="00940DEE" w:rsidRPr="00D773F7">
        <w:rPr>
          <w:rFonts w:asciiTheme="majorBidi" w:hAnsiTheme="majorBidi" w:cstheme="majorBidi"/>
          <w:b/>
          <w:bCs/>
          <w:i/>
          <w:iCs/>
        </w:rPr>
        <w:t xml:space="preserve"> by the secretariat</w:t>
      </w:r>
      <w:r w:rsidRPr="00D773F7">
        <w:rPr>
          <w:rFonts w:asciiTheme="majorBidi" w:hAnsiTheme="majorBidi" w:cstheme="majorBidi"/>
          <w:i/>
          <w:iCs/>
        </w:rPr>
        <w:t xml:space="preserve">: the current condition for use under column (5) remains applicable and unchanged for </w:t>
      </w:r>
      <w:r w:rsidR="00A96701" w:rsidRPr="00D773F7">
        <w:rPr>
          <w:rFonts w:asciiTheme="majorBidi" w:hAnsiTheme="majorBidi" w:cstheme="majorBidi"/>
          <w:i/>
          <w:iCs/>
        </w:rPr>
        <w:t>“</w:t>
      </w:r>
      <w:r w:rsidRPr="00D773F7">
        <w:rPr>
          <w:rFonts w:asciiTheme="majorBidi" w:hAnsiTheme="majorBidi" w:cstheme="majorBidi"/>
          <w:i/>
          <w:iCs/>
        </w:rPr>
        <w:t>acute toxicity, inhalation</w:t>
      </w:r>
      <w:r w:rsidR="00A96701" w:rsidRPr="00D773F7">
        <w:rPr>
          <w:rFonts w:asciiTheme="majorBidi" w:hAnsiTheme="majorBidi" w:cstheme="majorBidi"/>
          <w:i/>
          <w:iCs/>
        </w:rPr>
        <w:t>”</w:t>
      </w:r>
      <w:r w:rsidRPr="00D773F7">
        <w:rPr>
          <w:rFonts w:asciiTheme="majorBidi" w:hAnsiTheme="majorBidi" w:cstheme="majorBidi"/>
          <w:i/>
          <w:iCs/>
        </w:rPr>
        <w:t xml:space="preserve"> but does not apply to the new entry</w:t>
      </w:r>
      <w:r w:rsidR="00D36DE7" w:rsidRPr="00D773F7">
        <w:rPr>
          <w:rFonts w:asciiTheme="majorBidi" w:hAnsiTheme="majorBidi" w:cstheme="majorBidi"/>
          <w:i/>
          <w:iCs/>
        </w:rPr>
        <w:t xml:space="preserve"> for respiratory sensitization</w:t>
      </w:r>
      <w:r w:rsidRPr="00D773F7">
        <w:rPr>
          <w:rFonts w:asciiTheme="majorBidi" w:hAnsiTheme="majorBidi" w:cstheme="majorBidi"/>
          <w:i/>
          <w:iCs/>
        </w:rPr>
        <w:t>)</w:t>
      </w:r>
      <w:r w:rsidR="00AB7A34" w:rsidRPr="00D773F7">
        <w:rPr>
          <w:rFonts w:asciiTheme="majorBidi" w:hAnsiTheme="majorBidi" w:cstheme="majorBidi"/>
          <w:i/>
          <w:iCs/>
        </w:rPr>
        <w:t>.</w:t>
      </w:r>
    </w:p>
    <w:p w14:paraId="756F2197" w14:textId="0744E959" w:rsidR="00F47029" w:rsidRPr="00D773F7" w:rsidRDefault="00F47029" w:rsidP="009668B8">
      <w:pPr>
        <w:pStyle w:val="Bullet2G"/>
        <w:numPr>
          <w:ilvl w:val="0"/>
          <w:numId w:val="0"/>
        </w:numPr>
        <w:ind w:left="1134"/>
        <w:rPr>
          <w:rFonts w:asciiTheme="majorBidi" w:hAnsiTheme="majorBidi" w:cstheme="majorBidi"/>
        </w:rPr>
      </w:pPr>
      <w:r w:rsidRPr="00D773F7">
        <w:rPr>
          <w:rFonts w:asciiTheme="majorBidi" w:hAnsiTheme="majorBidi" w:cstheme="majorBidi"/>
        </w:rPr>
        <w:t xml:space="preserve">Add </w:t>
      </w:r>
      <w:r w:rsidR="00971F38" w:rsidRPr="00D773F7">
        <w:rPr>
          <w:rFonts w:asciiTheme="majorBidi" w:hAnsiTheme="majorBidi" w:cstheme="majorBidi"/>
        </w:rPr>
        <w:t>the following</w:t>
      </w:r>
      <w:r w:rsidR="00F9598E" w:rsidRPr="00D773F7">
        <w:rPr>
          <w:rFonts w:asciiTheme="majorBidi" w:hAnsiTheme="majorBidi" w:cstheme="majorBidi"/>
        </w:rPr>
        <w:t xml:space="preserve"> condition of use</w:t>
      </w:r>
      <w:r w:rsidR="0091231D" w:rsidRPr="00D773F7">
        <w:rPr>
          <w:rFonts w:asciiTheme="majorBidi" w:hAnsiTheme="majorBidi" w:cstheme="majorBidi"/>
        </w:rPr>
        <w:t xml:space="preserve"> under column (5)</w:t>
      </w:r>
      <w:r w:rsidRPr="00D773F7">
        <w:rPr>
          <w:rFonts w:asciiTheme="majorBidi" w:hAnsiTheme="majorBidi" w:cstheme="majorBidi"/>
        </w:rPr>
        <w:t xml:space="preserve"> for the hazard classes “specific target organ toxicity, single exposure</w:t>
      </w:r>
      <w:r w:rsidR="00E76A00" w:rsidRPr="00D773F7">
        <w:rPr>
          <w:rFonts w:asciiTheme="majorBidi" w:hAnsiTheme="majorBidi" w:cstheme="majorBidi"/>
        </w:rPr>
        <w:t xml:space="preserve">; </w:t>
      </w:r>
      <w:r w:rsidRPr="00D773F7">
        <w:rPr>
          <w:rFonts w:asciiTheme="majorBidi" w:hAnsiTheme="majorBidi" w:cstheme="majorBidi"/>
        </w:rPr>
        <w:t>respiratory tract irritation” and “specific target organ toxicity, single exposure narcotic effects”:</w:t>
      </w:r>
    </w:p>
    <w:p w14:paraId="5F6F8678" w14:textId="5B15FBF1" w:rsidR="00F9598E" w:rsidRPr="00D773F7" w:rsidRDefault="00F9598E" w:rsidP="008E4F58">
      <w:pPr>
        <w:pStyle w:val="Bullet2G"/>
        <w:numPr>
          <w:ilvl w:val="0"/>
          <w:numId w:val="0"/>
        </w:numPr>
        <w:ind w:left="1418"/>
        <w:rPr>
          <w:rFonts w:asciiTheme="majorBidi" w:hAnsiTheme="majorBidi" w:cstheme="majorBidi"/>
        </w:rPr>
      </w:pPr>
      <w:r w:rsidRPr="00D773F7">
        <w:rPr>
          <w:rFonts w:asciiTheme="majorBidi" w:hAnsiTheme="majorBidi" w:cstheme="majorBidi"/>
          <w:i/>
          <w:iCs/>
        </w:rPr>
        <w:t>“– if the chemical is volatile and may generate a hazardous atmosphere.</w:t>
      </w:r>
      <w:r w:rsidRPr="00D773F7">
        <w:rPr>
          <w:rFonts w:asciiTheme="majorBidi" w:hAnsiTheme="majorBidi" w:cstheme="majorBidi"/>
        </w:rPr>
        <w:t>”.</w:t>
      </w:r>
    </w:p>
    <w:p w14:paraId="2EB06B21" w14:textId="39F4A53D" w:rsidR="005901A0" w:rsidRPr="00D773F7" w:rsidRDefault="00851039" w:rsidP="007F6C8E">
      <w:pPr>
        <w:pStyle w:val="SingleTxtG"/>
        <w:spacing w:before="240"/>
        <w:rPr>
          <w:rFonts w:asciiTheme="majorBidi" w:hAnsiTheme="majorBidi" w:cstheme="majorBidi"/>
          <w:b/>
          <w:bCs/>
        </w:rPr>
      </w:pPr>
      <w:r w:rsidRPr="00D773F7">
        <w:rPr>
          <w:rFonts w:asciiTheme="majorBidi" w:hAnsiTheme="majorBidi" w:cstheme="majorBidi"/>
          <w:b/>
          <w:bCs/>
        </w:rPr>
        <w:t>P260</w:t>
      </w:r>
    </w:p>
    <w:p w14:paraId="0B2B0295" w14:textId="550EE622" w:rsidR="00C97A6B" w:rsidRPr="00D773F7" w:rsidRDefault="00AE0F0B" w:rsidP="009668B8">
      <w:pPr>
        <w:pStyle w:val="Bullet2G"/>
        <w:numPr>
          <w:ilvl w:val="0"/>
          <w:numId w:val="0"/>
        </w:numPr>
        <w:ind w:left="1134"/>
        <w:rPr>
          <w:rFonts w:asciiTheme="majorBidi" w:hAnsiTheme="majorBidi" w:cstheme="majorBidi"/>
        </w:rPr>
      </w:pPr>
      <w:r w:rsidRPr="00D773F7">
        <w:rPr>
          <w:rFonts w:asciiTheme="majorBidi" w:hAnsiTheme="majorBidi" w:cstheme="majorBidi"/>
        </w:rPr>
        <w:t>I</w:t>
      </w:r>
      <w:r w:rsidR="00C97A6B" w:rsidRPr="00D773F7">
        <w:rPr>
          <w:rFonts w:asciiTheme="majorBidi" w:hAnsiTheme="majorBidi" w:cstheme="majorBidi"/>
        </w:rPr>
        <w:t xml:space="preserve">nsert </w:t>
      </w:r>
      <w:r w:rsidR="0091231D" w:rsidRPr="00D773F7">
        <w:rPr>
          <w:rFonts w:asciiTheme="majorBidi" w:hAnsiTheme="majorBidi" w:cstheme="majorBidi"/>
        </w:rPr>
        <w:t xml:space="preserve">the following new </w:t>
      </w:r>
      <w:r w:rsidR="00FD197A" w:rsidRPr="00D773F7">
        <w:rPr>
          <w:rFonts w:asciiTheme="majorBidi" w:hAnsiTheme="majorBidi" w:cstheme="majorBidi"/>
        </w:rPr>
        <w:t xml:space="preserve">entry after the </w:t>
      </w:r>
      <w:r w:rsidR="000E0598" w:rsidRPr="00D773F7">
        <w:rPr>
          <w:rFonts w:asciiTheme="majorBidi" w:hAnsiTheme="majorBidi" w:cstheme="majorBidi"/>
        </w:rPr>
        <w:t>one</w:t>
      </w:r>
      <w:r w:rsidR="00FD197A" w:rsidRPr="00D773F7">
        <w:rPr>
          <w:rFonts w:asciiTheme="majorBidi" w:hAnsiTheme="majorBidi" w:cstheme="majorBidi"/>
        </w:rPr>
        <w:t xml:space="preserve"> applicable to </w:t>
      </w:r>
      <w:r w:rsidR="00801723" w:rsidRPr="00D773F7">
        <w:rPr>
          <w:rFonts w:asciiTheme="majorBidi" w:hAnsiTheme="majorBidi" w:cstheme="majorBidi"/>
        </w:rPr>
        <w:t>a</w:t>
      </w:r>
      <w:r w:rsidR="00FD197A" w:rsidRPr="00D773F7">
        <w:rPr>
          <w:rFonts w:asciiTheme="majorBidi" w:hAnsiTheme="majorBidi" w:cstheme="majorBidi"/>
        </w:rPr>
        <w:t>cute toxicity, inhalation</w:t>
      </w:r>
      <w:r w:rsidR="006B4315" w:rsidRPr="00D773F7">
        <w:rPr>
          <w:rFonts w:asciiTheme="majorBidi" w:hAnsiTheme="majorBidi" w:cstheme="majorBidi"/>
        </w:rPr>
        <w:t xml:space="preserve"> (chapter</w:t>
      </w:r>
      <w:r w:rsidR="00D5052E" w:rsidRPr="00D773F7">
        <w:rPr>
          <w:rFonts w:asciiTheme="majorBidi" w:hAnsiTheme="majorBidi" w:cstheme="majorBidi"/>
        </w:rPr>
        <w:t> </w:t>
      </w:r>
      <w:r w:rsidR="006B4315" w:rsidRPr="00D773F7">
        <w:rPr>
          <w:rFonts w:asciiTheme="majorBidi" w:hAnsiTheme="majorBidi" w:cstheme="majorBidi"/>
        </w:rPr>
        <w:t>3.1)</w:t>
      </w:r>
      <w:r w:rsidR="00FD197A" w:rsidRPr="00D773F7">
        <w:rPr>
          <w:rFonts w:asciiTheme="majorBidi" w:hAnsiTheme="majorBidi" w:cstheme="majorBidi"/>
        </w:rPr>
        <w:t>:</w:t>
      </w:r>
    </w:p>
    <w:tbl>
      <w:tblPr>
        <w:tblStyle w:val="TableGrid"/>
        <w:tblW w:w="0" w:type="auto"/>
        <w:tblInd w:w="1129" w:type="dxa"/>
        <w:tblLook w:val="04A0" w:firstRow="1" w:lastRow="0" w:firstColumn="1" w:lastColumn="0" w:noHBand="0" w:noVBand="1"/>
      </w:tblPr>
      <w:tblGrid>
        <w:gridCol w:w="567"/>
        <w:gridCol w:w="567"/>
        <w:gridCol w:w="2977"/>
        <w:gridCol w:w="1134"/>
        <w:gridCol w:w="2299"/>
      </w:tblGrid>
      <w:tr w:rsidR="00711C6B" w:rsidRPr="00D773F7" w14:paraId="33DA5DB5" w14:textId="77777777" w:rsidTr="009668B8">
        <w:tc>
          <w:tcPr>
            <w:tcW w:w="567" w:type="dxa"/>
          </w:tcPr>
          <w:p w14:paraId="11DBBF7A" w14:textId="77777777" w:rsidR="0091231D" w:rsidRPr="00D773F7" w:rsidRDefault="0091231D" w:rsidP="009668B8">
            <w:pPr>
              <w:pStyle w:val="Bullet2G"/>
              <w:numPr>
                <w:ilvl w:val="0"/>
                <w:numId w:val="0"/>
              </w:numPr>
              <w:ind w:right="112"/>
              <w:rPr>
                <w:rFonts w:asciiTheme="majorBidi" w:eastAsia="SimSun" w:hAnsiTheme="majorBidi" w:cstheme="majorBidi"/>
                <w:sz w:val="18"/>
                <w:szCs w:val="18"/>
                <w:lang w:val="en-GB" w:eastAsia="zh-CN"/>
              </w:rPr>
            </w:pPr>
          </w:p>
        </w:tc>
        <w:tc>
          <w:tcPr>
            <w:tcW w:w="567" w:type="dxa"/>
          </w:tcPr>
          <w:p w14:paraId="364D5E0C" w14:textId="77777777" w:rsidR="0091231D" w:rsidRPr="00D773F7" w:rsidRDefault="0091231D" w:rsidP="009668B8">
            <w:pPr>
              <w:pStyle w:val="Bullet2G"/>
              <w:numPr>
                <w:ilvl w:val="0"/>
                <w:numId w:val="0"/>
              </w:numPr>
              <w:ind w:right="112"/>
              <w:rPr>
                <w:rFonts w:asciiTheme="majorBidi" w:eastAsia="SimSun" w:hAnsiTheme="majorBidi" w:cstheme="majorBidi"/>
                <w:sz w:val="18"/>
                <w:szCs w:val="18"/>
                <w:lang w:val="en-GB" w:eastAsia="zh-CN"/>
              </w:rPr>
            </w:pPr>
          </w:p>
        </w:tc>
        <w:tc>
          <w:tcPr>
            <w:tcW w:w="2977" w:type="dxa"/>
          </w:tcPr>
          <w:p w14:paraId="511DCB13" w14:textId="77777777" w:rsidR="0091231D" w:rsidRPr="00D773F7" w:rsidRDefault="0091231D" w:rsidP="009668B8">
            <w:pPr>
              <w:pStyle w:val="Bullet2G"/>
              <w:numPr>
                <w:ilvl w:val="0"/>
                <w:numId w:val="0"/>
              </w:numPr>
              <w:ind w:right="0"/>
              <w:jc w:val="left"/>
              <w:rPr>
                <w:rFonts w:asciiTheme="majorBidi" w:eastAsia="SimSun" w:hAnsiTheme="majorBidi" w:cstheme="majorBidi"/>
                <w:sz w:val="18"/>
                <w:szCs w:val="18"/>
                <w:lang w:val="en-GB" w:eastAsia="zh-CN"/>
              </w:rPr>
            </w:pPr>
            <w:r w:rsidRPr="00D773F7">
              <w:rPr>
                <w:rFonts w:asciiTheme="majorBidi" w:hAnsiTheme="majorBidi" w:cstheme="majorBidi"/>
                <w:sz w:val="18"/>
                <w:szCs w:val="18"/>
              </w:rPr>
              <w:t>Respiratory sensitization (chapter 3.4)</w:t>
            </w:r>
          </w:p>
        </w:tc>
        <w:tc>
          <w:tcPr>
            <w:tcW w:w="1134" w:type="dxa"/>
          </w:tcPr>
          <w:p w14:paraId="7F047423" w14:textId="77777777" w:rsidR="0091231D" w:rsidRPr="00D773F7" w:rsidRDefault="0091231D" w:rsidP="009668B8">
            <w:pPr>
              <w:pStyle w:val="Bullet2G"/>
              <w:numPr>
                <w:ilvl w:val="0"/>
                <w:numId w:val="0"/>
              </w:numPr>
              <w:ind w:right="112"/>
              <w:jc w:val="center"/>
              <w:rPr>
                <w:rFonts w:asciiTheme="majorBidi" w:eastAsia="SimSun" w:hAnsiTheme="majorBidi" w:cstheme="majorBidi"/>
                <w:sz w:val="18"/>
                <w:szCs w:val="18"/>
                <w:lang w:val="en-GB" w:eastAsia="zh-CN"/>
              </w:rPr>
            </w:pPr>
            <w:r w:rsidRPr="00D773F7">
              <w:rPr>
                <w:rFonts w:asciiTheme="majorBidi" w:hAnsiTheme="majorBidi" w:cstheme="majorBidi"/>
                <w:sz w:val="18"/>
                <w:szCs w:val="18"/>
              </w:rPr>
              <w:t>1, 1A, 1B</w:t>
            </w:r>
          </w:p>
        </w:tc>
        <w:tc>
          <w:tcPr>
            <w:tcW w:w="2299" w:type="dxa"/>
          </w:tcPr>
          <w:p w14:paraId="68E8538E" w14:textId="5B68CFFA" w:rsidR="0091231D" w:rsidRPr="00D773F7" w:rsidRDefault="0091231D" w:rsidP="009668B8">
            <w:pPr>
              <w:pStyle w:val="Bullet2G"/>
              <w:numPr>
                <w:ilvl w:val="0"/>
                <w:numId w:val="0"/>
              </w:numPr>
              <w:ind w:right="112"/>
              <w:jc w:val="left"/>
              <w:rPr>
                <w:rFonts w:asciiTheme="majorBidi" w:eastAsia="SimSun" w:hAnsiTheme="majorBidi" w:cstheme="majorBidi"/>
                <w:sz w:val="18"/>
                <w:szCs w:val="18"/>
                <w:lang w:val="en-GB" w:eastAsia="zh-CN"/>
              </w:rPr>
            </w:pPr>
          </w:p>
        </w:tc>
      </w:tr>
    </w:tbl>
    <w:p w14:paraId="05121AEC" w14:textId="0E467CD8" w:rsidR="00A157B1" w:rsidRDefault="006726F1" w:rsidP="00A157B1">
      <w:pPr>
        <w:pStyle w:val="Bullet2G"/>
        <w:numPr>
          <w:ilvl w:val="0"/>
          <w:numId w:val="0"/>
        </w:numPr>
        <w:spacing w:before="240" w:after="0" w:line="240" w:lineRule="auto"/>
        <w:ind w:left="1134"/>
        <w:rPr>
          <w:rFonts w:asciiTheme="majorBidi" w:hAnsiTheme="majorBidi" w:cstheme="majorBidi"/>
        </w:rPr>
      </w:pPr>
      <w:r w:rsidRPr="00D773F7">
        <w:rPr>
          <w:rFonts w:asciiTheme="majorBidi" w:hAnsiTheme="majorBidi" w:cstheme="majorBidi"/>
        </w:rPr>
        <w:t xml:space="preserve">In column (5), apply the following </w:t>
      </w:r>
      <w:r w:rsidR="00F5223B" w:rsidRPr="00D773F7">
        <w:rPr>
          <w:rFonts w:asciiTheme="majorBidi" w:hAnsiTheme="majorBidi" w:cstheme="majorBidi"/>
        </w:rPr>
        <w:t>condition for use</w:t>
      </w:r>
      <w:r w:rsidRPr="00D773F7">
        <w:rPr>
          <w:rFonts w:asciiTheme="majorBidi" w:hAnsiTheme="majorBidi" w:cstheme="majorBidi"/>
        </w:rPr>
        <w:t xml:space="preserve"> </w:t>
      </w:r>
      <w:r w:rsidR="00F5223B" w:rsidRPr="00D773F7">
        <w:rPr>
          <w:rFonts w:asciiTheme="majorBidi" w:hAnsiTheme="majorBidi" w:cstheme="majorBidi"/>
        </w:rPr>
        <w:t>to the hazard classes</w:t>
      </w:r>
      <w:r w:rsidR="0091231D" w:rsidRPr="00D773F7">
        <w:rPr>
          <w:rFonts w:asciiTheme="majorBidi" w:hAnsiTheme="majorBidi" w:cstheme="majorBidi"/>
        </w:rPr>
        <w:t xml:space="preserve"> “</w:t>
      </w:r>
      <w:r w:rsidR="00C97A6B" w:rsidRPr="00D773F7">
        <w:rPr>
          <w:rFonts w:asciiTheme="majorBidi" w:hAnsiTheme="majorBidi" w:cstheme="majorBidi"/>
        </w:rPr>
        <w:t xml:space="preserve">Acute </w:t>
      </w:r>
      <w:r w:rsidR="0091231D" w:rsidRPr="00D773F7">
        <w:rPr>
          <w:rFonts w:asciiTheme="majorBidi" w:hAnsiTheme="majorBidi" w:cstheme="majorBidi"/>
        </w:rPr>
        <w:t>t</w:t>
      </w:r>
      <w:r w:rsidR="00C97A6B" w:rsidRPr="00D773F7">
        <w:rPr>
          <w:rFonts w:asciiTheme="majorBidi" w:hAnsiTheme="majorBidi" w:cstheme="majorBidi"/>
        </w:rPr>
        <w:t>oxicity, inhalation</w:t>
      </w:r>
      <w:r w:rsidR="003D0179" w:rsidRPr="00D773F7">
        <w:rPr>
          <w:rFonts w:asciiTheme="majorBidi" w:hAnsiTheme="majorBidi" w:cstheme="majorBidi"/>
        </w:rPr>
        <w:t>, respiratory sensitization</w:t>
      </w:r>
      <w:r w:rsidR="0091231D" w:rsidRPr="00D773F7">
        <w:rPr>
          <w:rFonts w:asciiTheme="majorBidi" w:hAnsiTheme="majorBidi" w:cstheme="majorBidi"/>
        </w:rPr>
        <w:t>”</w:t>
      </w:r>
      <w:r w:rsidR="00283960" w:rsidRPr="00D773F7">
        <w:rPr>
          <w:rFonts w:asciiTheme="majorBidi" w:hAnsiTheme="majorBidi" w:cstheme="majorBidi"/>
        </w:rPr>
        <w:t xml:space="preserve">, </w:t>
      </w:r>
      <w:r w:rsidR="00D216A4" w:rsidRPr="00D773F7">
        <w:rPr>
          <w:rFonts w:asciiTheme="majorBidi" w:hAnsiTheme="majorBidi" w:cstheme="majorBidi"/>
        </w:rPr>
        <w:t>“Specific target organ toxicity, single exposure” and “Specific target organ toxicity, repeated exposure”:</w:t>
      </w:r>
    </w:p>
    <w:p w14:paraId="2050EA8A" w14:textId="5EFFA24E" w:rsidR="00F57F04" w:rsidRPr="00D773F7" w:rsidRDefault="006726F1" w:rsidP="00A157B1">
      <w:pPr>
        <w:pStyle w:val="Bullet2G"/>
        <w:numPr>
          <w:ilvl w:val="0"/>
          <w:numId w:val="0"/>
        </w:numPr>
        <w:spacing w:before="160" w:line="240" w:lineRule="auto"/>
        <w:ind w:left="1559"/>
        <w:rPr>
          <w:rFonts w:asciiTheme="majorBidi" w:hAnsiTheme="majorBidi" w:cstheme="majorBidi"/>
        </w:rPr>
      </w:pPr>
      <w:r w:rsidRPr="00D773F7">
        <w:rPr>
          <w:rFonts w:asciiTheme="majorBidi" w:hAnsiTheme="majorBidi" w:cstheme="majorBidi"/>
        </w:rPr>
        <w:t>“Manufacturer/supplier or the competent authority to specify applicable physical state(s)</w:t>
      </w:r>
      <w:r w:rsidR="00D216A4" w:rsidRPr="00D773F7">
        <w:rPr>
          <w:rFonts w:asciiTheme="majorBidi" w:hAnsiTheme="majorBidi" w:cstheme="majorBidi"/>
        </w:rPr>
        <w:t>”.</w:t>
      </w:r>
    </w:p>
    <w:p w14:paraId="1066C479" w14:textId="1DE9A491" w:rsidR="00851039" w:rsidRPr="00D773F7" w:rsidRDefault="002776C9" w:rsidP="007F6C8E">
      <w:pPr>
        <w:pStyle w:val="SingleTxtG"/>
        <w:spacing w:before="240"/>
        <w:rPr>
          <w:rFonts w:asciiTheme="majorBidi" w:hAnsiTheme="majorBidi" w:cstheme="majorBidi"/>
          <w:b/>
          <w:bCs/>
        </w:rPr>
      </w:pPr>
      <w:r w:rsidRPr="00D773F7">
        <w:rPr>
          <w:rFonts w:asciiTheme="majorBidi" w:hAnsiTheme="majorBidi" w:cstheme="majorBidi"/>
          <w:b/>
          <w:bCs/>
        </w:rPr>
        <w:t>P261</w:t>
      </w:r>
    </w:p>
    <w:p w14:paraId="22064421" w14:textId="2375C007" w:rsidR="000A7698" w:rsidRPr="00D773F7" w:rsidRDefault="000F5A5F" w:rsidP="009668B8">
      <w:pPr>
        <w:pStyle w:val="SingleTxtG"/>
        <w:rPr>
          <w:rFonts w:asciiTheme="majorBidi" w:hAnsiTheme="majorBidi" w:cstheme="majorBidi"/>
        </w:rPr>
      </w:pPr>
      <w:r w:rsidRPr="00D773F7">
        <w:rPr>
          <w:rFonts w:asciiTheme="majorBidi" w:hAnsiTheme="majorBidi" w:cstheme="majorBidi"/>
        </w:rPr>
        <w:t xml:space="preserve">Delete the </w:t>
      </w:r>
      <w:r w:rsidR="00EF6DAC" w:rsidRPr="00D773F7">
        <w:rPr>
          <w:rFonts w:asciiTheme="majorBidi" w:hAnsiTheme="majorBidi" w:cstheme="majorBidi"/>
        </w:rPr>
        <w:t>entry</w:t>
      </w:r>
      <w:r w:rsidRPr="00D773F7">
        <w:rPr>
          <w:rFonts w:asciiTheme="majorBidi" w:hAnsiTheme="majorBidi" w:cstheme="majorBidi"/>
        </w:rPr>
        <w:t xml:space="preserve"> </w:t>
      </w:r>
      <w:r w:rsidR="00EF6DAC" w:rsidRPr="00D773F7">
        <w:rPr>
          <w:rFonts w:asciiTheme="majorBidi" w:hAnsiTheme="majorBidi" w:cstheme="majorBidi"/>
        </w:rPr>
        <w:t>for</w:t>
      </w:r>
      <w:r w:rsidRPr="00D773F7">
        <w:rPr>
          <w:rFonts w:asciiTheme="majorBidi" w:hAnsiTheme="majorBidi" w:cstheme="majorBidi"/>
        </w:rPr>
        <w:t xml:space="preserve"> </w:t>
      </w:r>
      <w:r w:rsidR="00EF6DAC" w:rsidRPr="00D773F7">
        <w:rPr>
          <w:rFonts w:asciiTheme="majorBidi" w:hAnsiTheme="majorBidi" w:cstheme="majorBidi"/>
        </w:rPr>
        <w:t>r</w:t>
      </w:r>
      <w:r w:rsidR="000A7698" w:rsidRPr="00D773F7">
        <w:rPr>
          <w:rFonts w:asciiTheme="majorBidi" w:hAnsiTheme="majorBidi" w:cstheme="majorBidi"/>
        </w:rPr>
        <w:t>espiratory sensitization</w:t>
      </w:r>
      <w:r w:rsidRPr="00D773F7">
        <w:rPr>
          <w:rFonts w:asciiTheme="majorBidi" w:hAnsiTheme="majorBidi" w:cstheme="majorBidi"/>
        </w:rPr>
        <w:t>, categories 1, 1A, 1B</w:t>
      </w:r>
      <w:r w:rsidR="000A7698" w:rsidRPr="00D773F7">
        <w:rPr>
          <w:rFonts w:asciiTheme="majorBidi" w:hAnsiTheme="majorBidi" w:cstheme="majorBidi"/>
        </w:rPr>
        <w:t>.</w:t>
      </w:r>
    </w:p>
    <w:p w14:paraId="625AC29E" w14:textId="6A1ADC14" w:rsidR="0028607E" w:rsidRPr="00D773F7" w:rsidRDefault="00F56B65" w:rsidP="007F6C8E">
      <w:pPr>
        <w:pStyle w:val="SingleTxtG"/>
        <w:spacing w:before="240"/>
        <w:rPr>
          <w:rFonts w:asciiTheme="majorBidi" w:hAnsiTheme="majorBidi" w:cstheme="majorBidi"/>
          <w:b/>
          <w:bCs/>
        </w:rPr>
      </w:pPr>
      <w:r w:rsidRPr="00D773F7">
        <w:rPr>
          <w:rFonts w:asciiTheme="majorBidi" w:hAnsiTheme="majorBidi" w:cstheme="majorBidi"/>
          <w:b/>
          <w:bCs/>
        </w:rPr>
        <w:t>P262</w:t>
      </w:r>
      <w:r w:rsidR="00C140FD" w:rsidRPr="00D773F7">
        <w:rPr>
          <w:rFonts w:asciiTheme="majorBidi" w:hAnsiTheme="majorBidi" w:cstheme="majorBidi"/>
          <w:b/>
          <w:bCs/>
        </w:rPr>
        <w:t>, column (4)</w:t>
      </w:r>
    </w:p>
    <w:p w14:paraId="575C5218" w14:textId="4FBB54B3" w:rsidR="00F56B65" w:rsidRPr="00D773F7" w:rsidRDefault="00C140FD" w:rsidP="00D5052E">
      <w:pPr>
        <w:pStyle w:val="SingleTxtG"/>
        <w:rPr>
          <w:rFonts w:asciiTheme="majorBidi" w:hAnsiTheme="majorBidi" w:cstheme="majorBidi"/>
        </w:rPr>
      </w:pPr>
      <w:r w:rsidRPr="00D773F7">
        <w:rPr>
          <w:rFonts w:asciiTheme="majorBidi" w:hAnsiTheme="majorBidi" w:cstheme="majorBidi"/>
        </w:rPr>
        <w:t>I</w:t>
      </w:r>
      <w:r w:rsidR="00F56B65" w:rsidRPr="00D773F7">
        <w:rPr>
          <w:rFonts w:asciiTheme="majorBidi" w:hAnsiTheme="majorBidi" w:cstheme="majorBidi"/>
        </w:rPr>
        <w:t>nsert: “</w:t>
      </w:r>
      <w:r w:rsidR="000F5A5F" w:rsidRPr="00D773F7">
        <w:rPr>
          <w:rFonts w:asciiTheme="majorBidi" w:hAnsiTheme="majorBidi" w:cstheme="majorBidi"/>
        </w:rPr>
        <w:t xml:space="preserve">, </w:t>
      </w:r>
      <w:r w:rsidR="00F56B65" w:rsidRPr="00D773F7">
        <w:rPr>
          <w:rFonts w:asciiTheme="majorBidi" w:hAnsiTheme="majorBidi" w:cstheme="majorBidi"/>
        </w:rPr>
        <w:t>3” after: “1, 2”.</w:t>
      </w:r>
    </w:p>
    <w:p w14:paraId="5911642D" w14:textId="14AA8A88" w:rsidR="0028607E" w:rsidRPr="00D773F7" w:rsidRDefault="00F56B65" w:rsidP="007F6C8E">
      <w:pPr>
        <w:pStyle w:val="SingleTxtG"/>
        <w:spacing w:before="240"/>
        <w:rPr>
          <w:rFonts w:asciiTheme="majorBidi" w:hAnsiTheme="majorBidi" w:cstheme="majorBidi"/>
          <w:b/>
          <w:bCs/>
        </w:rPr>
      </w:pPr>
      <w:r w:rsidRPr="00D773F7">
        <w:rPr>
          <w:rFonts w:asciiTheme="majorBidi" w:hAnsiTheme="majorBidi" w:cstheme="majorBidi"/>
          <w:b/>
          <w:bCs/>
        </w:rPr>
        <w:t>P264 and P270</w:t>
      </w:r>
      <w:r w:rsidR="00C140FD" w:rsidRPr="00D773F7">
        <w:rPr>
          <w:rFonts w:asciiTheme="majorBidi" w:hAnsiTheme="majorBidi" w:cstheme="majorBidi"/>
          <w:b/>
          <w:bCs/>
        </w:rPr>
        <w:t>, column (4)</w:t>
      </w:r>
    </w:p>
    <w:p w14:paraId="396B2E35" w14:textId="08148167" w:rsidR="00477D71" w:rsidRPr="00D773F7" w:rsidRDefault="00C140FD" w:rsidP="009668B8">
      <w:pPr>
        <w:pStyle w:val="Bullet1G"/>
        <w:keepNext/>
        <w:keepLines/>
        <w:numPr>
          <w:ilvl w:val="0"/>
          <w:numId w:val="0"/>
        </w:numPr>
        <w:suppressAutoHyphens/>
        <w:kinsoku w:val="0"/>
        <w:overflowPunct w:val="0"/>
        <w:autoSpaceDE w:val="0"/>
        <w:autoSpaceDN w:val="0"/>
        <w:adjustRightInd w:val="0"/>
        <w:snapToGrid w:val="0"/>
        <w:ind w:left="1134"/>
        <w:rPr>
          <w:rFonts w:asciiTheme="majorBidi" w:hAnsiTheme="majorBidi" w:cstheme="majorBidi"/>
        </w:rPr>
      </w:pPr>
      <w:r w:rsidRPr="00D773F7">
        <w:rPr>
          <w:rFonts w:asciiTheme="majorBidi" w:hAnsiTheme="majorBidi" w:cstheme="majorBidi"/>
        </w:rPr>
        <w:t>F</w:t>
      </w:r>
      <w:r w:rsidR="00F56B65" w:rsidRPr="00D773F7">
        <w:rPr>
          <w:rFonts w:asciiTheme="majorBidi" w:hAnsiTheme="majorBidi" w:cstheme="majorBidi"/>
        </w:rPr>
        <w:t>or acute toxicity (dermal), insert: “</w:t>
      </w:r>
      <w:r w:rsidR="000F5A5F" w:rsidRPr="00D773F7">
        <w:rPr>
          <w:rFonts w:asciiTheme="majorBidi" w:hAnsiTheme="majorBidi" w:cstheme="majorBidi"/>
        </w:rPr>
        <w:t xml:space="preserve">, </w:t>
      </w:r>
      <w:r w:rsidR="00F56B65" w:rsidRPr="00D773F7">
        <w:rPr>
          <w:rFonts w:asciiTheme="majorBidi" w:hAnsiTheme="majorBidi" w:cstheme="majorBidi"/>
        </w:rPr>
        <w:t xml:space="preserve">3” after: “1, 2”. </w:t>
      </w:r>
    </w:p>
    <w:p w14:paraId="5FA63F49" w14:textId="77AB457E" w:rsidR="00BB2383" w:rsidRPr="00D773F7" w:rsidRDefault="00BB2383" w:rsidP="007F6C8E">
      <w:pPr>
        <w:pStyle w:val="SingleTxtG"/>
        <w:spacing w:before="240"/>
        <w:rPr>
          <w:rFonts w:asciiTheme="majorBidi" w:hAnsiTheme="majorBidi" w:cstheme="majorBidi"/>
          <w:b/>
          <w:bCs/>
        </w:rPr>
      </w:pPr>
      <w:r w:rsidRPr="00D773F7">
        <w:rPr>
          <w:rFonts w:asciiTheme="majorBidi" w:hAnsiTheme="majorBidi" w:cstheme="majorBidi"/>
          <w:b/>
          <w:bCs/>
        </w:rPr>
        <w:t>P271</w:t>
      </w:r>
    </w:p>
    <w:p w14:paraId="2254E9CF" w14:textId="005469BA" w:rsidR="00BB2383" w:rsidRPr="00D773F7" w:rsidRDefault="000E0598" w:rsidP="009668B8">
      <w:pPr>
        <w:pStyle w:val="SingleTxtG"/>
        <w:rPr>
          <w:rFonts w:asciiTheme="majorBidi" w:hAnsiTheme="majorBidi" w:cstheme="majorBidi"/>
        </w:rPr>
      </w:pPr>
      <w:r w:rsidRPr="00D773F7">
        <w:rPr>
          <w:rFonts w:asciiTheme="majorBidi" w:hAnsiTheme="majorBidi" w:cstheme="majorBidi"/>
        </w:rPr>
        <w:t xml:space="preserve">In column (2) amend the </w:t>
      </w:r>
      <w:r w:rsidR="000F5A5F" w:rsidRPr="00D773F7">
        <w:rPr>
          <w:rFonts w:asciiTheme="majorBidi" w:hAnsiTheme="majorBidi" w:cstheme="majorBidi"/>
        </w:rPr>
        <w:t xml:space="preserve">precautionary statement to read as follows: </w:t>
      </w:r>
      <w:r w:rsidR="00BB2383" w:rsidRPr="00D773F7">
        <w:rPr>
          <w:rFonts w:asciiTheme="majorBidi" w:hAnsiTheme="majorBidi" w:cstheme="majorBidi"/>
          <w:b/>
          <w:bCs/>
        </w:rPr>
        <w:t>“</w:t>
      </w:r>
      <w:r w:rsidR="00BB2383" w:rsidRPr="00D773F7">
        <w:rPr>
          <w:rStyle w:val="StyleBold"/>
          <w:rFonts w:asciiTheme="majorBidi" w:hAnsiTheme="majorBidi" w:cstheme="majorBidi"/>
        </w:rPr>
        <w:t>Use only outdoors or with adequate ventilation</w:t>
      </w:r>
      <w:r w:rsidR="00BB2383" w:rsidRPr="00D773F7">
        <w:rPr>
          <w:rFonts w:asciiTheme="majorBidi" w:hAnsiTheme="majorBidi" w:cstheme="majorBidi"/>
          <w:b/>
          <w:bCs/>
        </w:rPr>
        <w:t>.”</w:t>
      </w:r>
    </w:p>
    <w:p w14:paraId="3CA0AEE5" w14:textId="410C984F" w:rsidR="00F57F04" w:rsidRPr="00D773F7" w:rsidRDefault="000F5A5F" w:rsidP="009668B8">
      <w:pPr>
        <w:pStyle w:val="SingleTxtG"/>
        <w:rPr>
          <w:rFonts w:asciiTheme="majorBidi" w:hAnsiTheme="majorBidi" w:cstheme="majorBidi"/>
        </w:rPr>
      </w:pPr>
      <w:r w:rsidRPr="00D773F7">
        <w:rPr>
          <w:rFonts w:asciiTheme="majorBidi" w:hAnsiTheme="majorBidi" w:cstheme="majorBidi"/>
        </w:rPr>
        <w:t xml:space="preserve">Insert </w:t>
      </w:r>
      <w:r w:rsidR="000E0598" w:rsidRPr="00D773F7">
        <w:rPr>
          <w:rFonts w:asciiTheme="majorBidi" w:hAnsiTheme="majorBidi" w:cstheme="majorBidi"/>
        </w:rPr>
        <w:t xml:space="preserve">the following new entry after the one applicable to </w:t>
      </w:r>
      <w:r w:rsidR="00BB2383" w:rsidRPr="00D773F7">
        <w:rPr>
          <w:rFonts w:asciiTheme="majorBidi" w:hAnsiTheme="majorBidi" w:cstheme="majorBidi"/>
        </w:rPr>
        <w:t>“Acute toxicity, inhalation (chapter</w:t>
      </w:r>
      <w:r w:rsidR="005119E6" w:rsidRPr="00D773F7">
        <w:rPr>
          <w:rFonts w:asciiTheme="majorBidi" w:hAnsiTheme="majorBidi" w:cstheme="majorBidi"/>
        </w:rPr>
        <w:t> </w:t>
      </w:r>
      <w:r w:rsidR="00BB2383" w:rsidRPr="00D773F7">
        <w:rPr>
          <w:rFonts w:asciiTheme="majorBidi" w:hAnsiTheme="majorBidi" w:cstheme="majorBidi"/>
        </w:rPr>
        <w:t xml:space="preserve">3.1)” </w:t>
      </w:r>
      <w:r w:rsidR="000E0598" w:rsidRPr="00D773F7">
        <w:rPr>
          <w:rFonts w:asciiTheme="majorBidi" w:hAnsiTheme="majorBidi" w:cstheme="majorBidi"/>
        </w:rPr>
        <w:t>:</w:t>
      </w:r>
    </w:p>
    <w:tbl>
      <w:tblPr>
        <w:tblStyle w:val="TableGrid"/>
        <w:tblW w:w="0" w:type="auto"/>
        <w:tblInd w:w="1129" w:type="dxa"/>
        <w:tblLook w:val="04A0" w:firstRow="1" w:lastRow="0" w:firstColumn="1" w:lastColumn="0" w:noHBand="0" w:noVBand="1"/>
      </w:tblPr>
      <w:tblGrid>
        <w:gridCol w:w="565"/>
        <w:gridCol w:w="567"/>
        <w:gridCol w:w="2977"/>
        <w:gridCol w:w="992"/>
        <w:gridCol w:w="2546"/>
      </w:tblGrid>
      <w:tr w:rsidR="00FD1ECE" w:rsidRPr="00D773F7" w14:paraId="3C4082FD" w14:textId="77777777" w:rsidTr="00E21018">
        <w:tc>
          <w:tcPr>
            <w:tcW w:w="565" w:type="dxa"/>
          </w:tcPr>
          <w:p w14:paraId="473499D0" w14:textId="77777777" w:rsidR="00F57F04" w:rsidRPr="00D773F7" w:rsidRDefault="00F57F04" w:rsidP="007C30E3">
            <w:pPr>
              <w:pStyle w:val="Bullet2G"/>
              <w:numPr>
                <w:ilvl w:val="0"/>
                <w:numId w:val="0"/>
              </w:numPr>
              <w:ind w:right="112"/>
              <w:rPr>
                <w:rFonts w:asciiTheme="majorBidi" w:eastAsia="SimSun" w:hAnsiTheme="majorBidi" w:cstheme="majorBidi"/>
                <w:sz w:val="18"/>
                <w:szCs w:val="18"/>
                <w:lang w:val="en-GB" w:eastAsia="zh-CN"/>
              </w:rPr>
            </w:pPr>
          </w:p>
        </w:tc>
        <w:tc>
          <w:tcPr>
            <w:tcW w:w="567" w:type="dxa"/>
          </w:tcPr>
          <w:p w14:paraId="47FDA5DE" w14:textId="77777777" w:rsidR="00F57F04" w:rsidRPr="00D773F7" w:rsidRDefault="00F57F04" w:rsidP="007C30E3">
            <w:pPr>
              <w:pStyle w:val="Bullet2G"/>
              <w:numPr>
                <w:ilvl w:val="0"/>
                <w:numId w:val="0"/>
              </w:numPr>
              <w:ind w:right="112"/>
              <w:rPr>
                <w:rFonts w:asciiTheme="majorBidi" w:eastAsia="SimSun" w:hAnsiTheme="majorBidi" w:cstheme="majorBidi"/>
                <w:sz w:val="18"/>
                <w:szCs w:val="18"/>
                <w:lang w:val="en-GB" w:eastAsia="zh-CN"/>
              </w:rPr>
            </w:pPr>
          </w:p>
        </w:tc>
        <w:tc>
          <w:tcPr>
            <w:tcW w:w="2977" w:type="dxa"/>
          </w:tcPr>
          <w:p w14:paraId="68D0FF4D" w14:textId="77777777" w:rsidR="00F57F04" w:rsidRPr="00D773F7" w:rsidRDefault="00F57F04" w:rsidP="00FF5260">
            <w:pPr>
              <w:pStyle w:val="Bullet2G"/>
              <w:numPr>
                <w:ilvl w:val="0"/>
                <w:numId w:val="0"/>
              </w:numPr>
              <w:ind w:right="112"/>
              <w:jc w:val="left"/>
              <w:rPr>
                <w:rFonts w:asciiTheme="majorBidi" w:eastAsia="SimSun" w:hAnsiTheme="majorBidi" w:cstheme="majorBidi"/>
                <w:sz w:val="18"/>
                <w:szCs w:val="18"/>
                <w:lang w:val="en-GB" w:eastAsia="zh-CN"/>
              </w:rPr>
            </w:pPr>
            <w:r w:rsidRPr="00D773F7">
              <w:rPr>
                <w:rFonts w:asciiTheme="majorBidi" w:eastAsia="SimSun" w:hAnsiTheme="majorBidi" w:cstheme="majorBidi"/>
                <w:sz w:val="18"/>
                <w:szCs w:val="18"/>
                <w:lang w:val="en-GB" w:eastAsia="zh-CN"/>
              </w:rPr>
              <w:t>Respiratory sensitization (chapter 3.4)</w:t>
            </w:r>
          </w:p>
        </w:tc>
        <w:tc>
          <w:tcPr>
            <w:tcW w:w="992" w:type="dxa"/>
          </w:tcPr>
          <w:p w14:paraId="34DF1C04" w14:textId="77777777" w:rsidR="00F57F04" w:rsidRPr="00D773F7" w:rsidRDefault="00F57F04" w:rsidP="007C30E3">
            <w:pPr>
              <w:pStyle w:val="Bullet2G"/>
              <w:numPr>
                <w:ilvl w:val="0"/>
                <w:numId w:val="0"/>
              </w:numPr>
              <w:ind w:right="112"/>
              <w:jc w:val="center"/>
              <w:rPr>
                <w:rFonts w:asciiTheme="majorBidi" w:eastAsia="SimSun" w:hAnsiTheme="majorBidi" w:cstheme="majorBidi"/>
                <w:sz w:val="18"/>
                <w:szCs w:val="18"/>
                <w:lang w:val="en-GB" w:eastAsia="zh-CN"/>
              </w:rPr>
            </w:pPr>
            <w:r w:rsidRPr="00D773F7">
              <w:rPr>
                <w:rFonts w:asciiTheme="majorBidi" w:eastAsia="SimSun" w:hAnsiTheme="majorBidi" w:cstheme="majorBidi"/>
                <w:sz w:val="18"/>
                <w:szCs w:val="18"/>
                <w:lang w:val="en-GB" w:eastAsia="zh-CN"/>
              </w:rPr>
              <w:t>1, 1A, 1B</w:t>
            </w:r>
          </w:p>
        </w:tc>
        <w:tc>
          <w:tcPr>
            <w:tcW w:w="2546" w:type="dxa"/>
          </w:tcPr>
          <w:p w14:paraId="6E42A6A2" w14:textId="1497B4E5" w:rsidR="00F57F04" w:rsidRPr="00D773F7" w:rsidRDefault="00F57F04" w:rsidP="00FF5260">
            <w:pPr>
              <w:pStyle w:val="Bullet2G"/>
              <w:numPr>
                <w:ilvl w:val="0"/>
                <w:numId w:val="0"/>
              </w:numPr>
              <w:ind w:right="112"/>
              <w:jc w:val="left"/>
              <w:rPr>
                <w:rFonts w:asciiTheme="majorBidi" w:eastAsia="SimSun" w:hAnsiTheme="majorBidi" w:cstheme="majorBidi"/>
                <w:sz w:val="18"/>
                <w:szCs w:val="18"/>
                <w:lang w:val="en-GB" w:eastAsia="zh-CN"/>
              </w:rPr>
            </w:pPr>
          </w:p>
        </w:tc>
      </w:tr>
    </w:tbl>
    <w:p w14:paraId="295AAE51" w14:textId="77777777" w:rsidR="00323E48" w:rsidRPr="00D773F7" w:rsidRDefault="00F57F04" w:rsidP="00A157B1">
      <w:pPr>
        <w:pStyle w:val="SingleTxtG"/>
        <w:spacing w:before="160"/>
        <w:rPr>
          <w:rFonts w:asciiTheme="majorBidi" w:hAnsiTheme="majorBidi" w:cstheme="majorBidi"/>
        </w:rPr>
      </w:pPr>
      <w:r w:rsidRPr="00D773F7">
        <w:rPr>
          <w:rFonts w:asciiTheme="majorBidi" w:hAnsiTheme="majorBidi" w:cstheme="majorBidi"/>
        </w:rPr>
        <w:t xml:space="preserve">In </w:t>
      </w:r>
      <w:r w:rsidR="00BB2383" w:rsidRPr="00D773F7">
        <w:rPr>
          <w:rFonts w:asciiTheme="majorBidi" w:hAnsiTheme="majorBidi" w:cstheme="majorBidi"/>
        </w:rPr>
        <w:t xml:space="preserve">column </w:t>
      </w:r>
      <w:r w:rsidRPr="00D773F7">
        <w:rPr>
          <w:rFonts w:asciiTheme="majorBidi" w:hAnsiTheme="majorBidi" w:cstheme="majorBidi"/>
        </w:rPr>
        <w:t>(</w:t>
      </w:r>
      <w:r w:rsidR="00BB2383" w:rsidRPr="00D773F7">
        <w:rPr>
          <w:rFonts w:asciiTheme="majorBidi" w:hAnsiTheme="majorBidi" w:cstheme="majorBidi"/>
        </w:rPr>
        <w:t>5</w:t>
      </w:r>
      <w:r w:rsidRPr="00D773F7">
        <w:rPr>
          <w:rFonts w:asciiTheme="majorBidi" w:hAnsiTheme="majorBidi" w:cstheme="majorBidi"/>
        </w:rPr>
        <w:t>)</w:t>
      </w:r>
      <w:r w:rsidR="00BB2383" w:rsidRPr="00D773F7">
        <w:rPr>
          <w:rFonts w:asciiTheme="majorBidi" w:hAnsiTheme="majorBidi" w:cstheme="majorBidi"/>
        </w:rPr>
        <w:t xml:space="preserve"> </w:t>
      </w:r>
      <w:r w:rsidRPr="00D773F7">
        <w:rPr>
          <w:rFonts w:asciiTheme="majorBidi" w:hAnsiTheme="majorBidi" w:cstheme="majorBidi"/>
        </w:rPr>
        <w:t>insert the following condition for use</w:t>
      </w:r>
      <w:r w:rsidR="003B6703" w:rsidRPr="00D773F7">
        <w:rPr>
          <w:rFonts w:asciiTheme="majorBidi" w:hAnsiTheme="majorBidi" w:cstheme="majorBidi"/>
        </w:rPr>
        <w:t xml:space="preserve"> </w:t>
      </w:r>
      <w:r w:rsidR="00FD1ECE" w:rsidRPr="00D773F7">
        <w:rPr>
          <w:rFonts w:asciiTheme="majorBidi" w:hAnsiTheme="majorBidi" w:cstheme="majorBidi"/>
        </w:rPr>
        <w:t xml:space="preserve">applicable to all entries (including the one </w:t>
      </w:r>
      <w:r w:rsidR="002E75CC" w:rsidRPr="00D773F7">
        <w:rPr>
          <w:rFonts w:asciiTheme="majorBidi" w:hAnsiTheme="majorBidi" w:cstheme="majorBidi"/>
        </w:rPr>
        <w:t xml:space="preserve">applicable to </w:t>
      </w:r>
      <w:r w:rsidR="00FD1ECE" w:rsidRPr="00D773F7">
        <w:rPr>
          <w:rFonts w:asciiTheme="majorBidi" w:hAnsiTheme="majorBidi" w:cstheme="majorBidi"/>
        </w:rPr>
        <w:t>respiratory sensitization)</w:t>
      </w:r>
      <w:r w:rsidRPr="00D773F7">
        <w:rPr>
          <w:rFonts w:asciiTheme="majorBidi" w:hAnsiTheme="majorBidi" w:cstheme="majorBidi"/>
        </w:rPr>
        <w:t xml:space="preserve">: </w:t>
      </w:r>
    </w:p>
    <w:p w14:paraId="5C59E9A8" w14:textId="33A7043F" w:rsidR="00BB2383" w:rsidRPr="00D773F7" w:rsidRDefault="00F57F04" w:rsidP="00C45940">
      <w:pPr>
        <w:pStyle w:val="SingleTxtG"/>
        <w:spacing w:before="240"/>
        <w:ind w:left="1418"/>
        <w:rPr>
          <w:rFonts w:asciiTheme="majorBidi" w:hAnsiTheme="majorBidi" w:cstheme="majorBidi"/>
        </w:rPr>
      </w:pPr>
      <w:r w:rsidRPr="00D773F7">
        <w:rPr>
          <w:rFonts w:asciiTheme="majorBidi" w:hAnsiTheme="majorBidi" w:cstheme="majorBidi"/>
        </w:rPr>
        <w:t xml:space="preserve">“Manufacturer/supplier to specify what type of ventilation would be adequate for safe use on the safety data sheet and in any supplemental safety instructions provided to consumers.”. </w:t>
      </w:r>
      <w:r w:rsidR="00BB2383" w:rsidRPr="00D773F7">
        <w:rPr>
          <w:rFonts w:asciiTheme="majorBidi" w:hAnsiTheme="majorBidi" w:cstheme="majorBidi"/>
          <w:sz w:val="24"/>
          <w:szCs w:val="24"/>
          <w:lang w:eastAsia="en-GB"/>
        </w:rPr>
        <w:t xml:space="preserve"> </w:t>
      </w:r>
    </w:p>
    <w:p w14:paraId="463846C7" w14:textId="312D6D41" w:rsidR="009A091A" w:rsidRPr="00D773F7" w:rsidRDefault="009A091A" w:rsidP="00E21018">
      <w:pPr>
        <w:pStyle w:val="SingleTxtG"/>
        <w:keepNext/>
        <w:keepLines/>
        <w:spacing w:before="240"/>
        <w:rPr>
          <w:rFonts w:asciiTheme="majorBidi" w:hAnsiTheme="majorBidi" w:cstheme="majorBidi"/>
          <w:b/>
          <w:bCs/>
        </w:rPr>
      </w:pPr>
      <w:r w:rsidRPr="00D773F7">
        <w:rPr>
          <w:rFonts w:asciiTheme="majorBidi" w:hAnsiTheme="majorBidi" w:cstheme="majorBidi"/>
          <w:b/>
          <w:bCs/>
        </w:rPr>
        <w:lastRenderedPageBreak/>
        <w:t>P280</w:t>
      </w:r>
    </w:p>
    <w:p w14:paraId="78001243" w14:textId="0C769FC7" w:rsidR="009A091A" w:rsidRPr="00D773F7" w:rsidRDefault="002360DB" w:rsidP="00E21018">
      <w:pPr>
        <w:pStyle w:val="SingleTxtG"/>
        <w:keepNext/>
        <w:keepLines/>
        <w:rPr>
          <w:rFonts w:asciiTheme="majorBidi" w:hAnsiTheme="majorBidi" w:cstheme="majorBidi"/>
        </w:rPr>
      </w:pPr>
      <w:r w:rsidRPr="00D773F7">
        <w:rPr>
          <w:rFonts w:asciiTheme="majorBidi" w:hAnsiTheme="majorBidi" w:cstheme="majorBidi"/>
        </w:rPr>
        <w:t xml:space="preserve">Insert the following new row under the entry for </w:t>
      </w:r>
      <w:r w:rsidR="009A091A" w:rsidRPr="00D773F7">
        <w:rPr>
          <w:rFonts w:asciiTheme="majorBidi" w:hAnsiTheme="majorBidi" w:cstheme="majorBidi"/>
        </w:rPr>
        <w:t>“Eye irritation (chapter 3.3)”</w:t>
      </w:r>
      <w:r w:rsidRPr="00D773F7">
        <w:rPr>
          <w:rFonts w:asciiTheme="majorBidi" w:hAnsiTheme="majorBidi" w:cstheme="majorBidi"/>
        </w:rPr>
        <w:t xml:space="preserve">: </w:t>
      </w:r>
    </w:p>
    <w:tbl>
      <w:tblPr>
        <w:tblStyle w:val="TableGrid"/>
        <w:tblW w:w="0" w:type="auto"/>
        <w:tblInd w:w="1129" w:type="dxa"/>
        <w:tblLook w:val="04A0" w:firstRow="1" w:lastRow="0" w:firstColumn="1" w:lastColumn="0" w:noHBand="0" w:noVBand="1"/>
      </w:tblPr>
      <w:tblGrid>
        <w:gridCol w:w="567"/>
        <w:gridCol w:w="490"/>
        <w:gridCol w:w="3054"/>
        <w:gridCol w:w="851"/>
        <w:gridCol w:w="2752"/>
      </w:tblGrid>
      <w:tr w:rsidR="00382EC8" w:rsidRPr="00D773F7" w14:paraId="36D90BFF" w14:textId="77777777" w:rsidTr="00E21018">
        <w:tc>
          <w:tcPr>
            <w:tcW w:w="567" w:type="dxa"/>
          </w:tcPr>
          <w:p w14:paraId="33A37E50" w14:textId="77777777" w:rsidR="002360DB" w:rsidRPr="00D773F7" w:rsidRDefault="002360DB" w:rsidP="00E21018">
            <w:pPr>
              <w:pStyle w:val="Bullet2G"/>
              <w:keepNext/>
              <w:keepLines/>
              <w:numPr>
                <w:ilvl w:val="0"/>
                <w:numId w:val="0"/>
              </w:numPr>
              <w:spacing w:after="0"/>
              <w:ind w:right="112"/>
              <w:rPr>
                <w:rFonts w:asciiTheme="majorBidi" w:eastAsia="SimSun" w:hAnsiTheme="majorBidi" w:cstheme="majorBidi"/>
                <w:sz w:val="18"/>
                <w:szCs w:val="18"/>
                <w:lang w:val="en-GB" w:eastAsia="zh-CN"/>
              </w:rPr>
            </w:pPr>
          </w:p>
        </w:tc>
        <w:tc>
          <w:tcPr>
            <w:tcW w:w="490" w:type="dxa"/>
          </w:tcPr>
          <w:p w14:paraId="22319782" w14:textId="77777777" w:rsidR="002360DB" w:rsidRPr="00D773F7" w:rsidRDefault="002360DB" w:rsidP="00E21018">
            <w:pPr>
              <w:pStyle w:val="Bullet2G"/>
              <w:keepNext/>
              <w:keepLines/>
              <w:numPr>
                <w:ilvl w:val="0"/>
                <w:numId w:val="0"/>
              </w:numPr>
              <w:spacing w:after="0"/>
              <w:ind w:right="112"/>
              <w:rPr>
                <w:rFonts w:asciiTheme="majorBidi" w:eastAsia="SimSun" w:hAnsiTheme="majorBidi" w:cstheme="majorBidi"/>
                <w:sz w:val="18"/>
                <w:szCs w:val="18"/>
                <w:lang w:val="en-GB" w:eastAsia="zh-CN"/>
              </w:rPr>
            </w:pPr>
          </w:p>
        </w:tc>
        <w:tc>
          <w:tcPr>
            <w:tcW w:w="3054" w:type="dxa"/>
          </w:tcPr>
          <w:p w14:paraId="638E24E6" w14:textId="60A4BA1B" w:rsidR="002360DB" w:rsidRPr="00D773F7" w:rsidRDefault="002360DB" w:rsidP="00E21018">
            <w:pPr>
              <w:pStyle w:val="Bullet2G"/>
              <w:keepNext/>
              <w:keepLines/>
              <w:numPr>
                <w:ilvl w:val="0"/>
                <w:numId w:val="0"/>
              </w:numPr>
              <w:spacing w:after="0"/>
              <w:ind w:right="112"/>
              <w:jc w:val="left"/>
              <w:rPr>
                <w:rFonts w:asciiTheme="majorBidi" w:eastAsia="SimSun" w:hAnsiTheme="majorBidi" w:cstheme="majorBidi"/>
                <w:sz w:val="18"/>
                <w:szCs w:val="18"/>
                <w:lang w:val="en-GB" w:eastAsia="zh-CN"/>
              </w:rPr>
            </w:pPr>
            <w:r w:rsidRPr="00D773F7">
              <w:rPr>
                <w:rFonts w:asciiTheme="majorBidi" w:eastAsia="SimSun" w:hAnsiTheme="majorBidi" w:cstheme="majorBidi"/>
                <w:sz w:val="18"/>
                <w:szCs w:val="18"/>
                <w:lang w:val="en-GB" w:eastAsia="zh-CN"/>
              </w:rPr>
              <w:t>Respiratory sensitization (chapter 3.4)</w:t>
            </w:r>
          </w:p>
        </w:tc>
        <w:tc>
          <w:tcPr>
            <w:tcW w:w="851" w:type="dxa"/>
          </w:tcPr>
          <w:p w14:paraId="5F2A811E" w14:textId="77777777" w:rsidR="002360DB" w:rsidRPr="00D773F7" w:rsidRDefault="002360DB" w:rsidP="00E21018">
            <w:pPr>
              <w:pStyle w:val="Bullet2G"/>
              <w:keepNext/>
              <w:keepLines/>
              <w:numPr>
                <w:ilvl w:val="0"/>
                <w:numId w:val="0"/>
              </w:numPr>
              <w:spacing w:after="0"/>
              <w:ind w:right="112"/>
              <w:jc w:val="center"/>
              <w:rPr>
                <w:rFonts w:asciiTheme="majorBidi" w:eastAsia="SimSun" w:hAnsiTheme="majorBidi" w:cstheme="majorBidi"/>
                <w:sz w:val="18"/>
                <w:szCs w:val="18"/>
                <w:lang w:val="en-GB" w:eastAsia="zh-CN"/>
              </w:rPr>
            </w:pPr>
            <w:r w:rsidRPr="00D773F7">
              <w:rPr>
                <w:rFonts w:asciiTheme="majorBidi" w:eastAsia="SimSun" w:hAnsiTheme="majorBidi" w:cstheme="majorBidi"/>
                <w:sz w:val="18"/>
                <w:szCs w:val="18"/>
                <w:lang w:val="en-GB" w:eastAsia="zh-CN"/>
              </w:rPr>
              <w:t>1, 1A, 1B</w:t>
            </w:r>
          </w:p>
        </w:tc>
        <w:tc>
          <w:tcPr>
            <w:tcW w:w="2752" w:type="dxa"/>
          </w:tcPr>
          <w:p w14:paraId="38A0000C" w14:textId="77777777" w:rsidR="002360DB" w:rsidRPr="00D773F7" w:rsidRDefault="002360DB" w:rsidP="00E21018">
            <w:pPr>
              <w:pStyle w:val="Bullet2G"/>
              <w:keepNext/>
              <w:keepLines/>
              <w:numPr>
                <w:ilvl w:val="0"/>
                <w:numId w:val="0"/>
              </w:numPr>
              <w:spacing w:after="0"/>
              <w:ind w:left="6" w:right="113"/>
              <w:jc w:val="left"/>
              <w:rPr>
                <w:rFonts w:asciiTheme="majorBidi" w:eastAsia="SimSun" w:hAnsiTheme="majorBidi" w:cstheme="majorBidi"/>
                <w:sz w:val="18"/>
                <w:szCs w:val="18"/>
                <w:lang w:val="en-GB" w:eastAsia="zh-CN"/>
              </w:rPr>
            </w:pPr>
            <w:r w:rsidRPr="00D773F7">
              <w:rPr>
                <w:rFonts w:asciiTheme="majorBidi" w:hAnsiTheme="majorBidi" w:cstheme="majorBidi"/>
                <w:i/>
                <w:iCs/>
                <w:sz w:val="18"/>
                <w:szCs w:val="18"/>
              </w:rPr>
              <w:t>– Specify protective gloves/clothing</w:t>
            </w:r>
            <w:r w:rsidRPr="00D773F7">
              <w:rPr>
                <w:rFonts w:asciiTheme="majorBidi" w:eastAsia="SimSun" w:hAnsiTheme="majorBidi" w:cstheme="majorBidi"/>
                <w:sz w:val="18"/>
                <w:szCs w:val="18"/>
                <w:lang w:val="en-GB" w:eastAsia="zh-CN"/>
              </w:rPr>
              <w:t>.</w:t>
            </w:r>
          </w:p>
          <w:p w14:paraId="7CA83582" w14:textId="1518141D" w:rsidR="002360DB" w:rsidRPr="00D773F7" w:rsidRDefault="002360DB" w:rsidP="00E21018">
            <w:pPr>
              <w:pStyle w:val="Bullet2G"/>
              <w:keepNext/>
              <w:keepLines/>
              <w:numPr>
                <w:ilvl w:val="0"/>
                <w:numId w:val="0"/>
              </w:numPr>
              <w:spacing w:after="0" w:line="240" w:lineRule="auto"/>
              <w:ind w:left="6" w:right="113"/>
              <w:jc w:val="left"/>
              <w:rPr>
                <w:rFonts w:asciiTheme="majorBidi" w:eastAsia="SimSun" w:hAnsiTheme="majorBidi" w:cstheme="majorBidi"/>
                <w:sz w:val="18"/>
                <w:szCs w:val="18"/>
                <w:lang w:val="en-GB" w:eastAsia="zh-CN"/>
              </w:rPr>
            </w:pPr>
            <w:r w:rsidRPr="00D773F7">
              <w:rPr>
                <w:rFonts w:asciiTheme="majorBidi" w:eastAsia="SimSun" w:hAnsiTheme="majorBidi" w:cstheme="majorBidi"/>
                <w:sz w:val="18"/>
                <w:szCs w:val="18"/>
                <w:lang w:val="en-GB" w:eastAsia="zh-CN"/>
              </w:rPr>
              <w:t>Manufacturer/supplier or the competent authority may further specify type of equipment where appropriate.</w:t>
            </w:r>
          </w:p>
        </w:tc>
      </w:tr>
    </w:tbl>
    <w:p w14:paraId="5E7B669A" w14:textId="57123232" w:rsidR="009A091A" w:rsidRPr="00D773F7" w:rsidRDefault="009A091A" w:rsidP="00E21018">
      <w:pPr>
        <w:pStyle w:val="SingleTxtG"/>
        <w:keepNext/>
        <w:keepLines/>
        <w:spacing w:before="240"/>
        <w:rPr>
          <w:rFonts w:asciiTheme="majorBidi" w:hAnsiTheme="majorBidi" w:cstheme="majorBidi"/>
          <w:b/>
          <w:bCs/>
        </w:rPr>
      </w:pPr>
      <w:r w:rsidRPr="00D773F7">
        <w:rPr>
          <w:rFonts w:asciiTheme="majorBidi" w:hAnsiTheme="majorBidi" w:cstheme="majorBidi"/>
          <w:b/>
          <w:bCs/>
        </w:rPr>
        <w:t>P284</w:t>
      </w:r>
    </w:p>
    <w:p w14:paraId="2E058931" w14:textId="34DDFD4C" w:rsidR="008D4982" w:rsidRPr="00D773F7" w:rsidRDefault="008D4982" w:rsidP="00690855">
      <w:pPr>
        <w:pStyle w:val="SingleTxtG"/>
        <w:rPr>
          <w:rFonts w:asciiTheme="majorBidi" w:hAnsiTheme="majorBidi" w:cstheme="majorBidi"/>
        </w:rPr>
      </w:pPr>
      <w:r w:rsidRPr="00D773F7">
        <w:rPr>
          <w:rFonts w:asciiTheme="majorBidi" w:hAnsiTheme="majorBidi" w:cstheme="majorBidi"/>
        </w:rPr>
        <w:t>In column (2), remove the square brackets around the text of the precautionary statement.</w:t>
      </w:r>
    </w:p>
    <w:p w14:paraId="434B2B3E" w14:textId="4433BB3B" w:rsidR="008D4982" w:rsidRPr="00D773F7" w:rsidRDefault="008D4982" w:rsidP="00690855">
      <w:pPr>
        <w:pStyle w:val="SingleTxtG"/>
        <w:rPr>
          <w:rFonts w:asciiTheme="majorBidi" w:hAnsiTheme="majorBidi" w:cstheme="majorBidi"/>
        </w:rPr>
      </w:pPr>
      <w:r w:rsidRPr="00D773F7">
        <w:rPr>
          <w:rFonts w:asciiTheme="majorBidi" w:hAnsiTheme="majorBidi" w:cstheme="majorBidi"/>
        </w:rPr>
        <w:t xml:space="preserve">In column (5), amend the condition for use to read as follows: </w:t>
      </w:r>
    </w:p>
    <w:p w14:paraId="1C6C326E" w14:textId="0A17218A" w:rsidR="009A091A" w:rsidRPr="00D773F7" w:rsidRDefault="009A091A" w:rsidP="00690855">
      <w:pPr>
        <w:pStyle w:val="Bullet2G"/>
        <w:numPr>
          <w:ilvl w:val="0"/>
          <w:numId w:val="0"/>
        </w:numPr>
        <w:ind w:left="1418"/>
        <w:rPr>
          <w:rFonts w:asciiTheme="majorBidi" w:hAnsiTheme="majorBidi" w:cstheme="majorBidi"/>
        </w:rPr>
      </w:pPr>
      <w:r w:rsidRPr="00D773F7">
        <w:rPr>
          <w:rFonts w:asciiTheme="majorBidi" w:hAnsiTheme="majorBidi" w:cstheme="majorBidi"/>
        </w:rPr>
        <w:t>“Manufacturer/supplier to specify on the safety data sheet what type of ventilation would be adequate for safe use and provide additional information with the chemical at the point of use that explains what type of respiratory equipment may also be needed.”</w:t>
      </w:r>
    </w:p>
    <w:p w14:paraId="74AC53D9" w14:textId="2CF390E7" w:rsidR="002C2056" w:rsidRPr="00D773F7" w:rsidRDefault="002C2056" w:rsidP="00D5052E">
      <w:pPr>
        <w:pStyle w:val="H23G"/>
        <w:rPr>
          <w:rFonts w:asciiTheme="majorBidi" w:hAnsiTheme="majorBidi" w:cstheme="majorBidi"/>
        </w:rPr>
      </w:pPr>
      <w:r w:rsidRPr="00D773F7">
        <w:rPr>
          <w:rFonts w:asciiTheme="majorBidi" w:hAnsiTheme="majorBidi" w:cstheme="majorBidi"/>
        </w:rPr>
        <w:tab/>
      </w:r>
      <w:r w:rsidRPr="00D773F7">
        <w:rPr>
          <w:rFonts w:asciiTheme="majorBidi" w:hAnsiTheme="majorBidi" w:cstheme="majorBidi"/>
        </w:rPr>
        <w:tab/>
        <w:t>Table A3.2.3</w:t>
      </w:r>
    </w:p>
    <w:p w14:paraId="6ABD0E07" w14:textId="11A5A72D" w:rsidR="008A452A" w:rsidRPr="00D773F7" w:rsidRDefault="0051081B" w:rsidP="007F6C8E">
      <w:pPr>
        <w:pStyle w:val="SingleTxtG"/>
        <w:spacing w:before="240"/>
        <w:rPr>
          <w:rFonts w:asciiTheme="majorBidi" w:hAnsiTheme="majorBidi" w:cstheme="majorBidi"/>
          <w:b/>
          <w:bCs/>
        </w:rPr>
      </w:pPr>
      <w:r w:rsidRPr="00D773F7" w:rsidDel="00151DAE">
        <w:rPr>
          <w:rFonts w:asciiTheme="majorBidi" w:hAnsiTheme="majorBidi" w:cstheme="majorBidi"/>
          <w:b/>
          <w:bCs/>
        </w:rPr>
        <w:t>P302 + P335 + P334</w:t>
      </w:r>
      <w:r w:rsidR="00740050" w:rsidRPr="00D773F7">
        <w:rPr>
          <w:rFonts w:asciiTheme="majorBidi" w:hAnsiTheme="majorBidi" w:cstheme="majorBidi"/>
          <w:b/>
          <w:bCs/>
        </w:rPr>
        <w:t>, column (2)</w:t>
      </w:r>
    </w:p>
    <w:p w14:paraId="02932259" w14:textId="307C6D0A" w:rsidR="0051081B" w:rsidRPr="00D773F7" w:rsidDel="00151DAE" w:rsidRDefault="008A452A" w:rsidP="007B2F96">
      <w:pPr>
        <w:pStyle w:val="SingleTxtG"/>
        <w:rPr>
          <w:rFonts w:asciiTheme="majorBidi" w:hAnsiTheme="majorBidi" w:cstheme="majorBidi"/>
          <w:b/>
        </w:rPr>
      </w:pPr>
      <w:r w:rsidRPr="00D773F7">
        <w:rPr>
          <w:rFonts w:asciiTheme="majorBidi" w:hAnsiTheme="majorBidi" w:cstheme="majorBidi"/>
          <w:bCs/>
        </w:rPr>
        <w:t>A</w:t>
      </w:r>
      <w:r w:rsidR="0051081B" w:rsidRPr="00D773F7" w:rsidDel="00151DAE">
        <w:rPr>
          <w:rFonts w:asciiTheme="majorBidi" w:hAnsiTheme="majorBidi" w:cstheme="majorBidi"/>
          <w:bCs/>
        </w:rPr>
        <w:t xml:space="preserve">mend the </w:t>
      </w:r>
      <w:r w:rsidRPr="00D773F7">
        <w:rPr>
          <w:rFonts w:asciiTheme="majorBidi" w:hAnsiTheme="majorBidi" w:cstheme="majorBidi"/>
          <w:bCs/>
        </w:rPr>
        <w:t xml:space="preserve">text </w:t>
      </w:r>
      <w:r w:rsidR="0051081B" w:rsidRPr="00D773F7" w:rsidDel="00151DAE">
        <w:rPr>
          <w:rFonts w:asciiTheme="majorBidi" w:hAnsiTheme="majorBidi" w:cstheme="majorBidi"/>
          <w:bCs/>
        </w:rPr>
        <w:t xml:space="preserve">to read as follows: </w:t>
      </w:r>
      <w:r w:rsidR="0051081B" w:rsidRPr="00D773F7" w:rsidDel="00151DAE">
        <w:rPr>
          <w:rFonts w:asciiTheme="majorBidi" w:hAnsiTheme="majorBidi" w:cstheme="majorBidi"/>
          <w:b/>
        </w:rPr>
        <w:t>“IF ON SKIN: Brush off loose particles from skin and immerse in cool water [or wrap in wet bandages].”</w:t>
      </w:r>
    </w:p>
    <w:p w14:paraId="7FC0AE05" w14:textId="5F282BF8" w:rsidR="008D4982" w:rsidRPr="00D773F7" w:rsidRDefault="008D4982" w:rsidP="00D5052E">
      <w:pPr>
        <w:pStyle w:val="H23G"/>
        <w:rPr>
          <w:rFonts w:asciiTheme="majorBidi" w:hAnsiTheme="majorBidi" w:cstheme="majorBidi"/>
        </w:rPr>
      </w:pPr>
      <w:r w:rsidRPr="00D773F7">
        <w:rPr>
          <w:rFonts w:asciiTheme="majorBidi" w:hAnsiTheme="majorBidi" w:cstheme="majorBidi"/>
        </w:rPr>
        <w:tab/>
      </w:r>
      <w:r w:rsidRPr="00D773F7">
        <w:rPr>
          <w:rFonts w:asciiTheme="majorBidi" w:hAnsiTheme="majorBidi" w:cstheme="majorBidi"/>
        </w:rPr>
        <w:tab/>
        <w:t>Table A3.2.4</w:t>
      </w:r>
    </w:p>
    <w:p w14:paraId="7DD7651F" w14:textId="142F9E65" w:rsidR="009A091A" w:rsidRPr="00D773F7" w:rsidRDefault="009A091A" w:rsidP="007F6C8E">
      <w:pPr>
        <w:pStyle w:val="SingleTxtG"/>
        <w:spacing w:before="240"/>
        <w:rPr>
          <w:rFonts w:asciiTheme="majorBidi" w:hAnsiTheme="majorBidi" w:cstheme="majorBidi"/>
          <w:b/>
          <w:bCs/>
        </w:rPr>
      </w:pPr>
      <w:r w:rsidRPr="00D773F7">
        <w:rPr>
          <w:rFonts w:asciiTheme="majorBidi" w:hAnsiTheme="majorBidi" w:cstheme="majorBidi"/>
          <w:b/>
          <w:bCs/>
        </w:rPr>
        <w:t>P403</w:t>
      </w:r>
    </w:p>
    <w:p w14:paraId="4B4F5B2F" w14:textId="50F9C691" w:rsidR="009A091A" w:rsidRPr="00D773F7" w:rsidRDefault="008D4982" w:rsidP="007B2F96">
      <w:pPr>
        <w:pStyle w:val="SingleTxtG"/>
        <w:rPr>
          <w:rFonts w:asciiTheme="majorBidi" w:hAnsiTheme="majorBidi" w:cstheme="majorBidi"/>
        </w:rPr>
      </w:pPr>
      <w:r w:rsidRPr="00D773F7">
        <w:rPr>
          <w:rFonts w:asciiTheme="majorBidi" w:hAnsiTheme="majorBidi" w:cstheme="majorBidi"/>
        </w:rPr>
        <w:t xml:space="preserve">Insert the following new row under the existing entry for </w:t>
      </w:r>
      <w:r w:rsidR="009A091A" w:rsidRPr="00D773F7">
        <w:rPr>
          <w:rFonts w:asciiTheme="majorBidi" w:hAnsiTheme="majorBidi" w:cstheme="majorBidi"/>
        </w:rPr>
        <w:t>“Acute toxicity, inhalation</w:t>
      </w:r>
      <w:r w:rsidR="009A091A" w:rsidRPr="00D773F7">
        <w:rPr>
          <w:rFonts w:asciiTheme="majorBidi" w:hAnsiTheme="majorBidi" w:cstheme="majorBidi"/>
          <w:sz w:val="18"/>
          <w:szCs w:val="18"/>
        </w:rPr>
        <w:t xml:space="preserve"> </w:t>
      </w:r>
      <w:r w:rsidR="009A091A" w:rsidRPr="00D773F7">
        <w:rPr>
          <w:rFonts w:asciiTheme="majorBidi" w:hAnsiTheme="majorBidi" w:cstheme="majorBidi"/>
        </w:rPr>
        <w:t>(chapter</w:t>
      </w:r>
      <w:r w:rsidR="00D5052E" w:rsidRPr="00D773F7">
        <w:rPr>
          <w:rFonts w:asciiTheme="majorBidi" w:hAnsiTheme="majorBidi" w:cstheme="majorBidi"/>
        </w:rPr>
        <w:t> </w:t>
      </w:r>
      <w:r w:rsidR="009A091A" w:rsidRPr="00D773F7">
        <w:rPr>
          <w:rFonts w:asciiTheme="majorBidi" w:hAnsiTheme="majorBidi" w:cstheme="majorBidi"/>
        </w:rPr>
        <w:t>3.1)”</w:t>
      </w:r>
      <w:r w:rsidRPr="00D773F7">
        <w:rPr>
          <w:rFonts w:asciiTheme="majorBidi" w:hAnsiTheme="majorBidi" w:cstheme="majorBidi"/>
        </w:rPr>
        <w:t xml:space="preserve">: </w:t>
      </w:r>
    </w:p>
    <w:tbl>
      <w:tblPr>
        <w:tblStyle w:val="TableGrid"/>
        <w:tblW w:w="0" w:type="auto"/>
        <w:tblInd w:w="1118" w:type="dxa"/>
        <w:tblLook w:val="04A0" w:firstRow="1" w:lastRow="0" w:firstColumn="1" w:lastColumn="0" w:noHBand="0" w:noVBand="1"/>
      </w:tblPr>
      <w:tblGrid>
        <w:gridCol w:w="846"/>
        <w:gridCol w:w="709"/>
        <w:gridCol w:w="2970"/>
        <w:gridCol w:w="1418"/>
        <w:gridCol w:w="1418"/>
      </w:tblGrid>
      <w:tr w:rsidR="00A5506C" w:rsidRPr="00D773F7" w14:paraId="5E3D2542" w14:textId="77777777" w:rsidTr="00E451BC">
        <w:tc>
          <w:tcPr>
            <w:tcW w:w="846" w:type="dxa"/>
          </w:tcPr>
          <w:p w14:paraId="3BA18FF2" w14:textId="77777777" w:rsidR="008D4982" w:rsidRPr="00D773F7" w:rsidRDefault="008D4982" w:rsidP="007C30E3">
            <w:pPr>
              <w:pStyle w:val="Bullet2G"/>
              <w:numPr>
                <w:ilvl w:val="0"/>
                <w:numId w:val="0"/>
              </w:numPr>
              <w:spacing w:before="20" w:after="20" w:line="240" w:lineRule="auto"/>
              <w:ind w:right="113"/>
              <w:rPr>
                <w:rFonts w:asciiTheme="majorBidi" w:eastAsia="SimSun" w:hAnsiTheme="majorBidi" w:cstheme="majorBidi"/>
                <w:sz w:val="18"/>
                <w:szCs w:val="18"/>
                <w:lang w:val="en-GB" w:eastAsia="zh-CN"/>
              </w:rPr>
            </w:pPr>
          </w:p>
        </w:tc>
        <w:tc>
          <w:tcPr>
            <w:tcW w:w="709" w:type="dxa"/>
          </w:tcPr>
          <w:p w14:paraId="401C1C71" w14:textId="77777777" w:rsidR="008D4982" w:rsidRPr="00D773F7" w:rsidRDefault="008D4982" w:rsidP="007C30E3">
            <w:pPr>
              <w:pStyle w:val="Bullet2G"/>
              <w:numPr>
                <w:ilvl w:val="0"/>
                <w:numId w:val="0"/>
              </w:numPr>
              <w:spacing w:before="20" w:after="20" w:line="240" w:lineRule="auto"/>
              <w:ind w:right="113"/>
              <w:rPr>
                <w:rFonts w:asciiTheme="majorBidi" w:eastAsia="SimSun" w:hAnsiTheme="majorBidi" w:cstheme="majorBidi"/>
                <w:sz w:val="18"/>
                <w:szCs w:val="18"/>
                <w:lang w:val="en-GB" w:eastAsia="zh-CN"/>
              </w:rPr>
            </w:pPr>
          </w:p>
        </w:tc>
        <w:tc>
          <w:tcPr>
            <w:tcW w:w="2970" w:type="dxa"/>
          </w:tcPr>
          <w:p w14:paraId="117BF99D" w14:textId="77777777" w:rsidR="008D4982" w:rsidRPr="00D773F7" w:rsidRDefault="008D4982" w:rsidP="007C30E3">
            <w:pPr>
              <w:pStyle w:val="Bullet2G"/>
              <w:numPr>
                <w:ilvl w:val="0"/>
                <w:numId w:val="0"/>
              </w:numPr>
              <w:spacing w:before="20" w:after="20" w:line="240" w:lineRule="auto"/>
              <w:ind w:right="113"/>
              <w:rPr>
                <w:rFonts w:asciiTheme="majorBidi" w:eastAsia="SimSun" w:hAnsiTheme="majorBidi" w:cstheme="majorBidi"/>
                <w:sz w:val="18"/>
                <w:szCs w:val="18"/>
                <w:lang w:val="en-GB" w:eastAsia="zh-CN"/>
              </w:rPr>
            </w:pPr>
            <w:r w:rsidRPr="00D773F7">
              <w:rPr>
                <w:rFonts w:asciiTheme="majorBidi" w:eastAsia="SimSun" w:hAnsiTheme="majorBidi" w:cstheme="majorBidi"/>
                <w:sz w:val="18"/>
                <w:szCs w:val="18"/>
                <w:lang w:val="en-GB" w:eastAsia="zh-CN"/>
              </w:rPr>
              <w:t>Respiratory sensitization (chapter 3.4)</w:t>
            </w:r>
          </w:p>
        </w:tc>
        <w:tc>
          <w:tcPr>
            <w:tcW w:w="1418" w:type="dxa"/>
          </w:tcPr>
          <w:p w14:paraId="5C23B85A" w14:textId="77777777" w:rsidR="008D4982" w:rsidRPr="00D773F7" w:rsidRDefault="008D4982" w:rsidP="007C30E3">
            <w:pPr>
              <w:pStyle w:val="Bullet2G"/>
              <w:numPr>
                <w:ilvl w:val="0"/>
                <w:numId w:val="0"/>
              </w:numPr>
              <w:spacing w:before="20" w:after="20" w:line="240" w:lineRule="auto"/>
              <w:ind w:right="113"/>
              <w:jc w:val="center"/>
              <w:rPr>
                <w:rFonts w:asciiTheme="majorBidi" w:eastAsia="SimSun" w:hAnsiTheme="majorBidi" w:cstheme="majorBidi"/>
                <w:sz w:val="18"/>
                <w:szCs w:val="18"/>
                <w:lang w:val="en-GB" w:eastAsia="zh-CN"/>
              </w:rPr>
            </w:pPr>
            <w:r w:rsidRPr="00D773F7">
              <w:rPr>
                <w:rFonts w:asciiTheme="majorBidi" w:eastAsia="SimSun" w:hAnsiTheme="majorBidi" w:cstheme="majorBidi"/>
                <w:sz w:val="18"/>
                <w:szCs w:val="18"/>
                <w:lang w:val="en-GB" w:eastAsia="zh-CN"/>
              </w:rPr>
              <w:t>1, 1A, 1B</w:t>
            </w:r>
          </w:p>
        </w:tc>
        <w:tc>
          <w:tcPr>
            <w:tcW w:w="1418" w:type="dxa"/>
          </w:tcPr>
          <w:p w14:paraId="61643700" w14:textId="77777777" w:rsidR="008D4982" w:rsidRPr="00D773F7" w:rsidRDefault="008D4982" w:rsidP="007C30E3">
            <w:pPr>
              <w:pStyle w:val="Bullet2G"/>
              <w:numPr>
                <w:ilvl w:val="0"/>
                <w:numId w:val="0"/>
              </w:numPr>
              <w:spacing w:before="20" w:after="20" w:line="240" w:lineRule="auto"/>
              <w:ind w:right="113"/>
              <w:rPr>
                <w:rFonts w:asciiTheme="majorBidi" w:eastAsia="SimSun" w:hAnsiTheme="majorBidi" w:cstheme="majorBidi"/>
                <w:sz w:val="18"/>
                <w:szCs w:val="18"/>
                <w:lang w:val="en-GB" w:eastAsia="zh-CN"/>
              </w:rPr>
            </w:pPr>
          </w:p>
        </w:tc>
      </w:tr>
    </w:tbl>
    <w:p w14:paraId="6CFBFC5C" w14:textId="13CC5B41" w:rsidR="006A2D54" w:rsidRPr="00D773F7" w:rsidRDefault="00151DAE" w:rsidP="007B2F96">
      <w:pPr>
        <w:pStyle w:val="FootnoteText"/>
        <w:tabs>
          <w:tab w:val="clear" w:pos="1021"/>
        </w:tabs>
        <w:spacing w:before="240" w:line="240" w:lineRule="auto"/>
        <w:ind w:firstLine="0"/>
        <w:jc w:val="both"/>
        <w:rPr>
          <w:rFonts w:asciiTheme="majorBidi" w:hAnsiTheme="majorBidi" w:cstheme="majorBidi"/>
          <w:sz w:val="20"/>
        </w:rPr>
      </w:pPr>
      <w:r w:rsidRPr="00D773F7">
        <w:rPr>
          <w:rFonts w:asciiTheme="majorBidi" w:hAnsiTheme="majorBidi" w:cstheme="majorBidi"/>
          <w:sz w:val="20"/>
        </w:rPr>
        <w:t xml:space="preserve">In </w:t>
      </w:r>
      <w:r w:rsidR="009A091A" w:rsidRPr="00D773F7">
        <w:rPr>
          <w:rFonts w:asciiTheme="majorBidi" w:hAnsiTheme="majorBidi" w:cstheme="majorBidi"/>
          <w:sz w:val="20"/>
        </w:rPr>
        <w:t xml:space="preserve">column </w:t>
      </w:r>
      <w:r w:rsidRPr="00D773F7">
        <w:rPr>
          <w:rFonts w:asciiTheme="majorBidi" w:hAnsiTheme="majorBidi" w:cstheme="majorBidi"/>
          <w:sz w:val="20"/>
        </w:rPr>
        <w:t>(</w:t>
      </w:r>
      <w:r w:rsidR="009A091A" w:rsidRPr="00D773F7">
        <w:rPr>
          <w:rFonts w:asciiTheme="majorBidi" w:hAnsiTheme="majorBidi" w:cstheme="majorBidi"/>
          <w:sz w:val="20"/>
        </w:rPr>
        <w:t>5</w:t>
      </w:r>
      <w:r w:rsidRPr="00D773F7">
        <w:rPr>
          <w:rFonts w:asciiTheme="majorBidi" w:hAnsiTheme="majorBidi" w:cstheme="majorBidi"/>
          <w:sz w:val="20"/>
        </w:rPr>
        <w:t xml:space="preserve">) apply the </w:t>
      </w:r>
      <w:r w:rsidR="006A2D54" w:rsidRPr="00D773F7">
        <w:rPr>
          <w:rFonts w:asciiTheme="majorBidi" w:hAnsiTheme="majorBidi" w:cstheme="majorBidi"/>
          <w:sz w:val="20"/>
        </w:rPr>
        <w:t xml:space="preserve">following </w:t>
      </w:r>
      <w:r w:rsidRPr="00D773F7">
        <w:rPr>
          <w:rFonts w:asciiTheme="majorBidi" w:hAnsiTheme="majorBidi" w:cstheme="majorBidi"/>
          <w:sz w:val="20"/>
        </w:rPr>
        <w:t>condition for use to “Acute toxicity, inhalation”; “Specific target organ toxicity, single exposure; respiratory tract irritation”; and “Specific target organ toxicity, single exposure narcotic effects”</w:t>
      </w:r>
      <w:r w:rsidR="007D685F" w:rsidRPr="00D773F7">
        <w:rPr>
          <w:rFonts w:asciiTheme="majorBidi" w:hAnsiTheme="majorBidi" w:cstheme="majorBidi"/>
          <w:sz w:val="20"/>
        </w:rPr>
        <w:t xml:space="preserve">: </w:t>
      </w:r>
    </w:p>
    <w:p w14:paraId="7A006786" w14:textId="5F311910" w:rsidR="00151DAE" w:rsidRPr="00722DE9" w:rsidRDefault="006A2D54" w:rsidP="006A2D54">
      <w:pPr>
        <w:pStyle w:val="FootnoteText"/>
        <w:tabs>
          <w:tab w:val="clear" w:pos="1021"/>
          <w:tab w:val="left" w:pos="1985"/>
        </w:tabs>
        <w:spacing w:before="120" w:after="120" w:line="240" w:lineRule="auto"/>
        <w:ind w:firstLine="567"/>
        <w:jc w:val="both"/>
        <w:rPr>
          <w:rFonts w:asciiTheme="majorBidi" w:hAnsiTheme="majorBidi" w:cstheme="majorBidi"/>
          <w:sz w:val="20"/>
        </w:rPr>
      </w:pPr>
      <w:r w:rsidRPr="00722DE9">
        <w:rPr>
          <w:rFonts w:asciiTheme="majorBidi" w:hAnsiTheme="majorBidi" w:cstheme="majorBidi"/>
          <w:i/>
          <w:iCs/>
          <w:sz w:val="20"/>
        </w:rPr>
        <w:t>“</w:t>
      </w:r>
      <w:r w:rsidR="007D685F" w:rsidRPr="00722DE9">
        <w:rPr>
          <w:rFonts w:asciiTheme="majorBidi" w:hAnsiTheme="majorBidi" w:cstheme="majorBidi"/>
          <w:i/>
          <w:sz w:val="20"/>
        </w:rPr>
        <w:t>–</w:t>
      </w:r>
      <w:r w:rsidR="007D685F" w:rsidRPr="00722DE9">
        <w:rPr>
          <w:rFonts w:asciiTheme="majorBidi" w:hAnsiTheme="majorBidi" w:cstheme="majorBidi"/>
          <w:i/>
          <w:sz w:val="20"/>
        </w:rPr>
        <w:tab/>
        <w:t>if the chemical is volatile and may generate a hazardous atmosphere.</w:t>
      </w:r>
      <w:r w:rsidRPr="00722DE9">
        <w:rPr>
          <w:rFonts w:asciiTheme="majorBidi" w:hAnsiTheme="majorBidi" w:cstheme="majorBidi"/>
          <w:i/>
          <w:sz w:val="20"/>
        </w:rPr>
        <w:t>”.</w:t>
      </w:r>
    </w:p>
    <w:p w14:paraId="2DF3D49B" w14:textId="77777777" w:rsidR="00F56B65" w:rsidRPr="00D773F7" w:rsidRDefault="00F56B65" w:rsidP="00D5052E">
      <w:pPr>
        <w:pStyle w:val="H23G"/>
        <w:rPr>
          <w:rFonts w:asciiTheme="majorBidi" w:hAnsiTheme="majorBidi" w:cstheme="majorBidi"/>
        </w:rPr>
      </w:pPr>
      <w:r w:rsidRPr="00D773F7">
        <w:rPr>
          <w:rFonts w:asciiTheme="majorBidi" w:hAnsiTheme="majorBidi" w:cstheme="majorBidi"/>
        </w:rPr>
        <w:tab/>
      </w:r>
      <w:r w:rsidRPr="00D773F7">
        <w:rPr>
          <w:rFonts w:asciiTheme="majorBidi" w:hAnsiTheme="majorBidi" w:cstheme="majorBidi"/>
        </w:rPr>
        <w:tab/>
        <w:t>Section 3</w:t>
      </w:r>
    </w:p>
    <w:p w14:paraId="083F7BA1" w14:textId="3B32059B" w:rsidR="00EB1D30" w:rsidRPr="00D773F7" w:rsidRDefault="00F56B65" w:rsidP="007F6C8E">
      <w:pPr>
        <w:pStyle w:val="SingleTxtG"/>
        <w:spacing w:before="240"/>
        <w:rPr>
          <w:rFonts w:asciiTheme="majorBidi" w:hAnsiTheme="majorBidi" w:cstheme="majorBidi"/>
          <w:b/>
          <w:bCs/>
        </w:rPr>
      </w:pPr>
      <w:r w:rsidRPr="00D773F7">
        <w:rPr>
          <w:rFonts w:asciiTheme="majorBidi" w:hAnsiTheme="majorBidi" w:cstheme="majorBidi"/>
          <w:b/>
          <w:bCs/>
        </w:rPr>
        <w:t>Tables for flammable gases (</w:t>
      </w:r>
      <w:r w:rsidR="009D5EC3" w:rsidRPr="00D773F7">
        <w:rPr>
          <w:rFonts w:asciiTheme="majorBidi" w:hAnsiTheme="majorBidi" w:cstheme="majorBidi"/>
          <w:b/>
          <w:bCs/>
        </w:rPr>
        <w:t>c</w:t>
      </w:r>
      <w:r w:rsidRPr="00D773F7">
        <w:rPr>
          <w:rFonts w:asciiTheme="majorBidi" w:hAnsiTheme="majorBidi" w:cstheme="majorBidi"/>
          <w:b/>
          <w:bCs/>
        </w:rPr>
        <w:t>hapter 2.2)</w:t>
      </w:r>
    </w:p>
    <w:p w14:paraId="156343C2" w14:textId="06BD3826" w:rsidR="00F56B65" w:rsidRPr="00D773F7" w:rsidRDefault="00B13776" w:rsidP="007B2F96">
      <w:pPr>
        <w:pStyle w:val="Bullet1G"/>
        <w:numPr>
          <w:ilvl w:val="0"/>
          <w:numId w:val="0"/>
        </w:numPr>
        <w:suppressAutoHyphens/>
        <w:kinsoku w:val="0"/>
        <w:overflowPunct w:val="0"/>
        <w:autoSpaceDE w:val="0"/>
        <w:autoSpaceDN w:val="0"/>
        <w:adjustRightInd w:val="0"/>
        <w:snapToGrid w:val="0"/>
        <w:spacing w:after="80"/>
        <w:ind w:left="1134"/>
        <w:rPr>
          <w:rFonts w:asciiTheme="majorBidi" w:hAnsiTheme="majorBidi" w:cstheme="majorBidi"/>
        </w:rPr>
      </w:pPr>
      <w:r w:rsidRPr="00D773F7">
        <w:rPr>
          <w:rFonts w:asciiTheme="majorBidi" w:hAnsiTheme="majorBidi" w:cstheme="majorBidi"/>
        </w:rPr>
        <w:t>D</w:t>
      </w:r>
      <w:r w:rsidR="00F56B65" w:rsidRPr="00D773F7">
        <w:rPr>
          <w:rFonts w:asciiTheme="majorBidi" w:hAnsiTheme="majorBidi" w:cstheme="majorBidi"/>
        </w:rPr>
        <w:t>elete the note under the tables for pyrophoric gases and chemically unstable gases</w:t>
      </w:r>
    </w:p>
    <w:p w14:paraId="49FC9196" w14:textId="78BBB435" w:rsidR="00B13776" w:rsidRPr="00D773F7" w:rsidRDefault="00F56B65" w:rsidP="007F6C8E">
      <w:pPr>
        <w:pStyle w:val="SingleTxtG"/>
        <w:spacing w:before="240"/>
        <w:rPr>
          <w:rFonts w:asciiTheme="majorBidi" w:hAnsiTheme="majorBidi" w:cstheme="majorBidi"/>
          <w:b/>
        </w:rPr>
      </w:pPr>
      <w:r w:rsidRPr="00D773F7">
        <w:rPr>
          <w:rFonts w:asciiTheme="majorBidi" w:hAnsiTheme="majorBidi" w:cstheme="majorBidi"/>
          <w:b/>
          <w:bCs/>
        </w:rPr>
        <w:t>Table for pyrophoric solids (chapter 2.10), hazard category 1, column “Response”</w:t>
      </w:r>
      <w:r w:rsidR="00604E0C" w:rsidRPr="00D773F7">
        <w:rPr>
          <w:rFonts w:asciiTheme="majorBidi" w:hAnsiTheme="majorBidi" w:cstheme="majorBidi"/>
          <w:b/>
          <w:bCs/>
        </w:rPr>
        <w:t>, precautionary statement</w:t>
      </w:r>
      <w:r w:rsidR="00353668" w:rsidRPr="00D773F7">
        <w:rPr>
          <w:rFonts w:asciiTheme="majorBidi" w:hAnsiTheme="majorBidi" w:cstheme="majorBidi"/>
          <w:b/>
          <w:bCs/>
        </w:rPr>
        <w:t xml:space="preserve"> </w:t>
      </w:r>
      <w:r w:rsidR="00353668" w:rsidRPr="00D773F7">
        <w:rPr>
          <w:rFonts w:asciiTheme="majorBidi" w:hAnsiTheme="majorBidi" w:cstheme="majorBidi"/>
          <w:b/>
        </w:rPr>
        <w:t>P302 + P335 + P334</w:t>
      </w:r>
    </w:p>
    <w:p w14:paraId="3C3F171B" w14:textId="09D9AC0E" w:rsidR="00F56B65" w:rsidRPr="00D773F7" w:rsidRDefault="00B13776" w:rsidP="00B13776">
      <w:pPr>
        <w:pStyle w:val="Bullet1G"/>
        <w:numPr>
          <w:ilvl w:val="0"/>
          <w:numId w:val="0"/>
        </w:numPr>
        <w:suppressAutoHyphens/>
        <w:kinsoku w:val="0"/>
        <w:overflowPunct w:val="0"/>
        <w:autoSpaceDE w:val="0"/>
        <w:autoSpaceDN w:val="0"/>
        <w:adjustRightInd w:val="0"/>
        <w:snapToGrid w:val="0"/>
        <w:ind w:left="1134"/>
        <w:rPr>
          <w:rFonts w:asciiTheme="majorBidi" w:hAnsiTheme="majorBidi" w:cstheme="majorBidi"/>
          <w:bCs/>
        </w:rPr>
      </w:pPr>
      <w:r w:rsidRPr="00D773F7">
        <w:rPr>
          <w:rFonts w:asciiTheme="majorBidi" w:hAnsiTheme="majorBidi" w:cstheme="majorBidi"/>
          <w:bCs/>
        </w:rPr>
        <w:t>A</w:t>
      </w:r>
      <w:r w:rsidR="005515AC" w:rsidRPr="00D773F7">
        <w:rPr>
          <w:rFonts w:asciiTheme="majorBidi" w:hAnsiTheme="majorBidi" w:cstheme="majorBidi"/>
          <w:bCs/>
        </w:rPr>
        <w:t>mend</w:t>
      </w:r>
      <w:r w:rsidR="00932426" w:rsidRPr="00D773F7">
        <w:rPr>
          <w:rFonts w:asciiTheme="majorBidi" w:hAnsiTheme="majorBidi" w:cstheme="majorBidi"/>
          <w:bCs/>
        </w:rPr>
        <w:t xml:space="preserve"> to read as follows:</w:t>
      </w:r>
    </w:p>
    <w:p w14:paraId="5B664BE3" w14:textId="77777777" w:rsidR="00F56B65" w:rsidRPr="00D773F7" w:rsidRDefault="00F56B65" w:rsidP="00F56B65">
      <w:pPr>
        <w:spacing w:line="240" w:lineRule="auto"/>
        <w:ind w:left="1701"/>
        <w:jc w:val="both"/>
        <w:rPr>
          <w:rFonts w:asciiTheme="majorBidi" w:hAnsiTheme="majorBidi" w:cstheme="majorBidi"/>
        </w:rPr>
      </w:pPr>
      <w:r w:rsidRPr="00D773F7">
        <w:rPr>
          <w:rFonts w:asciiTheme="majorBidi" w:hAnsiTheme="majorBidi" w:cstheme="majorBidi"/>
          <w:bCs/>
        </w:rPr>
        <w:t>“P302 + P335 + P334</w:t>
      </w:r>
    </w:p>
    <w:p w14:paraId="7E7A1E93" w14:textId="77777777" w:rsidR="00F56B65" w:rsidRPr="00D773F7" w:rsidRDefault="00F56B65" w:rsidP="00F56B65">
      <w:pPr>
        <w:spacing w:after="240" w:line="240" w:lineRule="auto"/>
        <w:ind w:left="1701" w:right="1134"/>
        <w:jc w:val="both"/>
        <w:rPr>
          <w:rFonts w:asciiTheme="majorBidi" w:hAnsiTheme="majorBidi" w:cstheme="majorBidi"/>
          <w:lang w:val="en-US"/>
        </w:rPr>
      </w:pPr>
      <w:r w:rsidRPr="00D773F7">
        <w:rPr>
          <w:rStyle w:val="StyleBold"/>
          <w:rFonts w:asciiTheme="majorBidi" w:hAnsiTheme="majorBidi" w:cstheme="majorBidi"/>
          <w:lang w:val="en-US"/>
        </w:rPr>
        <w:t>IF ON SKIN: Brush off loose particles from skin and i</w:t>
      </w:r>
      <w:r w:rsidRPr="00D773F7">
        <w:rPr>
          <w:rFonts w:asciiTheme="majorBidi" w:hAnsiTheme="majorBidi" w:cstheme="majorBidi"/>
          <w:b/>
          <w:bCs/>
          <w:lang w:val="en-US"/>
        </w:rPr>
        <w:t>mmerse in cool water or wrap in wet bandages.</w:t>
      </w:r>
      <w:r w:rsidRPr="00D773F7">
        <w:rPr>
          <w:rFonts w:asciiTheme="majorBidi" w:hAnsiTheme="majorBidi" w:cstheme="majorBidi"/>
          <w:lang w:val="en-US"/>
        </w:rPr>
        <w:t>”</w:t>
      </w:r>
    </w:p>
    <w:p w14:paraId="6857CF55" w14:textId="66471C03" w:rsidR="00B13776" w:rsidRPr="00D773F7" w:rsidRDefault="00AC48B1" w:rsidP="007F6C8E">
      <w:pPr>
        <w:pStyle w:val="SingleTxtG"/>
        <w:spacing w:before="240"/>
        <w:rPr>
          <w:rFonts w:asciiTheme="majorBidi" w:hAnsiTheme="majorBidi" w:cstheme="majorBidi"/>
          <w:b/>
          <w:bCs/>
        </w:rPr>
      </w:pPr>
      <w:r w:rsidRPr="00D773F7">
        <w:rPr>
          <w:rFonts w:asciiTheme="majorBidi" w:hAnsiTheme="majorBidi" w:cstheme="majorBidi"/>
          <w:b/>
          <w:bCs/>
        </w:rPr>
        <w:t>Table for “Acute toxicity - dermal (</w:t>
      </w:r>
      <w:r w:rsidR="009D5EC3" w:rsidRPr="00D773F7">
        <w:rPr>
          <w:rFonts w:asciiTheme="majorBidi" w:hAnsiTheme="majorBidi" w:cstheme="majorBidi"/>
          <w:b/>
          <w:bCs/>
        </w:rPr>
        <w:t>c</w:t>
      </w:r>
      <w:r w:rsidRPr="00D773F7">
        <w:rPr>
          <w:rFonts w:asciiTheme="majorBidi" w:hAnsiTheme="majorBidi" w:cstheme="majorBidi"/>
          <w:b/>
          <w:bCs/>
        </w:rPr>
        <w:t>hapter 3.1)”, category 3, column “Prevention”</w:t>
      </w:r>
    </w:p>
    <w:p w14:paraId="3D089338" w14:textId="37343B31" w:rsidR="00AC48B1" w:rsidRPr="00D773F7" w:rsidRDefault="00D16FE6" w:rsidP="00D16FE6">
      <w:pPr>
        <w:pStyle w:val="Bullet1G"/>
        <w:numPr>
          <w:ilvl w:val="0"/>
          <w:numId w:val="0"/>
        </w:numPr>
        <w:tabs>
          <w:tab w:val="left" w:pos="1134"/>
        </w:tabs>
        <w:suppressAutoHyphens/>
        <w:kinsoku w:val="0"/>
        <w:overflowPunct w:val="0"/>
        <w:autoSpaceDE w:val="0"/>
        <w:autoSpaceDN w:val="0"/>
        <w:adjustRightInd w:val="0"/>
        <w:snapToGrid w:val="0"/>
        <w:rPr>
          <w:rFonts w:asciiTheme="majorBidi" w:hAnsiTheme="majorBidi" w:cstheme="majorBidi"/>
        </w:rPr>
      </w:pPr>
      <w:r w:rsidRPr="00D773F7">
        <w:rPr>
          <w:rFonts w:asciiTheme="majorBidi" w:hAnsiTheme="majorBidi" w:cstheme="majorBidi"/>
        </w:rPr>
        <w:tab/>
      </w:r>
      <w:r w:rsidR="00B13776" w:rsidRPr="00D773F7">
        <w:rPr>
          <w:rFonts w:asciiTheme="majorBidi" w:hAnsiTheme="majorBidi" w:cstheme="majorBidi"/>
        </w:rPr>
        <w:t>I</w:t>
      </w:r>
      <w:r w:rsidR="00AC48B1" w:rsidRPr="00D773F7">
        <w:rPr>
          <w:rFonts w:asciiTheme="majorBidi" w:hAnsiTheme="majorBidi" w:cstheme="majorBidi"/>
        </w:rPr>
        <w:t>nsert the following entries:</w:t>
      </w:r>
    </w:p>
    <w:p w14:paraId="0D0494C7" w14:textId="77777777" w:rsidR="00AC48B1" w:rsidRPr="00D773F7" w:rsidRDefault="00AC48B1" w:rsidP="00AC48B1">
      <w:pPr>
        <w:pStyle w:val="SingleTxtG"/>
        <w:spacing w:after="0" w:line="240" w:lineRule="auto"/>
        <w:ind w:left="1985" w:right="0" w:hanging="284"/>
        <w:rPr>
          <w:rFonts w:asciiTheme="majorBidi" w:hAnsiTheme="majorBidi" w:cstheme="majorBidi"/>
          <w:b/>
          <w:bCs/>
        </w:rPr>
      </w:pPr>
      <w:r w:rsidRPr="00D773F7">
        <w:rPr>
          <w:rFonts w:asciiTheme="majorBidi" w:hAnsiTheme="majorBidi" w:cstheme="majorBidi"/>
        </w:rPr>
        <w:t>“P262</w:t>
      </w:r>
    </w:p>
    <w:p w14:paraId="03CC4A13" w14:textId="77777777" w:rsidR="00AC48B1" w:rsidRPr="00D773F7" w:rsidRDefault="00AC48B1" w:rsidP="00AC48B1">
      <w:pPr>
        <w:pStyle w:val="SingleTxtG"/>
        <w:ind w:left="1985" w:right="0" w:hanging="284"/>
        <w:rPr>
          <w:rStyle w:val="StyleBold"/>
          <w:rFonts w:asciiTheme="majorBidi" w:hAnsiTheme="majorBidi" w:cstheme="majorBidi"/>
        </w:rPr>
      </w:pPr>
      <w:r w:rsidRPr="00D773F7">
        <w:rPr>
          <w:rStyle w:val="StyleBold"/>
          <w:rFonts w:asciiTheme="majorBidi" w:hAnsiTheme="majorBidi" w:cstheme="majorBidi"/>
        </w:rPr>
        <w:t>Do not get in eyes, on skin, or on clothing.</w:t>
      </w:r>
    </w:p>
    <w:p w14:paraId="4F425BB8" w14:textId="77777777" w:rsidR="00AC48B1" w:rsidRPr="00D773F7" w:rsidRDefault="00AC48B1" w:rsidP="00AC48B1">
      <w:pPr>
        <w:pStyle w:val="ListParagraph"/>
        <w:ind w:left="1701"/>
        <w:jc w:val="both"/>
        <w:rPr>
          <w:rFonts w:asciiTheme="majorBidi" w:hAnsiTheme="majorBidi" w:cstheme="majorBidi"/>
        </w:rPr>
      </w:pPr>
      <w:r w:rsidRPr="00D773F7">
        <w:rPr>
          <w:rFonts w:asciiTheme="majorBidi" w:hAnsiTheme="majorBidi" w:cstheme="majorBidi"/>
        </w:rPr>
        <w:t>P264</w:t>
      </w:r>
    </w:p>
    <w:p w14:paraId="3FC5911D" w14:textId="77777777" w:rsidR="00AC48B1" w:rsidRPr="00D773F7" w:rsidRDefault="00AC48B1" w:rsidP="00AC48B1">
      <w:pPr>
        <w:pStyle w:val="ListParagraph"/>
        <w:ind w:left="1701"/>
        <w:jc w:val="both"/>
        <w:rPr>
          <w:rStyle w:val="StyleBold"/>
          <w:rFonts w:asciiTheme="majorBidi" w:hAnsiTheme="majorBidi" w:cstheme="majorBidi"/>
        </w:rPr>
      </w:pPr>
      <w:r w:rsidRPr="00D773F7">
        <w:rPr>
          <w:rStyle w:val="StyleBold"/>
          <w:rFonts w:asciiTheme="majorBidi" w:hAnsiTheme="majorBidi" w:cstheme="majorBidi"/>
        </w:rPr>
        <w:t xml:space="preserve">Wash hands [and </w:t>
      </w:r>
      <w:r w:rsidRPr="00D773F7">
        <w:rPr>
          <w:rFonts w:asciiTheme="majorBidi" w:hAnsiTheme="majorBidi" w:cstheme="majorBidi"/>
          <w:b/>
        </w:rPr>
        <w:t>...]</w:t>
      </w:r>
      <w:r w:rsidRPr="00D773F7">
        <w:rPr>
          <w:rStyle w:val="StyleBold"/>
          <w:rFonts w:asciiTheme="majorBidi" w:hAnsiTheme="majorBidi" w:cstheme="majorBidi"/>
        </w:rPr>
        <w:t xml:space="preserve"> thoroughly after handling.</w:t>
      </w:r>
    </w:p>
    <w:p w14:paraId="195CD543" w14:textId="77777777" w:rsidR="00AC48B1" w:rsidRPr="00D773F7" w:rsidRDefault="00AC48B1" w:rsidP="00AC48B1">
      <w:pPr>
        <w:pStyle w:val="SingleTxtG"/>
        <w:ind w:left="1701"/>
        <w:rPr>
          <w:rFonts w:asciiTheme="majorBidi" w:hAnsiTheme="majorBidi" w:cstheme="majorBidi"/>
        </w:rPr>
      </w:pPr>
      <w:r w:rsidRPr="00D773F7">
        <w:rPr>
          <w:rFonts w:asciiTheme="majorBidi" w:hAnsiTheme="majorBidi" w:cstheme="majorBidi"/>
          <w:lang w:val="fr-FR"/>
        </w:rPr>
        <w:lastRenderedPageBreak/>
        <w:t>−</w:t>
      </w:r>
      <w:r w:rsidRPr="00D773F7">
        <w:rPr>
          <w:rFonts w:asciiTheme="majorBidi" w:hAnsiTheme="majorBidi" w:cstheme="majorBidi"/>
        </w:rPr>
        <w:t xml:space="preserve"> text in square brackets to be used when the manufacturer/supplier or competent authority specify other parts of the body to be washed after handling.</w:t>
      </w:r>
    </w:p>
    <w:p w14:paraId="196E2902" w14:textId="77777777" w:rsidR="00AC48B1" w:rsidRPr="00D773F7" w:rsidRDefault="00AC48B1" w:rsidP="00AC48B1">
      <w:pPr>
        <w:pStyle w:val="SingleTxtG"/>
        <w:spacing w:after="0" w:line="240" w:lineRule="auto"/>
        <w:ind w:left="1701" w:right="0"/>
        <w:rPr>
          <w:rFonts w:asciiTheme="majorBidi" w:hAnsiTheme="majorBidi" w:cstheme="majorBidi"/>
        </w:rPr>
      </w:pPr>
      <w:r w:rsidRPr="00D773F7">
        <w:rPr>
          <w:rFonts w:asciiTheme="majorBidi" w:hAnsiTheme="majorBidi" w:cstheme="majorBidi"/>
        </w:rPr>
        <w:t>P270</w:t>
      </w:r>
    </w:p>
    <w:p w14:paraId="3227F803" w14:textId="77777777" w:rsidR="00AC48B1" w:rsidRPr="00D773F7" w:rsidRDefault="00AC48B1" w:rsidP="00AC48B1">
      <w:pPr>
        <w:pStyle w:val="SingleTxtG"/>
        <w:spacing w:after="80"/>
        <w:ind w:left="1701" w:right="0"/>
        <w:rPr>
          <w:rStyle w:val="StyleBold"/>
          <w:rFonts w:asciiTheme="majorBidi" w:hAnsiTheme="majorBidi" w:cstheme="majorBidi"/>
        </w:rPr>
      </w:pPr>
      <w:r w:rsidRPr="00D773F7">
        <w:rPr>
          <w:rStyle w:val="StyleBold"/>
          <w:rFonts w:asciiTheme="majorBidi" w:hAnsiTheme="majorBidi" w:cstheme="majorBidi"/>
        </w:rPr>
        <w:t>Do not eat, drink or smoke when using this product.”.</w:t>
      </w:r>
    </w:p>
    <w:p w14:paraId="2988EA67" w14:textId="00898E65" w:rsidR="00134798" w:rsidRPr="00D773F7" w:rsidRDefault="00EF10AD" w:rsidP="007F6C8E">
      <w:pPr>
        <w:pStyle w:val="SingleTxtG"/>
        <w:spacing w:before="240"/>
        <w:rPr>
          <w:rFonts w:asciiTheme="majorBidi" w:hAnsiTheme="majorBidi" w:cstheme="majorBidi"/>
          <w:b/>
          <w:bCs/>
        </w:rPr>
      </w:pPr>
      <w:r w:rsidRPr="00D773F7">
        <w:rPr>
          <w:rFonts w:asciiTheme="majorBidi" w:hAnsiTheme="majorBidi" w:cstheme="majorBidi"/>
          <w:b/>
          <w:bCs/>
        </w:rPr>
        <w:t>T</w:t>
      </w:r>
      <w:r w:rsidR="001002F2" w:rsidRPr="00D773F7">
        <w:rPr>
          <w:rFonts w:asciiTheme="majorBidi" w:hAnsiTheme="majorBidi" w:cstheme="majorBidi"/>
          <w:b/>
          <w:bCs/>
        </w:rPr>
        <w:t>able for “Acute toxicity, inhalation</w:t>
      </w:r>
      <w:r w:rsidR="001002F2" w:rsidRPr="00D773F7" w:rsidDel="007E6725">
        <w:rPr>
          <w:rFonts w:asciiTheme="majorBidi" w:hAnsiTheme="majorBidi" w:cstheme="majorBidi"/>
          <w:b/>
          <w:bCs/>
        </w:rPr>
        <w:t xml:space="preserve"> </w:t>
      </w:r>
      <w:r w:rsidR="001002F2" w:rsidRPr="00D773F7">
        <w:rPr>
          <w:rFonts w:asciiTheme="majorBidi" w:hAnsiTheme="majorBidi" w:cstheme="majorBidi"/>
          <w:b/>
          <w:bCs/>
        </w:rPr>
        <w:t>(chapter 3.1)”, categories 1, 2, column “Prevention”</w:t>
      </w:r>
    </w:p>
    <w:p w14:paraId="56493982" w14:textId="69CF8F08" w:rsidR="001002F2" w:rsidRPr="00D773F7" w:rsidRDefault="00D16FE6" w:rsidP="00D16FE6">
      <w:pPr>
        <w:tabs>
          <w:tab w:val="left" w:pos="1134"/>
        </w:tabs>
        <w:spacing w:after="240" w:line="240" w:lineRule="auto"/>
        <w:ind w:right="1134"/>
        <w:jc w:val="both"/>
        <w:rPr>
          <w:rFonts w:asciiTheme="majorBidi" w:hAnsiTheme="majorBidi" w:cstheme="majorBidi"/>
          <w:lang w:val="en-US"/>
        </w:rPr>
      </w:pPr>
      <w:r w:rsidRPr="00D773F7">
        <w:rPr>
          <w:rFonts w:asciiTheme="majorBidi" w:hAnsiTheme="majorBidi" w:cstheme="majorBidi"/>
          <w:lang w:val="en-US"/>
        </w:rPr>
        <w:tab/>
      </w:r>
      <w:r w:rsidR="00134798" w:rsidRPr="00D773F7">
        <w:rPr>
          <w:rFonts w:asciiTheme="majorBidi" w:hAnsiTheme="majorBidi" w:cstheme="majorBidi"/>
          <w:lang w:val="en-US"/>
        </w:rPr>
        <w:t>A</w:t>
      </w:r>
      <w:r w:rsidR="00F5758D" w:rsidRPr="00D773F7">
        <w:rPr>
          <w:rFonts w:asciiTheme="majorBidi" w:hAnsiTheme="majorBidi" w:cstheme="majorBidi"/>
          <w:lang w:val="en-US"/>
        </w:rPr>
        <w:t>mend to read as follows</w:t>
      </w:r>
      <w:r w:rsidR="001002F2" w:rsidRPr="00D773F7">
        <w:rPr>
          <w:rFonts w:asciiTheme="majorBidi" w:hAnsiTheme="majorBidi" w:cstheme="majorBidi"/>
          <w:lang w:val="en-US"/>
        </w:rPr>
        <w:t>:</w:t>
      </w:r>
    </w:p>
    <w:p w14:paraId="52301395" w14:textId="0A21401F" w:rsidR="001002F2" w:rsidRPr="00D773F7" w:rsidRDefault="001002F2" w:rsidP="00D16FE6">
      <w:pPr>
        <w:pStyle w:val="BalloonText"/>
        <w:ind w:left="1701" w:right="1134"/>
        <w:rPr>
          <w:rFonts w:asciiTheme="majorBidi" w:hAnsiTheme="majorBidi" w:cstheme="majorBidi"/>
          <w:b/>
          <w:sz w:val="20"/>
          <w:szCs w:val="20"/>
        </w:rPr>
      </w:pPr>
      <w:r w:rsidRPr="00D773F7">
        <w:rPr>
          <w:rFonts w:asciiTheme="majorBidi" w:hAnsiTheme="majorBidi" w:cstheme="majorBidi"/>
          <w:bCs/>
          <w:sz w:val="20"/>
          <w:szCs w:val="20"/>
        </w:rPr>
        <w:t>“P260</w:t>
      </w:r>
      <w:r w:rsidRPr="00D773F7">
        <w:rPr>
          <w:rFonts w:asciiTheme="majorBidi" w:hAnsiTheme="majorBidi" w:cstheme="majorBidi"/>
          <w:b/>
          <w:sz w:val="20"/>
          <w:szCs w:val="20"/>
        </w:rPr>
        <w:br/>
        <w:t>Do not breathe dust/fume/gas/mist/vapours/spray.</w:t>
      </w:r>
    </w:p>
    <w:p w14:paraId="196C0F6D" w14:textId="77777777" w:rsidR="001002F2" w:rsidRPr="00D773F7" w:rsidRDefault="001002F2" w:rsidP="00D16FE6">
      <w:pPr>
        <w:pStyle w:val="BalloonText"/>
        <w:spacing w:after="120"/>
        <w:ind w:left="1701" w:right="1134"/>
        <w:jc w:val="both"/>
        <w:rPr>
          <w:rFonts w:asciiTheme="majorBidi" w:hAnsiTheme="majorBidi" w:cstheme="majorBidi"/>
          <w:bCs/>
          <w:sz w:val="20"/>
          <w:szCs w:val="20"/>
        </w:rPr>
      </w:pPr>
      <w:r w:rsidRPr="00D773F7">
        <w:rPr>
          <w:rFonts w:asciiTheme="majorBidi" w:hAnsiTheme="majorBidi" w:cstheme="majorBidi"/>
          <w:bCs/>
          <w:sz w:val="20"/>
          <w:szCs w:val="20"/>
        </w:rPr>
        <w:t>Manufacturer/supplier or the competent authority to specify applicable physical state(s).</w:t>
      </w:r>
    </w:p>
    <w:p w14:paraId="33D97FAF" w14:textId="77777777" w:rsidR="001002F2" w:rsidRPr="00D773F7" w:rsidRDefault="001002F2" w:rsidP="00D16FE6">
      <w:pPr>
        <w:pStyle w:val="BalloonText"/>
        <w:ind w:left="1701" w:right="1134"/>
        <w:rPr>
          <w:rFonts w:asciiTheme="majorBidi" w:hAnsiTheme="majorBidi" w:cstheme="majorBidi"/>
          <w:b/>
          <w:sz w:val="20"/>
          <w:szCs w:val="20"/>
        </w:rPr>
      </w:pPr>
      <w:r w:rsidRPr="00D773F7">
        <w:rPr>
          <w:rFonts w:asciiTheme="majorBidi" w:hAnsiTheme="majorBidi" w:cstheme="majorBidi"/>
          <w:bCs/>
          <w:sz w:val="20"/>
          <w:szCs w:val="20"/>
        </w:rPr>
        <w:t>P271</w:t>
      </w:r>
      <w:r w:rsidRPr="00D773F7">
        <w:rPr>
          <w:rFonts w:asciiTheme="majorBidi" w:hAnsiTheme="majorBidi" w:cstheme="majorBidi"/>
          <w:b/>
          <w:sz w:val="20"/>
          <w:szCs w:val="20"/>
        </w:rPr>
        <w:br/>
        <w:t xml:space="preserve">Use only outdoors or </w:t>
      </w:r>
      <w:r w:rsidRPr="00D773F7">
        <w:rPr>
          <w:rStyle w:val="StyleBold"/>
          <w:rFonts w:asciiTheme="majorBidi" w:hAnsiTheme="majorBidi" w:cstheme="majorBidi"/>
          <w:sz w:val="20"/>
          <w:szCs w:val="20"/>
        </w:rPr>
        <w:t>with adequate ventilation</w:t>
      </w:r>
      <w:r w:rsidRPr="00D773F7">
        <w:rPr>
          <w:rFonts w:asciiTheme="majorBidi" w:hAnsiTheme="majorBidi" w:cstheme="majorBidi"/>
          <w:b/>
          <w:sz w:val="20"/>
          <w:szCs w:val="20"/>
        </w:rPr>
        <w:t>.</w:t>
      </w:r>
    </w:p>
    <w:p w14:paraId="3A043571" w14:textId="77777777" w:rsidR="001002F2" w:rsidRPr="00D773F7" w:rsidRDefault="001002F2" w:rsidP="00D16FE6">
      <w:pPr>
        <w:spacing w:after="120" w:line="240" w:lineRule="auto"/>
        <w:ind w:left="1701" w:right="1134"/>
        <w:jc w:val="both"/>
        <w:rPr>
          <w:rFonts w:asciiTheme="majorBidi" w:hAnsiTheme="majorBidi" w:cstheme="majorBidi"/>
        </w:rPr>
      </w:pPr>
      <w:r w:rsidRPr="00D773F7">
        <w:rPr>
          <w:rFonts w:asciiTheme="majorBidi" w:hAnsiTheme="majorBidi" w:cstheme="majorBidi"/>
        </w:rPr>
        <w:t>Manufacturer/supplier to specify what type of ventilation would be adequate for safe use on the safety data sheet and in any supplemental safety instructions provided to consumers.</w:t>
      </w:r>
      <w:r w:rsidRPr="00D773F7">
        <w:rPr>
          <w:rFonts w:asciiTheme="majorBidi" w:hAnsiTheme="majorBidi" w:cstheme="majorBidi"/>
          <w:sz w:val="24"/>
          <w:szCs w:val="24"/>
          <w:lang w:eastAsia="en-GB"/>
        </w:rPr>
        <w:t xml:space="preserve"> </w:t>
      </w:r>
    </w:p>
    <w:p w14:paraId="69430908" w14:textId="63E3339F" w:rsidR="001002F2" w:rsidRPr="00D773F7" w:rsidRDefault="001002F2" w:rsidP="00A157B1">
      <w:pPr>
        <w:pStyle w:val="BalloonText"/>
        <w:ind w:left="1701" w:right="1134"/>
        <w:rPr>
          <w:rFonts w:asciiTheme="majorBidi" w:hAnsiTheme="majorBidi" w:cstheme="majorBidi"/>
          <w:b/>
          <w:sz w:val="20"/>
          <w:szCs w:val="20"/>
        </w:rPr>
      </w:pPr>
      <w:r w:rsidRPr="00D773F7">
        <w:rPr>
          <w:rFonts w:asciiTheme="majorBidi" w:hAnsiTheme="majorBidi" w:cstheme="majorBidi"/>
          <w:sz w:val="20"/>
          <w:szCs w:val="20"/>
        </w:rPr>
        <w:t>P284</w:t>
      </w:r>
      <w:r w:rsidR="00A157B1">
        <w:rPr>
          <w:rFonts w:asciiTheme="majorBidi" w:hAnsiTheme="majorBidi" w:cstheme="majorBidi"/>
          <w:sz w:val="20"/>
          <w:szCs w:val="20"/>
        </w:rPr>
        <w:br/>
      </w:r>
      <w:r w:rsidRPr="00D773F7">
        <w:rPr>
          <w:rFonts w:asciiTheme="majorBidi" w:hAnsiTheme="majorBidi" w:cstheme="majorBidi"/>
          <w:b/>
          <w:sz w:val="20"/>
          <w:szCs w:val="20"/>
        </w:rPr>
        <w:t>In case of inadequate ventilation wear respiratory protection</w:t>
      </w:r>
    </w:p>
    <w:p w14:paraId="4BBE7171" w14:textId="77777777" w:rsidR="001002F2" w:rsidRPr="00D773F7" w:rsidRDefault="001002F2" w:rsidP="00D16FE6">
      <w:pPr>
        <w:pStyle w:val="BalloonText"/>
        <w:spacing w:before="20" w:after="120"/>
        <w:ind w:left="1701" w:right="1134"/>
        <w:jc w:val="both"/>
        <w:rPr>
          <w:rFonts w:asciiTheme="majorBidi" w:hAnsiTheme="majorBidi" w:cstheme="majorBidi"/>
          <w:sz w:val="20"/>
          <w:szCs w:val="20"/>
        </w:rPr>
      </w:pPr>
      <w:r w:rsidRPr="00D773F7">
        <w:rPr>
          <w:rFonts w:asciiTheme="majorBidi" w:hAnsiTheme="majorBidi" w:cstheme="majorBidi"/>
          <w:sz w:val="20"/>
          <w:szCs w:val="20"/>
        </w:rPr>
        <w:t>Manufacturer/supplier to specify on the safety data sheet what type of ventilation would be adequate for safe use and provide additional information with the chemical at the point of use that explains what type of respiratory equipment may also be needed.”</w:t>
      </w:r>
    </w:p>
    <w:p w14:paraId="7D4038EB" w14:textId="0C94EFF2" w:rsidR="00C22036" w:rsidRPr="00D773F7" w:rsidRDefault="005C2910" w:rsidP="007F6C8E">
      <w:pPr>
        <w:pStyle w:val="SingleTxtG"/>
        <w:spacing w:before="240"/>
        <w:rPr>
          <w:rFonts w:asciiTheme="majorBidi" w:hAnsiTheme="majorBidi" w:cstheme="majorBidi"/>
          <w:b/>
          <w:bCs/>
        </w:rPr>
      </w:pPr>
      <w:r w:rsidRPr="00D773F7">
        <w:rPr>
          <w:rFonts w:asciiTheme="majorBidi" w:hAnsiTheme="majorBidi" w:cstheme="majorBidi"/>
          <w:b/>
          <w:bCs/>
        </w:rPr>
        <w:t>Tables for “Acute toxicity, inhalation</w:t>
      </w:r>
      <w:r w:rsidRPr="00D773F7" w:rsidDel="007E6725">
        <w:rPr>
          <w:rFonts w:asciiTheme="majorBidi" w:hAnsiTheme="majorBidi" w:cstheme="majorBidi"/>
          <w:b/>
          <w:bCs/>
        </w:rPr>
        <w:t xml:space="preserve"> </w:t>
      </w:r>
      <w:r w:rsidRPr="00D773F7">
        <w:rPr>
          <w:rFonts w:asciiTheme="majorBidi" w:hAnsiTheme="majorBidi" w:cstheme="majorBidi"/>
          <w:b/>
          <w:bCs/>
        </w:rPr>
        <w:t>(chapter 3.1)”, categories 3 and 4, column “Prevention”</w:t>
      </w:r>
      <w:r w:rsidR="00CF43A0" w:rsidRPr="00D773F7">
        <w:rPr>
          <w:rFonts w:asciiTheme="majorBidi" w:hAnsiTheme="majorBidi" w:cstheme="majorBidi"/>
          <w:b/>
          <w:bCs/>
        </w:rPr>
        <w:t>, precautionary statement P271</w:t>
      </w:r>
    </w:p>
    <w:p w14:paraId="36CC9D37" w14:textId="48C5BC3B" w:rsidR="005C2910" w:rsidRPr="00D773F7" w:rsidRDefault="00C22036" w:rsidP="007B2F96">
      <w:pPr>
        <w:pStyle w:val="SingleTxtG"/>
        <w:rPr>
          <w:rFonts w:asciiTheme="majorBidi" w:hAnsiTheme="majorBidi" w:cstheme="majorBidi"/>
        </w:rPr>
      </w:pPr>
      <w:r w:rsidRPr="00D773F7">
        <w:rPr>
          <w:rFonts w:asciiTheme="majorBidi" w:hAnsiTheme="majorBidi" w:cstheme="majorBidi"/>
        </w:rPr>
        <w:t>A</w:t>
      </w:r>
      <w:r w:rsidR="005A71F9" w:rsidRPr="00D773F7">
        <w:rPr>
          <w:rFonts w:asciiTheme="majorBidi" w:hAnsiTheme="majorBidi" w:cstheme="majorBidi"/>
        </w:rPr>
        <w:t xml:space="preserve">mend </w:t>
      </w:r>
      <w:r w:rsidR="002977C3" w:rsidRPr="00D773F7">
        <w:rPr>
          <w:rFonts w:asciiTheme="majorBidi" w:hAnsiTheme="majorBidi" w:cstheme="majorBidi"/>
        </w:rPr>
        <w:t>to read as follows</w:t>
      </w:r>
      <w:r w:rsidR="005C2910" w:rsidRPr="00D773F7">
        <w:rPr>
          <w:rFonts w:asciiTheme="majorBidi" w:hAnsiTheme="majorBidi" w:cstheme="majorBidi"/>
        </w:rPr>
        <w:t>:</w:t>
      </w:r>
    </w:p>
    <w:p w14:paraId="62B81534" w14:textId="77777777" w:rsidR="005C2910" w:rsidRPr="00D773F7" w:rsidRDefault="005C2910" w:rsidP="00C22036">
      <w:pPr>
        <w:pStyle w:val="BalloonText"/>
        <w:ind w:left="1701" w:right="1134"/>
        <w:rPr>
          <w:rFonts w:asciiTheme="majorBidi" w:hAnsiTheme="majorBidi" w:cstheme="majorBidi"/>
          <w:b/>
          <w:sz w:val="20"/>
          <w:szCs w:val="20"/>
        </w:rPr>
      </w:pPr>
      <w:r w:rsidRPr="00D773F7">
        <w:rPr>
          <w:rFonts w:asciiTheme="majorBidi" w:hAnsiTheme="majorBidi" w:cstheme="majorBidi"/>
          <w:bCs/>
          <w:sz w:val="20"/>
          <w:szCs w:val="20"/>
        </w:rPr>
        <w:t>“P271</w:t>
      </w:r>
      <w:r w:rsidRPr="00D773F7">
        <w:rPr>
          <w:rFonts w:asciiTheme="majorBidi" w:hAnsiTheme="majorBidi" w:cstheme="majorBidi"/>
          <w:b/>
          <w:sz w:val="20"/>
          <w:szCs w:val="20"/>
        </w:rPr>
        <w:br/>
        <w:t xml:space="preserve">Use only outdoors or </w:t>
      </w:r>
      <w:r w:rsidRPr="00D773F7">
        <w:rPr>
          <w:rStyle w:val="StyleBold"/>
          <w:rFonts w:asciiTheme="majorBidi" w:hAnsiTheme="majorBidi" w:cstheme="majorBidi"/>
          <w:sz w:val="20"/>
          <w:szCs w:val="20"/>
        </w:rPr>
        <w:t>with adequate ventilation</w:t>
      </w:r>
      <w:r w:rsidRPr="00D773F7">
        <w:rPr>
          <w:rFonts w:asciiTheme="majorBidi" w:hAnsiTheme="majorBidi" w:cstheme="majorBidi"/>
          <w:b/>
          <w:sz w:val="20"/>
          <w:szCs w:val="20"/>
        </w:rPr>
        <w:t>.</w:t>
      </w:r>
    </w:p>
    <w:p w14:paraId="4B125E02" w14:textId="00BF024B" w:rsidR="005C2910" w:rsidRPr="00D773F7" w:rsidRDefault="005C2910" w:rsidP="00C22036">
      <w:pPr>
        <w:pStyle w:val="BalloonText"/>
        <w:spacing w:before="20" w:after="120"/>
        <w:ind w:left="1701" w:right="1134"/>
        <w:jc w:val="both"/>
        <w:rPr>
          <w:rFonts w:asciiTheme="majorBidi" w:hAnsiTheme="majorBidi" w:cstheme="majorBidi"/>
          <w:sz w:val="20"/>
          <w:szCs w:val="20"/>
        </w:rPr>
      </w:pPr>
      <w:r w:rsidRPr="00D773F7">
        <w:rPr>
          <w:rFonts w:asciiTheme="majorBidi" w:hAnsiTheme="majorBidi" w:cstheme="majorBidi"/>
          <w:sz w:val="20"/>
          <w:szCs w:val="20"/>
        </w:rPr>
        <w:t>Manufacturer/supplier to specify what type of ventilation would be adequate for safe use on the safety data sheet and in any supplemental safety instructions provided to consumers.”</w:t>
      </w:r>
      <w:r w:rsidR="00196F59" w:rsidRPr="00D773F7">
        <w:rPr>
          <w:rFonts w:asciiTheme="majorBidi" w:hAnsiTheme="majorBidi" w:cstheme="majorBidi"/>
          <w:sz w:val="20"/>
          <w:szCs w:val="20"/>
        </w:rPr>
        <w:t>.</w:t>
      </w:r>
    </w:p>
    <w:p w14:paraId="56217C80" w14:textId="0ED24610" w:rsidR="0015240F" w:rsidRPr="00D773F7" w:rsidRDefault="00F56B65" w:rsidP="007F6C8E">
      <w:pPr>
        <w:pStyle w:val="SingleTxtG"/>
        <w:spacing w:before="240"/>
        <w:rPr>
          <w:rFonts w:asciiTheme="majorBidi" w:hAnsiTheme="majorBidi" w:cstheme="majorBidi"/>
          <w:b/>
          <w:bCs/>
        </w:rPr>
      </w:pPr>
      <w:r w:rsidRPr="00D773F7">
        <w:rPr>
          <w:rFonts w:asciiTheme="majorBidi" w:hAnsiTheme="majorBidi" w:cstheme="majorBidi"/>
          <w:b/>
          <w:bCs/>
        </w:rPr>
        <w:t>Table for “Sensitization – respiratory (</w:t>
      </w:r>
      <w:r w:rsidR="001806B2" w:rsidRPr="00D773F7">
        <w:rPr>
          <w:rFonts w:asciiTheme="majorBidi" w:hAnsiTheme="majorBidi" w:cstheme="majorBidi"/>
          <w:b/>
          <w:bCs/>
        </w:rPr>
        <w:t>c</w:t>
      </w:r>
      <w:r w:rsidRPr="00D773F7">
        <w:rPr>
          <w:rFonts w:asciiTheme="majorBidi" w:hAnsiTheme="majorBidi" w:cstheme="majorBidi"/>
          <w:b/>
          <w:bCs/>
        </w:rPr>
        <w:t>hapter 3.4)</w:t>
      </w:r>
      <w:r w:rsidR="00D35E9C" w:rsidRPr="00D773F7">
        <w:rPr>
          <w:rFonts w:asciiTheme="majorBidi" w:hAnsiTheme="majorBidi" w:cstheme="majorBidi"/>
          <w:b/>
          <w:bCs/>
        </w:rPr>
        <w:t>, heading</w:t>
      </w:r>
    </w:p>
    <w:p w14:paraId="46BE256B" w14:textId="074536BB" w:rsidR="00F56B65" w:rsidRPr="00D773F7" w:rsidRDefault="0015240F" w:rsidP="0015240F">
      <w:pPr>
        <w:pStyle w:val="SingleTxtG"/>
        <w:rPr>
          <w:rFonts w:asciiTheme="majorBidi" w:hAnsiTheme="majorBidi" w:cstheme="majorBidi"/>
        </w:rPr>
      </w:pPr>
      <w:r w:rsidRPr="00D773F7">
        <w:rPr>
          <w:rFonts w:asciiTheme="majorBidi" w:hAnsiTheme="majorBidi" w:cstheme="majorBidi"/>
        </w:rPr>
        <w:t>A</w:t>
      </w:r>
      <w:r w:rsidR="00F56B65" w:rsidRPr="00D773F7">
        <w:rPr>
          <w:rFonts w:asciiTheme="majorBidi" w:hAnsiTheme="majorBidi" w:cstheme="majorBidi"/>
        </w:rPr>
        <w:t>mend to read as follows: “RESPIRATORY SENSITIZATION (CHAPTER 3.4)”.</w:t>
      </w:r>
    </w:p>
    <w:p w14:paraId="7DAE94A4" w14:textId="78E6B66E" w:rsidR="0004246E" w:rsidRPr="00D773F7" w:rsidRDefault="000C65F1" w:rsidP="00020A44">
      <w:pPr>
        <w:pStyle w:val="SingleTxtG"/>
        <w:rPr>
          <w:rFonts w:asciiTheme="majorBidi" w:hAnsiTheme="majorBidi" w:cstheme="majorBidi"/>
          <w:b/>
          <w:bCs/>
        </w:rPr>
      </w:pPr>
      <w:r w:rsidRPr="00D773F7">
        <w:rPr>
          <w:rFonts w:asciiTheme="majorBidi" w:hAnsiTheme="majorBidi" w:cstheme="majorBidi"/>
          <w:b/>
          <w:bCs/>
        </w:rPr>
        <w:t>T</w:t>
      </w:r>
      <w:r w:rsidR="00030169" w:rsidRPr="00D773F7">
        <w:rPr>
          <w:rFonts w:asciiTheme="majorBidi" w:hAnsiTheme="majorBidi" w:cstheme="majorBidi"/>
          <w:b/>
          <w:bCs/>
        </w:rPr>
        <w:t>able for “Sensitization - Respiratory</w:t>
      </w:r>
      <w:r w:rsidR="00030169" w:rsidRPr="00D773F7" w:rsidDel="007E6725">
        <w:rPr>
          <w:rFonts w:asciiTheme="majorBidi" w:hAnsiTheme="majorBidi" w:cstheme="majorBidi"/>
          <w:b/>
          <w:bCs/>
        </w:rPr>
        <w:t xml:space="preserve"> </w:t>
      </w:r>
      <w:r w:rsidR="00030169" w:rsidRPr="00D773F7">
        <w:rPr>
          <w:rFonts w:asciiTheme="majorBidi" w:hAnsiTheme="majorBidi" w:cstheme="majorBidi"/>
          <w:b/>
          <w:bCs/>
        </w:rPr>
        <w:t>(</w:t>
      </w:r>
      <w:r w:rsidR="001806B2" w:rsidRPr="00D773F7">
        <w:rPr>
          <w:rFonts w:asciiTheme="majorBidi" w:hAnsiTheme="majorBidi" w:cstheme="majorBidi"/>
          <w:b/>
          <w:bCs/>
        </w:rPr>
        <w:t>c</w:t>
      </w:r>
      <w:r w:rsidR="00030169" w:rsidRPr="00D773F7">
        <w:rPr>
          <w:rFonts w:asciiTheme="majorBidi" w:hAnsiTheme="majorBidi" w:cstheme="majorBidi"/>
          <w:b/>
          <w:bCs/>
        </w:rPr>
        <w:t>hapter 3.4)”, categor</w:t>
      </w:r>
      <w:r w:rsidR="00815DB2" w:rsidRPr="00D773F7">
        <w:rPr>
          <w:rFonts w:asciiTheme="majorBidi" w:hAnsiTheme="majorBidi" w:cstheme="majorBidi"/>
          <w:b/>
          <w:bCs/>
        </w:rPr>
        <w:t>ies</w:t>
      </w:r>
      <w:r w:rsidR="00030169" w:rsidRPr="00D773F7">
        <w:rPr>
          <w:rFonts w:asciiTheme="majorBidi" w:hAnsiTheme="majorBidi" w:cstheme="majorBidi"/>
          <w:b/>
          <w:bCs/>
        </w:rPr>
        <w:t xml:space="preserve"> 1, 1A, 1B</w:t>
      </w:r>
    </w:p>
    <w:p w14:paraId="44537F20" w14:textId="5B4A7F07" w:rsidR="00030169" w:rsidRPr="00D773F7" w:rsidRDefault="0004246E" w:rsidP="0004246E">
      <w:pPr>
        <w:pStyle w:val="Bullet1G"/>
        <w:numPr>
          <w:ilvl w:val="0"/>
          <w:numId w:val="0"/>
        </w:numPr>
        <w:suppressAutoHyphens/>
        <w:kinsoku w:val="0"/>
        <w:overflowPunct w:val="0"/>
        <w:autoSpaceDE w:val="0"/>
        <w:autoSpaceDN w:val="0"/>
        <w:adjustRightInd w:val="0"/>
        <w:snapToGrid w:val="0"/>
        <w:ind w:left="1134"/>
        <w:rPr>
          <w:rFonts w:asciiTheme="majorBidi" w:hAnsiTheme="majorBidi" w:cstheme="majorBidi"/>
        </w:rPr>
      </w:pPr>
      <w:r w:rsidRPr="00D773F7">
        <w:rPr>
          <w:rFonts w:asciiTheme="majorBidi" w:hAnsiTheme="majorBidi" w:cstheme="majorBidi"/>
        </w:rPr>
        <w:t>Column “Prevention”, a</w:t>
      </w:r>
      <w:r w:rsidR="00FF53D1" w:rsidRPr="00D773F7">
        <w:rPr>
          <w:rFonts w:asciiTheme="majorBidi" w:hAnsiTheme="majorBidi" w:cstheme="majorBidi"/>
        </w:rPr>
        <w:t>mend to read as follows</w:t>
      </w:r>
      <w:r w:rsidR="00030169" w:rsidRPr="00D773F7">
        <w:rPr>
          <w:rFonts w:asciiTheme="majorBidi" w:hAnsiTheme="majorBidi" w:cstheme="majorBidi"/>
        </w:rPr>
        <w:t>:</w:t>
      </w:r>
    </w:p>
    <w:p w14:paraId="1AB90A82" w14:textId="79EEEF90" w:rsidR="00030169" w:rsidRPr="00D773F7" w:rsidRDefault="00030169" w:rsidP="00A157B1">
      <w:pPr>
        <w:pStyle w:val="BalloonText"/>
        <w:spacing w:after="120"/>
        <w:ind w:left="1985" w:right="1134"/>
        <w:rPr>
          <w:rFonts w:asciiTheme="majorBidi" w:hAnsiTheme="majorBidi" w:cstheme="majorBidi"/>
          <w:sz w:val="20"/>
          <w:szCs w:val="20"/>
        </w:rPr>
      </w:pPr>
      <w:r w:rsidRPr="00D773F7">
        <w:rPr>
          <w:rFonts w:asciiTheme="majorBidi" w:hAnsiTheme="majorBidi" w:cstheme="majorBidi"/>
          <w:bCs/>
          <w:sz w:val="20"/>
          <w:szCs w:val="20"/>
        </w:rPr>
        <w:t>“P233</w:t>
      </w:r>
      <w:r w:rsidR="00A157B1">
        <w:rPr>
          <w:rFonts w:asciiTheme="majorBidi" w:hAnsiTheme="majorBidi" w:cstheme="majorBidi"/>
          <w:bCs/>
          <w:sz w:val="20"/>
          <w:szCs w:val="20"/>
        </w:rPr>
        <w:br/>
      </w:r>
      <w:r w:rsidRPr="00D773F7">
        <w:rPr>
          <w:rStyle w:val="StyleBold"/>
          <w:rFonts w:asciiTheme="majorBidi" w:hAnsiTheme="majorBidi" w:cstheme="majorBidi"/>
          <w:sz w:val="20"/>
          <w:szCs w:val="20"/>
        </w:rPr>
        <w:t>Keep container tightly closed.</w:t>
      </w:r>
    </w:p>
    <w:p w14:paraId="47D4DD97" w14:textId="77777777" w:rsidR="00030169" w:rsidRPr="00D773F7" w:rsidRDefault="00030169" w:rsidP="00030169">
      <w:pPr>
        <w:pStyle w:val="BalloonText"/>
        <w:spacing w:before="20" w:after="120"/>
        <w:ind w:left="1985" w:right="1134"/>
        <w:rPr>
          <w:rFonts w:asciiTheme="majorBidi" w:hAnsiTheme="majorBidi" w:cstheme="majorBidi"/>
          <w:b/>
          <w:sz w:val="20"/>
          <w:szCs w:val="20"/>
        </w:rPr>
      </w:pPr>
      <w:r w:rsidRPr="00D773F7">
        <w:rPr>
          <w:rFonts w:asciiTheme="majorBidi" w:hAnsiTheme="majorBidi" w:cstheme="majorBidi"/>
          <w:bCs/>
          <w:sz w:val="20"/>
          <w:szCs w:val="20"/>
        </w:rPr>
        <w:t>P260</w:t>
      </w:r>
      <w:r w:rsidRPr="00D773F7">
        <w:rPr>
          <w:rFonts w:asciiTheme="majorBidi" w:hAnsiTheme="majorBidi" w:cstheme="majorBidi"/>
          <w:b/>
          <w:sz w:val="20"/>
          <w:szCs w:val="20"/>
        </w:rPr>
        <w:br/>
        <w:t>Do not breathe dust/fume/gas/mist/ vapours/spray.</w:t>
      </w:r>
      <w:r w:rsidRPr="00D773F7">
        <w:rPr>
          <w:rFonts w:asciiTheme="majorBidi" w:hAnsiTheme="majorBidi" w:cstheme="majorBidi"/>
          <w:b/>
          <w:sz w:val="20"/>
          <w:szCs w:val="20"/>
        </w:rPr>
        <w:br/>
      </w:r>
      <w:r w:rsidRPr="00D773F7">
        <w:rPr>
          <w:rFonts w:asciiTheme="majorBidi" w:hAnsiTheme="majorBidi" w:cstheme="majorBidi"/>
          <w:bCs/>
          <w:sz w:val="20"/>
          <w:szCs w:val="20"/>
        </w:rPr>
        <w:t>Manufacturer/supplier or the competent authority to specify applicable physical state(s).</w:t>
      </w:r>
    </w:p>
    <w:p w14:paraId="4C45C4D1" w14:textId="77777777" w:rsidR="00030169" w:rsidRPr="00D773F7" w:rsidRDefault="00030169" w:rsidP="00030169">
      <w:pPr>
        <w:pStyle w:val="BalloonText"/>
        <w:ind w:left="1985" w:right="1134"/>
        <w:rPr>
          <w:rFonts w:asciiTheme="majorBidi" w:hAnsiTheme="majorBidi" w:cstheme="majorBidi"/>
          <w:b/>
          <w:sz w:val="20"/>
          <w:szCs w:val="20"/>
        </w:rPr>
      </w:pPr>
      <w:r w:rsidRPr="00D773F7">
        <w:rPr>
          <w:rFonts w:asciiTheme="majorBidi" w:hAnsiTheme="majorBidi" w:cstheme="majorBidi"/>
          <w:bCs/>
          <w:sz w:val="20"/>
          <w:szCs w:val="20"/>
        </w:rPr>
        <w:t>P271</w:t>
      </w:r>
      <w:r w:rsidRPr="00D773F7">
        <w:rPr>
          <w:rFonts w:asciiTheme="majorBidi" w:hAnsiTheme="majorBidi" w:cstheme="majorBidi"/>
          <w:b/>
          <w:sz w:val="20"/>
          <w:szCs w:val="20"/>
        </w:rPr>
        <w:br/>
        <w:t xml:space="preserve">Use only outdoors or </w:t>
      </w:r>
      <w:r w:rsidRPr="00D773F7">
        <w:rPr>
          <w:rStyle w:val="StyleBold"/>
          <w:rFonts w:asciiTheme="majorBidi" w:hAnsiTheme="majorBidi" w:cstheme="majorBidi"/>
          <w:sz w:val="20"/>
          <w:szCs w:val="20"/>
        </w:rPr>
        <w:t>with adequate ventilation</w:t>
      </w:r>
      <w:r w:rsidRPr="00D773F7">
        <w:rPr>
          <w:rFonts w:asciiTheme="majorBidi" w:hAnsiTheme="majorBidi" w:cstheme="majorBidi"/>
          <w:b/>
          <w:sz w:val="20"/>
          <w:szCs w:val="20"/>
        </w:rPr>
        <w:t>.</w:t>
      </w:r>
    </w:p>
    <w:p w14:paraId="2B9C7366" w14:textId="77777777" w:rsidR="00030169" w:rsidRPr="00D773F7" w:rsidRDefault="00030169" w:rsidP="00030169">
      <w:pPr>
        <w:pStyle w:val="BalloonText"/>
        <w:spacing w:before="20" w:after="120"/>
        <w:ind w:left="1985" w:right="1134"/>
        <w:jc w:val="both"/>
        <w:rPr>
          <w:rFonts w:asciiTheme="majorBidi" w:hAnsiTheme="majorBidi" w:cstheme="majorBidi"/>
          <w:sz w:val="20"/>
          <w:szCs w:val="20"/>
        </w:rPr>
      </w:pPr>
      <w:r w:rsidRPr="00D773F7">
        <w:rPr>
          <w:rFonts w:asciiTheme="majorBidi" w:hAnsiTheme="majorBidi" w:cstheme="majorBidi"/>
          <w:sz w:val="20"/>
          <w:szCs w:val="20"/>
        </w:rPr>
        <w:t>Manufacturer/supplier to specify what type of ventilation would be adequate for safe use on the safety data sheet and in any supplemental safety instructions provided to consumers.</w:t>
      </w:r>
    </w:p>
    <w:p w14:paraId="2C03D1FE" w14:textId="77777777" w:rsidR="00030169" w:rsidRPr="00D773F7" w:rsidRDefault="00030169" w:rsidP="00030169">
      <w:pPr>
        <w:pStyle w:val="BalloonText"/>
        <w:ind w:left="1985" w:right="1134"/>
        <w:rPr>
          <w:rFonts w:asciiTheme="majorBidi" w:hAnsiTheme="majorBidi" w:cstheme="majorBidi"/>
          <w:b/>
          <w:sz w:val="20"/>
          <w:szCs w:val="20"/>
        </w:rPr>
      </w:pPr>
      <w:r w:rsidRPr="00D773F7">
        <w:rPr>
          <w:rFonts w:asciiTheme="majorBidi" w:hAnsiTheme="majorBidi" w:cstheme="majorBidi"/>
          <w:bCs/>
          <w:sz w:val="20"/>
          <w:szCs w:val="20"/>
        </w:rPr>
        <w:t>P280</w:t>
      </w:r>
      <w:r w:rsidRPr="00D773F7">
        <w:rPr>
          <w:rFonts w:asciiTheme="majorBidi" w:hAnsiTheme="majorBidi" w:cstheme="majorBidi"/>
          <w:b/>
          <w:sz w:val="20"/>
          <w:szCs w:val="20"/>
        </w:rPr>
        <w:br/>
        <w:t>Wear protective gloves/protective clothing.</w:t>
      </w:r>
    </w:p>
    <w:p w14:paraId="299BD11F" w14:textId="77777777" w:rsidR="00030169" w:rsidRPr="00D773F7" w:rsidRDefault="00030169" w:rsidP="00030169">
      <w:pPr>
        <w:pStyle w:val="BalloonText"/>
        <w:spacing w:before="20" w:after="120"/>
        <w:ind w:left="1985" w:right="1134"/>
        <w:jc w:val="both"/>
        <w:rPr>
          <w:rFonts w:asciiTheme="majorBidi" w:hAnsiTheme="majorBidi" w:cstheme="majorBidi"/>
          <w:bCs/>
          <w:sz w:val="20"/>
          <w:szCs w:val="20"/>
        </w:rPr>
      </w:pPr>
      <w:r w:rsidRPr="00D773F7">
        <w:rPr>
          <w:rFonts w:asciiTheme="majorBidi" w:hAnsiTheme="majorBidi" w:cstheme="majorBidi"/>
          <w:bCs/>
          <w:sz w:val="20"/>
          <w:szCs w:val="20"/>
        </w:rPr>
        <w:t>Manufacturer/supplier or the competent authority may further specify type of equipment where appropriate.</w:t>
      </w:r>
    </w:p>
    <w:p w14:paraId="59B24F8D" w14:textId="77777777" w:rsidR="00030169" w:rsidRPr="00D773F7" w:rsidRDefault="00030169" w:rsidP="00030169">
      <w:pPr>
        <w:pStyle w:val="BalloonText"/>
        <w:ind w:left="1985" w:right="1134"/>
        <w:rPr>
          <w:rFonts w:asciiTheme="majorBidi" w:hAnsiTheme="majorBidi" w:cstheme="majorBidi"/>
          <w:b/>
          <w:sz w:val="20"/>
          <w:szCs w:val="20"/>
        </w:rPr>
      </w:pPr>
      <w:r w:rsidRPr="00D773F7">
        <w:rPr>
          <w:rFonts w:asciiTheme="majorBidi" w:hAnsiTheme="majorBidi" w:cstheme="majorBidi"/>
          <w:bCs/>
          <w:sz w:val="20"/>
          <w:szCs w:val="20"/>
        </w:rPr>
        <w:lastRenderedPageBreak/>
        <w:t>P284</w:t>
      </w:r>
      <w:r w:rsidRPr="00D773F7">
        <w:rPr>
          <w:rFonts w:asciiTheme="majorBidi" w:hAnsiTheme="majorBidi" w:cstheme="majorBidi"/>
          <w:b/>
          <w:sz w:val="20"/>
          <w:szCs w:val="20"/>
        </w:rPr>
        <w:br/>
        <w:t>In case of inadequate ventilation wear respiratory protection.</w:t>
      </w:r>
    </w:p>
    <w:p w14:paraId="28A2C464" w14:textId="77777777" w:rsidR="00030169" w:rsidRPr="00D773F7" w:rsidRDefault="00030169" w:rsidP="00030169">
      <w:pPr>
        <w:pStyle w:val="BalloonText"/>
        <w:spacing w:before="20" w:after="120"/>
        <w:ind w:left="1985" w:right="1134"/>
        <w:jc w:val="both"/>
        <w:rPr>
          <w:rFonts w:asciiTheme="majorBidi" w:hAnsiTheme="majorBidi" w:cstheme="majorBidi"/>
          <w:sz w:val="20"/>
          <w:szCs w:val="20"/>
        </w:rPr>
      </w:pPr>
      <w:r w:rsidRPr="00D773F7">
        <w:rPr>
          <w:rFonts w:asciiTheme="majorBidi" w:hAnsiTheme="majorBidi" w:cstheme="majorBidi"/>
          <w:sz w:val="20"/>
          <w:szCs w:val="20"/>
        </w:rPr>
        <w:t>Manufacturer/supplier to specify on the safety data sheet what type of ventilation would be adequate for safe use and provide additional information with the chemical at the point of use that explains what type of respiratory equipment may also be needed.”</w:t>
      </w:r>
    </w:p>
    <w:p w14:paraId="075506F3" w14:textId="6A19B684" w:rsidR="00030169" w:rsidRPr="00D773F7" w:rsidRDefault="0009359E" w:rsidP="00736D5C">
      <w:pPr>
        <w:pStyle w:val="Bullet1G"/>
        <w:numPr>
          <w:ilvl w:val="0"/>
          <w:numId w:val="0"/>
        </w:numPr>
        <w:suppressAutoHyphens/>
        <w:kinsoku w:val="0"/>
        <w:overflowPunct w:val="0"/>
        <w:autoSpaceDE w:val="0"/>
        <w:autoSpaceDN w:val="0"/>
        <w:adjustRightInd w:val="0"/>
        <w:snapToGrid w:val="0"/>
        <w:ind w:left="1134"/>
        <w:rPr>
          <w:rFonts w:asciiTheme="majorBidi" w:hAnsiTheme="majorBidi" w:cstheme="majorBidi"/>
        </w:rPr>
      </w:pPr>
      <w:r w:rsidRPr="00D773F7">
        <w:rPr>
          <w:rFonts w:asciiTheme="majorBidi" w:hAnsiTheme="majorBidi" w:cstheme="majorBidi"/>
        </w:rPr>
        <w:t>C</w:t>
      </w:r>
      <w:r w:rsidR="00030169" w:rsidRPr="00D773F7">
        <w:rPr>
          <w:rFonts w:asciiTheme="majorBidi" w:hAnsiTheme="majorBidi" w:cstheme="majorBidi"/>
        </w:rPr>
        <w:t>olumn “Storage”</w:t>
      </w:r>
      <w:r w:rsidR="0028109D" w:rsidRPr="00D773F7">
        <w:rPr>
          <w:rFonts w:asciiTheme="majorBidi" w:hAnsiTheme="majorBidi" w:cstheme="majorBidi"/>
        </w:rPr>
        <w:t xml:space="preserve">, </w:t>
      </w:r>
      <w:r w:rsidR="00345814" w:rsidRPr="00D773F7">
        <w:rPr>
          <w:rFonts w:asciiTheme="majorBidi" w:hAnsiTheme="majorBidi" w:cstheme="majorBidi"/>
        </w:rPr>
        <w:t>add</w:t>
      </w:r>
      <w:r w:rsidR="0028109D" w:rsidRPr="00D773F7">
        <w:rPr>
          <w:rFonts w:asciiTheme="majorBidi" w:hAnsiTheme="majorBidi" w:cstheme="majorBidi"/>
        </w:rPr>
        <w:t xml:space="preserve"> the following </w:t>
      </w:r>
      <w:r w:rsidR="00387983" w:rsidRPr="00D773F7">
        <w:rPr>
          <w:rFonts w:asciiTheme="majorBidi" w:hAnsiTheme="majorBidi" w:cstheme="majorBidi"/>
        </w:rPr>
        <w:t>precautionary statement</w:t>
      </w:r>
      <w:r w:rsidR="00030169" w:rsidRPr="00D773F7">
        <w:rPr>
          <w:rFonts w:asciiTheme="majorBidi" w:hAnsiTheme="majorBidi" w:cstheme="majorBidi"/>
        </w:rPr>
        <w:t>:</w:t>
      </w:r>
    </w:p>
    <w:p w14:paraId="475C7E56" w14:textId="6CAD53B9" w:rsidR="00030169" w:rsidRPr="00D773F7" w:rsidRDefault="00030169" w:rsidP="00B96908">
      <w:pPr>
        <w:pStyle w:val="BalloonText"/>
        <w:ind w:left="1985"/>
        <w:rPr>
          <w:rFonts w:asciiTheme="majorBidi" w:hAnsiTheme="majorBidi" w:cstheme="majorBidi"/>
          <w:b/>
          <w:sz w:val="20"/>
          <w:szCs w:val="20"/>
        </w:rPr>
      </w:pPr>
      <w:r w:rsidRPr="00D773F7">
        <w:rPr>
          <w:rFonts w:asciiTheme="majorBidi" w:hAnsiTheme="majorBidi" w:cstheme="majorBidi"/>
          <w:sz w:val="20"/>
          <w:szCs w:val="20"/>
        </w:rPr>
        <w:t>“P403</w:t>
      </w:r>
      <w:r w:rsidR="00B96908">
        <w:rPr>
          <w:rFonts w:asciiTheme="majorBidi" w:hAnsiTheme="majorBidi" w:cstheme="majorBidi"/>
          <w:sz w:val="20"/>
          <w:szCs w:val="20"/>
        </w:rPr>
        <w:br/>
      </w:r>
      <w:r w:rsidRPr="00D773F7">
        <w:rPr>
          <w:rFonts w:asciiTheme="majorBidi" w:hAnsiTheme="majorBidi" w:cstheme="majorBidi"/>
          <w:b/>
          <w:bCs/>
          <w:sz w:val="20"/>
          <w:szCs w:val="20"/>
        </w:rPr>
        <w:t>Store in a well-ventilated place.”</w:t>
      </w:r>
    </w:p>
    <w:p w14:paraId="1AC2EEB4" w14:textId="516ABE9B" w:rsidR="00D35E9C" w:rsidRPr="00D773F7" w:rsidRDefault="00F56B65" w:rsidP="007F6C8E">
      <w:pPr>
        <w:pStyle w:val="SingleTxtG"/>
        <w:spacing w:before="240"/>
        <w:rPr>
          <w:rFonts w:asciiTheme="majorBidi" w:hAnsiTheme="majorBidi" w:cstheme="majorBidi"/>
          <w:b/>
          <w:bCs/>
        </w:rPr>
      </w:pPr>
      <w:r w:rsidRPr="00D773F7">
        <w:rPr>
          <w:rFonts w:asciiTheme="majorBidi" w:hAnsiTheme="majorBidi" w:cstheme="majorBidi"/>
          <w:b/>
          <w:bCs/>
        </w:rPr>
        <w:t>Table for “Sensitization – skin (</w:t>
      </w:r>
      <w:r w:rsidR="001806B2" w:rsidRPr="00D773F7">
        <w:rPr>
          <w:rFonts w:asciiTheme="majorBidi" w:hAnsiTheme="majorBidi" w:cstheme="majorBidi"/>
          <w:b/>
          <w:bCs/>
        </w:rPr>
        <w:t>c</w:t>
      </w:r>
      <w:r w:rsidRPr="00D773F7">
        <w:rPr>
          <w:rFonts w:asciiTheme="majorBidi" w:hAnsiTheme="majorBidi" w:cstheme="majorBidi"/>
          <w:b/>
          <w:bCs/>
        </w:rPr>
        <w:t>hapter 3.4)”</w:t>
      </w:r>
      <w:r w:rsidR="00D35E9C" w:rsidRPr="00D773F7">
        <w:rPr>
          <w:rFonts w:asciiTheme="majorBidi" w:hAnsiTheme="majorBidi" w:cstheme="majorBidi"/>
          <w:b/>
          <w:bCs/>
        </w:rPr>
        <w:t>, heading</w:t>
      </w:r>
    </w:p>
    <w:p w14:paraId="437859B0" w14:textId="408C197E" w:rsidR="00F56B65" w:rsidRPr="00D773F7" w:rsidRDefault="00D35E9C" w:rsidP="00D35E9C">
      <w:pPr>
        <w:pStyle w:val="SingleTxtG"/>
        <w:rPr>
          <w:rFonts w:asciiTheme="majorBidi" w:hAnsiTheme="majorBidi" w:cstheme="majorBidi"/>
        </w:rPr>
      </w:pPr>
      <w:r w:rsidRPr="00D773F7">
        <w:rPr>
          <w:rFonts w:asciiTheme="majorBidi" w:hAnsiTheme="majorBidi" w:cstheme="majorBidi"/>
        </w:rPr>
        <w:t>A</w:t>
      </w:r>
      <w:r w:rsidR="00F56B65" w:rsidRPr="00D773F7">
        <w:rPr>
          <w:rFonts w:asciiTheme="majorBidi" w:hAnsiTheme="majorBidi" w:cstheme="majorBidi"/>
        </w:rPr>
        <w:t>mend to read as follows: “SKIN SENSITIZATION (CHAPTER 3.4)”.</w:t>
      </w:r>
    </w:p>
    <w:p w14:paraId="35A05BDB" w14:textId="5243128F" w:rsidR="00FE6910" w:rsidRPr="00D773F7" w:rsidRDefault="00FE6910" w:rsidP="007F6C8E">
      <w:pPr>
        <w:pStyle w:val="SingleTxtG"/>
        <w:spacing w:before="240"/>
        <w:rPr>
          <w:rFonts w:asciiTheme="majorBidi" w:hAnsiTheme="majorBidi" w:cstheme="majorBidi"/>
          <w:b/>
          <w:bCs/>
        </w:rPr>
      </w:pPr>
      <w:r w:rsidRPr="00D773F7">
        <w:rPr>
          <w:rFonts w:asciiTheme="majorBidi" w:hAnsiTheme="majorBidi" w:cstheme="majorBidi"/>
          <w:b/>
          <w:bCs/>
        </w:rPr>
        <w:t>Table for “Specific target organ toxicity (single exposure)</w:t>
      </w:r>
      <w:r w:rsidRPr="00D773F7" w:rsidDel="007E6725">
        <w:rPr>
          <w:rFonts w:asciiTheme="majorBidi" w:hAnsiTheme="majorBidi" w:cstheme="majorBidi"/>
          <w:b/>
          <w:bCs/>
        </w:rPr>
        <w:t xml:space="preserve"> </w:t>
      </w:r>
      <w:r w:rsidRPr="00D773F7">
        <w:rPr>
          <w:rFonts w:asciiTheme="majorBidi" w:hAnsiTheme="majorBidi" w:cstheme="majorBidi"/>
          <w:b/>
          <w:bCs/>
        </w:rPr>
        <w:t>(chapter 3.8)”, categor</w:t>
      </w:r>
      <w:r w:rsidR="004573F2" w:rsidRPr="00D773F7">
        <w:rPr>
          <w:rFonts w:asciiTheme="majorBidi" w:hAnsiTheme="majorBidi" w:cstheme="majorBidi"/>
          <w:b/>
          <w:bCs/>
        </w:rPr>
        <w:t xml:space="preserve">ies </w:t>
      </w:r>
      <w:r w:rsidRPr="00D773F7">
        <w:rPr>
          <w:rFonts w:asciiTheme="majorBidi" w:hAnsiTheme="majorBidi" w:cstheme="majorBidi"/>
          <w:b/>
          <w:bCs/>
        </w:rPr>
        <w:t>1</w:t>
      </w:r>
      <w:r w:rsidR="004573F2" w:rsidRPr="00D773F7">
        <w:rPr>
          <w:rFonts w:asciiTheme="majorBidi" w:hAnsiTheme="majorBidi" w:cstheme="majorBidi"/>
          <w:b/>
          <w:bCs/>
        </w:rPr>
        <w:t xml:space="preserve"> and 2</w:t>
      </w:r>
      <w:r w:rsidRPr="00D773F7">
        <w:rPr>
          <w:rFonts w:asciiTheme="majorBidi" w:hAnsiTheme="majorBidi" w:cstheme="majorBidi"/>
          <w:b/>
          <w:bCs/>
        </w:rPr>
        <w:t xml:space="preserve">, column “Prevention”, </w:t>
      </w:r>
      <w:r w:rsidR="005A718C" w:rsidRPr="00D773F7">
        <w:rPr>
          <w:rFonts w:asciiTheme="majorBidi" w:hAnsiTheme="majorBidi" w:cstheme="majorBidi"/>
          <w:b/>
          <w:bCs/>
        </w:rPr>
        <w:t xml:space="preserve">precautionary statement </w:t>
      </w:r>
      <w:r w:rsidRPr="00D773F7">
        <w:rPr>
          <w:rFonts w:asciiTheme="majorBidi" w:hAnsiTheme="majorBidi" w:cstheme="majorBidi"/>
          <w:b/>
          <w:bCs/>
        </w:rPr>
        <w:t>P260</w:t>
      </w:r>
    </w:p>
    <w:p w14:paraId="22F56635" w14:textId="3D207E6C" w:rsidR="00FE6910" w:rsidRPr="00D773F7" w:rsidRDefault="0081157E" w:rsidP="009470BC">
      <w:pPr>
        <w:spacing w:after="120" w:line="240" w:lineRule="auto"/>
        <w:ind w:left="1134" w:right="1134"/>
        <w:jc w:val="both"/>
        <w:rPr>
          <w:rFonts w:asciiTheme="majorBidi" w:hAnsiTheme="majorBidi" w:cstheme="majorBidi"/>
        </w:rPr>
      </w:pPr>
      <w:r w:rsidRPr="00D773F7">
        <w:rPr>
          <w:rFonts w:asciiTheme="majorBidi" w:hAnsiTheme="majorBidi" w:cstheme="majorBidi"/>
        </w:rPr>
        <w:t>Replace “</w:t>
      </w:r>
      <w:r w:rsidR="00FE6910" w:rsidRPr="00D773F7">
        <w:rPr>
          <w:rFonts w:asciiTheme="majorBidi" w:hAnsiTheme="majorBidi" w:cstheme="majorBidi"/>
        </w:rPr>
        <w:t xml:space="preserve">to specify applicable </w:t>
      </w:r>
      <w:r w:rsidRPr="00D773F7">
        <w:rPr>
          <w:rFonts w:asciiTheme="majorBidi" w:hAnsiTheme="majorBidi" w:cstheme="majorBidi"/>
        </w:rPr>
        <w:t xml:space="preserve">conditions” with “to specify applicable </w:t>
      </w:r>
      <w:r w:rsidR="00FE6910" w:rsidRPr="00D773F7">
        <w:rPr>
          <w:rFonts w:asciiTheme="majorBidi" w:hAnsiTheme="majorBidi" w:cstheme="majorBidi"/>
        </w:rPr>
        <w:t>physical state(s).”</w:t>
      </w:r>
    </w:p>
    <w:p w14:paraId="1D1935E7" w14:textId="55B3697E" w:rsidR="00FD3787" w:rsidRPr="00D773F7" w:rsidRDefault="00FE6910" w:rsidP="007F6C8E">
      <w:pPr>
        <w:pStyle w:val="SingleTxtG"/>
        <w:spacing w:before="240"/>
        <w:rPr>
          <w:rFonts w:asciiTheme="majorBidi" w:hAnsiTheme="majorBidi" w:cstheme="majorBidi"/>
          <w:b/>
          <w:bCs/>
        </w:rPr>
      </w:pPr>
      <w:r w:rsidRPr="00D773F7">
        <w:rPr>
          <w:rFonts w:asciiTheme="majorBidi" w:hAnsiTheme="majorBidi" w:cstheme="majorBidi"/>
          <w:b/>
          <w:bCs/>
        </w:rPr>
        <w:t>Table for “Specific target organ toxicity (single exposure)</w:t>
      </w:r>
      <w:r w:rsidRPr="00D773F7" w:rsidDel="007E6725">
        <w:rPr>
          <w:rFonts w:asciiTheme="majorBidi" w:hAnsiTheme="majorBidi" w:cstheme="majorBidi"/>
          <w:b/>
          <w:bCs/>
        </w:rPr>
        <w:t xml:space="preserve"> </w:t>
      </w:r>
      <w:r w:rsidRPr="00D773F7">
        <w:rPr>
          <w:rFonts w:asciiTheme="majorBidi" w:hAnsiTheme="majorBidi" w:cstheme="majorBidi"/>
          <w:b/>
          <w:bCs/>
        </w:rPr>
        <w:t>(chapter 3.8)”, category 3, column “Prevention”</w:t>
      </w:r>
      <w:r w:rsidR="00FD3787" w:rsidRPr="00D773F7">
        <w:rPr>
          <w:rFonts w:asciiTheme="majorBidi" w:hAnsiTheme="majorBidi" w:cstheme="majorBidi"/>
          <w:b/>
          <w:bCs/>
        </w:rPr>
        <w:t xml:space="preserve">, </w:t>
      </w:r>
      <w:r w:rsidR="00416928" w:rsidRPr="00D773F7">
        <w:rPr>
          <w:rFonts w:asciiTheme="majorBidi" w:hAnsiTheme="majorBidi" w:cstheme="majorBidi"/>
          <w:b/>
          <w:bCs/>
        </w:rPr>
        <w:t>precautionary statement P271</w:t>
      </w:r>
    </w:p>
    <w:p w14:paraId="0CBDF0DE" w14:textId="515110C7" w:rsidR="00FE6910" w:rsidRPr="00D773F7" w:rsidRDefault="00FD3787" w:rsidP="00FD3787">
      <w:pPr>
        <w:pStyle w:val="SingleTxtG"/>
        <w:rPr>
          <w:rFonts w:asciiTheme="majorBidi" w:hAnsiTheme="majorBidi" w:cstheme="majorBidi"/>
        </w:rPr>
      </w:pPr>
      <w:r w:rsidRPr="00D773F7">
        <w:rPr>
          <w:rFonts w:asciiTheme="majorBidi" w:hAnsiTheme="majorBidi" w:cstheme="majorBidi"/>
        </w:rPr>
        <w:t>A</w:t>
      </w:r>
      <w:r w:rsidR="00B018E9" w:rsidRPr="00D773F7">
        <w:rPr>
          <w:rFonts w:asciiTheme="majorBidi" w:hAnsiTheme="majorBidi" w:cstheme="majorBidi"/>
        </w:rPr>
        <w:t>mend to read as follows</w:t>
      </w:r>
      <w:r w:rsidR="00FE6910" w:rsidRPr="00D773F7">
        <w:rPr>
          <w:rFonts w:asciiTheme="majorBidi" w:hAnsiTheme="majorBidi" w:cstheme="majorBidi"/>
        </w:rPr>
        <w:t>:</w:t>
      </w:r>
    </w:p>
    <w:p w14:paraId="6DCE3DC7" w14:textId="77777777" w:rsidR="00FE6910" w:rsidRPr="00D773F7" w:rsidRDefault="00FE6910" w:rsidP="00FE6910">
      <w:pPr>
        <w:pStyle w:val="BalloonText"/>
        <w:ind w:left="1985" w:right="1134"/>
        <w:rPr>
          <w:rFonts w:asciiTheme="majorBidi" w:hAnsiTheme="majorBidi" w:cstheme="majorBidi"/>
          <w:b/>
          <w:sz w:val="20"/>
          <w:szCs w:val="20"/>
        </w:rPr>
      </w:pPr>
      <w:r w:rsidRPr="00D773F7">
        <w:rPr>
          <w:rFonts w:asciiTheme="majorBidi" w:hAnsiTheme="majorBidi" w:cstheme="majorBidi"/>
          <w:bCs/>
          <w:sz w:val="20"/>
          <w:szCs w:val="20"/>
        </w:rPr>
        <w:t>“P271</w:t>
      </w:r>
      <w:r w:rsidRPr="00D773F7">
        <w:rPr>
          <w:rFonts w:asciiTheme="majorBidi" w:hAnsiTheme="majorBidi" w:cstheme="majorBidi"/>
          <w:b/>
          <w:sz w:val="20"/>
          <w:szCs w:val="20"/>
        </w:rPr>
        <w:br/>
        <w:t xml:space="preserve">Use only outdoors or </w:t>
      </w:r>
      <w:r w:rsidRPr="00D773F7">
        <w:rPr>
          <w:rStyle w:val="StyleBold"/>
          <w:rFonts w:asciiTheme="majorBidi" w:hAnsiTheme="majorBidi" w:cstheme="majorBidi"/>
          <w:sz w:val="20"/>
          <w:szCs w:val="20"/>
        </w:rPr>
        <w:t>with adequate ventilation</w:t>
      </w:r>
      <w:r w:rsidRPr="00D773F7">
        <w:rPr>
          <w:rFonts w:asciiTheme="majorBidi" w:hAnsiTheme="majorBidi" w:cstheme="majorBidi"/>
          <w:b/>
          <w:sz w:val="20"/>
          <w:szCs w:val="20"/>
        </w:rPr>
        <w:t>.</w:t>
      </w:r>
    </w:p>
    <w:p w14:paraId="1C24DFED" w14:textId="77777777" w:rsidR="00FE6910" w:rsidRPr="00D773F7" w:rsidRDefault="00FE6910" w:rsidP="00FE6910">
      <w:pPr>
        <w:pStyle w:val="BalloonText"/>
        <w:spacing w:before="20" w:after="120"/>
        <w:ind w:left="1985" w:right="1134"/>
        <w:jc w:val="both"/>
        <w:rPr>
          <w:rFonts w:asciiTheme="majorBidi" w:hAnsiTheme="majorBidi" w:cstheme="majorBidi"/>
          <w:sz w:val="20"/>
          <w:szCs w:val="20"/>
        </w:rPr>
      </w:pPr>
      <w:r w:rsidRPr="00D773F7">
        <w:rPr>
          <w:rFonts w:asciiTheme="majorBidi" w:hAnsiTheme="majorBidi" w:cstheme="majorBidi"/>
          <w:sz w:val="20"/>
          <w:szCs w:val="20"/>
        </w:rPr>
        <w:t>Manufacturer/supplier to specify what type of ventilation would be adequate for safe use on the safety data sheet and in any supplemental safety instructions provided to consumers.”</w:t>
      </w:r>
    </w:p>
    <w:p w14:paraId="4DAF387A" w14:textId="3B5C123C" w:rsidR="00FE6910" w:rsidRPr="00D773F7" w:rsidRDefault="00FE6910" w:rsidP="007F6C8E">
      <w:pPr>
        <w:pStyle w:val="SingleTxtG"/>
        <w:spacing w:before="240"/>
        <w:rPr>
          <w:rFonts w:asciiTheme="majorBidi" w:hAnsiTheme="majorBidi" w:cstheme="majorBidi"/>
          <w:b/>
          <w:bCs/>
        </w:rPr>
      </w:pPr>
      <w:r w:rsidRPr="00D773F7">
        <w:rPr>
          <w:rFonts w:asciiTheme="majorBidi" w:hAnsiTheme="majorBidi" w:cstheme="majorBidi"/>
          <w:b/>
          <w:bCs/>
        </w:rPr>
        <w:t>Table for “Specific target organ toxicity (repeated exposure)</w:t>
      </w:r>
      <w:r w:rsidRPr="00D773F7" w:rsidDel="007E6725">
        <w:rPr>
          <w:rFonts w:asciiTheme="majorBidi" w:hAnsiTheme="majorBidi" w:cstheme="majorBidi"/>
          <w:b/>
          <w:bCs/>
        </w:rPr>
        <w:t xml:space="preserve"> </w:t>
      </w:r>
      <w:r w:rsidRPr="00D773F7">
        <w:rPr>
          <w:rFonts w:asciiTheme="majorBidi" w:hAnsiTheme="majorBidi" w:cstheme="majorBidi"/>
          <w:b/>
          <w:bCs/>
        </w:rPr>
        <w:t>(chapter 3.9)”, categor</w:t>
      </w:r>
      <w:r w:rsidR="00777C64" w:rsidRPr="00D773F7">
        <w:rPr>
          <w:rFonts w:asciiTheme="majorBidi" w:hAnsiTheme="majorBidi" w:cstheme="majorBidi"/>
          <w:b/>
          <w:bCs/>
        </w:rPr>
        <w:t>ies</w:t>
      </w:r>
      <w:r w:rsidR="00B96908">
        <w:rPr>
          <w:rFonts w:asciiTheme="majorBidi" w:hAnsiTheme="majorBidi" w:cstheme="majorBidi"/>
          <w:b/>
          <w:bCs/>
        </w:rPr>
        <w:t> </w:t>
      </w:r>
      <w:r w:rsidRPr="00D773F7">
        <w:rPr>
          <w:rFonts w:asciiTheme="majorBidi" w:hAnsiTheme="majorBidi" w:cstheme="majorBidi"/>
          <w:b/>
          <w:bCs/>
        </w:rPr>
        <w:t>1</w:t>
      </w:r>
      <w:r w:rsidR="00777C64" w:rsidRPr="00D773F7">
        <w:rPr>
          <w:rFonts w:asciiTheme="majorBidi" w:hAnsiTheme="majorBidi" w:cstheme="majorBidi"/>
          <w:b/>
          <w:bCs/>
        </w:rPr>
        <w:t xml:space="preserve"> and 2</w:t>
      </w:r>
      <w:r w:rsidRPr="00D773F7">
        <w:rPr>
          <w:rFonts w:asciiTheme="majorBidi" w:hAnsiTheme="majorBidi" w:cstheme="majorBidi"/>
          <w:b/>
          <w:bCs/>
        </w:rPr>
        <w:t xml:space="preserve">, column “Prevention”, </w:t>
      </w:r>
      <w:r w:rsidR="00345FCD" w:rsidRPr="00D773F7">
        <w:rPr>
          <w:rFonts w:asciiTheme="majorBidi" w:hAnsiTheme="majorBidi" w:cstheme="majorBidi"/>
          <w:b/>
          <w:bCs/>
        </w:rPr>
        <w:t xml:space="preserve">conseil de prudence </w:t>
      </w:r>
      <w:r w:rsidRPr="00D773F7">
        <w:rPr>
          <w:rFonts w:asciiTheme="majorBidi" w:hAnsiTheme="majorBidi" w:cstheme="majorBidi"/>
          <w:b/>
          <w:bCs/>
        </w:rPr>
        <w:t>P260</w:t>
      </w:r>
    </w:p>
    <w:p w14:paraId="798E70B6" w14:textId="176CDC01" w:rsidR="009A7485" w:rsidRPr="00D773F7" w:rsidRDefault="009A7485" w:rsidP="00345FCD">
      <w:pPr>
        <w:pStyle w:val="SingleTxtG"/>
        <w:rPr>
          <w:rFonts w:asciiTheme="majorBidi" w:hAnsiTheme="majorBidi" w:cstheme="majorBidi"/>
          <w:bCs/>
        </w:rPr>
      </w:pPr>
      <w:r w:rsidRPr="00D773F7">
        <w:rPr>
          <w:rFonts w:asciiTheme="majorBidi" w:hAnsiTheme="majorBidi" w:cstheme="majorBidi"/>
          <w:bCs/>
        </w:rPr>
        <w:t xml:space="preserve">Replace </w:t>
      </w:r>
      <w:r w:rsidR="0006045B" w:rsidRPr="00D773F7">
        <w:rPr>
          <w:rFonts w:asciiTheme="majorBidi" w:hAnsiTheme="majorBidi" w:cstheme="majorBidi"/>
        </w:rPr>
        <w:t>“to specify applicable conditions.” with “to specify applicable physical state(s).</w:t>
      </w:r>
    </w:p>
    <w:p w14:paraId="49C37ED2" w14:textId="3CA08BF5" w:rsidR="005C7170" w:rsidRPr="00D773F7" w:rsidRDefault="00A960B4" w:rsidP="00746BBC">
      <w:pPr>
        <w:pStyle w:val="H1G"/>
        <w:spacing w:before="280" w:after="220"/>
        <w:rPr>
          <w:rFonts w:asciiTheme="majorBidi" w:hAnsiTheme="majorBidi" w:cstheme="majorBidi"/>
        </w:rPr>
      </w:pPr>
      <w:r w:rsidRPr="00D773F7">
        <w:rPr>
          <w:rFonts w:asciiTheme="majorBidi" w:hAnsiTheme="majorBidi" w:cstheme="majorBidi"/>
        </w:rPr>
        <w:tab/>
      </w:r>
      <w:r w:rsidRPr="00D773F7">
        <w:rPr>
          <w:rFonts w:asciiTheme="majorBidi" w:hAnsiTheme="majorBidi" w:cstheme="majorBidi"/>
        </w:rPr>
        <w:tab/>
      </w:r>
      <w:r w:rsidR="007034A6" w:rsidRPr="00D773F7">
        <w:rPr>
          <w:rFonts w:asciiTheme="majorBidi" w:hAnsiTheme="majorBidi" w:cstheme="majorBidi"/>
        </w:rPr>
        <w:t>Annex 9</w:t>
      </w:r>
    </w:p>
    <w:p w14:paraId="6805E389" w14:textId="65DEF391" w:rsidR="00EA7D18" w:rsidRPr="00D773F7" w:rsidRDefault="00EA7D18" w:rsidP="00477AE6">
      <w:pPr>
        <w:pStyle w:val="SingleTxtG"/>
        <w:tabs>
          <w:tab w:val="clear" w:pos="1701"/>
        </w:tabs>
        <w:ind w:left="2268" w:hanging="1134"/>
        <w:rPr>
          <w:rFonts w:asciiTheme="majorBidi" w:hAnsiTheme="majorBidi" w:cstheme="majorBidi"/>
        </w:rPr>
      </w:pPr>
      <w:r w:rsidRPr="00D773F7">
        <w:rPr>
          <w:rFonts w:asciiTheme="majorBidi" w:hAnsiTheme="majorBidi" w:cstheme="majorBidi"/>
        </w:rPr>
        <w:t>A9.4.3.5.1</w:t>
      </w:r>
      <w:r w:rsidRPr="00D773F7">
        <w:rPr>
          <w:rFonts w:asciiTheme="majorBidi" w:hAnsiTheme="majorBidi" w:cstheme="majorBidi"/>
        </w:rPr>
        <w:tab/>
      </w:r>
      <w:r w:rsidR="00352822" w:rsidRPr="00D773F7">
        <w:rPr>
          <w:rFonts w:asciiTheme="majorBidi" w:hAnsiTheme="majorBidi" w:cstheme="majorBidi"/>
        </w:rPr>
        <w:t>In the second sentence, delete the quotation marks around “weight of evidence approach” and replace “approach” with “assessment”</w:t>
      </w:r>
      <w:r w:rsidRPr="00D773F7">
        <w:rPr>
          <w:rFonts w:asciiTheme="majorBidi" w:hAnsiTheme="majorBidi" w:cstheme="majorBidi"/>
        </w:rPr>
        <w:t>.</w:t>
      </w:r>
    </w:p>
    <w:p w14:paraId="017F540B" w14:textId="3532E854" w:rsidR="00676254" w:rsidRPr="00D773F7" w:rsidRDefault="00676254" w:rsidP="00477AE6">
      <w:pPr>
        <w:pStyle w:val="SingleTxtG"/>
        <w:tabs>
          <w:tab w:val="clear" w:pos="1701"/>
        </w:tabs>
        <w:ind w:left="2268" w:hanging="1134"/>
        <w:rPr>
          <w:rStyle w:val="SingleTxtGCar"/>
          <w:rFonts w:asciiTheme="majorBidi" w:hAnsiTheme="majorBidi" w:cstheme="majorBidi"/>
        </w:rPr>
      </w:pPr>
      <w:r w:rsidRPr="00D773F7">
        <w:rPr>
          <w:rStyle w:val="SingleTxtGCar"/>
          <w:rFonts w:asciiTheme="majorBidi" w:hAnsiTheme="majorBidi" w:cstheme="majorBidi"/>
        </w:rPr>
        <w:t>A9.4.3.6</w:t>
      </w:r>
      <w:r w:rsidRPr="00D773F7">
        <w:rPr>
          <w:rStyle w:val="SingleTxtGCar"/>
          <w:rFonts w:asciiTheme="majorBidi" w:hAnsiTheme="majorBidi" w:cstheme="majorBidi"/>
        </w:rPr>
        <w:tab/>
        <w:t xml:space="preserve">Replace “approach” with “assessment in the </w:t>
      </w:r>
      <w:r w:rsidR="00C733C1" w:rsidRPr="00D773F7">
        <w:rPr>
          <w:rStyle w:val="SingleTxtGCar"/>
          <w:rFonts w:asciiTheme="majorBidi" w:hAnsiTheme="majorBidi" w:cstheme="majorBidi"/>
        </w:rPr>
        <w:t xml:space="preserve">fourth </w:t>
      </w:r>
      <w:r w:rsidRPr="00D773F7">
        <w:rPr>
          <w:rStyle w:val="SingleTxtGCar"/>
          <w:rFonts w:asciiTheme="majorBidi" w:hAnsiTheme="majorBidi" w:cstheme="majorBidi"/>
        </w:rPr>
        <w:t xml:space="preserve">sentence.    </w:t>
      </w:r>
    </w:p>
    <w:p w14:paraId="6C4008D7" w14:textId="7E4A7C3E" w:rsidR="00676254" w:rsidRPr="00D773F7" w:rsidRDefault="00676254" w:rsidP="00477AE6">
      <w:pPr>
        <w:pStyle w:val="SingleTxtG"/>
        <w:tabs>
          <w:tab w:val="clear" w:pos="1701"/>
        </w:tabs>
        <w:ind w:left="2268" w:hanging="1134"/>
        <w:rPr>
          <w:rStyle w:val="SingleTxtGCar"/>
          <w:rFonts w:asciiTheme="majorBidi" w:hAnsiTheme="majorBidi" w:cstheme="majorBidi"/>
        </w:rPr>
      </w:pPr>
      <w:r w:rsidRPr="00D773F7">
        <w:rPr>
          <w:rStyle w:val="SingleTxtGCar"/>
          <w:rFonts w:asciiTheme="majorBidi" w:hAnsiTheme="majorBidi" w:cstheme="majorBidi"/>
        </w:rPr>
        <w:t>A9.5.4.1</w:t>
      </w:r>
      <w:r w:rsidRPr="00D773F7">
        <w:rPr>
          <w:rStyle w:val="SingleTxtGCar"/>
          <w:rFonts w:asciiTheme="majorBidi" w:hAnsiTheme="majorBidi" w:cstheme="majorBidi"/>
        </w:rPr>
        <w:tab/>
      </w:r>
      <w:r w:rsidR="00DB507A" w:rsidRPr="00D773F7">
        <w:rPr>
          <w:rStyle w:val="SingleTxtGCar"/>
          <w:rFonts w:asciiTheme="majorBidi" w:hAnsiTheme="majorBidi" w:cstheme="majorBidi"/>
        </w:rPr>
        <w:t>In the second sentence, d</w:t>
      </w:r>
      <w:r w:rsidRPr="00D773F7">
        <w:rPr>
          <w:rStyle w:val="SingleTxtGCar"/>
          <w:rFonts w:asciiTheme="majorBidi" w:hAnsiTheme="majorBidi" w:cstheme="majorBidi"/>
        </w:rPr>
        <w:t xml:space="preserve">elete the quotation marks </w:t>
      </w:r>
      <w:r w:rsidR="00DB507A" w:rsidRPr="00D773F7">
        <w:rPr>
          <w:rStyle w:val="SingleTxtGCar"/>
          <w:rFonts w:asciiTheme="majorBidi" w:hAnsiTheme="majorBidi" w:cstheme="majorBidi"/>
        </w:rPr>
        <w:t>around “</w:t>
      </w:r>
      <w:r w:rsidRPr="00D773F7">
        <w:rPr>
          <w:rStyle w:val="SingleTxtGCar"/>
          <w:rFonts w:asciiTheme="majorBidi" w:hAnsiTheme="majorBidi" w:cstheme="majorBidi"/>
        </w:rPr>
        <w:t xml:space="preserve">weight </w:t>
      </w:r>
      <w:r w:rsidR="00DB507A" w:rsidRPr="00D773F7">
        <w:rPr>
          <w:rStyle w:val="SingleTxtGCar"/>
          <w:rFonts w:asciiTheme="majorBidi" w:hAnsiTheme="majorBidi" w:cstheme="majorBidi"/>
        </w:rPr>
        <w:t xml:space="preserve">of evidence approach” </w:t>
      </w:r>
      <w:r w:rsidRPr="00D773F7">
        <w:rPr>
          <w:rStyle w:val="SingleTxtGCar"/>
          <w:rFonts w:asciiTheme="majorBidi" w:hAnsiTheme="majorBidi" w:cstheme="majorBidi"/>
        </w:rPr>
        <w:t>and replace “approach” with “assessment”.</w:t>
      </w:r>
    </w:p>
    <w:p w14:paraId="0CB6F174" w14:textId="3C77BECC" w:rsidR="00186F0A" w:rsidRPr="00D773F7" w:rsidRDefault="00186F0A" w:rsidP="00477AE6">
      <w:pPr>
        <w:pStyle w:val="SingleTxtG"/>
        <w:tabs>
          <w:tab w:val="clear" w:pos="1701"/>
        </w:tabs>
        <w:ind w:left="2268" w:hanging="1134"/>
        <w:rPr>
          <w:rFonts w:asciiTheme="majorBidi" w:hAnsiTheme="majorBidi" w:cstheme="majorBidi"/>
        </w:rPr>
      </w:pPr>
      <w:r w:rsidRPr="00D773F7">
        <w:rPr>
          <w:rFonts w:asciiTheme="majorBidi" w:eastAsiaTheme="minorHAnsi" w:hAnsiTheme="majorBidi" w:cstheme="majorBidi"/>
        </w:rPr>
        <w:t>A9.7.1.1</w:t>
      </w:r>
      <w:r w:rsidRPr="00D773F7">
        <w:rPr>
          <w:rFonts w:asciiTheme="majorBidi" w:eastAsiaTheme="minorHAnsi" w:hAnsiTheme="majorBidi" w:cstheme="majorBidi"/>
        </w:rPr>
        <w:tab/>
      </w:r>
      <w:r w:rsidR="00002DBA" w:rsidRPr="00D773F7">
        <w:rPr>
          <w:rFonts w:asciiTheme="majorBidi" w:eastAsiaTheme="minorHAnsi" w:hAnsiTheme="majorBidi" w:cstheme="majorBidi"/>
        </w:rPr>
        <w:t xml:space="preserve">Amend </w:t>
      </w:r>
      <w:r w:rsidRPr="00D773F7">
        <w:rPr>
          <w:rFonts w:asciiTheme="majorBidi" w:eastAsiaTheme="minorHAnsi" w:hAnsiTheme="majorBidi" w:cstheme="majorBidi"/>
        </w:rPr>
        <w:t xml:space="preserve">the last but one sentence </w:t>
      </w:r>
      <w:r w:rsidR="00825419" w:rsidRPr="00D773F7">
        <w:rPr>
          <w:rFonts w:asciiTheme="majorBidi" w:eastAsiaTheme="minorHAnsi" w:hAnsiTheme="majorBidi" w:cstheme="majorBidi"/>
        </w:rPr>
        <w:t>(“</w:t>
      </w:r>
      <w:r w:rsidR="00825419" w:rsidRPr="00D773F7">
        <w:rPr>
          <w:rFonts w:asciiTheme="majorBidi" w:hAnsiTheme="majorBidi" w:cstheme="majorBidi"/>
        </w:rPr>
        <w:t>This section…</w:t>
      </w:r>
      <w:r w:rsidR="00803343" w:rsidRPr="00D773F7">
        <w:rPr>
          <w:rFonts w:asciiTheme="majorBidi" w:hAnsiTheme="majorBidi" w:cstheme="majorBidi"/>
        </w:rPr>
        <w:t xml:space="preserve">or persistent hazards”) </w:t>
      </w:r>
      <w:r w:rsidR="00002DBA" w:rsidRPr="00D773F7">
        <w:rPr>
          <w:rFonts w:asciiTheme="majorBidi" w:eastAsiaTheme="minorHAnsi" w:hAnsiTheme="majorBidi" w:cstheme="majorBidi"/>
        </w:rPr>
        <w:t xml:space="preserve">to read as follows: </w:t>
      </w:r>
      <w:r w:rsidRPr="00D773F7">
        <w:rPr>
          <w:rFonts w:asciiTheme="majorBidi" w:eastAsiaTheme="minorHAnsi" w:hAnsiTheme="majorBidi" w:cstheme="majorBidi"/>
        </w:rPr>
        <w:t>“</w:t>
      </w:r>
      <w:r w:rsidRPr="00D773F7">
        <w:rPr>
          <w:rFonts w:asciiTheme="majorBidi" w:hAnsiTheme="majorBidi" w:cstheme="majorBidi"/>
        </w:rPr>
        <w:t>This section does not take into account the non-metallic ion (e.g. CN-) of metal compounds, which may be toxic.”</w:t>
      </w:r>
    </w:p>
    <w:p w14:paraId="46BA9954" w14:textId="5DCE5809" w:rsidR="00186F0A" w:rsidRPr="004B28A5" w:rsidRDefault="00CF5A5F" w:rsidP="00477AE6">
      <w:pPr>
        <w:pStyle w:val="SingleTxtG"/>
        <w:tabs>
          <w:tab w:val="clear" w:pos="1701"/>
        </w:tabs>
        <w:rPr>
          <w:rFonts w:asciiTheme="majorBidi" w:eastAsiaTheme="minorHAnsi" w:hAnsiTheme="majorBidi" w:cstheme="majorBidi"/>
        </w:rPr>
      </w:pPr>
      <w:r w:rsidRPr="004B28A5">
        <w:rPr>
          <w:rFonts w:asciiTheme="majorBidi" w:eastAsiaTheme="minorHAnsi" w:hAnsiTheme="majorBidi" w:cstheme="majorBidi"/>
        </w:rPr>
        <w:t>A9.7.1.1.1 (new)</w:t>
      </w:r>
      <w:r w:rsidRPr="004B28A5">
        <w:rPr>
          <w:rFonts w:asciiTheme="majorBidi" w:eastAsiaTheme="minorHAnsi" w:hAnsiTheme="majorBidi" w:cstheme="majorBidi"/>
        </w:rPr>
        <w:tab/>
      </w:r>
      <w:r w:rsidR="00002DBA" w:rsidRPr="004B28A5">
        <w:rPr>
          <w:rFonts w:asciiTheme="majorBidi" w:eastAsiaTheme="minorHAnsi" w:hAnsiTheme="majorBidi" w:cstheme="majorBidi"/>
        </w:rPr>
        <w:t xml:space="preserve">Insert the following </w:t>
      </w:r>
      <w:r w:rsidR="00186F0A" w:rsidRPr="004B28A5">
        <w:rPr>
          <w:rFonts w:asciiTheme="majorBidi" w:eastAsiaTheme="minorHAnsi" w:hAnsiTheme="majorBidi" w:cstheme="majorBidi"/>
        </w:rPr>
        <w:t xml:space="preserve">new paragraph: </w:t>
      </w:r>
    </w:p>
    <w:p w14:paraId="7F990D25" w14:textId="1C002614" w:rsidR="00186F0A" w:rsidRPr="00D773F7" w:rsidRDefault="00186F0A" w:rsidP="00477AE6">
      <w:pPr>
        <w:pStyle w:val="SingleTxtG"/>
        <w:tabs>
          <w:tab w:val="clear" w:pos="1701"/>
        </w:tabs>
        <w:ind w:left="2268"/>
        <w:rPr>
          <w:rFonts w:asciiTheme="majorBidi" w:eastAsiaTheme="minorHAnsi" w:hAnsiTheme="majorBidi" w:cstheme="majorBidi"/>
        </w:rPr>
      </w:pPr>
      <w:r w:rsidRPr="004B28A5">
        <w:rPr>
          <w:rFonts w:asciiTheme="majorBidi" w:eastAsiaTheme="minorHAnsi" w:hAnsiTheme="majorBidi" w:cstheme="majorBidi"/>
        </w:rPr>
        <w:t xml:space="preserve">“A9.7.1.1.1 </w:t>
      </w:r>
      <w:r w:rsidR="00AE0976" w:rsidRPr="004B28A5">
        <w:rPr>
          <w:rFonts w:asciiTheme="majorBidi" w:eastAsiaTheme="minorHAnsi" w:hAnsiTheme="majorBidi" w:cstheme="majorBidi"/>
        </w:rPr>
        <w:tab/>
      </w:r>
      <w:r w:rsidRPr="004B28A5">
        <w:rPr>
          <w:rFonts w:asciiTheme="majorBidi" w:eastAsiaTheme="minorHAnsi" w:hAnsiTheme="majorBidi" w:cstheme="majorBidi"/>
        </w:rPr>
        <w:t xml:space="preserve">Organometallic compounds (e.g. methyl mercury or tributyltin,…) and </w:t>
      </w:r>
      <w:r w:rsidR="00046BCB" w:rsidRPr="004B28A5">
        <w:rPr>
          <w:rFonts w:asciiTheme="majorBidi" w:eastAsiaTheme="minorHAnsi" w:hAnsiTheme="majorBidi" w:cstheme="majorBidi"/>
        </w:rPr>
        <w:t>o</w:t>
      </w:r>
      <w:r w:rsidRPr="004B28A5">
        <w:rPr>
          <w:rFonts w:asciiTheme="majorBidi" w:eastAsiaTheme="minorHAnsi" w:hAnsiTheme="majorBidi" w:cstheme="majorBidi"/>
        </w:rPr>
        <w:t>rgano</w:t>
      </w:r>
      <w:r w:rsidR="00E54B90" w:rsidRPr="004B28A5">
        <w:rPr>
          <w:rFonts w:asciiTheme="majorBidi" w:eastAsiaTheme="minorHAnsi" w:hAnsiTheme="majorBidi" w:cstheme="majorBidi"/>
        </w:rPr>
        <w:t>m</w:t>
      </w:r>
      <w:r w:rsidRPr="004B28A5">
        <w:rPr>
          <w:rFonts w:asciiTheme="majorBidi" w:eastAsiaTheme="minorHAnsi" w:hAnsiTheme="majorBidi" w:cstheme="majorBidi"/>
        </w:rPr>
        <w:t xml:space="preserve">etallic </w:t>
      </w:r>
      <w:r w:rsidR="00E5661F" w:rsidRPr="004B28A5">
        <w:rPr>
          <w:rFonts w:asciiTheme="majorBidi" w:eastAsiaTheme="minorHAnsi" w:hAnsiTheme="majorBidi" w:cstheme="majorBidi"/>
        </w:rPr>
        <w:t>s</w:t>
      </w:r>
      <w:r w:rsidRPr="004B28A5">
        <w:rPr>
          <w:rFonts w:asciiTheme="majorBidi" w:eastAsiaTheme="minorHAnsi" w:hAnsiTheme="majorBidi" w:cstheme="majorBidi"/>
        </w:rPr>
        <w:t>alts may also be of concern given that they may pose bioaccumulation or persistence hazards in case they do not quickly dissociate or dissolve in water. Unless they act as a significant source of the metal ion (as a result of the dissociation and/or degradation processes), the organic moieties and the inorganic components should be assessed individually (OECD 2015). They are therefore excluded from the guidance of this section and should be classified according to the general guidance provided in section 4. Alternatively, those metal compounds that contain an organic component but that dissociate or dissolve easily in water as the metal ion should be treated in the same way as metal compounds and classified according to this annex (e.g. Zinc acetate, ...).”</w:t>
      </w:r>
    </w:p>
    <w:p w14:paraId="2D9A3848" w14:textId="77777777" w:rsidR="00186F0A" w:rsidRPr="00D773F7" w:rsidRDefault="00186F0A" w:rsidP="00477AE6">
      <w:pPr>
        <w:pStyle w:val="SingleTxtG"/>
        <w:tabs>
          <w:tab w:val="clear" w:pos="1701"/>
        </w:tabs>
        <w:ind w:left="2268" w:hanging="1134"/>
        <w:rPr>
          <w:rFonts w:asciiTheme="majorBidi" w:eastAsiaTheme="minorHAnsi" w:hAnsiTheme="majorBidi" w:cstheme="majorBidi"/>
        </w:rPr>
      </w:pPr>
      <w:r w:rsidRPr="00D773F7">
        <w:rPr>
          <w:rFonts w:asciiTheme="majorBidi" w:eastAsiaTheme="minorHAnsi" w:hAnsiTheme="majorBidi" w:cstheme="majorBidi"/>
        </w:rPr>
        <w:lastRenderedPageBreak/>
        <w:t>A9.7.1.6</w:t>
      </w:r>
      <w:r w:rsidRPr="00D773F7">
        <w:rPr>
          <w:rFonts w:asciiTheme="majorBidi" w:eastAsiaTheme="minorHAnsi" w:hAnsiTheme="majorBidi" w:cstheme="majorBidi"/>
        </w:rPr>
        <w:tab/>
        <w:t xml:space="preserve">In the second sentence, replace the text between brackets with the following: “(e.g. partitioning or chemical speciation to a non-soluble and hence not-bioavailable form).” </w:t>
      </w:r>
    </w:p>
    <w:p w14:paraId="106DF51B" w14:textId="77777777" w:rsidR="00186F0A" w:rsidRPr="00D773F7" w:rsidRDefault="00186F0A" w:rsidP="00477AE6">
      <w:pPr>
        <w:pStyle w:val="SingleTxtG"/>
        <w:tabs>
          <w:tab w:val="clear" w:pos="1701"/>
        </w:tabs>
        <w:ind w:left="2268"/>
        <w:rPr>
          <w:rFonts w:asciiTheme="majorBidi" w:eastAsiaTheme="minorHAnsi" w:hAnsiTheme="majorBidi" w:cstheme="majorBidi"/>
        </w:rPr>
      </w:pPr>
      <w:r w:rsidRPr="00D773F7">
        <w:rPr>
          <w:rFonts w:asciiTheme="majorBidi" w:eastAsiaTheme="minorHAnsi" w:hAnsiTheme="majorBidi" w:cstheme="majorBidi"/>
        </w:rPr>
        <w:t>In the third sentence, replace “in assessing chronic classification” by “in assessing long-term (chronic) classification”</w:t>
      </w:r>
    </w:p>
    <w:p w14:paraId="6560C334" w14:textId="77777777" w:rsidR="00186F0A" w:rsidRPr="00D773F7" w:rsidRDefault="00186F0A" w:rsidP="00477AE6">
      <w:pPr>
        <w:pStyle w:val="SingleTxtG"/>
        <w:tabs>
          <w:tab w:val="clear" w:pos="1701"/>
        </w:tabs>
        <w:ind w:left="2268" w:hanging="1134"/>
        <w:rPr>
          <w:rFonts w:asciiTheme="majorBidi" w:eastAsiaTheme="minorHAnsi" w:hAnsiTheme="majorBidi" w:cstheme="majorBidi"/>
        </w:rPr>
      </w:pPr>
      <w:r w:rsidRPr="00D773F7">
        <w:rPr>
          <w:rFonts w:asciiTheme="majorBidi" w:eastAsiaTheme="minorHAnsi" w:hAnsiTheme="majorBidi" w:cstheme="majorBidi"/>
        </w:rPr>
        <w:t>A9.7.1.8</w:t>
      </w:r>
      <w:r w:rsidRPr="00D773F7">
        <w:rPr>
          <w:rFonts w:asciiTheme="majorBidi" w:eastAsiaTheme="minorHAnsi" w:hAnsiTheme="majorBidi" w:cstheme="majorBidi"/>
        </w:rPr>
        <w:tab/>
        <w:t>In the first sentence, replace “to cause toxicity at the level of the L(E)C</w:t>
      </w:r>
      <w:r w:rsidRPr="00D773F7">
        <w:rPr>
          <w:rFonts w:asciiTheme="majorBidi" w:eastAsiaTheme="minorHAnsi" w:hAnsiTheme="majorBidi" w:cstheme="majorBidi"/>
          <w:vertAlign w:val="subscript"/>
        </w:rPr>
        <w:t>50</w:t>
      </w:r>
      <w:r w:rsidRPr="00D773F7">
        <w:rPr>
          <w:rFonts w:asciiTheme="majorBidi" w:eastAsiaTheme="minorHAnsi" w:hAnsiTheme="majorBidi" w:cstheme="majorBidi"/>
        </w:rPr>
        <w:t>,” by “to cause toxicity at the level of the ecotoxicity reference value (ERV), being the acute ERV (expressed as L(E)C</w:t>
      </w:r>
      <w:r w:rsidRPr="00D773F7">
        <w:rPr>
          <w:rFonts w:asciiTheme="majorBidi" w:eastAsiaTheme="minorHAnsi" w:hAnsiTheme="majorBidi" w:cstheme="majorBidi"/>
          <w:vertAlign w:val="subscript"/>
        </w:rPr>
        <w:t>50</w:t>
      </w:r>
      <w:r w:rsidRPr="00D773F7">
        <w:rPr>
          <w:rFonts w:asciiTheme="majorBidi" w:eastAsiaTheme="minorHAnsi" w:hAnsiTheme="majorBidi" w:cstheme="majorBidi"/>
        </w:rPr>
        <w:t>), and/or the chronic ERV (expressed as the NOEC/</w:t>
      </w:r>
      <w:proofErr w:type="spellStart"/>
      <w:r w:rsidRPr="00D773F7">
        <w:rPr>
          <w:rFonts w:asciiTheme="majorBidi" w:eastAsiaTheme="minorHAnsi" w:hAnsiTheme="majorBidi" w:cstheme="majorBidi"/>
        </w:rPr>
        <w:t>ECx</w:t>
      </w:r>
      <w:proofErr w:type="spellEnd"/>
      <w:r w:rsidRPr="00D773F7">
        <w:rPr>
          <w:rFonts w:asciiTheme="majorBidi" w:eastAsiaTheme="minorHAnsi" w:hAnsiTheme="majorBidi" w:cstheme="majorBidi"/>
        </w:rPr>
        <w:t>),”</w:t>
      </w:r>
    </w:p>
    <w:p w14:paraId="4C2D9D26" w14:textId="3DE487AA" w:rsidR="00186F0A" w:rsidRPr="004B28A5" w:rsidRDefault="00186F0A" w:rsidP="00CF5A5F">
      <w:pPr>
        <w:pStyle w:val="SingleTxtG"/>
        <w:ind w:left="2268" w:hanging="1134"/>
        <w:rPr>
          <w:rFonts w:asciiTheme="majorBidi" w:eastAsiaTheme="minorHAnsi" w:hAnsiTheme="majorBidi" w:cstheme="majorBidi"/>
        </w:rPr>
      </w:pPr>
      <w:r w:rsidRPr="004B28A5">
        <w:rPr>
          <w:rFonts w:asciiTheme="majorBidi" w:eastAsiaTheme="minorHAnsi" w:hAnsiTheme="majorBidi" w:cstheme="majorBidi"/>
        </w:rPr>
        <w:t>A9.7.1.9</w:t>
      </w:r>
      <w:r w:rsidRPr="004B28A5">
        <w:rPr>
          <w:rFonts w:asciiTheme="majorBidi" w:eastAsiaTheme="minorHAnsi" w:hAnsiTheme="majorBidi" w:cstheme="majorBidi"/>
        </w:rPr>
        <w:tab/>
        <w:t xml:space="preserve">Amend the introductory paragraph to read as follows: </w:t>
      </w:r>
    </w:p>
    <w:p w14:paraId="0CF28CEE" w14:textId="418C112D" w:rsidR="00186F0A" w:rsidRPr="004B28A5" w:rsidRDefault="00186F0A" w:rsidP="00CF5A5F">
      <w:pPr>
        <w:pStyle w:val="SingleTxtG"/>
        <w:ind w:left="2268"/>
        <w:rPr>
          <w:rFonts w:asciiTheme="majorBidi" w:eastAsiaTheme="minorHAnsi" w:hAnsiTheme="majorBidi" w:cstheme="majorBidi"/>
        </w:rPr>
      </w:pPr>
      <w:r w:rsidRPr="004B28A5">
        <w:rPr>
          <w:rFonts w:asciiTheme="majorBidi" w:eastAsiaTheme="minorHAnsi" w:hAnsiTheme="majorBidi" w:cstheme="majorBidi"/>
        </w:rPr>
        <w:t xml:space="preserve">“This section deals with metals and metal compounds. For how this guidance applies to </w:t>
      </w:r>
      <w:r w:rsidR="00E5661F" w:rsidRPr="004B28A5">
        <w:rPr>
          <w:rFonts w:asciiTheme="majorBidi" w:eastAsiaTheme="minorHAnsi" w:hAnsiTheme="majorBidi" w:cstheme="majorBidi"/>
        </w:rPr>
        <w:t xml:space="preserve">organometallic compounds </w:t>
      </w:r>
      <w:r w:rsidRPr="004B28A5">
        <w:rPr>
          <w:rFonts w:asciiTheme="majorBidi" w:eastAsiaTheme="minorHAnsi" w:hAnsiTheme="majorBidi" w:cstheme="majorBidi"/>
        </w:rPr>
        <w:t xml:space="preserve">and </w:t>
      </w:r>
      <w:r w:rsidR="00E5661F" w:rsidRPr="004B28A5">
        <w:rPr>
          <w:rFonts w:asciiTheme="majorBidi" w:eastAsiaTheme="minorHAnsi" w:hAnsiTheme="majorBidi" w:cstheme="majorBidi"/>
        </w:rPr>
        <w:t>organometallic salts</w:t>
      </w:r>
      <w:r w:rsidRPr="004B28A5">
        <w:rPr>
          <w:rFonts w:asciiTheme="majorBidi" w:eastAsiaTheme="minorHAnsi" w:hAnsiTheme="majorBidi" w:cstheme="majorBidi"/>
        </w:rPr>
        <w:t>, see A9.7.1.1</w:t>
      </w:r>
      <w:r w:rsidR="000C2ED1" w:rsidRPr="004B28A5">
        <w:rPr>
          <w:rFonts w:asciiTheme="majorBidi" w:eastAsiaTheme="minorHAnsi" w:hAnsiTheme="majorBidi" w:cstheme="majorBidi"/>
        </w:rPr>
        <w:t>.1</w:t>
      </w:r>
      <w:r w:rsidRPr="004B28A5">
        <w:rPr>
          <w:rFonts w:asciiTheme="majorBidi" w:eastAsiaTheme="minorHAnsi" w:hAnsiTheme="majorBidi" w:cstheme="majorBidi"/>
        </w:rPr>
        <w:t>. Within the context of this guidance document, metals and metal compounds are characterized as follows:”</w:t>
      </w:r>
    </w:p>
    <w:p w14:paraId="50153CEF" w14:textId="77777777" w:rsidR="00186F0A" w:rsidRPr="004B28A5" w:rsidRDefault="00186F0A" w:rsidP="00CF5A5F">
      <w:pPr>
        <w:pStyle w:val="SingleTxtG"/>
        <w:ind w:left="2268" w:hanging="1134"/>
        <w:rPr>
          <w:rFonts w:asciiTheme="majorBidi" w:eastAsiaTheme="minorHAnsi" w:hAnsiTheme="majorBidi" w:cstheme="majorBidi"/>
        </w:rPr>
      </w:pPr>
      <w:r w:rsidRPr="004B28A5">
        <w:rPr>
          <w:rFonts w:asciiTheme="majorBidi" w:eastAsiaTheme="minorHAnsi" w:hAnsiTheme="majorBidi" w:cstheme="majorBidi"/>
        </w:rPr>
        <w:t>A9.7.2.1.1</w:t>
      </w:r>
      <w:r w:rsidRPr="004B28A5">
        <w:rPr>
          <w:rFonts w:asciiTheme="majorBidi" w:eastAsiaTheme="minorHAnsi" w:hAnsiTheme="majorBidi" w:cstheme="majorBidi"/>
        </w:rPr>
        <w:tab/>
        <w:t>Add the following new paragraphs:</w:t>
      </w:r>
    </w:p>
    <w:p w14:paraId="59CF78AF" w14:textId="77777777" w:rsidR="00186F0A" w:rsidRPr="004B28A5" w:rsidRDefault="00186F0A" w:rsidP="00F71074">
      <w:pPr>
        <w:pStyle w:val="SingleTxtG"/>
        <w:tabs>
          <w:tab w:val="left" w:pos="3686"/>
        </w:tabs>
        <w:ind w:left="2268"/>
        <w:rPr>
          <w:rFonts w:asciiTheme="majorBidi" w:eastAsiaTheme="minorHAnsi" w:hAnsiTheme="majorBidi" w:cstheme="majorBidi"/>
        </w:rPr>
      </w:pPr>
      <w:r w:rsidRPr="004B28A5">
        <w:rPr>
          <w:rFonts w:asciiTheme="majorBidi" w:eastAsiaTheme="minorHAnsi" w:hAnsiTheme="majorBidi" w:cstheme="majorBidi"/>
        </w:rPr>
        <w:t>“A9.7.2.1.1.1</w:t>
      </w:r>
      <w:r w:rsidRPr="004B28A5">
        <w:rPr>
          <w:rFonts w:asciiTheme="majorBidi" w:eastAsiaTheme="minorHAnsi" w:hAnsiTheme="majorBidi" w:cstheme="majorBidi"/>
        </w:rPr>
        <w:tab/>
        <w:t xml:space="preserve">Ecotoxicity data of soluble inorganic compounds are used and combined to derive the acute and chronic ecotoxicity reference value of the dissolved metal ion (ERV or </w:t>
      </w:r>
      <w:proofErr w:type="spellStart"/>
      <w:r w:rsidRPr="004B28A5">
        <w:rPr>
          <w:rFonts w:asciiTheme="majorBidi" w:eastAsiaTheme="minorHAnsi" w:hAnsiTheme="majorBidi" w:cstheme="majorBidi"/>
        </w:rPr>
        <w:t>ERV</w:t>
      </w:r>
      <w:r w:rsidRPr="004B28A5">
        <w:rPr>
          <w:rFonts w:asciiTheme="majorBidi" w:eastAsiaTheme="minorHAnsi" w:hAnsiTheme="majorBidi" w:cstheme="majorBidi"/>
          <w:vertAlign w:val="subscript"/>
        </w:rPr>
        <w:t>ion</w:t>
      </w:r>
      <w:proofErr w:type="spellEnd"/>
      <w:r w:rsidRPr="004B28A5">
        <w:rPr>
          <w:rFonts w:asciiTheme="majorBidi" w:eastAsiaTheme="minorHAnsi" w:hAnsiTheme="majorBidi" w:cstheme="majorBidi"/>
        </w:rPr>
        <w:t xml:space="preserve">). The ecotoxicity of soluble inorganic metal compounds is dependent on the </w:t>
      </w:r>
      <w:proofErr w:type="spellStart"/>
      <w:r w:rsidRPr="004B28A5">
        <w:rPr>
          <w:rFonts w:asciiTheme="majorBidi" w:eastAsiaTheme="minorHAnsi" w:hAnsiTheme="majorBidi" w:cstheme="majorBidi"/>
        </w:rPr>
        <w:t>physico</w:t>
      </w:r>
      <w:proofErr w:type="spellEnd"/>
      <w:r w:rsidRPr="004B28A5">
        <w:rPr>
          <w:rFonts w:asciiTheme="majorBidi" w:eastAsiaTheme="minorHAnsi" w:hAnsiTheme="majorBidi" w:cstheme="majorBidi"/>
        </w:rPr>
        <w:t xml:space="preserve">-chemistry of the medium, irrespective of the original metal species released in the environment. </w:t>
      </w:r>
    </w:p>
    <w:p w14:paraId="0755C5F1" w14:textId="751E1FDF" w:rsidR="00186F0A" w:rsidRPr="004B28A5" w:rsidRDefault="00186F0A" w:rsidP="00F71074">
      <w:pPr>
        <w:pStyle w:val="SingleTxtG"/>
        <w:tabs>
          <w:tab w:val="left" w:pos="3686"/>
        </w:tabs>
        <w:ind w:left="2268"/>
        <w:rPr>
          <w:rFonts w:asciiTheme="majorBidi" w:eastAsiaTheme="minorHAnsi" w:hAnsiTheme="majorBidi" w:cstheme="majorBidi"/>
        </w:rPr>
      </w:pPr>
      <w:r w:rsidRPr="004B28A5">
        <w:rPr>
          <w:rFonts w:asciiTheme="majorBidi" w:eastAsiaTheme="minorHAnsi" w:hAnsiTheme="majorBidi" w:cstheme="majorBidi"/>
        </w:rPr>
        <w:t>A9.7.2.1.1.2</w:t>
      </w:r>
      <w:r w:rsidRPr="004B28A5">
        <w:rPr>
          <w:rFonts w:asciiTheme="majorBidi" w:eastAsiaTheme="minorHAnsi" w:hAnsiTheme="majorBidi" w:cstheme="majorBidi"/>
        </w:rPr>
        <w:tab/>
        <w:t>When evaluating ecotoxicity data and deriving ERVs, the general “weight of evidence” principle is also applicable to metals (see section</w:t>
      </w:r>
      <w:r w:rsidR="00F71074" w:rsidRPr="004B28A5">
        <w:rPr>
          <w:rFonts w:asciiTheme="majorBidi" w:eastAsiaTheme="minorHAnsi" w:hAnsiTheme="majorBidi" w:cstheme="majorBidi"/>
        </w:rPr>
        <w:t> </w:t>
      </w:r>
      <w:r w:rsidRPr="004B28A5">
        <w:rPr>
          <w:rFonts w:asciiTheme="majorBidi" w:eastAsiaTheme="minorHAnsi" w:hAnsiTheme="majorBidi" w:cstheme="majorBidi"/>
        </w:rPr>
        <w:t>A9.3.4).</w:t>
      </w:r>
    </w:p>
    <w:p w14:paraId="00976567" w14:textId="606B67B5" w:rsidR="00186F0A" w:rsidRPr="00D773F7" w:rsidRDefault="00186F0A" w:rsidP="00F71074">
      <w:pPr>
        <w:pStyle w:val="SingleTxtG"/>
        <w:tabs>
          <w:tab w:val="left" w:pos="3686"/>
        </w:tabs>
        <w:ind w:left="2268"/>
        <w:rPr>
          <w:rFonts w:asciiTheme="majorBidi" w:eastAsiaTheme="minorHAnsi" w:hAnsiTheme="majorBidi" w:cstheme="majorBidi"/>
        </w:rPr>
      </w:pPr>
      <w:r w:rsidRPr="004B28A5">
        <w:rPr>
          <w:rFonts w:asciiTheme="majorBidi" w:eastAsiaTheme="minorHAnsi" w:hAnsiTheme="majorBidi" w:cstheme="majorBidi"/>
        </w:rPr>
        <w:t>A9.7.2.1.1.3</w:t>
      </w:r>
      <w:r w:rsidRPr="004B28A5">
        <w:rPr>
          <w:rFonts w:asciiTheme="majorBidi" w:eastAsiaTheme="minorHAnsi" w:hAnsiTheme="majorBidi" w:cstheme="majorBidi"/>
        </w:rPr>
        <w:tab/>
        <w:t>The ecotoxicity data selected should be evaluated for their adequacy. Adequacy covers here both the reliability (inherent quality of a test relating to test methodology and the way that the performance and results of a test are described) and the relevance (extent to which a test is appropriate to be used for the derivation of an ecotoxicity reference value) of the available ecotoxicity data (see section</w:t>
      </w:r>
      <w:r w:rsidR="000C2ED1" w:rsidRPr="004B28A5">
        <w:rPr>
          <w:rFonts w:asciiTheme="majorBidi" w:eastAsiaTheme="minorHAnsi" w:hAnsiTheme="majorBidi" w:cstheme="majorBidi"/>
        </w:rPr>
        <w:t>s</w:t>
      </w:r>
      <w:r w:rsidRPr="004B28A5">
        <w:rPr>
          <w:rFonts w:asciiTheme="majorBidi" w:eastAsiaTheme="minorHAnsi" w:hAnsiTheme="majorBidi" w:cstheme="majorBidi"/>
        </w:rPr>
        <w:t xml:space="preserve"> A9.2.6 and A9.3.6).</w:t>
      </w:r>
      <w:r w:rsidRPr="00D773F7">
        <w:rPr>
          <w:rFonts w:asciiTheme="majorBidi" w:eastAsiaTheme="minorHAnsi" w:hAnsiTheme="majorBidi" w:cstheme="majorBidi"/>
        </w:rPr>
        <w:t xml:space="preserve"> </w:t>
      </w:r>
    </w:p>
    <w:p w14:paraId="4B19D265" w14:textId="77777777" w:rsidR="00186F0A" w:rsidRPr="00D773F7" w:rsidRDefault="00186F0A" w:rsidP="00186F0A">
      <w:pPr>
        <w:pStyle w:val="SingleTxtG"/>
        <w:ind w:left="2835" w:hanging="567"/>
        <w:rPr>
          <w:rFonts w:asciiTheme="majorBidi" w:eastAsiaTheme="minorHAnsi" w:hAnsiTheme="majorBidi" w:cstheme="majorBidi"/>
        </w:rPr>
      </w:pPr>
      <w:r w:rsidRPr="00D773F7">
        <w:rPr>
          <w:rFonts w:asciiTheme="majorBidi" w:eastAsiaTheme="minorHAnsi" w:hAnsiTheme="majorBidi" w:cstheme="majorBidi"/>
        </w:rPr>
        <w:t>(a)</w:t>
      </w:r>
      <w:r w:rsidRPr="00D773F7">
        <w:rPr>
          <w:rFonts w:asciiTheme="majorBidi" w:eastAsiaTheme="minorHAnsi" w:hAnsiTheme="majorBidi" w:cstheme="majorBidi"/>
        </w:rPr>
        <w:tab/>
        <w:t>Under the reliability criteria, metal specific considerations include the description of some abiotic parameters in the test conditions for enabling the consideration of the bioavailable metal concentration and free metal ion concentration:</w:t>
      </w:r>
    </w:p>
    <w:p w14:paraId="38A94C74" w14:textId="77777777" w:rsidR="00186F0A" w:rsidRPr="00D773F7" w:rsidRDefault="00186F0A" w:rsidP="00186F0A">
      <w:pPr>
        <w:pStyle w:val="SingleTxtG"/>
        <w:ind w:left="3261" w:hanging="426"/>
        <w:rPr>
          <w:rFonts w:asciiTheme="majorBidi" w:eastAsiaTheme="minorHAnsi" w:hAnsiTheme="majorBidi" w:cstheme="majorBidi"/>
        </w:rPr>
      </w:pPr>
      <w:r w:rsidRPr="00D773F7">
        <w:rPr>
          <w:rFonts w:asciiTheme="majorBidi" w:eastAsiaTheme="minorHAnsi" w:hAnsiTheme="majorBidi" w:cstheme="majorBidi"/>
        </w:rPr>
        <w:t>(</w:t>
      </w:r>
      <w:proofErr w:type="spellStart"/>
      <w:r w:rsidRPr="00D773F7">
        <w:rPr>
          <w:rFonts w:asciiTheme="majorBidi" w:eastAsiaTheme="minorHAnsi" w:hAnsiTheme="majorBidi" w:cstheme="majorBidi"/>
        </w:rPr>
        <w:t>i</w:t>
      </w:r>
      <w:proofErr w:type="spellEnd"/>
      <w:r w:rsidRPr="00D773F7">
        <w:rPr>
          <w:rFonts w:asciiTheme="majorBidi" w:eastAsiaTheme="minorHAnsi" w:hAnsiTheme="majorBidi" w:cstheme="majorBidi"/>
        </w:rPr>
        <w:t>)</w:t>
      </w:r>
      <w:r w:rsidRPr="00D773F7">
        <w:rPr>
          <w:rFonts w:asciiTheme="majorBidi" w:eastAsiaTheme="minorHAnsi" w:hAnsiTheme="majorBidi" w:cstheme="majorBidi"/>
        </w:rPr>
        <w:tab/>
        <w:t>Description of the physical test conditions: in addition to the general parameters (O</w:t>
      </w:r>
      <w:r w:rsidRPr="00D773F7">
        <w:rPr>
          <w:rFonts w:asciiTheme="majorBidi" w:eastAsiaTheme="minorHAnsi" w:hAnsiTheme="majorBidi" w:cstheme="majorBidi"/>
          <w:vertAlign w:val="subscript"/>
        </w:rPr>
        <w:t>2</w:t>
      </w:r>
      <w:r w:rsidRPr="00D773F7">
        <w:rPr>
          <w:rFonts w:asciiTheme="majorBidi" w:eastAsiaTheme="minorHAnsi" w:hAnsiTheme="majorBidi" w:cstheme="majorBidi"/>
        </w:rPr>
        <w:t>, T°, pH, …), measurements of abiotic parameters such as dissolved organic carbon (DOC), hardness, alkalinity of the water that govern the speciation and hence the metal bioavailability are recommended.</w:t>
      </w:r>
    </w:p>
    <w:p w14:paraId="51E6C253" w14:textId="77777777" w:rsidR="00186F0A" w:rsidRPr="00D773F7" w:rsidRDefault="00186F0A" w:rsidP="00186F0A">
      <w:pPr>
        <w:pStyle w:val="SingleTxtG"/>
        <w:ind w:left="3261" w:hanging="426"/>
        <w:rPr>
          <w:rFonts w:asciiTheme="majorBidi" w:eastAsiaTheme="minorHAnsi" w:hAnsiTheme="majorBidi" w:cstheme="majorBidi"/>
        </w:rPr>
      </w:pPr>
      <w:r w:rsidRPr="00D773F7">
        <w:rPr>
          <w:rFonts w:asciiTheme="majorBidi" w:eastAsiaTheme="minorHAnsi" w:hAnsiTheme="majorBidi" w:cstheme="majorBidi"/>
        </w:rPr>
        <w:t>(ii)</w:t>
      </w:r>
      <w:r w:rsidRPr="00D773F7">
        <w:rPr>
          <w:rFonts w:asciiTheme="majorBidi" w:eastAsiaTheme="minorHAnsi" w:hAnsiTheme="majorBidi" w:cstheme="majorBidi"/>
        </w:rPr>
        <w:tab/>
        <w:t>Description of test materials and methods: to calculate the free metal ion concentration with speciation models the concentrations of dissolved major ions and cations (e.g. aluminium, iron, magnesium, and calcium) are recommended.</w:t>
      </w:r>
    </w:p>
    <w:p w14:paraId="1CB9CF3C" w14:textId="77777777" w:rsidR="00186F0A" w:rsidRPr="00D773F7" w:rsidRDefault="00186F0A" w:rsidP="00186F0A">
      <w:pPr>
        <w:pStyle w:val="SingleTxtG"/>
        <w:ind w:left="3261" w:hanging="426"/>
        <w:rPr>
          <w:rFonts w:asciiTheme="majorBidi" w:eastAsiaTheme="minorHAnsi" w:hAnsiTheme="majorBidi" w:cstheme="majorBidi"/>
        </w:rPr>
      </w:pPr>
      <w:r w:rsidRPr="00D773F7">
        <w:rPr>
          <w:rFonts w:asciiTheme="majorBidi" w:eastAsiaTheme="minorHAnsi" w:hAnsiTheme="majorBidi" w:cstheme="majorBidi"/>
        </w:rPr>
        <w:t>(iii)</w:t>
      </w:r>
      <w:r w:rsidRPr="00D773F7">
        <w:rPr>
          <w:rFonts w:asciiTheme="majorBidi" w:eastAsiaTheme="minorHAnsi" w:hAnsiTheme="majorBidi" w:cstheme="majorBidi"/>
        </w:rPr>
        <w:tab/>
        <w:t xml:space="preserve">Concentration-effect relationship; hormesis: sometimes an increased performance in growth or reproduction is seen at low metal doses that exceed the control values, referred to as hormesis. Such effects can occur especially with major trace nutrients such as iron, zinc and copper but can also occur with a wide variety of non-essential substances. In such cases, positive effects should not be considered in the derivation of acute ERVs and especially chronic ERVs. Other models than the conventional log-logistic dose-response model should be used to fit the dose-response curve and consideration should be given to the adequacy of the control diet/exposure. Due to the essential nutritional needs, caution is </w:t>
      </w:r>
      <w:r w:rsidRPr="00D773F7">
        <w:rPr>
          <w:rFonts w:asciiTheme="majorBidi" w:eastAsiaTheme="minorHAnsi" w:hAnsiTheme="majorBidi" w:cstheme="majorBidi"/>
        </w:rPr>
        <w:lastRenderedPageBreak/>
        <w:t xml:space="preserve">needed with regards to extrapolation of the dose-response curve (e.g. to derive an acute or chronic ERV) below the lowest tested concentration.  </w:t>
      </w:r>
    </w:p>
    <w:p w14:paraId="1F4FE58C" w14:textId="77777777" w:rsidR="00186F0A" w:rsidRPr="00D773F7" w:rsidRDefault="00186F0A" w:rsidP="00186F0A">
      <w:pPr>
        <w:pStyle w:val="SingleTxtG"/>
        <w:ind w:left="2835" w:hanging="567"/>
        <w:rPr>
          <w:rFonts w:asciiTheme="majorBidi" w:eastAsiaTheme="minorHAnsi" w:hAnsiTheme="majorBidi" w:cstheme="majorBidi"/>
        </w:rPr>
      </w:pPr>
      <w:r w:rsidRPr="00D773F7">
        <w:rPr>
          <w:rFonts w:asciiTheme="majorBidi" w:eastAsiaTheme="minorHAnsi" w:hAnsiTheme="majorBidi" w:cstheme="majorBidi"/>
        </w:rPr>
        <w:t>(b)</w:t>
      </w:r>
      <w:r w:rsidRPr="00D773F7">
        <w:rPr>
          <w:rFonts w:asciiTheme="majorBidi" w:eastAsiaTheme="minorHAnsi" w:hAnsiTheme="majorBidi" w:cstheme="majorBidi"/>
        </w:rPr>
        <w:tab/>
        <w:t>Under the relevancy criteria, certain considerations need to be made, related to the relevancy of the test substance and to acclimatisation/adaptation:</w:t>
      </w:r>
    </w:p>
    <w:p w14:paraId="572600E7" w14:textId="77777777" w:rsidR="00186F0A" w:rsidRPr="00D773F7" w:rsidRDefault="00186F0A" w:rsidP="00186F0A">
      <w:pPr>
        <w:pStyle w:val="SingleTxtG"/>
        <w:ind w:left="3261" w:hanging="426"/>
        <w:rPr>
          <w:rFonts w:asciiTheme="majorBidi" w:eastAsiaTheme="minorHAnsi" w:hAnsiTheme="majorBidi" w:cstheme="majorBidi"/>
        </w:rPr>
      </w:pPr>
      <w:r w:rsidRPr="00D773F7">
        <w:rPr>
          <w:rFonts w:asciiTheme="majorBidi" w:eastAsiaTheme="minorHAnsi" w:hAnsiTheme="majorBidi" w:cstheme="majorBidi"/>
        </w:rPr>
        <w:t>(</w:t>
      </w:r>
      <w:proofErr w:type="spellStart"/>
      <w:r w:rsidRPr="00D773F7">
        <w:rPr>
          <w:rFonts w:asciiTheme="majorBidi" w:eastAsiaTheme="minorHAnsi" w:hAnsiTheme="majorBidi" w:cstheme="majorBidi"/>
        </w:rPr>
        <w:t>i</w:t>
      </w:r>
      <w:proofErr w:type="spellEnd"/>
      <w:r w:rsidRPr="00D773F7">
        <w:rPr>
          <w:rFonts w:asciiTheme="majorBidi" w:eastAsiaTheme="minorHAnsi" w:hAnsiTheme="majorBidi" w:cstheme="majorBidi"/>
        </w:rPr>
        <w:t>)</w:t>
      </w:r>
      <w:r w:rsidRPr="00D773F7">
        <w:rPr>
          <w:rFonts w:asciiTheme="majorBidi" w:eastAsiaTheme="minorHAnsi" w:hAnsiTheme="majorBidi" w:cstheme="majorBidi"/>
        </w:rPr>
        <w:tab/>
        <w:t>Relevance of the test substance: tests conducted with soluble metal salts should be used for the purpose of deriving acute and chronic ERVs. The ecotoxicity adapted from organic metal compounds exposure should not be used.</w:t>
      </w:r>
    </w:p>
    <w:p w14:paraId="67FD7DF9" w14:textId="77777777" w:rsidR="00186F0A" w:rsidRPr="00D773F7" w:rsidRDefault="00186F0A" w:rsidP="00186F0A">
      <w:pPr>
        <w:pStyle w:val="SingleTxtG"/>
        <w:ind w:left="3261" w:hanging="426"/>
        <w:rPr>
          <w:rFonts w:asciiTheme="majorBidi" w:eastAsiaTheme="minorHAnsi" w:hAnsiTheme="majorBidi" w:cstheme="majorBidi"/>
        </w:rPr>
      </w:pPr>
      <w:r w:rsidRPr="00D773F7">
        <w:rPr>
          <w:rFonts w:asciiTheme="majorBidi" w:eastAsiaTheme="minorHAnsi" w:hAnsiTheme="majorBidi" w:cstheme="majorBidi"/>
        </w:rPr>
        <w:t>(ii)</w:t>
      </w:r>
      <w:r w:rsidRPr="00D773F7">
        <w:rPr>
          <w:rFonts w:asciiTheme="majorBidi" w:eastAsiaTheme="minorHAnsi" w:hAnsiTheme="majorBidi" w:cstheme="majorBidi"/>
        </w:rPr>
        <w:tab/>
        <w:t>Acclimatisation/adaptation: For essential metals, the culture medium should contain a minimal concentration not causing deficiency for the test species used. This is especially relevant for organisms used for chronic toxicity tests where the margin between essentiality and toxicity may become small. For this reason a proper description of culture conditions related to the level of essential metals is required.”</w:t>
      </w:r>
    </w:p>
    <w:p w14:paraId="02D6B46B" w14:textId="4CB907EA" w:rsidR="00186F0A" w:rsidRPr="00D773F7" w:rsidRDefault="00186F0A" w:rsidP="00186F0A">
      <w:pPr>
        <w:pStyle w:val="SingleTxtG"/>
        <w:rPr>
          <w:rFonts w:asciiTheme="majorBidi" w:eastAsiaTheme="minorHAnsi" w:hAnsiTheme="majorBidi" w:cstheme="majorBidi"/>
        </w:rPr>
      </w:pPr>
      <w:r w:rsidRPr="00D773F7">
        <w:rPr>
          <w:rFonts w:asciiTheme="majorBidi" w:hAnsiTheme="majorBidi" w:cstheme="majorBidi"/>
        </w:rPr>
        <w:t xml:space="preserve">A9.7.2.1.2.1 </w:t>
      </w:r>
      <w:r w:rsidR="00893132" w:rsidRPr="00D773F7">
        <w:rPr>
          <w:rFonts w:asciiTheme="majorBidi" w:hAnsiTheme="majorBidi" w:cstheme="majorBidi"/>
        </w:rPr>
        <w:tab/>
      </w:r>
      <w:r w:rsidRPr="00D773F7">
        <w:rPr>
          <w:rFonts w:asciiTheme="majorBidi" w:hAnsiTheme="majorBidi" w:cstheme="majorBidi"/>
        </w:rPr>
        <w:t>Add the following text at the end of</w:t>
      </w:r>
      <w:r w:rsidRPr="00D773F7">
        <w:rPr>
          <w:rFonts w:asciiTheme="majorBidi" w:eastAsiaTheme="minorHAnsi" w:hAnsiTheme="majorBidi" w:cstheme="majorBidi"/>
        </w:rPr>
        <w:t xml:space="preserve"> </w:t>
      </w:r>
      <w:r w:rsidRPr="00D773F7">
        <w:rPr>
          <w:rFonts w:asciiTheme="majorBidi" w:hAnsiTheme="majorBidi" w:cstheme="majorBidi"/>
        </w:rPr>
        <w:t>the existing paragraph</w:t>
      </w:r>
      <w:r w:rsidRPr="00D773F7">
        <w:rPr>
          <w:rFonts w:asciiTheme="majorBidi" w:eastAsiaTheme="minorHAnsi" w:hAnsiTheme="majorBidi" w:cstheme="majorBidi"/>
        </w:rPr>
        <w:t xml:space="preserve">: </w:t>
      </w:r>
    </w:p>
    <w:p w14:paraId="01D42320" w14:textId="662C32DD" w:rsidR="00186F0A" w:rsidRPr="00D773F7" w:rsidRDefault="00186F0A" w:rsidP="001A7442">
      <w:pPr>
        <w:pStyle w:val="SingleTxtG"/>
        <w:ind w:left="2268"/>
        <w:rPr>
          <w:rFonts w:asciiTheme="majorBidi" w:eastAsiaTheme="minorHAnsi" w:hAnsiTheme="majorBidi" w:cstheme="majorBidi"/>
        </w:rPr>
      </w:pPr>
      <w:r w:rsidRPr="00D773F7">
        <w:rPr>
          <w:rFonts w:asciiTheme="majorBidi" w:eastAsiaTheme="minorHAnsi" w:hAnsiTheme="majorBidi" w:cstheme="majorBidi"/>
        </w:rPr>
        <w:t xml:space="preserve">“For the classification of metals and metal compounds, </w:t>
      </w:r>
      <w:r w:rsidR="0030535B" w:rsidRPr="00D773F7">
        <w:rPr>
          <w:rFonts w:asciiTheme="majorBidi" w:eastAsiaTheme="minorHAnsi" w:hAnsiTheme="majorBidi" w:cstheme="majorBidi"/>
        </w:rPr>
        <w:t>transformation</w:t>
      </w:r>
      <w:r w:rsidRPr="00D773F7">
        <w:rPr>
          <w:rFonts w:asciiTheme="majorBidi" w:eastAsiaTheme="minorHAnsi" w:hAnsiTheme="majorBidi" w:cstheme="majorBidi"/>
        </w:rPr>
        <w:t>/</w:t>
      </w:r>
      <w:r w:rsidR="0030535B" w:rsidRPr="00D773F7">
        <w:rPr>
          <w:rFonts w:asciiTheme="majorBidi" w:eastAsiaTheme="minorHAnsi" w:hAnsiTheme="majorBidi" w:cstheme="majorBidi"/>
        </w:rPr>
        <w:t>dissolution</w:t>
      </w:r>
      <w:r w:rsidRPr="00D773F7">
        <w:rPr>
          <w:rFonts w:asciiTheme="majorBidi" w:eastAsiaTheme="minorHAnsi" w:hAnsiTheme="majorBidi" w:cstheme="majorBidi"/>
        </w:rPr>
        <w:t xml:space="preserve"> testing is carried out over a pH range (see</w:t>
      </w:r>
      <w:r w:rsidR="00B96908">
        <w:rPr>
          <w:rFonts w:asciiTheme="majorBidi" w:eastAsiaTheme="minorHAnsi" w:hAnsiTheme="majorBidi" w:cstheme="majorBidi"/>
        </w:rPr>
        <w:t> </w:t>
      </w:r>
      <w:r w:rsidRPr="00D773F7">
        <w:rPr>
          <w:rFonts w:asciiTheme="majorBidi" w:eastAsiaTheme="minorHAnsi" w:hAnsiTheme="majorBidi" w:cstheme="majorBidi"/>
        </w:rPr>
        <w:t xml:space="preserve">A10.2.3.2). If evidence is available that the aquatic toxicity of the dissolved metal depends on pH, then </w:t>
      </w:r>
      <w:r w:rsidR="0030535B" w:rsidRPr="00D773F7">
        <w:rPr>
          <w:rFonts w:asciiTheme="majorBidi" w:eastAsiaTheme="minorHAnsi" w:hAnsiTheme="majorBidi" w:cstheme="majorBidi"/>
        </w:rPr>
        <w:t>transformation/dissolution</w:t>
      </w:r>
      <w:r w:rsidRPr="00D773F7">
        <w:rPr>
          <w:rFonts w:asciiTheme="majorBidi" w:eastAsiaTheme="minorHAnsi" w:hAnsiTheme="majorBidi" w:cstheme="majorBidi"/>
        </w:rPr>
        <w:t xml:space="preserve"> data and aquatic toxicity are compared at a similar </w:t>
      </w:r>
      <w:proofErr w:type="spellStart"/>
      <w:r w:rsidRPr="00D773F7">
        <w:rPr>
          <w:rFonts w:asciiTheme="majorBidi" w:eastAsiaTheme="minorHAnsi" w:hAnsiTheme="majorBidi" w:cstheme="majorBidi"/>
        </w:rPr>
        <w:t>pH.</w:t>
      </w:r>
      <w:proofErr w:type="spellEnd"/>
      <w:r w:rsidRPr="00D773F7">
        <w:rPr>
          <w:rFonts w:asciiTheme="majorBidi" w:eastAsiaTheme="minorHAnsi" w:hAnsiTheme="majorBidi" w:cstheme="majorBidi"/>
        </w:rPr>
        <w:t xml:space="preserve"> If such evidence is not available, then the aquatic toxicity cannot be grouped according to </w:t>
      </w:r>
      <w:proofErr w:type="spellStart"/>
      <w:r w:rsidRPr="00D773F7">
        <w:rPr>
          <w:rFonts w:asciiTheme="majorBidi" w:eastAsiaTheme="minorHAnsi" w:hAnsiTheme="majorBidi" w:cstheme="majorBidi"/>
        </w:rPr>
        <w:t>pH.</w:t>
      </w:r>
      <w:proofErr w:type="spellEnd"/>
      <w:r w:rsidRPr="00D773F7">
        <w:rPr>
          <w:rFonts w:asciiTheme="majorBidi" w:eastAsiaTheme="minorHAnsi" w:hAnsiTheme="majorBidi" w:cstheme="majorBidi"/>
        </w:rPr>
        <w:t xml:space="preserve"> The highest aquatic toxicity observed is then compared to the </w:t>
      </w:r>
      <w:r w:rsidR="0030535B" w:rsidRPr="00D773F7">
        <w:rPr>
          <w:rFonts w:asciiTheme="majorBidi" w:eastAsiaTheme="minorHAnsi" w:hAnsiTheme="majorBidi" w:cstheme="majorBidi"/>
        </w:rPr>
        <w:t xml:space="preserve">transformation/dissolution </w:t>
      </w:r>
      <w:r w:rsidRPr="00D773F7">
        <w:rPr>
          <w:rFonts w:asciiTheme="majorBidi" w:eastAsiaTheme="minorHAnsi" w:hAnsiTheme="majorBidi" w:cstheme="majorBidi"/>
        </w:rPr>
        <w:t>data obtained at the pH which causes maximum transformation and dissolution.”</w:t>
      </w:r>
    </w:p>
    <w:p w14:paraId="42542339" w14:textId="77777777" w:rsidR="00186F0A" w:rsidRPr="00D773F7" w:rsidRDefault="00186F0A" w:rsidP="003846B3">
      <w:pPr>
        <w:pStyle w:val="SingleTxtG"/>
        <w:ind w:left="2268" w:hanging="1134"/>
        <w:rPr>
          <w:rFonts w:asciiTheme="majorBidi" w:hAnsiTheme="majorBidi" w:cstheme="majorBidi"/>
        </w:rPr>
      </w:pPr>
      <w:r w:rsidRPr="00D773F7">
        <w:rPr>
          <w:rFonts w:asciiTheme="majorBidi" w:hAnsiTheme="majorBidi" w:cstheme="majorBidi"/>
        </w:rPr>
        <w:t>A9.7.2.1.2.2</w:t>
      </w:r>
      <w:r w:rsidRPr="00D773F7">
        <w:rPr>
          <w:rFonts w:asciiTheme="majorBidi" w:hAnsiTheme="majorBidi" w:cstheme="majorBidi"/>
        </w:rPr>
        <w:tab/>
        <w:t>Delete “or economic” at the end of the paragraph.</w:t>
      </w:r>
    </w:p>
    <w:p w14:paraId="30D80CB5" w14:textId="77777777" w:rsidR="00186F0A" w:rsidRPr="00D773F7" w:rsidRDefault="00186F0A" w:rsidP="003846B3">
      <w:pPr>
        <w:pStyle w:val="SingleTxtG"/>
        <w:ind w:left="2268" w:hanging="1134"/>
        <w:rPr>
          <w:rFonts w:asciiTheme="majorBidi" w:eastAsiaTheme="minorHAnsi" w:hAnsiTheme="majorBidi" w:cstheme="majorBidi"/>
        </w:rPr>
      </w:pPr>
      <w:r w:rsidRPr="00D773F7">
        <w:rPr>
          <w:rFonts w:asciiTheme="majorBidi" w:eastAsiaTheme="minorHAnsi" w:hAnsiTheme="majorBidi" w:cstheme="majorBidi"/>
        </w:rPr>
        <w:t>A9.7.2.1.2.3</w:t>
      </w:r>
      <w:r w:rsidRPr="00D773F7">
        <w:rPr>
          <w:rFonts w:asciiTheme="majorBidi" w:eastAsiaTheme="minorHAnsi" w:hAnsiTheme="majorBidi" w:cstheme="majorBidi"/>
        </w:rPr>
        <w:tab/>
        <w:t>In the second sentence, replace “(Tipping, 1994)” with “(Tipping, 1994; Tipping et al., 2011)”.</w:t>
      </w:r>
    </w:p>
    <w:p w14:paraId="6B6C4721" w14:textId="04C46EFE" w:rsidR="00186F0A" w:rsidRPr="00D773F7" w:rsidRDefault="00186F0A" w:rsidP="003846B3">
      <w:pPr>
        <w:pStyle w:val="SingleTxtG"/>
        <w:ind w:left="2268"/>
        <w:rPr>
          <w:rFonts w:asciiTheme="majorBidi" w:eastAsiaTheme="minorHAnsi" w:hAnsiTheme="majorBidi" w:cstheme="majorBidi"/>
        </w:rPr>
      </w:pPr>
      <w:r w:rsidRPr="00D773F7">
        <w:rPr>
          <w:rFonts w:asciiTheme="majorBidi" w:eastAsiaTheme="minorHAnsi" w:hAnsiTheme="majorBidi" w:cstheme="majorBidi"/>
        </w:rPr>
        <w:t>Amend the third and fourth sentence to read as follows: “Alternatively, the Biotic Ligand Model (BLM) allows for the calculation of the concentration of metal ion responsible for the toxic effect at the level of the organism, which may be affected by the DOC concentration, the pH, and the concentrations of competing ions such as calcium and magnesium. Such models may be investigated to better understand the impact of test medium composition on metal toxicity. The BLM model has at present been validated for specific metals, organisms, and end-points “(</w:t>
      </w:r>
      <w:proofErr w:type="spellStart"/>
      <w:r w:rsidRPr="00D773F7">
        <w:rPr>
          <w:rFonts w:asciiTheme="majorBidi" w:eastAsiaTheme="minorHAnsi" w:hAnsiTheme="majorBidi" w:cstheme="majorBidi"/>
        </w:rPr>
        <w:t>Santore</w:t>
      </w:r>
      <w:proofErr w:type="spellEnd"/>
      <w:r w:rsidRPr="00D773F7">
        <w:rPr>
          <w:rFonts w:asciiTheme="majorBidi" w:eastAsiaTheme="minorHAnsi" w:hAnsiTheme="majorBidi" w:cstheme="majorBidi"/>
        </w:rPr>
        <w:t xml:space="preserve"> and Di Toro, 1999; Garman et al., 2020).”</w:t>
      </w:r>
    </w:p>
    <w:p w14:paraId="33F1B2DA" w14:textId="7EE2C5A9" w:rsidR="00186F0A" w:rsidRPr="00D773F7" w:rsidRDefault="00186F0A" w:rsidP="003846B3">
      <w:pPr>
        <w:pStyle w:val="SingleTxtG"/>
        <w:ind w:left="2268"/>
        <w:rPr>
          <w:rFonts w:asciiTheme="majorBidi" w:eastAsiaTheme="minorHAnsi" w:hAnsiTheme="majorBidi" w:cstheme="majorBidi"/>
        </w:rPr>
      </w:pPr>
      <w:r w:rsidRPr="00D773F7">
        <w:rPr>
          <w:rFonts w:asciiTheme="majorBidi" w:eastAsiaTheme="minorHAnsi" w:hAnsiTheme="majorBidi" w:cstheme="majorBidi"/>
        </w:rPr>
        <w:t xml:space="preserve">Add the following </w:t>
      </w:r>
      <w:r w:rsidR="000A16C3" w:rsidRPr="00D773F7">
        <w:rPr>
          <w:rFonts w:asciiTheme="majorBidi" w:eastAsiaTheme="minorHAnsi" w:hAnsiTheme="majorBidi" w:cstheme="majorBidi"/>
        </w:rPr>
        <w:t xml:space="preserve">sentence </w:t>
      </w:r>
      <w:r w:rsidRPr="00D773F7">
        <w:rPr>
          <w:rFonts w:asciiTheme="majorBidi" w:eastAsiaTheme="minorHAnsi" w:hAnsiTheme="majorBidi" w:cstheme="majorBidi"/>
        </w:rPr>
        <w:t xml:space="preserve">at the end of the current paragraph: “In case a metal-specific BLM is available covering an appropriate pH range, a comparison of aquatic toxicity data can be made using the entire effects database for different reference pH values, relevant to the </w:t>
      </w:r>
      <w:r w:rsidR="004149FA" w:rsidRPr="00D773F7">
        <w:rPr>
          <w:rFonts w:asciiTheme="majorBidi" w:eastAsiaTheme="minorHAnsi" w:hAnsiTheme="majorBidi" w:cstheme="majorBidi"/>
        </w:rPr>
        <w:t xml:space="preserve">transformation/dissolution </w:t>
      </w:r>
      <w:r w:rsidRPr="00D773F7">
        <w:rPr>
          <w:rFonts w:asciiTheme="majorBidi" w:eastAsiaTheme="minorHAnsi" w:hAnsiTheme="majorBidi" w:cstheme="majorBidi"/>
        </w:rPr>
        <w:t>data.”</w:t>
      </w:r>
    </w:p>
    <w:p w14:paraId="5A672465" w14:textId="357BD24D" w:rsidR="00186F0A" w:rsidRPr="00D773F7" w:rsidRDefault="00186F0A" w:rsidP="003846B3">
      <w:pPr>
        <w:pStyle w:val="SingleTxtG"/>
        <w:ind w:left="2268" w:hanging="1134"/>
        <w:rPr>
          <w:rFonts w:asciiTheme="majorBidi" w:hAnsiTheme="majorBidi" w:cstheme="majorBidi"/>
        </w:rPr>
      </w:pPr>
      <w:r w:rsidRPr="00D773F7">
        <w:rPr>
          <w:rFonts w:asciiTheme="majorBidi" w:hAnsiTheme="majorBidi" w:cstheme="majorBidi"/>
        </w:rPr>
        <w:t>A9.7.2.2.2</w:t>
      </w:r>
      <w:r w:rsidRPr="00D773F7">
        <w:rPr>
          <w:rFonts w:asciiTheme="majorBidi" w:hAnsiTheme="majorBidi" w:cstheme="majorBidi"/>
        </w:rPr>
        <w:tab/>
      </w:r>
      <w:r w:rsidRPr="00D773F7">
        <w:rPr>
          <w:rFonts w:asciiTheme="majorBidi" w:eastAsiaTheme="minorHAnsi" w:hAnsiTheme="majorBidi" w:cstheme="majorBidi"/>
        </w:rPr>
        <w:t xml:space="preserve">Replace the last sentence </w:t>
      </w:r>
      <w:r w:rsidRPr="00D773F7">
        <w:rPr>
          <w:rFonts w:asciiTheme="majorBidi" w:hAnsiTheme="majorBidi" w:cstheme="majorBidi"/>
        </w:rPr>
        <w:t xml:space="preserve">with the following: “Where these are the only information available and the solubility data cannot provide a clear answer on the solubility rate and equilibrium, it is highly recommended that solubility data be generated using the Transformation/Dissolution </w:t>
      </w:r>
      <w:r w:rsidR="004149FA" w:rsidRPr="00D773F7">
        <w:rPr>
          <w:rFonts w:asciiTheme="majorBidi" w:hAnsiTheme="majorBidi" w:cstheme="majorBidi"/>
        </w:rPr>
        <w:t>P</w:t>
      </w:r>
      <w:r w:rsidRPr="00D773F7">
        <w:rPr>
          <w:rFonts w:asciiTheme="majorBidi" w:hAnsiTheme="majorBidi" w:cstheme="majorBidi"/>
        </w:rPr>
        <w:t>rotocol (</w:t>
      </w:r>
      <w:r w:rsidR="008C165E" w:rsidRPr="00D773F7">
        <w:rPr>
          <w:rFonts w:asciiTheme="majorBidi" w:hAnsiTheme="majorBidi" w:cstheme="majorBidi"/>
        </w:rPr>
        <w:t>a</w:t>
      </w:r>
      <w:r w:rsidRPr="00D773F7">
        <w:rPr>
          <w:rFonts w:asciiTheme="majorBidi" w:hAnsiTheme="majorBidi" w:cstheme="majorBidi"/>
        </w:rPr>
        <w:t>nnex 10).”</w:t>
      </w:r>
    </w:p>
    <w:p w14:paraId="41EC104E" w14:textId="77777777" w:rsidR="00186F0A" w:rsidRPr="00D773F7" w:rsidRDefault="00186F0A" w:rsidP="00186F0A">
      <w:pPr>
        <w:pStyle w:val="SingleTxtG"/>
        <w:keepNext/>
        <w:keepLines/>
        <w:rPr>
          <w:rFonts w:asciiTheme="majorBidi" w:hAnsiTheme="majorBidi" w:cstheme="majorBidi"/>
          <w:bCs/>
        </w:rPr>
      </w:pPr>
      <w:r w:rsidRPr="00D773F7">
        <w:rPr>
          <w:rFonts w:asciiTheme="majorBidi" w:hAnsiTheme="majorBidi" w:cstheme="majorBidi"/>
          <w:bCs/>
        </w:rPr>
        <w:t>A9.7.2.2.3 and A9.7.2.2.4</w:t>
      </w:r>
      <w:r w:rsidRPr="00D773F7">
        <w:rPr>
          <w:rFonts w:asciiTheme="majorBidi" w:hAnsiTheme="majorBidi" w:cstheme="majorBidi"/>
          <w:bCs/>
        </w:rPr>
        <w:tab/>
      </w:r>
      <w:r w:rsidRPr="00D773F7">
        <w:rPr>
          <w:rFonts w:asciiTheme="majorBidi" w:eastAsiaTheme="minorHAnsi" w:hAnsiTheme="majorBidi" w:cstheme="majorBidi"/>
        </w:rPr>
        <w:t>Replace</w:t>
      </w:r>
      <w:r w:rsidRPr="00D773F7">
        <w:rPr>
          <w:rFonts w:asciiTheme="majorBidi" w:hAnsiTheme="majorBidi" w:cstheme="majorBidi"/>
          <w:bCs/>
        </w:rPr>
        <w:t xml:space="preserve"> with the following:</w:t>
      </w:r>
    </w:p>
    <w:p w14:paraId="183A6378" w14:textId="77777777" w:rsidR="00186F0A" w:rsidRPr="00D773F7" w:rsidRDefault="00186F0A" w:rsidP="003846B3">
      <w:pPr>
        <w:pStyle w:val="SingleTxtG"/>
        <w:keepNext/>
        <w:keepLines/>
        <w:ind w:left="2268"/>
        <w:rPr>
          <w:rFonts w:asciiTheme="majorBidi" w:hAnsiTheme="majorBidi" w:cstheme="majorBidi"/>
          <w:bCs/>
        </w:rPr>
      </w:pPr>
      <w:r w:rsidRPr="00D773F7">
        <w:rPr>
          <w:rFonts w:asciiTheme="majorBidi" w:hAnsiTheme="majorBidi" w:cstheme="majorBidi"/>
          <w:bCs/>
        </w:rPr>
        <w:t>“A9.7.2.2.3</w:t>
      </w:r>
      <w:r w:rsidRPr="00D773F7">
        <w:rPr>
          <w:rFonts w:asciiTheme="majorBidi" w:hAnsiTheme="majorBidi" w:cstheme="majorBidi"/>
          <w:bCs/>
        </w:rPr>
        <w:tab/>
        <w:t xml:space="preserve">Screening test for assessing solubility of metal compounds </w:t>
      </w:r>
    </w:p>
    <w:p w14:paraId="1306B1FC" w14:textId="6A3F9D7A" w:rsidR="00186F0A" w:rsidRPr="00D773F7" w:rsidRDefault="00186F0A" w:rsidP="003846B3">
      <w:pPr>
        <w:pStyle w:val="SingleTxtG"/>
        <w:ind w:left="2268"/>
        <w:rPr>
          <w:rFonts w:asciiTheme="majorBidi" w:hAnsiTheme="majorBidi" w:cstheme="majorBidi"/>
          <w:bCs/>
        </w:rPr>
      </w:pPr>
      <w:r w:rsidRPr="00D773F7">
        <w:rPr>
          <w:rFonts w:asciiTheme="majorBidi" w:hAnsiTheme="majorBidi" w:cstheme="majorBidi"/>
          <w:bCs/>
        </w:rPr>
        <w:t xml:space="preserve">In the absence of solubility data for metal compounds, a screening test for assessing solubility should be performed as described in the Transformation/Dissolution </w:t>
      </w:r>
      <w:r w:rsidR="002B4204" w:rsidRPr="00D773F7">
        <w:rPr>
          <w:rFonts w:asciiTheme="majorBidi" w:hAnsiTheme="majorBidi" w:cstheme="majorBidi"/>
          <w:bCs/>
        </w:rPr>
        <w:t xml:space="preserve">Protocol </w:t>
      </w:r>
      <w:r w:rsidRPr="00D773F7">
        <w:rPr>
          <w:rFonts w:asciiTheme="majorBidi" w:hAnsiTheme="majorBidi" w:cstheme="majorBidi"/>
          <w:bCs/>
        </w:rPr>
        <w:t>(</w:t>
      </w:r>
      <w:r w:rsidR="006A530D" w:rsidRPr="00D773F7">
        <w:rPr>
          <w:rFonts w:asciiTheme="majorBidi" w:hAnsiTheme="majorBidi" w:cstheme="majorBidi"/>
          <w:bCs/>
        </w:rPr>
        <w:t>a</w:t>
      </w:r>
      <w:r w:rsidRPr="00D773F7">
        <w:rPr>
          <w:rFonts w:asciiTheme="majorBidi" w:hAnsiTheme="majorBidi" w:cstheme="majorBidi"/>
          <w:bCs/>
        </w:rPr>
        <w:t xml:space="preserve">nnex 10). The screening test is </w:t>
      </w:r>
      <w:r w:rsidRPr="00D773F7">
        <w:rPr>
          <w:rFonts w:asciiTheme="majorBidi" w:hAnsiTheme="majorBidi" w:cstheme="majorBidi"/>
          <w:bCs/>
        </w:rPr>
        <w:lastRenderedPageBreak/>
        <w:t>conducted at the high loading rate (100 mg/</w:t>
      </w:r>
      <w:r w:rsidR="002B4204" w:rsidRPr="00D773F7">
        <w:rPr>
          <w:rFonts w:asciiTheme="majorBidi" w:hAnsiTheme="majorBidi" w:cstheme="majorBidi"/>
          <w:bCs/>
        </w:rPr>
        <w:t>l</w:t>
      </w:r>
      <w:r w:rsidRPr="00D773F7">
        <w:rPr>
          <w:rFonts w:asciiTheme="majorBidi" w:hAnsiTheme="majorBidi" w:cstheme="majorBidi"/>
          <w:bCs/>
        </w:rPr>
        <w:t>) and under rapid and vigorous agitation for 24 h. The function of the screening test is:</w:t>
      </w:r>
    </w:p>
    <w:p w14:paraId="02E6DDA7" w14:textId="77777777" w:rsidR="00186F0A" w:rsidRPr="00D773F7" w:rsidRDefault="00186F0A" w:rsidP="00186F0A">
      <w:pPr>
        <w:pStyle w:val="SingleTxtG"/>
        <w:ind w:left="2835" w:hanging="567"/>
        <w:rPr>
          <w:rFonts w:asciiTheme="majorBidi" w:hAnsiTheme="majorBidi" w:cstheme="majorBidi"/>
          <w:bCs/>
        </w:rPr>
      </w:pPr>
      <w:r w:rsidRPr="00D773F7">
        <w:rPr>
          <w:rFonts w:asciiTheme="majorBidi" w:hAnsiTheme="majorBidi" w:cstheme="majorBidi"/>
          <w:bCs/>
        </w:rPr>
        <w:t>(a)</w:t>
      </w:r>
      <w:r w:rsidRPr="00D773F7">
        <w:rPr>
          <w:rFonts w:asciiTheme="majorBidi" w:hAnsiTheme="majorBidi" w:cstheme="majorBidi"/>
          <w:bCs/>
        </w:rPr>
        <w:tab/>
      </w:r>
      <w:r w:rsidRPr="00D773F7">
        <w:rPr>
          <w:rFonts w:asciiTheme="majorBidi" w:hAnsiTheme="majorBidi" w:cstheme="majorBidi"/>
          <w:bCs/>
        </w:rPr>
        <w:tab/>
        <w:t xml:space="preserve">To identify those metal compounds which undergo either dissolution or rapid transformation such that their ecotoxicity potential is indistinguishable from soluble forms in that they may be classified based on the dissolved ion concentration. </w:t>
      </w:r>
    </w:p>
    <w:p w14:paraId="6DD1FF9F" w14:textId="1002672D" w:rsidR="00186F0A" w:rsidRPr="00D773F7" w:rsidRDefault="00186F0A" w:rsidP="00186F0A">
      <w:pPr>
        <w:pStyle w:val="SingleTxtG"/>
        <w:ind w:left="2835" w:hanging="567"/>
        <w:rPr>
          <w:rFonts w:asciiTheme="majorBidi" w:hAnsiTheme="majorBidi" w:cstheme="majorBidi"/>
          <w:bCs/>
        </w:rPr>
      </w:pPr>
      <w:r w:rsidRPr="00D773F7">
        <w:rPr>
          <w:rFonts w:asciiTheme="majorBidi" w:hAnsiTheme="majorBidi" w:cstheme="majorBidi"/>
          <w:bCs/>
        </w:rPr>
        <w:t>(b)</w:t>
      </w:r>
      <w:r w:rsidRPr="00D773F7">
        <w:rPr>
          <w:rFonts w:asciiTheme="majorBidi" w:hAnsiTheme="majorBidi" w:cstheme="majorBidi"/>
          <w:bCs/>
        </w:rPr>
        <w:tab/>
      </w:r>
      <w:r w:rsidRPr="00D773F7">
        <w:rPr>
          <w:rFonts w:asciiTheme="majorBidi" w:hAnsiTheme="majorBidi" w:cstheme="majorBidi"/>
          <w:bCs/>
        </w:rPr>
        <w:tab/>
        <w:t xml:space="preserve">To verify the pH dependency of the dissolution, in preparation of the full </w:t>
      </w:r>
      <w:r w:rsidR="004149FA" w:rsidRPr="00D773F7">
        <w:rPr>
          <w:rFonts w:asciiTheme="majorBidi" w:eastAsiaTheme="minorHAnsi" w:hAnsiTheme="majorBidi" w:cstheme="majorBidi"/>
        </w:rPr>
        <w:t xml:space="preserve">transformation/dissolution </w:t>
      </w:r>
      <w:r w:rsidRPr="00D773F7">
        <w:rPr>
          <w:rFonts w:asciiTheme="majorBidi" w:hAnsiTheme="majorBidi" w:cstheme="majorBidi"/>
          <w:bCs/>
        </w:rPr>
        <w:t>test. Where data at different pH are available from the screening test, then the full test should at least be conducted at the pH which maximi</w:t>
      </w:r>
      <w:r w:rsidR="00070516">
        <w:rPr>
          <w:rFonts w:asciiTheme="majorBidi" w:hAnsiTheme="majorBidi" w:cstheme="majorBidi"/>
          <w:bCs/>
        </w:rPr>
        <w:t>z</w:t>
      </w:r>
      <w:r w:rsidRPr="00D773F7">
        <w:rPr>
          <w:rFonts w:asciiTheme="majorBidi" w:hAnsiTheme="majorBidi" w:cstheme="majorBidi"/>
          <w:bCs/>
        </w:rPr>
        <w:t>es the solubility. Where data are not available over the full pH range, a check should be made that this maximum solubility has been achieved by reference to suitable thermodynamic speciation models or other suitable methods (see</w:t>
      </w:r>
      <w:r w:rsidR="00B96908">
        <w:rPr>
          <w:rFonts w:asciiTheme="majorBidi" w:hAnsiTheme="majorBidi" w:cstheme="majorBidi"/>
          <w:bCs/>
        </w:rPr>
        <w:t> </w:t>
      </w:r>
      <w:r w:rsidRPr="00D773F7">
        <w:rPr>
          <w:rFonts w:asciiTheme="majorBidi" w:hAnsiTheme="majorBidi" w:cstheme="majorBidi"/>
          <w:bCs/>
        </w:rPr>
        <w:t>A9.7.2.1.2.3). In the absence of suitable data or models, it is highly recommended that solubility data are generated to cover the full pH range. It should be noted that this screening test is only intended to be used for metal compounds. Metals should be assessed at the level of the full test (see A9.7.2.2.4).</w:t>
      </w:r>
    </w:p>
    <w:p w14:paraId="2C485A32" w14:textId="77777777" w:rsidR="00186F0A" w:rsidRPr="00D773F7" w:rsidRDefault="00186F0A" w:rsidP="0065243B">
      <w:pPr>
        <w:pStyle w:val="SingleTxtG"/>
        <w:ind w:left="2268"/>
        <w:rPr>
          <w:rFonts w:asciiTheme="majorBidi" w:hAnsiTheme="majorBidi" w:cstheme="majorBidi"/>
          <w:bCs/>
        </w:rPr>
      </w:pPr>
      <w:r w:rsidRPr="00D773F7">
        <w:rPr>
          <w:rFonts w:asciiTheme="majorBidi" w:hAnsiTheme="majorBidi" w:cstheme="majorBidi"/>
          <w:bCs/>
        </w:rPr>
        <w:t>A9.7.2.2.4</w:t>
      </w:r>
      <w:r w:rsidRPr="00D773F7">
        <w:rPr>
          <w:rFonts w:asciiTheme="majorBidi" w:hAnsiTheme="majorBidi" w:cstheme="majorBidi"/>
          <w:bCs/>
        </w:rPr>
        <w:tab/>
        <w:t xml:space="preserve">Full test for assessing solubility of metals and metal compounds </w:t>
      </w:r>
    </w:p>
    <w:p w14:paraId="6EB8FC10" w14:textId="77777777" w:rsidR="00186F0A" w:rsidRPr="00D773F7" w:rsidRDefault="00186F0A" w:rsidP="0065243B">
      <w:pPr>
        <w:pStyle w:val="SingleTxtG"/>
        <w:ind w:left="2268"/>
        <w:rPr>
          <w:rFonts w:asciiTheme="majorBidi" w:hAnsiTheme="majorBidi" w:cstheme="majorBidi"/>
        </w:rPr>
      </w:pPr>
      <w:r w:rsidRPr="00D773F7">
        <w:rPr>
          <w:rFonts w:asciiTheme="majorBidi" w:hAnsiTheme="majorBidi" w:cstheme="majorBidi"/>
        </w:rPr>
        <w:t>A9.7.2.2.4.1</w:t>
      </w:r>
      <w:r w:rsidRPr="00D773F7">
        <w:rPr>
          <w:rFonts w:asciiTheme="majorBidi" w:hAnsiTheme="majorBidi" w:cstheme="majorBidi"/>
        </w:rPr>
        <w:tab/>
        <w:t>The full test should at least be carried out at the pH</w:t>
      </w:r>
      <w:r w:rsidRPr="00D773F7">
        <w:rPr>
          <w:rFonts w:asciiTheme="majorBidi" w:hAnsiTheme="majorBidi" w:cstheme="majorBidi"/>
          <w:vertAlign w:val="superscript"/>
        </w:rPr>
        <w:t>6</w:t>
      </w:r>
      <w:r w:rsidRPr="00D773F7">
        <w:rPr>
          <w:rFonts w:asciiTheme="majorBidi" w:hAnsiTheme="majorBidi" w:cstheme="majorBidi"/>
        </w:rPr>
        <w:t xml:space="preserve"> that maximizes the concentration of dissolved metal ions in solution. The pH may be chosen following the same guidance as given for the screening test.  </w:t>
      </w:r>
    </w:p>
    <w:p w14:paraId="49AAF217" w14:textId="08FA5BE1" w:rsidR="00186F0A" w:rsidRPr="00D773F7" w:rsidRDefault="00186F0A" w:rsidP="0065243B">
      <w:pPr>
        <w:pStyle w:val="SingleTxtG"/>
        <w:ind w:left="2268"/>
        <w:rPr>
          <w:rFonts w:asciiTheme="majorBidi" w:hAnsiTheme="majorBidi" w:cstheme="majorBidi"/>
        </w:rPr>
      </w:pPr>
      <w:r w:rsidRPr="00D773F7">
        <w:rPr>
          <w:rFonts w:asciiTheme="majorBidi" w:hAnsiTheme="majorBidi" w:cstheme="majorBidi"/>
        </w:rPr>
        <w:t>A9.7.2.2.4.2</w:t>
      </w:r>
      <w:r w:rsidRPr="00D773F7">
        <w:rPr>
          <w:rFonts w:asciiTheme="majorBidi" w:hAnsiTheme="majorBidi" w:cstheme="majorBidi"/>
        </w:rPr>
        <w:tab/>
        <w:t xml:space="preserve"> Based on the data from the full test, it is possible to generate a concentration of the metal ions in solution after 7 days for each of the three loadings (i.e. 1 mg/l as “low”, 10 mg/l as “medium” and 100 mg/l as “high”) used in the test. If the purpose of the test is to assess the long-term (chronic) hazard of the substance, then the loadings</w:t>
      </w:r>
      <w:r w:rsidRPr="00D773F7">
        <w:rPr>
          <w:rFonts w:asciiTheme="majorBidi" w:hAnsiTheme="majorBidi" w:cstheme="majorBidi"/>
          <w:vertAlign w:val="superscript"/>
        </w:rPr>
        <w:t>7</w:t>
      </w:r>
      <w:r w:rsidRPr="00D773F7">
        <w:rPr>
          <w:rFonts w:asciiTheme="majorBidi" w:hAnsiTheme="majorBidi" w:cstheme="majorBidi"/>
        </w:rPr>
        <w:t xml:space="preserve"> should be 0.01 mg/l, 0.1 mg/l or 1 mg/l depending on the transformation rate, and the duration of the test should be extended to 28 days.”</w:t>
      </w:r>
      <w:r w:rsidR="00C55C33" w:rsidRPr="00D773F7">
        <w:rPr>
          <w:rFonts w:asciiTheme="majorBidi" w:hAnsiTheme="majorBidi" w:cstheme="majorBidi"/>
        </w:rPr>
        <w:t>.</w:t>
      </w:r>
    </w:p>
    <w:p w14:paraId="3E1634FF" w14:textId="5DC5144A" w:rsidR="00186F0A" w:rsidRPr="00D773F7" w:rsidRDefault="00186F0A" w:rsidP="00186F0A">
      <w:pPr>
        <w:pStyle w:val="SingleTxtG"/>
        <w:rPr>
          <w:rFonts w:asciiTheme="majorBidi" w:eastAsiaTheme="minorHAnsi" w:hAnsiTheme="majorBidi" w:cstheme="majorBidi"/>
        </w:rPr>
      </w:pPr>
      <w:r w:rsidRPr="00D773F7">
        <w:rPr>
          <w:rFonts w:asciiTheme="majorBidi" w:eastAsiaTheme="minorHAnsi" w:hAnsiTheme="majorBidi" w:cstheme="majorBidi"/>
        </w:rPr>
        <w:t>Insert the following new footnotes “6” and “7”:</w:t>
      </w:r>
    </w:p>
    <w:p w14:paraId="74FBEFE7" w14:textId="58026C98" w:rsidR="00186F0A" w:rsidRPr="00D773F7" w:rsidRDefault="00186F0A" w:rsidP="0066239A">
      <w:pPr>
        <w:pStyle w:val="SingleTxtG"/>
        <w:ind w:left="2268"/>
        <w:rPr>
          <w:rFonts w:asciiTheme="majorBidi" w:eastAsiaTheme="minorHAnsi" w:hAnsiTheme="majorBidi" w:cstheme="majorBidi"/>
          <w:i/>
          <w:iCs/>
        </w:rPr>
      </w:pPr>
      <w:r w:rsidRPr="00D773F7">
        <w:rPr>
          <w:rFonts w:asciiTheme="majorBidi" w:eastAsiaTheme="minorHAnsi" w:hAnsiTheme="majorBidi" w:cstheme="majorBidi"/>
          <w:i/>
          <w:iCs/>
        </w:rPr>
        <w:t>“</w:t>
      </w:r>
      <w:r w:rsidRPr="00D773F7">
        <w:rPr>
          <w:rFonts w:asciiTheme="majorBidi" w:eastAsiaTheme="minorHAnsi" w:hAnsiTheme="majorBidi" w:cstheme="majorBidi"/>
          <w:i/>
          <w:iCs/>
          <w:vertAlign w:val="superscript"/>
        </w:rPr>
        <w:t>6</w:t>
      </w:r>
      <w:r w:rsidRPr="00D773F7">
        <w:rPr>
          <w:rFonts w:asciiTheme="majorBidi" w:eastAsiaTheme="minorHAnsi" w:hAnsiTheme="majorBidi" w:cstheme="majorBidi"/>
          <w:i/>
          <w:iCs/>
        </w:rPr>
        <w:tab/>
        <w:t xml:space="preserve">The Transformation/Dissolution </w:t>
      </w:r>
      <w:r w:rsidR="002B4204" w:rsidRPr="00D773F7">
        <w:rPr>
          <w:rFonts w:asciiTheme="majorBidi" w:eastAsiaTheme="minorHAnsi" w:hAnsiTheme="majorBidi" w:cstheme="majorBidi"/>
          <w:i/>
          <w:iCs/>
        </w:rPr>
        <w:t>P</w:t>
      </w:r>
      <w:r w:rsidRPr="00D773F7">
        <w:rPr>
          <w:rFonts w:asciiTheme="majorBidi" w:eastAsiaTheme="minorHAnsi" w:hAnsiTheme="majorBidi" w:cstheme="majorBidi"/>
          <w:i/>
          <w:iCs/>
        </w:rPr>
        <w:t>rotocol specifies a pH range of 6 to8.5 for the 7-day test and 5.5 to 8.5 for the 28-day test. Considering the difficulty in carrying out transformation/dissolution tests at pH 5.5, OECD only validated the test in the pH range of 6 to 8.</w:t>
      </w:r>
    </w:p>
    <w:p w14:paraId="002F65E3" w14:textId="03EA2E91" w:rsidR="00186F0A" w:rsidRPr="00D773F7" w:rsidRDefault="00186F0A" w:rsidP="0066239A">
      <w:pPr>
        <w:pStyle w:val="SingleTxtG"/>
        <w:ind w:left="2268"/>
        <w:rPr>
          <w:rFonts w:asciiTheme="majorBidi" w:eastAsiaTheme="minorHAnsi" w:hAnsiTheme="majorBidi" w:cstheme="majorBidi"/>
          <w:i/>
          <w:iCs/>
        </w:rPr>
      </w:pPr>
      <w:r w:rsidRPr="00D773F7">
        <w:rPr>
          <w:rFonts w:asciiTheme="majorBidi" w:eastAsiaTheme="minorHAnsi" w:hAnsiTheme="majorBidi" w:cstheme="majorBidi"/>
          <w:i/>
          <w:iCs/>
          <w:vertAlign w:val="superscript"/>
        </w:rPr>
        <w:t>7</w:t>
      </w:r>
      <w:r w:rsidRPr="00D773F7">
        <w:rPr>
          <w:rFonts w:asciiTheme="majorBidi" w:eastAsiaTheme="minorHAnsi" w:hAnsiTheme="majorBidi" w:cstheme="majorBidi"/>
          <w:i/>
          <w:iCs/>
        </w:rPr>
        <w:t xml:space="preserve">  </w:t>
      </w:r>
      <w:r w:rsidR="00B96908">
        <w:rPr>
          <w:rFonts w:asciiTheme="majorBidi" w:eastAsiaTheme="minorHAnsi" w:hAnsiTheme="majorBidi" w:cstheme="majorBidi"/>
          <w:i/>
          <w:iCs/>
        </w:rPr>
        <w:tab/>
      </w:r>
      <w:r w:rsidRPr="00D773F7">
        <w:rPr>
          <w:rFonts w:asciiTheme="majorBidi" w:eastAsiaTheme="minorHAnsi" w:hAnsiTheme="majorBidi" w:cstheme="majorBidi"/>
          <w:i/>
          <w:iCs/>
        </w:rPr>
        <w:t xml:space="preserve">Lower loading rates than 1 mg/l may not be practically feasible for each case. While </w:t>
      </w:r>
      <w:r w:rsidR="004149FA" w:rsidRPr="00D773F7">
        <w:rPr>
          <w:rFonts w:asciiTheme="majorBidi" w:eastAsiaTheme="minorHAnsi" w:hAnsiTheme="majorBidi" w:cstheme="majorBidi"/>
          <w:i/>
          <w:iCs/>
        </w:rPr>
        <w:t xml:space="preserve">transformation/dissolution </w:t>
      </w:r>
      <w:r w:rsidRPr="00D773F7">
        <w:rPr>
          <w:rFonts w:asciiTheme="majorBidi" w:eastAsiaTheme="minorHAnsi" w:hAnsiTheme="majorBidi" w:cstheme="majorBidi"/>
          <w:i/>
          <w:iCs/>
        </w:rPr>
        <w:t xml:space="preserve">testing at lower loading rates is in principle the best way forward it is technically often not feasible. Extensive experience with the </w:t>
      </w:r>
      <w:r w:rsidR="002B4204" w:rsidRPr="00D773F7">
        <w:rPr>
          <w:rFonts w:asciiTheme="majorBidi" w:eastAsiaTheme="minorHAnsi" w:hAnsiTheme="majorBidi" w:cstheme="majorBidi"/>
          <w:i/>
          <w:iCs/>
        </w:rPr>
        <w:t>Transformation/Dissolution P</w:t>
      </w:r>
      <w:r w:rsidRPr="00D773F7">
        <w:rPr>
          <w:rFonts w:asciiTheme="majorBidi" w:eastAsiaTheme="minorHAnsi" w:hAnsiTheme="majorBidi" w:cstheme="majorBidi"/>
          <w:i/>
          <w:iCs/>
        </w:rPr>
        <w:t xml:space="preserve">rotocol demonstrated that reliable predictions can be made for other loading rates. In order to make maximal use of existing </w:t>
      </w:r>
      <w:r w:rsidR="004149FA" w:rsidRPr="00D773F7">
        <w:rPr>
          <w:rFonts w:asciiTheme="majorBidi" w:eastAsiaTheme="minorHAnsi" w:hAnsiTheme="majorBidi" w:cstheme="majorBidi"/>
          <w:i/>
          <w:iCs/>
        </w:rPr>
        <w:t>transformation/dissolution</w:t>
      </w:r>
      <w:r w:rsidRPr="00D773F7">
        <w:rPr>
          <w:rFonts w:asciiTheme="majorBidi" w:eastAsiaTheme="minorHAnsi" w:hAnsiTheme="majorBidi" w:cstheme="majorBidi"/>
          <w:i/>
          <w:iCs/>
        </w:rPr>
        <w:t xml:space="preserve"> data, the 28-day results for the lower loading rates (0.1 and 0.01 mg/l) can therefore often be derived by extrapolation from evidence at other loading rates. This approach should be justified on a case-by-case basis and supported by reliable information on the </w:t>
      </w:r>
      <w:r w:rsidR="004149FA" w:rsidRPr="00D773F7">
        <w:rPr>
          <w:rFonts w:asciiTheme="majorBidi" w:eastAsiaTheme="minorHAnsi" w:hAnsiTheme="majorBidi" w:cstheme="majorBidi"/>
          <w:i/>
          <w:iCs/>
        </w:rPr>
        <w:t>transformation/dissolution</w:t>
      </w:r>
      <w:r w:rsidRPr="00D773F7">
        <w:rPr>
          <w:rFonts w:asciiTheme="majorBidi" w:eastAsiaTheme="minorHAnsi" w:hAnsiTheme="majorBidi" w:cstheme="majorBidi"/>
          <w:i/>
          <w:iCs/>
        </w:rPr>
        <w:t xml:space="preserve"> at different loading rates. It should be further noted that the relationship between loading rate and dissolved metal concentration may not be linear. Therefore, extrapolating </w:t>
      </w:r>
      <w:r w:rsidR="004149FA" w:rsidRPr="00D773F7">
        <w:rPr>
          <w:rFonts w:asciiTheme="majorBidi" w:eastAsiaTheme="minorHAnsi" w:hAnsiTheme="majorBidi" w:cstheme="majorBidi"/>
          <w:i/>
          <w:iCs/>
        </w:rPr>
        <w:t xml:space="preserve">transformation/dissolution </w:t>
      </w:r>
      <w:r w:rsidRPr="00D773F7">
        <w:rPr>
          <w:rFonts w:asciiTheme="majorBidi" w:eastAsiaTheme="minorHAnsi" w:hAnsiTheme="majorBidi" w:cstheme="majorBidi"/>
          <w:i/>
          <w:iCs/>
        </w:rPr>
        <w:t>data to lower loadings should preferably be made by using the equations of section A10.6.1 or alternatively by extrapolating in a precautionary way.”</w:t>
      </w:r>
      <w:r w:rsidR="00A27E44" w:rsidRPr="00D773F7">
        <w:rPr>
          <w:rFonts w:asciiTheme="majorBidi" w:eastAsiaTheme="minorHAnsi" w:hAnsiTheme="majorBidi" w:cstheme="majorBidi"/>
          <w:i/>
          <w:iCs/>
        </w:rPr>
        <w:t>.</w:t>
      </w:r>
    </w:p>
    <w:p w14:paraId="35645769" w14:textId="77777777" w:rsidR="00186F0A" w:rsidRPr="00D773F7" w:rsidRDefault="00186F0A" w:rsidP="0065243B">
      <w:pPr>
        <w:pStyle w:val="SingleTxtG"/>
        <w:tabs>
          <w:tab w:val="clear" w:pos="2268"/>
          <w:tab w:val="left" w:pos="2127"/>
        </w:tabs>
        <w:rPr>
          <w:rFonts w:asciiTheme="majorBidi" w:hAnsiTheme="majorBidi" w:cstheme="majorBidi"/>
        </w:rPr>
      </w:pPr>
      <w:r w:rsidRPr="00D773F7">
        <w:rPr>
          <w:rFonts w:asciiTheme="majorBidi" w:hAnsiTheme="majorBidi" w:cstheme="majorBidi"/>
        </w:rPr>
        <w:t xml:space="preserve">A9.7.2.3 </w:t>
      </w:r>
      <w:r w:rsidRPr="00D773F7">
        <w:rPr>
          <w:rFonts w:asciiTheme="majorBidi" w:hAnsiTheme="majorBidi" w:cstheme="majorBidi"/>
        </w:rPr>
        <w:tab/>
      </w:r>
      <w:r w:rsidRPr="00D773F7">
        <w:rPr>
          <w:rFonts w:asciiTheme="majorBidi" w:eastAsiaTheme="minorHAnsi" w:hAnsiTheme="majorBidi" w:cstheme="majorBidi"/>
        </w:rPr>
        <w:t>Amend to read as follows</w:t>
      </w:r>
      <w:r w:rsidRPr="00D773F7">
        <w:rPr>
          <w:rFonts w:asciiTheme="majorBidi" w:hAnsiTheme="majorBidi" w:cstheme="majorBidi"/>
        </w:rPr>
        <w:t>:</w:t>
      </w:r>
    </w:p>
    <w:p w14:paraId="657A157C" w14:textId="77777777" w:rsidR="00186F0A" w:rsidRPr="00D773F7" w:rsidRDefault="00186F0A" w:rsidP="00B96908">
      <w:pPr>
        <w:pStyle w:val="SingleTxtG"/>
        <w:tabs>
          <w:tab w:val="clear" w:pos="2835"/>
          <w:tab w:val="left" w:pos="3402"/>
        </w:tabs>
        <w:ind w:left="2268"/>
        <w:rPr>
          <w:rFonts w:asciiTheme="majorBidi" w:hAnsiTheme="majorBidi" w:cstheme="majorBidi"/>
        </w:rPr>
      </w:pPr>
      <w:r w:rsidRPr="00D773F7">
        <w:rPr>
          <w:rFonts w:asciiTheme="majorBidi" w:hAnsiTheme="majorBidi" w:cstheme="majorBidi"/>
        </w:rPr>
        <w:t>“A9.7.2.3</w:t>
      </w:r>
      <w:r w:rsidRPr="00D773F7">
        <w:rPr>
          <w:rFonts w:asciiTheme="majorBidi" w:hAnsiTheme="majorBidi" w:cstheme="majorBidi"/>
        </w:rPr>
        <w:tab/>
        <w:t xml:space="preserve">Comparison of aquatic toxicity data and solubility data </w:t>
      </w:r>
    </w:p>
    <w:p w14:paraId="17972312" w14:textId="1710481D" w:rsidR="00186F0A" w:rsidRPr="00D773F7" w:rsidRDefault="00B96908" w:rsidP="00B96908">
      <w:pPr>
        <w:pStyle w:val="SingleTxtG"/>
        <w:tabs>
          <w:tab w:val="clear" w:pos="2835"/>
          <w:tab w:val="left" w:pos="3402"/>
        </w:tabs>
        <w:ind w:left="2268"/>
        <w:rPr>
          <w:rFonts w:asciiTheme="majorBidi" w:hAnsiTheme="majorBidi" w:cstheme="majorBidi"/>
        </w:rPr>
      </w:pPr>
      <w:r>
        <w:rPr>
          <w:rFonts w:asciiTheme="majorBidi" w:hAnsiTheme="majorBidi" w:cstheme="majorBidi"/>
        </w:rPr>
        <w:tab/>
      </w:r>
      <w:r w:rsidR="00186F0A" w:rsidRPr="00D773F7">
        <w:rPr>
          <w:rFonts w:asciiTheme="majorBidi" w:hAnsiTheme="majorBidi" w:cstheme="majorBidi"/>
        </w:rPr>
        <w:t xml:space="preserve">A decision on how to classify the substance will be made by comparing aquatic toxicity data and solubility data. Depending on the available data, two approaches can be followed: </w:t>
      </w:r>
    </w:p>
    <w:p w14:paraId="1C292808" w14:textId="581F6F9B" w:rsidR="00186F0A" w:rsidRPr="00D773F7" w:rsidRDefault="00186F0A" w:rsidP="0066239A">
      <w:pPr>
        <w:pStyle w:val="SingleTxtG"/>
        <w:tabs>
          <w:tab w:val="clear" w:pos="1701"/>
          <w:tab w:val="clear" w:pos="2268"/>
          <w:tab w:val="clear" w:pos="2835"/>
        </w:tabs>
        <w:ind w:left="2835" w:hanging="567"/>
        <w:rPr>
          <w:rFonts w:asciiTheme="majorBidi" w:hAnsiTheme="majorBidi" w:cstheme="majorBidi"/>
          <w:bCs/>
        </w:rPr>
      </w:pPr>
      <w:r w:rsidRPr="00D773F7">
        <w:rPr>
          <w:rFonts w:asciiTheme="majorBidi" w:hAnsiTheme="majorBidi" w:cstheme="majorBidi"/>
          <w:bCs/>
        </w:rPr>
        <w:lastRenderedPageBreak/>
        <w:t>(a)</w:t>
      </w:r>
      <w:r w:rsidRPr="00D773F7">
        <w:rPr>
          <w:rFonts w:asciiTheme="majorBidi" w:hAnsiTheme="majorBidi" w:cstheme="majorBidi"/>
          <w:bCs/>
        </w:rPr>
        <w:tab/>
        <w:t xml:space="preserve">If limited information on the </w:t>
      </w:r>
      <w:r w:rsidR="004149FA" w:rsidRPr="00D773F7">
        <w:rPr>
          <w:rFonts w:asciiTheme="majorBidi" w:hAnsiTheme="majorBidi" w:cstheme="majorBidi"/>
          <w:bCs/>
        </w:rPr>
        <w:t>transformation/dissolution</w:t>
      </w:r>
      <w:r w:rsidRPr="00D773F7">
        <w:rPr>
          <w:rFonts w:asciiTheme="majorBidi" w:hAnsiTheme="majorBidi" w:cstheme="majorBidi"/>
          <w:bCs/>
        </w:rPr>
        <w:t xml:space="preserve"> at different pH levels is available, or if the aquatic toxicity of the dissolved metal does not depend on pH, then the lowest ERV and the highest </w:t>
      </w:r>
      <w:r w:rsidR="004149FA" w:rsidRPr="00D773F7">
        <w:rPr>
          <w:rFonts w:asciiTheme="majorBidi" w:hAnsiTheme="majorBidi" w:cstheme="majorBidi"/>
          <w:bCs/>
        </w:rPr>
        <w:t xml:space="preserve">transformation/dissolution </w:t>
      </w:r>
      <w:r w:rsidRPr="00D773F7">
        <w:rPr>
          <w:rFonts w:asciiTheme="majorBidi" w:hAnsiTheme="majorBidi" w:cstheme="majorBidi"/>
          <w:bCs/>
        </w:rPr>
        <w:t xml:space="preserve">result, each potentially derived at different pH levels, should provide the basis for classification (this should be used as the default approach). </w:t>
      </w:r>
    </w:p>
    <w:p w14:paraId="71F1811D" w14:textId="49EB3B4D" w:rsidR="00186F0A" w:rsidRPr="00D773F7" w:rsidRDefault="00186F0A" w:rsidP="0066239A">
      <w:pPr>
        <w:pStyle w:val="SingleTxtG"/>
        <w:tabs>
          <w:tab w:val="clear" w:pos="1701"/>
          <w:tab w:val="clear" w:pos="2268"/>
        </w:tabs>
        <w:ind w:left="2835" w:hanging="567"/>
        <w:rPr>
          <w:rFonts w:asciiTheme="majorBidi" w:hAnsiTheme="majorBidi" w:cstheme="majorBidi"/>
          <w:bCs/>
        </w:rPr>
      </w:pPr>
      <w:r w:rsidRPr="00D773F7">
        <w:rPr>
          <w:rFonts w:asciiTheme="majorBidi" w:hAnsiTheme="majorBidi" w:cstheme="majorBidi"/>
          <w:bCs/>
        </w:rPr>
        <w:t>(b)</w:t>
      </w:r>
      <w:r w:rsidRPr="00D773F7">
        <w:rPr>
          <w:rFonts w:asciiTheme="majorBidi" w:hAnsiTheme="majorBidi" w:cstheme="majorBidi"/>
          <w:bCs/>
        </w:rPr>
        <w:tab/>
        <w:t xml:space="preserve">If evidence is available that the aquatic toxicity of the dissolved metal depends on pH, and sufficient toxicity data are available at varying pH levels, then a split of the acute and chronic ERVs can be performed according to the pH band. If in addition </w:t>
      </w:r>
      <w:r w:rsidR="004149FA" w:rsidRPr="00D773F7">
        <w:rPr>
          <w:rFonts w:asciiTheme="majorBidi" w:eastAsiaTheme="minorHAnsi" w:hAnsiTheme="majorBidi" w:cstheme="majorBidi"/>
        </w:rPr>
        <w:t xml:space="preserve">transformation/dissolution </w:t>
      </w:r>
      <w:r w:rsidRPr="00D773F7">
        <w:rPr>
          <w:rFonts w:asciiTheme="majorBidi" w:hAnsiTheme="majorBidi" w:cstheme="majorBidi"/>
          <w:bCs/>
        </w:rPr>
        <w:t xml:space="preserve">data at different pH levels are available, then the classification may be derived by comparing </w:t>
      </w:r>
      <w:r w:rsidR="004149FA" w:rsidRPr="00D773F7">
        <w:rPr>
          <w:rFonts w:asciiTheme="majorBidi" w:eastAsiaTheme="minorHAnsi" w:hAnsiTheme="majorBidi" w:cstheme="majorBidi"/>
        </w:rPr>
        <w:t xml:space="preserve">transformation/dissolution </w:t>
      </w:r>
      <w:r w:rsidRPr="00D773F7">
        <w:rPr>
          <w:rFonts w:asciiTheme="majorBidi" w:hAnsiTheme="majorBidi" w:cstheme="majorBidi"/>
          <w:bCs/>
        </w:rPr>
        <w:t xml:space="preserve">data with the ERV at corresponding pH levels, meaning that toxicity data and </w:t>
      </w:r>
      <w:r w:rsidR="004149FA" w:rsidRPr="00D773F7">
        <w:rPr>
          <w:rFonts w:asciiTheme="majorBidi" w:eastAsiaTheme="minorHAnsi" w:hAnsiTheme="majorBidi" w:cstheme="majorBidi"/>
        </w:rPr>
        <w:t xml:space="preserve">transformation/dissolution </w:t>
      </w:r>
      <w:r w:rsidRPr="00D773F7">
        <w:rPr>
          <w:rFonts w:asciiTheme="majorBidi" w:hAnsiTheme="majorBidi" w:cstheme="majorBidi"/>
          <w:bCs/>
        </w:rPr>
        <w:t>data are in this case always compared at the same pH band. This split of the effects data into pH bands would apply in an equal way to the acute and the chronic effects data sets. The most stringent classification outcome across all pH bands should be used.”</w:t>
      </w:r>
    </w:p>
    <w:p w14:paraId="58F316F1" w14:textId="77777777" w:rsidR="00186F0A" w:rsidRPr="00D773F7" w:rsidRDefault="00186F0A" w:rsidP="0066239A">
      <w:pPr>
        <w:pStyle w:val="SingleTxtG"/>
        <w:tabs>
          <w:tab w:val="clear" w:pos="1701"/>
        </w:tabs>
        <w:ind w:left="2268" w:hanging="1134"/>
        <w:rPr>
          <w:rFonts w:asciiTheme="majorBidi" w:hAnsiTheme="majorBidi" w:cstheme="majorBidi"/>
        </w:rPr>
      </w:pPr>
      <w:r w:rsidRPr="00D773F7">
        <w:rPr>
          <w:rFonts w:asciiTheme="majorBidi" w:hAnsiTheme="majorBidi" w:cstheme="majorBidi"/>
        </w:rPr>
        <w:t>A9.7.4.1</w:t>
      </w:r>
      <w:r w:rsidRPr="00D773F7">
        <w:rPr>
          <w:rFonts w:asciiTheme="majorBidi" w:hAnsiTheme="majorBidi" w:cstheme="majorBidi"/>
        </w:rPr>
        <w:tab/>
        <w:t>Amend to read as follows:</w:t>
      </w:r>
    </w:p>
    <w:p w14:paraId="00C3FA7D" w14:textId="77777777" w:rsidR="00186F0A" w:rsidRPr="00D773F7" w:rsidRDefault="00186F0A" w:rsidP="0066239A">
      <w:pPr>
        <w:pStyle w:val="SingleTxtG"/>
        <w:tabs>
          <w:tab w:val="clear" w:pos="1701"/>
        </w:tabs>
        <w:ind w:left="2268"/>
        <w:rPr>
          <w:rFonts w:asciiTheme="majorBidi" w:eastAsiaTheme="minorHAnsi" w:hAnsiTheme="majorBidi" w:cstheme="majorBidi"/>
        </w:rPr>
      </w:pPr>
      <w:r w:rsidRPr="00D773F7">
        <w:rPr>
          <w:rFonts w:asciiTheme="majorBidi" w:eastAsiaTheme="minorHAnsi" w:hAnsiTheme="majorBidi" w:cstheme="majorBidi"/>
        </w:rPr>
        <w:t>“</w:t>
      </w:r>
      <w:r w:rsidRPr="00D773F7">
        <w:rPr>
          <w:rFonts w:asciiTheme="majorBidi" w:hAnsiTheme="majorBidi" w:cstheme="majorBidi"/>
        </w:rPr>
        <w:t>A9.7.4.1</w:t>
      </w:r>
      <w:r w:rsidRPr="00D773F7">
        <w:rPr>
          <w:rFonts w:asciiTheme="majorBidi" w:hAnsiTheme="majorBidi" w:cstheme="majorBidi"/>
        </w:rPr>
        <w:tab/>
      </w:r>
      <w:r w:rsidRPr="00D773F7">
        <w:rPr>
          <w:rFonts w:asciiTheme="majorBidi" w:eastAsiaTheme="minorHAnsi" w:hAnsiTheme="majorBidi" w:cstheme="majorBidi"/>
        </w:rPr>
        <w:t xml:space="preserve">While log </w:t>
      </w:r>
      <w:proofErr w:type="spellStart"/>
      <w:r w:rsidRPr="00D773F7">
        <w:rPr>
          <w:rFonts w:asciiTheme="majorBidi" w:eastAsiaTheme="minorHAnsi" w:hAnsiTheme="majorBidi" w:cstheme="majorBidi"/>
        </w:rPr>
        <w:t>K</w:t>
      </w:r>
      <w:r w:rsidRPr="00D773F7">
        <w:rPr>
          <w:rFonts w:asciiTheme="majorBidi" w:eastAsiaTheme="minorHAnsi" w:hAnsiTheme="majorBidi" w:cstheme="majorBidi"/>
          <w:vertAlign w:val="subscript"/>
        </w:rPr>
        <w:t>ow</w:t>
      </w:r>
      <w:proofErr w:type="spellEnd"/>
      <w:r w:rsidRPr="00D773F7">
        <w:rPr>
          <w:rFonts w:asciiTheme="majorBidi" w:eastAsiaTheme="minorHAnsi" w:hAnsiTheme="majorBidi" w:cstheme="majorBidi"/>
        </w:rPr>
        <w:t xml:space="preserve"> is a good predictor of BCF for certain types of organic compounds e.g. non-polar organic substances, it is irrelevant for inorganic substances such as inorganic metal compounds because metals, in contrast to organic substances, are not lipophilic and are generally not transported through cellular membranes by passive processes. Uptake of metal ions typically occurs through active processes.”</w:t>
      </w:r>
    </w:p>
    <w:p w14:paraId="796D4634" w14:textId="473CDED9" w:rsidR="00186F0A" w:rsidRPr="00D773F7" w:rsidRDefault="00186F0A" w:rsidP="0066239A">
      <w:pPr>
        <w:pStyle w:val="SingleTxtG"/>
        <w:tabs>
          <w:tab w:val="clear" w:pos="2268"/>
        </w:tabs>
        <w:ind w:left="2268" w:hanging="1134"/>
        <w:rPr>
          <w:rFonts w:asciiTheme="majorBidi" w:hAnsiTheme="majorBidi" w:cstheme="majorBidi"/>
        </w:rPr>
      </w:pPr>
      <w:r w:rsidRPr="00D773F7">
        <w:rPr>
          <w:rFonts w:asciiTheme="majorBidi" w:hAnsiTheme="majorBidi" w:cstheme="majorBidi"/>
        </w:rPr>
        <w:t xml:space="preserve">A9.7.4.3 </w:t>
      </w:r>
      <w:r w:rsidRPr="00D773F7">
        <w:rPr>
          <w:rFonts w:asciiTheme="majorBidi" w:hAnsiTheme="majorBidi" w:cstheme="majorBidi"/>
        </w:rPr>
        <w:tab/>
        <w:t>Amend the end of the fourth sentence and insert a new fifth sentence as follows: “…</w:t>
      </w:r>
      <w:r w:rsidR="00625D65" w:rsidRPr="00D773F7">
        <w:rPr>
          <w:rFonts w:asciiTheme="majorBidi" w:hAnsiTheme="majorBidi" w:cstheme="majorBidi"/>
        </w:rPr>
        <w:t xml:space="preserve">are actively regulated </w:t>
      </w:r>
      <w:r w:rsidRPr="00D773F7">
        <w:rPr>
          <w:rFonts w:asciiTheme="majorBidi" w:hAnsiTheme="majorBidi" w:cstheme="majorBidi"/>
        </w:rPr>
        <w:t>in organisms in which the metal is essential (homeostasis). Removal and sequestration processes that minimi</w:t>
      </w:r>
      <w:r w:rsidR="00C20C1B">
        <w:rPr>
          <w:rFonts w:asciiTheme="majorBidi" w:hAnsiTheme="majorBidi" w:cstheme="majorBidi"/>
        </w:rPr>
        <w:t>z</w:t>
      </w:r>
      <w:r w:rsidRPr="00D773F7">
        <w:rPr>
          <w:rFonts w:asciiTheme="majorBidi" w:hAnsiTheme="majorBidi" w:cstheme="majorBidi"/>
        </w:rPr>
        <w:t xml:space="preserve">e toxicity are complemented by an ability to up-regulate concentrations for essentiality.”. </w:t>
      </w:r>
    </w:p>
    <w:p w14:paraId="702B2CF4" w14:textId="77777777" w:rsidR="00186F0A" w:rsidRPr="00D773F7" w:rsidRDefault="00186F0A" w:rsidP="0066239A">
      <w:pPr>
        <w:pStyle w:val="SingleTxtG"/>
        <w:ind w:left="2268"/>
        <w:rPr>
          <w:rFonts w:asciiTheme="majorBidi" w:hAnsiTheme="majorBidi" w:cstheme="majorBidi"/>
          <w:bCs/>
        </w:rPr>
      </w:pPr>
      <w:r w:rsidRPr="00D773F7">
        <w:rPr>
          <w:rFonts w:asciiTheme="majorBidi" w:hAnsiTheme="majorBidi" w:cstheme="majorBidi"/>
          <w:bCs/>
        </w:rPr>
        <w:t>The rest of the paragraph remains unchanged (“Since nutritional requirement of the organisms… bioconcentration and environmental concern.”).</w:t>
      </w:r>
    </w:p>
    <w:p w14:paraId="43687FF5" w14:textId="023611F2" w:rsidR="00186F0A" w:rsidRPr="00D773F7" w:rsidRDefault="00186F0A" w:rsidP="00186F0A">
      <w:pPr>
        <w:pStyle w:val="SingleTxtG"/>
        <w:rPr>
          <w:rFonts w:asciiTheme="majorBidi" w:hAnsiTheme="majorBidi" w:cstheme="majorBidi"/>
          <w:bCs/>
        </w:rPr>
      </w:pPr>
      <w:r w:rsidRPr="00D773F7">
        <w:rPr>
          <w:rFonts w:asciiTheme="majorBidi" w:hAnsiTheme="majorBidi" w:cstheme="majorBidi"/>
          <w:bCs/>
        </w:rPr>
        <w:t>A9.7.4.4</w:t>
      </w:r>
      <w:r w:rsidR="0067463B" w:rsidRPr="00D773F7">
        <w:rPr>
          <w:rFonts w:asciiTheme="majorBidi" w:hAnsiTheme="majorBidi" w:cstheme="majorBidi"/>
          <w:bCs/>
        </w:rPr>
        <w:t xml:space="preserve"> (new)</w:t>
      </w:r>
      <w:r w:rsidRPr="00D773F7">
        <w:rPr>
          <w:rFonts w:asciiTheme="majorBidi" w:hAnsiTheme="majorBidi" w:cstheme="majorBidi"/>
          <w:bCs/>
        </w:rPr>
        <w:tab/>
        <w:t>Insert a new paragraph A9.7.4.4 to read as follows:</w:t>
      </w:r>
    </w:p>
    <w:p w14:paraId="1B01A276" w14:textId="49E5A8DA" w:rsidR="00186F0A" w:rsidRPr="00D773F7" w:rsidRDefault="00186F0A" w:rsidP="0066239A">
      <w:pPr>
        <w:pStyle w:val="SingleTxtG"/>
        <w:tabs>
          <w:tab w:val="clear" w:pos="1701"/>
          <w:tab w:val="clear" w:pos="2835"/>
          <w:tab w:val="left" w:pos="3402"/>
        </w:tabs>
        <w:ind w:left="2268"/>
        <w:rPr>
          <w:rFonts w:asciiTheme="majorBidi" w:hAnsiTheme="majorBidi" w:cstheme="majorBidi"/>
          <w:bCs/>
        </w:rPr>
      </w:pPr>
      <w:r w:rsidRPr="00D773F7">
        <w:rPr>
          <w:rFonts w:asciiTheme="majorBidi" w:hAnsiTheme="majorBidi" w:cstheme="majorBidi"/>
        </w:rPr>
        <w:t>“A9.7.4.4</w:t>
      </w:r>
      <w:r w:rsidRPr="00D773F7">
        <w:rPr>
          <w:rFonts w:asciiTheme="majorBidi" w:hAnsiTheme="majorBidi" w:cstheme="majorBidi"/>
          <w:bCs/>
        </w:rPr>
        <w:tab/>
        <w:t>For essential elements, measured BCFs decline as external concentrations increase because the internal concentrations are regulated by the organism. Non-essential metals are also actively regulated to some extent and therefore also for nonessential metals, an inverse relationship between the metal concentration and the external concentration may be observed (</w:t>
      </w:r>
      <w:proofErr w:type="spellStart"/>
      <w:r w:rsidRPr="00D773F7">
        <w:rPr>
          <w:rFonts w:asciiTheme="majorBidi" w:hAnsiTheme="majorBidi" w:cstheme="majorBidi"/>
          <w:bCs/>
        </w:rPr>
        <w:t>McGeer</w:t>
      </w:r>
      <w:proofErr w:type="spellEnd"/>
      <w:r w:rsidRPr="00D773F7">
        <w:rPr>
          <w:rFonts w:asciiTheme="majorBidi" w:hAnsiTheme="majorBidi" w:cstheme="majorBidi"/>
          <w:bCs/>
        </w:rPr>
        <w:t xml:space="preserve"> et al., 2003). When external concentrations are so high that they exceed a threshold level, or overwhelm the regulatory mechanism, this can cause harm to the organism. BCF and BAF may be used to estimate metal accumulation by:</w:t>
      </w:r>
    </w:p>
    <w:p w14:paraId="28C25525" w14:textId="77777777" w:rsidR="00186F0A" w:rsidRPr="00D773F7" w:rsidRDefault="00186F0A" w:rsidP="0066239A">
      <w:pPr>
        <w:pStyle w:val="SingleTxtG"/>
        <w:tabs>
          <w:tab w:val="clear" w:pos="2268"/>
          <w:tab w:val="clear" w:pos="2835"/>
        </w:tabs>
        <w:ind w:left="2835" w:hanging="567"/>
        <w:rPr>
          <w:rFonts w:asciiTheme="majorBidi" w:hAnsiTheme="majorBidi" w:cstheme="majorBidi"/>
          <w:bCs/>
        </w:rPr>
      </w:pPr>
      <w:r w:rsidRPr="00D773F7">
        <w:rPr>
          <w:rFonts w:asciiTheme="majorBidi" w:hAnsiTheme="majorBidi" w:cstheme="majorBidi"/>
          <w:bCs/>
        </w:rPr>
        <w:t>(a)</w:t>
      </w:r>
      <w:r w:rsidRPr="00D773F7">
        <w:rPr>
          <w:rFonts w:asciiTheme="majorBidi" w:hAnsiTheme="majorBidi" w:cstheme="majorBidi"/>
          <w:bCs/>
        </w:rPr>
        <w:tab/>
        <w:t>Considering information on essentiality and homeostasis of metals/metal compounds. As a result of such regulation, the “</w:t>
      </w:r>
      <w:proofErr w:type="spellStart"/>
      <w:r w:rsidRPr="00D773F7">
        <w:rPr>
          <w:rFonts w:asciiTheme="majorBidi" w:hAnsiTheme="majorBidi" w:cstheme="majorBidi"/>
          <w:bCs/>
        </w:rPr>
        <w:t>bioaccumulative</w:t>
      </w:r>
      <w:proofErr w:type="spellEnd"/>
      <w:r w:rsidRPr="00D773F7">
        <w:rPr>
          <w:rFonts w:asciiTheme="majorBidi" w:hAnsiTheme="majorBidi" w:cstheme="majorBidi"/>
          <w:bCs/>
        </w:rPr>
        <w:t>” criterion is not applicable to metals.</w:t>
      </w:r>
    </w:p>
    <w:p w14:paraId="424942D5" w14:textId="77777777" w:rsidR="00186F0A" w:rsidRPr="00D773F7" w:rsidRDefault="00186F0A" w:rsidP="0066239A">
      <w:pPr>
        <w:pStyle w:val="SingleTxtG"/>
        <w:tabs>
          <w:tab w:val="clear" w:pos="2268"/>
          <w:tab w:val="clear" w:pos="2835"/>
        </w:tabs>
        <w:ind w:left="2835" w:hanging="567"/>
        <w:rPr>
          <w:rFonts w:asciiTheme="majorBidi" w:hAnsiTheme="majorBidi" w:cstheme="majorBidi"/>
          <w:bCs/>
        </w:rPr>
      </w:pPr>
      <w:r w:rsidRPr="00D773F7">
        <w:rPr>
          <w:rFonts w:asciiTheme="majorBidi" w:hAnsiTheme="majorBidi" w:cstheme="majorBidi"/>
          <w:bCs/>
        </w:rPr>
        <w:t>(b)</w:t>
      </w:r>
      <w:r w:rsidRPr="00D773F7">
        <w:rPr>
          <w:rFonts w:asciiTheme="majorBidi" w:hAnsiTheme="majorBidi" w:cstheme="majorBidi"/>
          <w:bCs/>
        </w:rPr>
        <w:tab/>
        <w:t>Assessing bioconcentration factors for non-essential metals, should preferably be done from BCF studies using environmentally relevant concentrations in the test media.”.</w:t>
      </w:r>
    </w:p>
    <w:p w14:paraId="0F95CFC8" w14:textId="77777777" w:rsidR="00186F0A" w:rsidRPr="00D773F7" w:rsidRDefault="00186F0A" w:rsidP="0066239A">
      <w:pPr>
        <w:pStyle w:val="SingleTxtG"/>
        <w:tabs>
          <w:tab w:val="clear" w:pos="1701"/>
        </w:tabs>
        <w:ind w:left="2268" w:hanging="1134"/>
        <w:rPr>
          <w:rFonts w:asciiTheme="majorBidi" w:hAnsiTheme="majorBidi" w:cstheme="majorBidi"/>
        </w:rPr>
      </w:pPr>
      <w:r w:rsidRPr="00D773F7">
        <w:rPr>
          <w:rFonts w:asciiTheme="majorBidi" w:eastAsiaTheme="minorHAnsi" w:hAnsiTheme="majorBidi" w:cstheme="majorBidi"/>
        </w:rPr>
        <w:t xml:space="preserve">A9.7.5.1.1 </w:t>
      </w:r>
      <w:r w:rsidRPr="00D773F7">
        <w:rPr>
          <w:rFonts w:asciiTheme="majorBidi" w:eastAsiaTheme="minorHAnsi" w:hAnsiTheme="majorBidi" w:cstheme="majorBidi"/>
        </w:rPr>
        <w:tab/>
        <w:t>Amend to read as follows</w:t>
      </w:r>
      <w:r w:rsidRPr="00D773F7">
        <w:rPr>
          <w:rFonts w:asciiTheme="majorBidi" w:hAnsiTheme="majorBidi" w:cstheme="majorBidi"/>
        </w:rPr>
        <w:t>:</w:t>
      </w:r>
    </w:p>
    <w:p w14:paraId="0150DC70" w14:textId="77777777" w:rsidR="00186F0A" w:rsidRPr="00D773F7" w:rsidRDefault="00186F0A" w:rsidP="0066239A">
      <w:pPr>
        <w:pStyle w:val="SingleTxtG"/>
        <w:tabs>
          <w:tab w:val="clear" w:pos="1701"/>
        </w:tabs>
        <w:ind w:left="2268"/>
        <w:rPr>
          <w:rFonts w:asciiTheme="majorBidi" w:eastAsiaTheme="minorHAnsi" w:hAnsiTheme="majorBidi" w:cstheme="majorBidi"/>
        </w:rPr>
      </w:pPr>
      <w:r w:rsidRPr="00D773F7">
        <w:rPr>
          <w:rFonts w:asciiTheme="majorBidi" w:eastAsiaTheme="minorHAnsi" w:hAnsiTheme="majorBidi" w:cstheme="majorBidi"/>
        </w:rPr>
        <w:t>“A9.7.5.1.1</w:t>
      </w:r>
      <w:r w:rsidRPr="00D773F7">
        <w:rPr>
          <w:rFonts w:asciiTheme="majorBidi" w:eastAsiaTheme="minorHAnsi" w:hAnsiTheme="majorBidi" w:cstheme="majorBidi"/>
        </w:rPr>
        <w:tab/>
        <w:t>Short-term (acute) and long-term (chronic) hazards are assessed individually for metals and metal compounds. For long-term hazards preference should be given in applying the approach based on chronic toxicity data. Such evidence is often available for the readily soluble metal salts. The schemes for the determination of short-term and long-term aquatic hazards of metals and metal compounds are described below and summarized in the figures:</w:t>
      </w:r>
    </w:p>
    <w:p w14:paraId="162571AF" w14:textId="77777777" w:rsidR="00186F0A" w:rsidRPr="00D773F7" w:rsidRDefault="00186F0A" w:rsidP="006637D6">
      <w:pPr>
        <w:pStyle w:val="SingleTxtG"/>
        <w:tabs>
          <w:tab w:val="clear" w:pos="2268"/>
        </w:tabs>
        <w:ind w:left="2835" w:hanging="567"/>
        <w:rPr>
          <w:rFonts w:asciiTheme="majorBidi" w:eastAsiaTheme="minorHAnsi" w:hAnsiTheme="majorBidi" w:cstheme="majorBidi"/>
        </w:rPr>
      </w:pPr>
      <w:r w:rsidRPr="00D773F7">
        <w:rPr>
          <w:rFonts w:asciiTheme="majorBidi" w:eastAsiaTheme="minorHAnsi" w:hAnsiTheme="majorBidi" w:cstheme="majorBidi"/>
        </w:rPr>
        <w:lastRenderedPageBreak/>
        <w:t>(a)</w:t>
      </w:r>
      <w:r w:rsidRPr="00D773F7">
        <w:rPr>
          <w:rFonts w:asciiTheme="majorBidi" w:eastAsiaTheme="minorHAnsi" w:hAnsiTheme="majorBidi" w:cstheme="majorBidi"/>
        </w:rPr>
        <w:tab/>
        <w:t>A9.7.1 (short-term hazard classification of metals);</w:t>
      </w:r>
    </w:p>
    <w:p w14:paraId="3586F482" w14:textId="77777777" w:rsidR="00186F0A" w:rsidRPr="00D773F7" w:rsidRDefault="00186F0A" w:rsidP="006637D6">
      <w:pPr>
        <w:pStyle w:val="SingleTxtG"/>
        <w:tabs>
          <w:tab w:val="clear" w:pos="2268"/>
        </w:tabs>
        <w:ind w:left="2835" w:hanging="567"/>
        <w:rPr>
          <w:rFonts w:asciiTheme="majorBidi" w:eastAsiaTheme="minorHAnsi" w:hAnsiTheme="majorBidi" w:cstheme="majorBidi"/>
        </w:rPr>
      </w:pPr>
      <w:r w:rsidRPr="00D773F7">
        <w:rPr>
          <w:rFonts w:asciiTheme="majorBidi" w:eastAsiaTheme="minorHAnsi" w:hAnsiTheme="majorBidi" w:cstheme="majorBidi"/>
        </w:rPr>
        <w:t>(b)</w:t>
      </w:r>
      <w:r w:rsidRPr="00D773F7">
        <w:rPr>
          <w:rFonts w:asciiTheme="majorBidi" w:eastAsiaTheme="minorHAnsi" w:hAnsiTheme="majorBidi" w:cstheme="majorBidi"/>
        </w:rPr>
        <w:tab/>
        <w:t>A9.7.2 and A9.7.3 (long-term hazard classification of metals);</w:t>
      </w:r>
    </w:p>
    <w:p w14:paraId="155EEB78" w14:textId="77777777" w:rsidR="00186F0A" w:rsidRPr="00D773F7" w:rsidRDefault="00186F0A" w:rsidP="006637D6">
      <w:pPr>
        <w:pStyle w:val="SingleTxtG"/>
        <w:tabs>
          <w:tab w:val="clear" w:pos="2268"/>
        </w:tabs>
        <w:ind w:left="2835" w:hanging="567"/>
        <w:rPr>
          <w:rFonts w:asciiTheme="majorBidi" w:eastAsiaTheme="minorHAnsi" w:hAnsiTheme="majorBidi" w:cstheme="majorBidi"/>
        </w:rPr>
      </w:pPr>
      <w:r w:rsidRPr="00D773F7">
        <w:rPr>
          <w:rFonts w:asciiTheme="majorBidi" w:eastAsiaTheme="minorHAnsi" w:hAnsiTheme="majorBidi" w:cstheme="majorBidi"/>
        </w:rPr>
        <w:t>(c)</w:t>
      </w:r>
      <w:r w:rsidRPr="00D773F7">
        <w:rPr>
          <w:rFonts w:asciiTheme="majorBidi" w:eastAsiaTheme="minorHAnsi" w:hAnsiTheme="majorBidi" w:cstheme="majorBidi"/>
        </w:rPr>
        <w:tab/>
        <w:t>A9.7.4 (short-term hazard classification of metal compounds);</w:t>
      </w:r>
    </w:p>
    <w:p w14:paraId="757C1A48" w14:textId="77777777" w:rsidR="00186F0A" w:rsidRPr="00D773F7" w:rsidRDefault="00186F0A" w:rsidP="006637D6">
      <w:pPr>
        <w:pStyle w:val="SingleTxtG"/>
        <w:tabs>
          <w:tab w:val="clear" w:pos="2268"/>
        </w:tabs>
        <w:ind w:left="2835" w:hanging="567"/>
        <w:rPr>
          <w:rFonts w:asciiTheme="majorBidi" w:eastAsiaTheme="minorHAnsi" w:hAnsiTheme="majorBidi" w:cstheme="majorBidi"/>
        </w:rPr>
      </w:pPr>
      <w:r w:rsidRPr="00D773F7">
        <w:rPr>
          <w:rFonts w:asciiTheme="majorBidi" w:eastAsiaTheme="minorHAnsi" w:hAnsiTheme="majorBidi" w:cstheme="majorBidi"/>
        </w:rPr>
        <w:t>(d)</w:t>
      </w:r>
      <w:r w:rsidRPr="00D773F7">
        <w:rPr>
          <w:rFonts w:asciiTheme="majorBidi" w:eastAsiaTheme="minorHAnsi" w:hAnsiTheme="majorBidi" w:cstheme="majorBidi"/>
        </w:rPr>
        <w:tab/>
        <w:t xml:space="preserve">A9.7.5 (long-term hazard classification of metal compounds). </w:t>
      </w:r>
    </w:p>
    <w:p w14:paraId="35092522" w14:textId="77777777" w:rsidR="00186F0A" w:rsidRPr="00D773F7" w:rsidRDefault="00186F0A" w:rsidP="006637D6">
      <w:pPr>
        <w:pStyle w:val="SingleTxtG"/>
        <w:ind w:left="2268"/>
        <w:rPr>
          <w:rFonts w:asciiTheme="majorBidi" w:eastAsiaTheme="minorHAnsi" w:hAnsiTheme="majorBidi" w:cstheme="majorBidi"/>
        </w:rPr>
      </w:pPr>
      <w:r w:rsidRPr="00D773F7">
        <w:rPr>
          <w:rFonts w:asciiTheme="majorBidi" w:eastAsiaTheme="minorHAnsi" w:hAnsiTheme="majorBidi" w:cstheme="majorBidi"/>
        </w:rPr>
        <w:t>A9.7.5.1.1.1</w:t>
      </w:r>
      <w:r w:rsidRPr="00D773F7">
        <w:rPr>
          <w:rFonts w:asciiTheme="majorBidi" w:eastAsiaTheme="minorHAnsi" w:hAnsiTheme="majorBidi" w:cstheme="majorBidi"/>
        </w:rPr>
        <w:tab/>
        <w:t xml:space="preserve">There are several stages in these schemes where data are used for decision purposes. It is not the intention of the classification schemes to generate new data. In the absence of valid data, it will be necessary to use all available data and expert judgement. </w:t>
      </w:r>
    </w:p>
    <w:p w14:paraId="3AE24F43" w14:textId="77777777" w:rsidR="00186F0A" w:rsidRPr="00D773F7" w:rsidRDefault="00186F0A" w:rsidP="006637D6">
      <w:pPr>
        <w:pStyle w:val="SingleTxtG"/>
        <w:ind w:left="2268"/>
        <w:rPr>
          <w:rFonts w:asciiTheme="majorBidi" w:eastAsiaTheme="minorHAnsi" w:hAnsiTheme="majorBidi" w:cstheme="majorBidi"/>
        </w:rPr>
      </w:pPr>
      <w:r w:rsidRPr="00D773F7">
        <w:rPr>
          <w:rFonts w:asciiTheme="majorBidi" w:eastAsiaTheme="minorHAnsi" w:hAnsiTheme="majorBidi" w:cstheme="majorBidi"/>
        </w:rPr>
        <w:t>A9.7.5.1.1.2</w:t>
      </w:r>
      <w:r w:rsidRPr="00D773F7">
        <w:rPr>
          <w:rFonts w:asciiTheme="majorBidi" w:eastAsiaTheme="minorHAnsi" w:hAnsiTheme="majorBidi" w:cstheme="majorBidi"/>
        </w:rPr>
        <w:tab/>
        <w:t>In the following sections, the reference to the acute and chronic ERVs refers to the data point(s) that will be used to select the hazard categories for the metal or metal compound.”.</w:t>
      </w:r>
    </w:p>
    <w:p w14:paraId="170782E0" w14:textId="77777777" w:rsidR="00186F0A" w:rsidRPr="00D773F7" w:rsidRDefault="00186F0A" w:rsidP="0066239A">
      <w:pPr>
        <w:pStyle w:val="SingleTxtG"/>
        <w:tabs>
          <w:tab w:val="clear" w:pos="1701"/>
        </w:tabs>
        <w:rPr>
          <w:rFonts w:asciiTheme="majorBidi" w:eastAsiaTheme="minorHAnsi" w:hAnsiTheme="majorBidi" w:cstheme="majorBidi"/>
        </w:rPr>
      </w:pPr>
      <w:r w:rsidRPr="00D773F7">
        <w:rPr>
          <w:rFonts w:asciiTheme="majorBidi" w:eastAsiaTheme="minorHAnsi" w:hAnsiTheme="majorBidi" w:cstheme="majorBidi"/>
        </w:rPr>
        <w:t>A9.7.5.1.2</w:t>
      </w:r>
      <w:r w:rsidRPr="00D773F7">
        <w:rPr>
          <w:rFonts w:asciiTheme="majorBidi" w:eastAsiaTheme="minorHAnsi" w:hAnsiTheme="majorBidi" w:cstheme="majorBidi"/>
        </w:rPr>
        <w:tab/>
        <w:t>Amend to read as follows:</w:t>
      </w:r>
    </w:p>
    <w:p w14:paraId="1634946F" w14:textId="500EDE4E" w:rsidR="00186F0A" w:rsidRPr="00D773F7" w:rsidRDefault="00186F0A" w:rsidP="0066239A">
      <w:pPr>
        <w:pStyle w:val="SingleTxtG"/>
        <w:tabs>
          <w:tab w:val="clear" w:pos="1701"/>
        </w:tabs>
        <w:ind w:left="2268"/>
        <w:rPr>
          <w:rFonts w:asciiTheme="majorBidi" w:eastAsiaTheme="minorHAnsi" w:hAnsiTheme="majorBidi" w:cstheme="majorBidi"/>
        </w:rPr>
      </w:pPr>
      <w:r w:rsidRPr="00D773F7">
        <w:rPr>
          <w:rFonts w:asciiTheme="majorBidi" w:eastAsiaTheme="minorHAnsi" w:hAnsiTheme="majorBidi" w:cstheme="majorBidi"/>
        </w:rPr>
        <w:t>“A9.7.5.1.2</w:t>
      </w:r>
      <w:r w:rsidRPr="00D773F7">
        <w:rPr>
          <w:rFonts w:asciiTheme="majorBidi" w:eastAsiaTheme="minorHAnsi" w:hAnsiTheme="majorBidi" w:cstheme="majorBidi"/>
        </w:rPr>
        <w:tab/>
        <w:t>When considering acute and chronic ERVs for metal compounds (</w:t>
      </w:r>
      <w:proofErr w:type="spellStart"/>
      <w:r w:rsidRPr="00D773F7">
        <w:rPr>
          <w:rFonts w:asciiTheme="majorBidi" w:eastAsiaTheme="minorHAnsi" w:hAnsiTheme="majorBidi" w:cstheme="majorBidi"/>
        </w:rPr>
        <w:t>ERV</w:t>
      </w:r>
      <w:r w:rsidRPr="00D773F7">
        <w:rPr>
          <w:rFonts w:asciiTheme="majorBidi" w:eastAsiaTheme="minorHAnsi" w:hAnsiTheme="majorBidi" w:cstheme="majorBidi"/>
          <w:vertAlign w:val="subscript"/>
        </w:rPr>
        <w:t>compound</w:t>
      </w:r>
      <w:proofErr w:type="spellEnd"/>
      <w:r w:rsidRPr="00D773F7">
        <w:rPr>
          <w:rFonts w:asciiTheme="majorBidi" w:eastAsiaTheme="minorHAnsi" w:hAnsiTheme="majorBidi" w:cstheme="majorBidi"/>
        </w:rPr>
        <w:t xml:space="preserve">), it is important to ensure that the data point to be used as the justification for the classification is expressed in the weight of the molecule of the metal compound to be classified. This is known as correcting for molecular weight. Thus while most metal data are expressed in, for example, mg/l of the dissolved metal ion (abbreviated </w:t>
      </w:r>
      <w:proofErr w:type="spellStart"/>
      <w:r w:rsidRPr="00D773F7">
        <w:rPr>
          <w:rFonts w:asciiTheme="majorBidi" w:eastAsiaTheme="minorHAnsi" w:hAnsiTheme="majorBidi" w:cstheme="majorBidi"/>
        </w:rPr>
        <w:t>ERV</w:t>
      </w:r>
      <w:r w:rsidRPr="00D773F7">
        <w:rPr>
          <w:rFonts w:asciiTheme="majorBidi" w:eastAsiaTheme="minorHAnsi" w:hAnsiTheme="majorBidi" w:cstheme="majorBidi"/>
          <w:vertAlign w:val="subscript"/>
        </w:rPr>
        <w:t>ion</w:t>
      </w:r>
      <w:proofErr w:type="spellEnd"/>
      <w:r w:rsidRPr="00D773F7">
        <w:rPr>
          <w:rFonts w:asciiTheme="majorBidi" w:eastAsiaTheme="minorHAnsi" w:hAnsiTheme="majorBidi" w:cstheme="majorBidi"/>
        </w:rPr>
        <w:t>), this value will need to be adjusted to the corresponding weight of the metal compound. Thus:</w:t>
      </w:r>
    </w:p>
    <w:p w14:paraId="7A2F1D9E" w14:textId="77777777" w:rsidR="00186F0A" w:rsidRPr="00D773F7" w:rsidRDefault="00186F0A" w:rsidP="00186F0A">
      <w:pPr>
        <w:pStyle w:val="SingleTxtG"/>
        <w:ind w:left="2835" w:firstLine="567"/>
        <w:rPr>
          <w:rFonts w:asciiTheme="majorBidi" w:eastAsiaTheme="minorHAnsi" w:hAnsiTheme="majorBidi" w:cstheme="majorBidi"/>
        </w:rPr>
      </w:pPr>
      <w:proofErr w:type="spellStart"/>
      <w:r w:rsidRPr="00D773F7">
        <w:rPr>
          <w:rFonts w:asciiTheme="majorBidi" w:eastAsiaTheme="minorHAnsi" w:hAnsiTheme="majorBidi" w:cstheme="majorBidi"/>
        </w:rPr>
        <w:t>ERV</w:t>
      </w:r>
      <w:r w:rsidRPr="00D773F7">
        <w:rPr>
          <w:rFonts w:asciiTheme="majorBidi" w:eastAsiaTheme="minorHAnsi" w:hAnsiTheme="majorBidi" w:cstheme="majorBidi"/>
          <w:vertAlign w:val="subscript"/>
        </w:rPr>
        <w:t>compound</w:t>
      </w:r>
      <w:proofErr w:type="spellEnd"/>
      <w:r w:rsidRPr="00D773F7">
        <w:rPr>
          <w:rFonts w:asciiTheme="majorBidi" w:eastAsiaTheme="minorHAnsi" w:hAnsiTheme="majorBidi" w:cstheme="majorBidi"/>
        </w:rPr>
        <w:t xml:space="preserve"> =  </w:t>
      </w:r>
      <w:proofErr w:type="spellStart"/>
      <w:r w:rsidRPr="00D773F7">
        <w:rPr>
          <w:rFonts w:asciiTheme="majorBidi" w:eastAsiaTheme="minorHAnsi" w:hAnsiTheme="majorBidi" w:cstheme="majorBidi"/>
        </w:rPr>
        <w:t>ERV</w:t>
      </w:r>
      <w:r w:rsidRPr="00D773F7">
        <w:rPr>
          <w:rFonts w:asciiTheme="majorBidi" w:eastAsiaTheme="minorHAnsi" w:hAnsiTheme="majorBidi" w:cstheme="majorBidi"/>
          <w:vertAlign w:val="subscript"/>
        </w:rPr>
        <w:t>ion</w:t>
      </w:r>
      <w:proofErr w:type="spellEnd"/>
      <w:r w:rsidRPr="00D773F7">
        <w:rPr>
          <w:rFonts w:asciiTheme="majorBidi" w:eastAsiaTheme="minorHAnsi" w:hAnsiTheme="majorBidi" w:cstheme="majorBidi"/>
        </w:rPr>
        <w:t xml:space="preserve"> x </w:t>
      </w:r>
    </w:p>
    <w:p w14:paraId="7C90388C" w14:textId="77777777" w:rsidR="00186F0A" w:rsidRPr="00D773F7" w:rsidRDefault="00186F0A" w:rsidP="00186F0A">
      <w:pPr>
        <w:pStyle w:val="SingleTxtG"/>
        <w:ind w:left="2268"/>
        <w:rPr>
          <w:rFonts w:asciiTheme="majorBidi" w:eastAsiaTheme="minorHAnsi" w:hAnsiTheme="majorBidi" w:cstheme="majorBidi"/>
        </w:rPr>
      </w:pPr>
      <w:r w:rsidRPr="00D773F7">
        <w:rPr>
          <w:rFonts w:asciiTheme="majorBidi" w:eastAsiaTheme="minorHAnsi" w:hAnsiTheme="majorBidi" w:cstheme="majorBidi"/>
        </w:rPr>
        <w:t>(Molecular weight of metal compound / Σ atomic weight of the atom(s) of the metal in the compound)</w:t>
      </w:r>
    </w:p>
    <w:p w14:paraId="43D64054" w14:textId="77777777" w:rsidR="00186F0A" w:rsidRPr="00D773F7" w:rsidRDefault="00186F0A" w:rsidP="0099003F">
      <w:pPr>
        <w:pStyle w:val="SingleTxtG"/>
        <w:ind w:left="2268"/>
        <w:rPr>
          <w:rFonts w:asciiTheme="majorBidi" w:eastAsiaTheme="minorHAnsi" w:hAnsiTheme="majorBidi" w:cstheme="majorBidi"/>
        </w:rPr>
      </w:pPr>
      <w:r w:rsidRPr="00D773F7">
        <w:rPr>
          <w:rFonts w:asciiTheme="majorBidi" w:eastAsiaTheme="minorHAnsi" w:hAnsiTheme="majorBidi" w:cstheme="majorBidi"/>
        </w:rPr>
        <w:t>where:</w:t>
      </w:r>
    </w:p>
    <w:p w14:paraId="0D6EBEE5" w14:textId="77777777" w:rsidR="00186F0A" w:rsidRPr="00D773F7" w:rsidRDefault="00186F0A" w:rsidP="00186F0A">
      <w:pPr>
        <w:pStyle w:val="SingleTxtG"/>
        <w:ind w:left="2835"/>
        <w:rPr>
          <w:rFonts w:asciiTheme="majorBidi" w:eastAsiaTheme="minorHAnsi" w:hAnsiTheme="majorBidi" w:cstheme="majorBidi"/>
        </w:rPr>
      </w:pPr>
      <w:proofErr w:type="spellStart"/>
      <w:r w:rsidRPr="00D773F7">
        <w:rPr>
          <w:rFonts w:asciiTheme="majorBidi" w:eastAsiaTheme="minorHAnsi" w:hAnsiTheme="majorBidi" w:cstheme="majorBidi"/>
        </w:rPr>
        <w:t>ERV</w:t>
      </w:r>
      <w:r w:rsidRPr="00D773F7">
        <w:rPr>
          <w:rFonts w:asciiTheme="majorBidi" w:eastAsiaTheme="minorHAnsi" w:hAnsiTheme="majorBidi" w:cstheme="majorBidi"/>
          <w:vertAlign w:val="subscript"/>
        </w:rPr>
        <w:t>compound</w:t>
      </w:r>
      <w:proofErr w:type="spellEnd"/>
      <w:r w:rsidRPr="00D773F7">
        <w:rPr>
          <w:rFonts w:asciiTheme="majorBidi" w:eastAsiaTheme="minorHAnsi" w:hAnsiTheme="majorBidi" w:cstheme="majorBidi"/>
        </w:rPr>
        <w:t xml:space="preserve"> = ERV of the metal compound</w:t>
      </w:r>
    </w:p>
    <w:p w14:paraId="6C9E0BA4" w14:textId="77777777" w:rsidR="00186F0A" w:rsidRPr="00D773F7" w:rsidRDefault="00186F0A" w:rsidP="00186F0A">
      <w:pPr>
        <w:pStyle w:val="SingleTxtG"/>
        <w:ind w:left="2835"/>
        <w:rPr>
          <w:rFonts w:asciiTheme="majorBidi" w:eastAsiaTheme="minorHAnsi" w:hAnsiTheme="majorBidi" w:cstheme="majorBidi"/>
        </w:rPr>
      </w:pPr>
      <w:proofErr w:type="spellStart"/>
      <w:r w:rsidRPr="00D773F7">
        <w:rPr>
          <w:rFonts w:asciiTheme="majorBidi" w:eastAsiaTheme="minorHAnsi" w:hAnsiTheme="majorBidi" w:cstheme="majorBidi"/>
        </w:rPr>
        <w:t>ERV</w:t>
      </w:r>
      <w:r w:rsidRPr="00D773F7">
        <w:rPr>
          <w:rFonts w:asciiTheme="majorBidi" w:eastAsiaTheme="minorHAnsi" w:hAnsiTheme="majorBidi" w:cstheme="majorBidi"/>
          <w:vertAlign w:val="subscript"/>
        </w:rPr>
        <w:t>ion</w:t>
      </w:r>
      <w:proofErr w:type="spellEnd"/>
      <w:r w:rsidRPr="00D773F7">
        <w:rPr>
          <w:rFonts w:asciiTheme="majorBidi" w:eastAsiaTheme="minorHAnsi" w:hAnsiTheme="majorBidi" w:cstheme="majorBidi"/>
        </w:rPr>
        <w:t xml:space="preserve"> = ERV of the dissolved metal ion”</w:t>
      </w:r>
    </w:p>
    <w:p w14:paraId="0631721E" w14:textId="77777777" w:rsidR="00186F0A" w:rsidRPr="00D773F7" w:rsidRDefault="00186F0A" w:rsidP="00186F0A">
      <w:pPr>
        <w:pStyle w:val="SingleTxtG"/>
        <w:tabs>
          <w:tab w:val="left" w:pos="1985"/>
        </w:tabs>
        <w:rPr>
          <w:rFonts w:asciiTheme="majorBidi" w:eastAsiaTheme="minorHAnsi" w:hAnsiTheme="majorBidi" w:cstheme="majorBidi"/>
        </w:rPr>
      </w:pPr>
      <w:r w:rsidRPr="00D773F7">
        <w:rPr>
          <w:rFonts w:asciiTheme="majorBidi" w:eastAsiaTheme="minorHAnsi" w:hAnsiTheme="majorBidi" w:cstheme="majorBidi"/>
        </w:rPr>
        <w:t xml:space="preserve">A9.7.5.2 to A9.7.5.2.4.2  </w:t>
      </w:r>
      <w:r w:rsidRPr="00D773F7">
        <w:rPr>
          <w:rFonts w:asciiTheme="majorBidi" w:eastAsiaTheme="minorHAnsi" w:hAnsiTheme="majorBidi" w:cstheme="majorBidi"/>
        </w:rPr>
        <w:tab/>
        <w:t>Replace with the following text:</w:t>
      </w:r>
    </w:p>
    <w:p w14:paraId="31F38CCA" w14:textId="77777777" w:rsidR="00186F0A" w:rsidRPr="00D773F7" w:rsidRDefault="00186F0A" w:rsidP="004F5852">
      <w:pPr>
        <w:pStyle w:val="SingleTxtG"/>
        <w:ind w:left="2268"/>
        <w:rPr>
          <w:rFonts w:asciiTheme="majorBidi" w:eastAsiaTheme="minorHAnsi" w:hAnsiTheme="majorBidi" w:cstheme="majorBidi"/>
          <w:i/>
          <w:iCs/>
        </w:rPr>
      </w:pPr>
      <w:r w:rsidRPr="00D773F7">
        <w:rPr>
          <w:rFonts w:asciiTheme="majorBidi" w:eastAsiaTheme="minorHAnsi" w:hAnsiTheme="majorBidi" w:cstheme="majorBidi"/>
        </w:rPr>
        <w:t>“A9.7.5.2</w:t>
      </w:r>
      <w:r w:rsidRPr="00D773F7">
        <w:rPr>
          <w:rFonts w:asciiTheme="majorBidi" w:eastAsiaTheme="minorHAnsi" w:hAnsiTheme="majorBidi" w:cstheme="majorBidi"/>
        </w:rPr>
        <w:tab/>
      </w:r>
      <w:r w:rsidRPr="00D773F7">
        <w:rPr>
          <w:rFonts w:asciiTheme="majorBidi" w:eastAsiaTheme="minorHAnsi" w:hAnsiTheme="majorBidi" w:cstheme="majorBidi"/>
          <w:i/>
          <w:iCs/>
        </w:rPr>
        <w:t>Classification strategy for metals</w:t>
      </w:r>
    </w:p>
    <w:p w14:paraId="676CFB72" w14:textId="77777777" w:rsidR="00186F0A" w:rsidRPr="00D773F7" w:rsidRDefault="00186F0A" w:rsidP="004F5852">
      <w:pPr>
        <w:pStyle w:val="SingleTxtG"/>
        <w:ind w:left="2268"/>
        <w:rPr>
          <w:rFonts w:asciiTheme="majorBidi" w:eastAsiaTheme="minorHAnsi" w:hAnsiTheme="majorBidi" w:cstheme="majorBidi"/>
          <w:i/>
          <w:iCs/>
        </w:rPr>
      </w:pPr>
      <w:r w:rsidRPr="00D773F7">
        <w:rPr>
          <w:rFonts w:asciiTheme="majorBidi" w:eastAsiaTheme="minorHAnsi" w:hAnsiTheme="majorBidi" w:cstheme="majorBidi"/>
        </w:rPr>
        <w:t>A9.7.5.2.1</w:t>
      </w:r>
      <w:r w:rsidRPr="00D773F7">
        <w:rPr>
          <w:rFonts w:asciiTheme="majorBidi" w:eastAsiaTheme="minorHAnsi" w:hAnsiTheme="majorBidi" w:cstheme="majorBidi"/>
        </w:rPr>
        <w:tab/>
      </w:r>
      <w:r w:rsidRPr="00D773F7">
        <w:rPr>
          <w:rFonts w:asciiTheme="majorBidi" w:eastAsiaTheme="minorHAnsi" w:hAnsiTheme="majorBidi" w:cstheme="majorBidi"/>
          <w:i/>
          <w:iCs/>
        </w:rPr>
        <w:t>Short-term (acute) aquatic hazard of metals</w:t>
      </w:r>
    </w:p>
    <w:p w14:paraId="5AF72AFD" w14:textId="30EDBAC2" w:rsidR="00186F0A" w:rsidRPr="00D773F7" w:rsidRDefault="00186F0A" w:rsidP="004F5852">
      <w:pPr>
        <w:pStyle w:val="SingleTxtG"/>
        <w:ind w:left="2268"/>
        <w:rPr>
          <w:rFonts w:asciiTheme="majorBidi" w:eastAsiaTheme="minorHAnsi" w:hAnsiTheme="majorBidi" w:cstheme="majorBidi"/>
        </w:rPr>
      </w:pPr>
      <w:r w:rsidRPr="00D773F7">
        <w:rPr>
          <w:rFonts w:asciiTheme="majorBidi" w:eastAsiaTheme="minorHAnsi" w:hAnsiTheme="majorBidi" w:cstheme="majorBidi"/>
        </w:rPr>
        <w:t>A9.7.5.2.1.1</w:t>
      </w:r>
      <w:r w:rsidRPr="00D773F7">
        <w:rPr>
          <w:rFonts w:asciiTheme="majorBidi" w:eastAsiaTheme="minorHAnsi" w:hAnsiTheme="majorBidi" w:cstheme="majorBidi"/>
        </w:rPr>
        <w:tab/>
        <w:t xml:space="preserve">The scheme for determining the short-term (acute) aquatic hazard of metals is described in this section and summarized in </w:t>
      </w:r>
      <w:r w:rsidR="00170498" w:rsidRPr="00D773F7">
        <w:rPr>
          <w:rFonts w:asciiTheme="majorBidi" w:eastAsiaTheme="minorHAnsi" w:hAnsiTheme="majorBidi" w:cstheme="majorBidi"/>
        </w:rPr>
        <w:t>f</w:t>
      </w:r>
      <w:r w:rsidRPr="00D773F7">
        <w:rPr>
          <w:rFonts w:asciiTheme="majorBidi" w:eastAsiaTheme="minorHAnsi" w:hAnsiTheme="majorBidi" w:cstheme="majorBidi"/>
        </w:rPr>
        <w:t>igure A9.7.1.</w:t>
      </w:r>
    </w:p>
    <w:p w14:paraId="57391F4C" w14:textId="43BDB9CF" w:rsidR="00186F0A" w:rsidRPr="00D773F7" w:rsidRDefault="00186F0A" w:rsidP="004F5852">
      <w:pPr>
        <w:pStyle w:val="SingleTxtG"/>
        <w:ind w:left="2268"/>
        <w:rPr>
          <w:rFonts w:asciiTheme="majorBidi" w:eastAsiaTheme="minorHAnsi" w:hAnsiTheme="majorBidi" w:cstheme="majorBidi"/>
        </w:rPr>
      </w:pPr>
      <w:r w:rsidRPr="00D773F7">
        <w:rPr>
          <w:rFonts w:asciiTheme="majorBidi" w:eastAsiaTheme="minorHAnsi" w:hAnsiTheme="majorBidi" w:cstheme="majorBidi"/>
        </w:rPr>
        <w:t>A9.7.5.2.1.2</w:t>
      </w:r>
      <w:r w:rsidR="007B4F43" w:rsidRPr="00D773F7">
        <w:rPr>
          <w:rFonts w:asciiTheme="majorBidi" w:eastAsiaTheme="minorHAnsi" w:hAnsiTheme="majorBidi" w:cstheme="majorBidi"/>
        </w:rPr>
        <w:tab/>
      </w:r>
      <w:r w:rsidRPr="00D773F7">
        <w:rPr>
          <w:rFonts w:asciiTheme="majorBidi" w:eastAsiaTheme="minorHAnsi" w:hAnsiTheme="majorBidi" w:cstheme="majorBidi"/>
        </w:rPr>
        <w:t>Where the acute ERV of the dissolved metal ion is greater than 100 mg/l, the metals need not be considered further in the classification scheme.</w:t>
      </w:r>
    </w:p>
    <w:p w14:paraId="45729C52" w14:textId="1B606906" w:rsidR="00186F0A" w:rsidRPr="00D773F7" w:rsidRDefault="00186F0A" w:rsidP="004F5852">
      <w:pPr>
        <w:pStyle w:val="SingleTxtG"/>
        <w:ind w:left="2268"/>
        <w:rPr>
          <w:rFonts w:asciiTheme="majorBidi" w:eastAsiaTheme="minorHAnsi" w:hAnsiTheme="majorBidi" w:cstheme="majorBidi"/>
        </w:rPr>
      </w:pPr>
      <w:r w:rsidRPr="00D773F7">
        <w:rPr>
          <w:rFonts w:asciiTheme="majorBidi" w:eastAsiaTheme="minorHAnsi" w:hAnsiTheme="majorBidi" w:cstheme="majorBidi"/>
        </w:rPr>
        <w:t>A9.7.5.2.1.3</w:t>
      </w:r>
      <w:r w:rsidRPr="00D773F7">
        <w:rPr>
          <w:rFonts w:asciiTheme="majorBidi" w:eastAsiaTheme="minorHAnsi" w:hAnsiTheme="majorBidi" w:cstheme="majorBidi"/>
        </w:rPr>
        <w:tab/>
        <w:t xml:space="preserve">Where the acute ERV of the dissolved metal ions is </w:t>
      </w:r>
      <w:r w:rsidR="005D0A61" w:rsidRPr="00D773F7">
        <w:rPr>
          <w:rFonts w:asciiTheme="majorBidi" w:eastAsiaTheme="minorHAnsi" w:hAnsiTheme="majorBidi" w:cstheme="majorBidi"/>
        </w:rPr>
        <w:t>less than or equal to </w:t>
      </w:r>
      <w:r w:rsidRPr="00D773F7">
        <w:rPr>
          <w:rFonts w:asciiTheme="majorBidi" w:eastAsiaTheme="minorHAnsi" w:hAnsiTheme="majorBidi" w:cstheme="majorBidi"/>
        </w:rPr>
        <w:t xml:space="preserve">100 mg/l, consideration must be given to the data available on the rate and extent to which these ions can be generated from the metal. Such data, to be valid and useable, should have been generated using the Transformation/Dissolution </w:t>
      </w:r>
      <w:r w:rsidR="009171EC" w:rsidRPr="00D773F7">
        <w:rPr>
          <w:rFonts w:asciiTheme="majorBidi" w:eastAsiaTheme="minorHAnsi" w:hAnsiTheme="majorBidi" w:cstheme="majorBidi"/>
        </w:rPr>
        <w:t>P</w:t>
      </w:r>
      <w:r w:rsidRPr="00D773F7">
        <w:rPr>
          <w:rFonts w:asciiTheme="majorBidi" w:eastAsiaTheme="minorHAnsi" w:hAnsiTheme="majorBidi" w:cstheme="majorBidi"/>
        </w:rPr>
        <w:t>rotocol (</w:t>
      </w:r>
      <w:r w:rsidR="007B4F43" w:rsidRPr="00D773F7">
        <w:rPr>
          <w:rFonts w:asciiTheme="majorBidi" w:eastAsiaTheme="minorHAnsi" w:hAnsiTheme="majorBidi" w:cstheme="majorBidi"/>
        </w:rPr>
        <w:t>a</w:t>
      </w:r>
      <w:r w:rsidRPr="00D773F7">
        <w:rPr>
          <w:rFonts w:asciiTheme="majorBidi" w:eastAsiaTheme="minorHAnsi" w:hAnsiTheme="majorBidi" w:cstheme="majorBidi"/>
        </w:rPr>
        <w:t xml:space="preserve">nnex 10). </w:t>
      </w:r>
    </w:p>
    <w:p w14:paraId="58E3DD57" w14:textId="1409E0FF" w:rsidR="00186F0A" w:rsidRPr="00D773F7" w:rsidRDefault="00186F0A" w:rsidP="004F5852">
      <w:pPr>
        <w:pStyle w:val="SingleTxtG"/>
        <w:ind w:left="2268"/>
        <w:rPr>
          <w:rFonts w:asciiTheme="majorBidi" w:eastAsiaTheme="minorHAnsi" w:hAnsiTheme="majorBidi" w:cstheme="majorBidi"/>
        </w:rPr>
      </w:pPr>
      <w:r w:rsidRPr="00D773F7">
        <w:rPr>
          <w:rFonts w:asciiTheme="majorBidi" w:eastAsiaTheme="minorHAnsi" w:hAnsiTheme="majorBidi" w:cstheme="majorBidi"/>
        </w:rPr>
        <w:t>A9.7.5.2.1.4</w:t>
      </w:r>
      <w:r w:rsidRPr="00D773F7">
        <w:rPr>
          <w:rFonts w:asciiTheme="majorBidi" w:eastAsiaTheme="minorHAnsi" w:hAnsiTheme="majorBidi" w:cstheme="majorBidi"/>
        </w:rPr>
        <w:tab/>
        <w:t xml:space="preserve">Where 7-day data from the Transformation/Dissolution </w:t>
      </w:r>
      <w:r w:rsidR="0076502F" w:rsidRPr="00D773F7">
        <w:rPr>
          <w:rFonts w:asciiTheme="majorBidi" w:eastAsiaTheme="minorHAnsi" w:hAnsiTheme="majorBidi" w:cstheme="majorBidi"/>
        </w:rPr>
        <w:t>P</w:t>
      </w:r>
      <w:r w:rsidRPr="00D773F7">
        <w:rPr>
          <w:rFonts w:asciiTheme="majorBidi" w:eastAsiaTheme="minorHAnsi" w:hAnsiTheme="majorBidi" w:cstheme="majorBidi"/>
        </w:rPr>
        <w:t>rotocol are available, then, the results should be used to aid classification according to the following rules. Classify the metal as:</w:t>
      </w:r>
    </w:p>
    <w:p w14:paraId="38AF2D7F" w14:textId="5CA9D475" w:rsidR="00186F0A" w:rsidRPr="00D773F7" w:rsidRDefault="00186F0A" w:rsidP="00186F0A">
      <w:pPr>
        <w:pStyle w:val="SingleTxtG"/>
        <w:ind w:left="2694" w:hanging="426"/>
        <w:rPr>
          <w:rFonts w:asciiTheme="majorBidi" w:eastAsiaTheme="minorHAnsi" w:hAnsiTheme="majorBidi" w:cstheme="majorBidi"/>
        </w:rPr>
      </w:pPr>
      <w:r w:rsidRPr="00D773F7">
        <w:rPr>
          <w:rFonts w:asciiTheme="majorBidi" w:eastAsiaTheme="minorHAnsi" w:hAnsiTheme="majorBidi" w:cstheme="majorBidi"/>
        </w:rPr>
        <w:t>(a)</w:t>
      </w:r>
      <w:r w:rsidRPr="00D773F7">
        <w:rPr>
          <w:rFonts w:asciiTheme="majorBidi" w:eastAsiaTheme="minorHAnsi" w:hAnsiTheme="majorBidi" w:cstheme="majorBidi"/>
        </w:rPr>
        <w:tab/>
        <w:t xml:space="preserve">Category Acute 1 if the dissolved metal ion concentration at the low loading rate is </w:t>
      </w:r>
      <w:r w:rsidR="00474065" w:rsidRPr="00D773F7">
        <w:rPr>
          <w:rFonts w:asciiTheme="majorBidi" w:eastAsiaTheme="minorHAnsi" w:hAnsiTheme="majorBidi" w:cstheme="majorBidi"/>
        </w:rPr>
        <w:t xml:space="preserve">greater than or equal to </w:t>
      </w:r>
      <w:r w:rsidR="00A95C6D" w:rsidRPr="00D773F7">
        <w:rPr>
          <w:rFonts w:asciiTheme="majorBidi" w:eastAsiaTheme="minorHAnsi" w:hAnsiTheme="majorBidi" w:cstheme="majorBidi"/>
        </w:rPr>
        <w:t>the</w:t>
      </w:r>
      <w:r w:rsidR="00474065" w:rsidRPr="00D773F7">
        <w:rPr>
          <w:rFonts w:asciiTheme="majorBidi" w:eastAsiaTheme="minorHAnsi" w:hAnsiTheme="majorBidi" w:cstheme="majorBidi"/>
        </w:rPr>
        <w:t xml:space="preserve"> </w:t>
      </w:r>
      <w:r w:rsidRPr="00D773F7">
        <w:rPr>
          <w:rFonts w:asciiTheme="majorBidi" w:eastAsiaTheme="minorHAnsi" w:hAnsiTheme="majorBidi" w:cstheme="majorBidi"/>
        </w:rPr>
        <w:t xml:space="preserve">acute ERV. Assign an Acute M factor according to </w:t>
      </w:r>
      <w:r w:rsidR="001806B2" w:rsidRPr="00D773F7">
        <w:rPr>
          <w:rFonts w:asciiTheme="majorBidi" w:eastAsiaTheme="minorHAnsi" w:hAnsiTheme="majorBidi" w:cstheme="majorBidi"/>
        </w:rPr>
        <w:t>t</w:t>
      </w:r>
      <w:r w:rsidRPr="00D773F7">
        <w:rPr>
          <w:rFonts w:asciiTheme="majorBidi" w:eastAsiaTheme="minorHAnsi" w:hAnsiTheme="majorBidi" w:cstheme="majorBidi"/>
        </w:rPr>
        <w:t xml:space="preserve">able A9.7.1; </w:t>
      </w:r>
    </w:p>
    <w:p w14:paraId="33712147" w14:textId="4A3FA4F6" w:rsidR="00186F0A" w:rsidRPr="00D773F7" w:rsidRDefault="00186F0A" w:rsidP="00186F0A">
      <w:pPr>
        <w:pStyle w:val="SingleTxtG"/>
        <w:ind w:left="2694" w:hanging="426"/>
        <w:rPr>
          <w:rFonts w:asciiTheme="majorBidi" w:eastAsiaTheme="minorHAnsi" w:hAnsiTheme="majorBidi" w:cstheme="majorBidi"/>
        </w:rPr>
      </w:pPr>
      <w:r w:rsidRPr="00D773F7">
        <w:rPr>
          <w:rFonts w:asciiTheme="majorBidi" w:eastAsiaTheme="minorHAnsi" w:hAnsiTheme="majorBidi" w:cstheme="majorBidi"/>
        </w:rPr>
        <w:t>(b)</w:t>
      </w:r>
      <w:r w:rsidRPr="00D773F7">
        <w:rPr>
          <w:rFonts w:asciiTheme="majorBidi" w:eastAsiaTheme="minorHAnsi" w:hAnsiTheme="majorBidi" w:cstheme="majorBidi"/>
        </w:rPr>
        <w:tab/>
        <w:t xml:space="preserve">Category Acute 2 if the dissolved metal ion concentration at the low loading rate is </w:t>
      </w:r>
      <w:r w:rsidR="00F87720" w:rsidRPr="00D773F7">
        <w:rPr>
          <w:rFonts w:asciiTheme="majorBidi" w:eastAsiaTheme="minorHAnsi" w:hAnsiTheme="majorBidi" w:cstheme="majorBidi"/>
        </w:rPr>
        <w:t>less</w:t>
      </w:r>
      <w:r w:rsidR="00A95C6D" w:rsidRPr="00D773F7">
        <w:rPr>
          <w:rFonts w:asciiTheme="majorBidi" w:eastAsiaTheme="minorHAnsi" w:hAnsiTheme="majorBidi" w:cstheme="majorBidi"/>
        </w:rPr>
        <w:t xml:space="preserve"> than the </w:t>
      </w:r>
      <w:r w:rsidRPr="00D773F7">
        <w:rPr>
          <w:rFonts w:asciiTheme="majorBidi" w:eastAsiaTheme="minorHAnsi" w:hAnsiTheme="majorBidi" w:cstheme="majorBidi"/>
        </w:rPr>
        <w:t xml:space="preserve">acute ERV, but at the medium loading rate it is </w:t>
      </w:r>
      <w:r w:rsidR="00A95C6D" w:rsidRPr="00D773F7">
        <w:rPr>
          <w:rFonts w:asciiTheme="majorBidi" w:eastAsiaTheme="minorHAnsi" w:hAnsiTheme="majorBidi" w:cstheme="majorBidi"/>
        </w:rPr>
        <w:t xml:space="preserve">greater than or equal to the </w:t>
      </w:r>
      <w:r w:rsidRPr="00D773F7">
        <w:rPr>
          <w:rFonts w:asciiTheme="majorBidi" w:eastAsiaTheme="minorHAnsi" w:hAnsiTheme="majorBidi" w:cstheme="majorBidi"/>
        </w:rPr>
        <w:t xml:space="preserve">acute ERV; </w:t>
      </w:r>
    </w:p>
    <w:p w14:paraId="161666DB" w14:textId="04735E3C" w:rsidR="00186F0A" w:rsidRPr="00D773F7" w:rsidRDefault="00186F0A" w:rsidP="00186F0A">
      <w:pPr>
        <w:pStyle w:val="SingleTxtG"/>
        <w:ind w:left="2694" w:hanging="426"/>
        <w:rPr>
          <w:rFonts w:asciiTheme="majorBidi" w:eastAsiaTheme="minorHAnsi" w:hAnsiTheme="majorBidi" w:cstheme="majorBidi"/>
        </w:rPr>
      </w:pPr>
      <w:r w:rsidRPr="00D773F7">
        <w:rPr>
          <w:rFonts w:asciiTheme="majorBidi" w:eastAsiaTheme="minorHAnsi" w:hAnsiTheme="majorBidi" w:cstheme="majorBidi"/>
        </w:rPr>
        <w:lastRenderedPageBreak/>
        <w:t>(c)</w:t>
      </w:r>
      <w:r w:rsidRPr="00D773F7">
        <w:rPr>
          <w:rFonts w:asciiTheme="majorBidi" w:eastAsiaTheme="minorHAnsi" w:hAnsiTheme="majorBidi" w:cstheme="majorBidi"/>
        </w:rPr>
        <w:tab/>
        <w:t xml:space="preserve">Category Acute 3 if the dissolved metal ion concentration at the low and the medium loading rates is </w:t>
      </w:r>
      <w:r w:rsidR="00F87720" w:rsidRPr="00D773F7">
        <w:rPr>
          <w:rFonts w:asciiTheme="majorBidi" w:eastAsiaTheme="minorHAnsi" w:hAnsiTheme="majorBidi" w:cstheme="majorBidi"/>
        </w:rPr>
        <w:t>less</w:t>
      </w:r>
      <w:r w:rsidR="00A95C6D" w:rsidRPr="00D773F7">
        <w:rPr>
          <w:rFonts w:asciiTheme="majorBidi" w:eastAsiaTheme="minorHAnsi" w:hAnsiTheme="majorBidi" w:cstheme="majorBidi"/>
        </w:rPr>
        <w:t xml:space="preserve"> than the </w:t>
      </w:r>
      <w:r w:rsidRPr="00D773F7">
        <w:rPr>
          <w:rFonts w:asciiTheme="majorBidi" w:eastAsiaTheme="minorHAnsi" w:hAnsiTheme="majorBidi" w:cstheme="majorBidi"/>
        </w:rPr>
        <w:t xml:space="preserve">acute ERV, but at the high loading rate it is </w:t>
      </w:r>
      <w:r w:rsidR="00A95C6D" w:rsidRPr="00D773F7">
        <w:rPr>
          <w:rFonts w:asciiTheme="majorBidi" w:eastAsiaTheme="minorHAnsi" w:hAnsiTheme="majorBidi" w:cstheme="majorBidi"/>
        </w:rPr>
        <w:t xml:space="preserve">greater than or equal to the </w:t>
      </w:r>
      <w:r w:rsidRPr="00D773F7">
        <w:rPr>
          <w:rFonts w:asciiTheme="majorBidi" w:eastAsiaTheme="minorHAnsi" w:hAnsiTheme="majorBidi" w:cstheme="majorBidi"/>
        </w:rPr>
        <w:t xml:space="preserve">acute ERV. </w:t>
      </w:r>
    </w:p>
    <w:p w14:paraId="74748CAA" w14:textId="3CE1E022" w:rsidR="00186F0A" w:rsidRPr="00D773F7" w:rsidRDefault="00186F0A" w:rsidP="004F5852">
      <w:pPr>
        <w:pStyle w:val="SingleTxtG"/>
        <w:ind w:left="2268"/>
        <w:rPr>
          <w:rFonts w:asciiTheme="majorBidi" w:eastAsiaTheme="minorHAnsi" w:hAnsiTheme="majorBidi" w:cstheme="majorBidi"/>
        </w:rPr>
      </w:pPr>
      <w:r w:rsidRPr="00D773F7">
        <w:rPr>
          <w:rFonts w:asciiTheme="majorBidi" w:eastAsiaTheme="minorHAnsi" w:hAnsiTheme="majorBidi" w:cstheme="majorBidi"/>
        </w:rPr>
        <w:t>Do not classify the metal for short-term aquatic hazard if the dissolved metal concentration at all loading rates is below the acute ERV.</w:t>
      </w:r>
    </w:p>
    <w:p w14:paraId="36453CEF" w14:textId="58A616A8" w:rsidR="00186F0A" w:rsidRPr="00D773F7" w:rsidRDefault="00186F0A" w:rsidP="00060CE5">
      <w:pPr>
        <w:pStyle w:val="SingleTxtG"/>
        <w:keepNext/>
        <w:keepLines/>
        <w:tabs>
          <w:tab w:val="clear" w:pos="1701"/>
          <w:tab w:val="clear" w:pos="2268"/>
          <w:tab w:val="clear" w:pos="2835"/>
        </w:tabs>
        <w:jc w:val="center"/>
        <w:rPr>
          <w:rFonts w:asciiTheme="majorBidi" w:eastAsiaTheme="minorHAnsi" w:hAnsiTheme="majorBidi" w:cstheme="majorBidi"/>
          <w:b/>
          <w:bCs/>
          <w:lang w:val="en-US"/>
        </w:rPr>
      </w:pPr>
      <w:r w:rsidRPr="00D773F7">
        <w:rPr>
          <w:rFonts w:asciiTheme="majorBidi" w:eastAsiaTheme="minorHAnsi" w:hAnsiTheme="majorBidi" w:cstheme="majorBidi"/>
          <w:b/>
          <w:bCs/>
          <w:lang w:val="en-US"/>
        </w:rPr>
        <w:t xml:space="preserve">Figure A9.7.1: Classification strategy for determining </w:t>
      </w:r>
      <w:r w:rsidR="00060CE5" w:rsidRPr="00D773F7">
        <w:rPr>
          <w:rFonts w:asciiTheme="majorBidi" w:eastAsiaTheme="minorHAnsi" w:hAnsiTheme="majorBidi" w:cstheme="majorBidi"/>
          <w:b/>
          <w:bCs/>
          <w:lang w:val="en-US"/>
        </w:rPr>
        <w:br/>
      </w:r>
      <w:r w:rsidRPr="00D773F7">
        <w:rPr>
          <w:rFonts w:asciiTheme="majorBidi" w:eastAsiaTheme="minorHAnsi" w:hAnsiTheme="majorBidi" w:cstheme="majorBidi"/>
          <w:b/>
          <w:bCs/>
          <w:lang w:val="en-US"/>
        </w:rPr>
        <w:t>the short-term (acute) aquatic hazard of metals</w:t>
      </w:r>
    </w:p>
    <w:p w14:paraId="68F9D939" w14:textId="41D18C51" w:rsidR="00001943" w:rsidRPr="00D773F7" w:rsidRDefault="00C87ECF" w:rsidP="00001943">
      <w:pPr>
        <w:ind w:left="1134"/>
        <w:jc w:val="center"/>
        <w:rPr>
          <w:rFonts w:asciiTheme="majorBidi" w:hAnsiTheme="majorBidi" w:cstheme="majorBidi"/>
        </w:rPr>
      </w:pPr>
      <w:r w:rsidRPr="00D773F7">
        <w:rPr>
          <w:rFonts w:asciiTheme="majorBidi" w:hAnsiTheme="majorBidi" w:cstheme="majorBidi"/>
        </w:rPr>
        <w:object w:dxaOrig="6469" w:dyaOrig="5293" w14:anchorId="535D6AA8">
          <v:shape id="_x0000_i1034" type="#_x0000_t75" style="width:322.8pt;height:265.7pt" o:ole="">
            <v:imagedata r:id="rId53" o:title=""/>
          </v:shape>
          <o:OLEObject Type="Embed" ProgID="Visio.Drawing.15" ShapeID="_x0000_i1034" DrawAspect="Content" ObjectID="_1744797707" r:id="rId54"/>
        </w:object>
      </w:r>
    </w:p>
    <w:p w14:paraId="7BB8C97D" w14:textId="55F8A6B7" w:rsidR="00186F0A" w:rsidRPr="00D773F7" w:rsidRDefault="00186F0A" w:rsidP="0064016B">
      <w:pPr>
        <w:pStyle w:val="SingleTxtG"/>
        <w:spacing w:before="240"/>
        <w:ind w:left="2268"/>
        <w:rPr>
          <w:rFonts w:asciiTheme="majorBidi" w:hAnsiTheme="majorBidi" w:cstheme="majorBidi"/>
          <w:bCs/>
          <w:i/>
          <w:iCs/>
        </w:rPr>
      </w:pPr>
      <w:r w:rsidRPr="00D773F7">
        <w:rPr>
          <w:rFonts w:asciiTheme="majorBidi" w:hAnsiTheme="majorBidi" w:cstheme="majorBidi"/>
          <w:bCs/>
        </w:rPr>
        <w:t>A9.7.5.2.2</w:t>
      </w:r>
      <w:r w:rsidRPr="00D773F7">
        <w:rPr>
          <w:rFonts w:asciiTheme="majorBidi" w:hAnsiTheme="majorBidi" w:cstheme="majorBidi"/>
          <w:bCs/>
        </w:rPr>
        <w:tab/>
      </w:r>
      <w:r w:rsidRPr="00D773F7">
        <w:rPr>
          <w:rFonts w:asciiTheme="majorBidi" w:hAnsiTheme="majorBidi" w:cstheme="majorBidi"/>
          <w:bCs/>
          <w:i/>
          <w:iCs/>
        </w:rPr>
        <w:t xml:space="preserve">Long-term (chronic) aquatic hazard of metals </w:t>
      </w:r>
    </w:p>
    <w:p w14:paraId="7B16BE5D" w14:textId="053DF8D6" w:rsidR="00186F0A" w:rsidRPr="00D773F7" w:rsidRDefault="00186F0A" w:rsidP="00614F14">
      <w:pPr>
        <w:pStyle w:val="SingleTxtG"/>
        <w:ind w:left="2268"/>
        <w:rPr>
          <w:rFonts w:asciiTheme="majorBidi" w:hAnsiTheme="majorBidi" w:cstheme="majorBidi"/>
        </w:rPr>
      </w:pPr>
      <w:r w:rsidRPr="00D773F7">
        <w:rPr>
          <w:rFonts w:asciiTheme="majorBidi" w:hAnsiTheme="majorBidi" w:cstheme="majorBidi"/>
        </w:rPr>
        <w:t>The scheme for determining the long-term (chronic) aquatic hazard of metals is described in this section and summari</w:t>
      </w:r>
      <w:r w:rsidR="00C20C1B">
        <w:rPr>
          <w:rFonts w:asciiTheme="majorBidi" w:hAnsiTheme="majorBidi" w:cstheme="majorBidi"/>
        </w:rPr>
        <w:t>z</w:t>
      </w:r>
      <w:r w:rsidRPr="00D773F7">
        <w:rPr>
          <w:rFonts w:asciiTheme="majorBidi" w:hAnsiTheme="majorBidi" w:cstheme="majorBidi"/>
        </w:rPr>
        <w:t>ed in figures A9.7.2 and A9.7.3. Metals can be classified for long-term aquatic hazard using chronic toxicity data when available or using the surrogate approach in absence of appropriate chronic toxicity data.</w:t>
      </w:r>
    </w:p>
    <w:p w14:paraId="3291DCAA" w14:textId="589AD8F2" w:rsidR="00186F0A" w:rsidRPr="00D773F7" w:rsidRDefault="00186F0A" w:rsidP="00614F14">
      <w:pPr>
        <w:pStyle w:val="SingleTxtG"/>
        <w:ind w:left="2268"/>
        <w:rPr>
          <w:rFonts w:asciiTheme="majorBidi" w:hAnsiTheme="majorBidi" w:cstheme="majorBidi"/>
        </w:rPr>
      </w:pPr>
      <w:r w:rsidRPr="00D773F7">
        <w:rPr>
          <w:rFonts w:asciiTheme="majorBidi" w:hAnsiTheme="majorBidi" w:cstheme="majorBidi"/>
        </w:rPr>
        <w:t xml:space="preserve">A9.7.5.2.2.1 </w:t>
      </w:r>
      <w:r w:rsidRPr="00D773F7">
        <w:rPr>
          <w:rFonts w:asciiTheme="majorBidi" w:hAnsiTheme="majorBidi" w:cstheme="majorBidi"/>
        </w:rPr>
        <w:tab/>
      </w:r>
      <w:r w:rsidR="00F42F40" w:rsidRPr="00D773F7">
        <w:rPr>
          <w:rFonts w:asciiTheme="majorBidi" w:hAnsiTheme="majorBidi" w:cstheme="majorBidi"/>
        </w:rPr>
        <w:tab/>
      </w:r>
      <w:r w:rsidRPr="00D773F7">
        <w:rPr>
          <w:rFonts w:asciiTheme="majorBidi" w:hAnsiTheme="majorBidi" w:cstheme="majorBidi"/>
        </w:rPr>
        <w:t>Approach based on available chronic toxicity data</w:t>
      </w:r>
    </w:p>
    <w:p w14:paraId="20CB285F" w14:textId="65E9EA69" w:rsidR="00186F0A" w:rsidRPr="00D773F7" w:rsidRDefault="00186F0A" w:rsidP="00614F14">
      <w:pPr>
        <w:pStyle w:val="SingleTxtG"/>
        <w:ind w:left="2268"/>
        <w:rPr>
          <w:rFonts w:asciiTheme="majorBidi" w:hAnsiTheme="majorBidi" w:cstheme="majorBidi"/>
        </w:rPr>
      </w:pPr>
      <w:r w:rsidRPr="00D773F7">
        <w:rPr>
          <w:rFonts w:asciiTheme="majorBidi" w:hAnsiTheme="majorBidi" w:cstheme="majorBidi"/>
        </w:rPr>
        <w:t>A9.7.5.2.2.1.1</w:t>
      </w:r>
      <w:r w:rsidRPr="00D773F7">
        <w:rPr>
          <w:rFonts w:asciiTheme="majorBidi" w:hAnsiTheme="majorBidi" w:cstheme="majorBidi"/>
        </w:rPr>
        <w:tab/>
        <w:t xml:space="preserve">Where the chronic ERV of the dissolved metal ion is greater than 1 mg/l, the metal need not be considered further in the classification scheme. </w:t>
      </w:r>
    </w:p>
    <w:p w14:paraId="2CD88A59" w14:textId="7F3B0710" w:rsidR="00186F0A" w:rsidRPr="00D773F7" w:rsidRDefault="00186F0A" w:rsidP="00614F14">
      <w:pPr>
        <w:pStyle w:val="SingleTxtG"/>
        <w:ind w:left="2268"/>
        <w:rPr>
          <w:rFonts w:asciiTheme="majorBidi" w:hAnsiTheme="majorBidi" w:cstheme="majorBidi"/>
        </w:rPr>
      </w:pPr>
      <w:r w:rsidRPr="00D773F7">
        <w:rPr>
          <w:rFonts w:asciiTheme="majorBidi" w:hAnsiTheme="majorBidi" w:cstheme="majorBidi"/>
        </w:rPr>
        <w:t>A9.7.5.2.2.1.2</w:t>
      </w:r>
      <w:r w:rsidRPr="00D773F7">
        <w:rPr>
          <w:rFonts w:asciiTheme="majorBidi" w:hAnsiTheme="majorBidi" w:cstheme="majorBidi"/>
        </w:rPr>
        <w:tab/>
        <w:t xml:space="preserve">Where the chronic ERV of the dissolved metal ion is less than or equal to 1 mg/l, consideration must be given to the available data on the rate and extent to which these ions can be generated from the metal. To be valid and useable, such data should have been generated or calculated using the Transformation/Dissolution </w:t>
      </w:r>
      <w:r w:rsidR="00CC1825" w:rsidRPr="00D773F7">
        <w:rPr>
          <w:rFonts w:asciiTheme="majorBidi" w:hAnsiTheme="majorBidi" w:cstheme="majorBidi"/>
        </w:rPr>
        <w:t>P</w:t>
      </w:r>
      <w:r w:rsidRPr="00D773F7">
        <w:rPr>
          <w:rFonts w:asciiTheme="majorBidi" w:hAnsiTheme="majorBidi" w:cstheme="majorBidi"/>
        </w:rPr>
        <w:t>rotocol (</w:t>
      </w:r>
      <w:r w:rsidR="008C165E" w:rsidRPr="00D773F7">
        <w:rPr>
          <w:rFonts w:asciiTheme="majorBidi" w:hAnsiTheme="majorBidi" w:cstheme="majorBidi"/>
        </w:rPr>
        <w:t>a</w:t>
      </w:r>
      <w:r w:rsidRPr="00D773F7">
        <w:rPr>
          <w:rFonts w:asciiTheme="majorBidi" w:hAnsiTheme="majorBidi" w:cstheme="majorBidi"/>
        </w:rPr>
        <w:t>nnex 10) for 28 days (see</w:t>
      </w:r>
      <w:r w:rsidR="00D80E49">
        <w:rPr>
          <w:rFonts w:asciiTheme="majorBidi" w:hAnsiTheme="majorBidi" w:cstheme="majorBidi"/>
        </w:rPr>
        <w:t> </w:t>
      </w:r>
      <w:r w:rsidRPr="00D773F7">
        <w:rPr>
          <w:rFonts w:asciiTheme="majorBidi" w:hAnsiTheme="majorBidi" w:cstheme="majorBidi"/>
        </w:rPr>
        <w:t xml:space="preserve">A9.7.2.2.4). If such data are unavailable, the surrogate approach should be used (see A9.7.5.2.2.2). Where 28-day </w:t>
      </w:r>
      <w:r w:rsidR="00CC1825" w:rsidRPr="00D773F7">
        <w:rPr>
          <w:rFonts w:asciiTheme="majorBidi" w:eastAsiaTheme="minorHAnsi" w:hAnsiTheme="majorBidi" w:cstheme="majorBidi"/>
        </w:rPr>
        <w:t>transformation/dissolution</w:t>
      </w:r>
      <w:r w:rsidRPr="00D773F7">
        <w:rPr>
          <w:rFonts w:asciiTheme="majorBidi" w:hAnsiTheme="majorBidi" w:cstheme="majorBidi"/>
        </w:rPr>
        <w:t xml:space="preserve"> data are available, then classify the metal as:</w:t>
      </w:r>
    </w:p>
    <w:p w14:paraId="0A4036E7" w14:textId="14C2FEAC" w:rsidR="00186F0A" w:rsidRPr="00D773F7" w:rsidRDefault="00186F0A" w:rsidP="00186F0A">
      <w:pPr>
        <w:pStyle w:val="SingleTxtG"/>
        <w:ind w:left="2835" w:hanging="567"/>
        <w:rPr>
          <w:rFonts w:asciiTheme="majorBidi" w:hAnsiTheme="majorBidi" w:cstheme="majorBidi"/>
          <w:bCs/>
        </w:rPr>
      </w:pPr>
      <w:r w:rsidRPr="00D773F7">
        <w:rPr>
          <w:rFonts w:asciiTheme="majorBidi" w:hAnsiTheme="majorBidi" w:cstheme="majorBidi"/>
          <w:bCs/>
        </w:rPr>
        <w:t>(a)</w:t>
      </w:r>
      <w:r w:rsidRPr="00D773F7">
        <w:rPr>
          <w:rFonts w:asciiTheme="majorBidi" w:hAnsiTheme="majorBidi" w:cstheme="majorBidi"/>
          <w:bCs/>
        </w:rPr>
        <w:tab/>
        <w:t xml:space="preserve">Category Chronic 1 if the dissolved metal ion concentration obtained at a loading rate of 0.1 mg/l (0.01 mg/l if there is evidence of rapid environmental transformation) is greater than or equal to the chronic ERV. Assign a Chronic M factor according to </w:t>
      </w:r>
      <w:r w:rsidR="001806B2" w:rsidRPr="00D773F7">
        <w:rPr>
          <w:rFonts w:asciiTheme="majorBidi" w:hAnsiTheme="majorBidi" w:cstheme="majorBidi"/>
          <w:bCs/>
        </w:rPr>
        <w:t>t</w:t>
      </w:r>
      <w:r w:rsidRPr="00D773F7">
        <w:rPr>
          <w:rFonts w:asciiTheme="majorBidi" w:hAnsiTheme="majorBidi" w:cstheme="majorBidi"/>
          <w:bCs/>
        </w:rPr>
        <w:t>able A9.7.1;</w:t>
      </w:r>
    </w:p>
    <w:p w14:paraId="5C86E2BB" w14:textId="77777777" w:rsidR="00186F0A" w:rsidRPr="00D773F7" w:rsidRDefault="00186F0A" w:rsidP="00186F0A">
      <w:pPr>
        <w:pStyle w:val="SingleTxtG"/>
        <w:ind w:left="2835" w:hanging="567"/>
        <w:rPr>
          <w:rFonts w:asciiTheme="majorBidi" w:hAnsiTheme="majorBidi" w:cstheme="majorBidi"/>
          <w:bCs/>
        </w:rPr>
      </w:pPr>
      <w:r w:rsidRPr="00D773F7">
        <w:rPr>
          <w:rFonts w:asciiTheme="majorBidi" w:hAnsiTheme="majorBidi" w:cstheme="majorBidi"/>
          <w:bCs/>
        </w:rPr>
        <w:t>(b)</w:t>
      </w:r>
      <w:r w:rsidRPr="00D773F7">
        <w:rPr>
          <w:rFonts w:asciiTheme="majorBidi" w:hAnsiTheme="majorBidi" w:cstheme="majorBidi"/>
          <w:bCs/>
        </w:rPr>
        <w:tab/>
        <w:t xml:space="preserve">Category Chronic 2 if the dissolved metal ion concentration obtained at a loading rate of 1 mg/l (0.1 mg/l if there is evidence of rapid </w:t>
      </w:r>
      <w:r w:rsidRPr="00D773F7">
        <w:rPr>
          <w:rFonts w:asciiTheme="majorBidi" w:hAnsiTheme="majorBidi" w:cstheme="majorBidi"/>
          <w:bCs/>
        </w:rPr>
        <w:lastRenderedPageBreak/>
        <w:t>environmental transformation) is greater than or equal to the chronic ERV;</w:t>
      </w:r>
    </w:p>
    <w:p w14:paraId="3DB4FD38" w14:textId="77777777" w:rsidR="00186F0A" w:rsidRPr="00D773F7" w:rsidRDefault="00186F0A" w:rsidP="00186F0A">
      <w:pPr>
        <w:pStyle w:val="SingleTxtG"/>
        <w:ind w:left="2835" w:hanging="567"/>
        <w:rPr>
          <w:rFonts w:asciiTheme="majorBidi" w:hAnsiTheme="majorBidi" w:cstheme="majorBidi"/>
          <w:bCs/>
        </w:rPr>
      </w:pPr>
      <w:r w:rsidRPr="00D773F7">
        <w:rPr>
          <w:rFonts w:asciiTheme="majorBidi" w:hAnsiTheme="majorBidi" w:cstheme="majorBidi"/>
          <w:bCs/>
        </w:rPr>
        <w:t>(c)</w:t>
      </w:r>
      <w:r w:rsidRPr="00D773F7">
        <w:rPr>
          <w:rFonts w:asciiTheme="majorBidi" w:hAnsiTheme="majorBidi" w:cstheme="majorBidi"/>
          <w:bCs/>
        </w:rPr>
        <w:tab/>
        <w:t xml:space="preserve">Category Chronic 3 if the dissolved metal ion concentration obtained at a loading rate of 1 mg/l is greater than the chronic ERV and there is evidence of rapid environmental transformation. </w:t>
      </w:r>
    </w:p>
    <w:p w14:paraId="63632CA7" w14:textId="3FAAA353" w:rsidR="00186F0A" w:rsidRPr="00D773F7" w:rsidRDefault="00186F0A" w:rsidP="00B03C0A">
      <w:pPr>
        <w:pStyle w:val="SingleTxtG"/>
        <w:ind w:left="2268"/>
        <w:rPr>
          <w:rFonts w:asciiTheme="majorBidi" w:hAnsiTheme="majorBidi" w:cstheme="majorBidi"/>
          <w:bCs/>
        </w:rPr>
      </w:pPr>
      <w:r w:rsidRPr="00D773F7">
        <w:rPr>
          <w:rFonts w:asciiTheme="majorBidi" w:hAnsiTheme="majorBidi" w:cstheme="majorBidi"/>
          <w:bCs/>
        </w:rPr>
        <w:t>A9.7.5.2.2.1.3</w:t>
      </w:r>
      <w:r w:rsidRPr="00D773F7">
        <w:rPr>
          <w:rFonts w:asciiTheme="majorBidi" w:hAnsiTheme="majorBidi" w:cstheme="majorBidi"/>
          <w:bCs/>
        </w:rPr>
        <w:tab/>
        <w:t>Classify the metal as category Chronic 4 if the data available do not allow classification under the formal criteria but there are nevertheless some grounds for concern (see 4.1.2.2).</w:t>
      </w:r>
    </w:p>
    <w:p w14:paraId="6EB4DE4E" w14:textId="47A08C6C" w:rsidR="00186F0A" w:rsidRPr="00D773F7" w:rsidRDefault="00186F0A" w:rsidP="00B03C0A">
      <w:pPr>
        <w:pStyle w:val="SingleTxtG"/>
        <w:ind w:left="2268"/>
        <w:rPr>
          <w:rFonts w:asciiTheme="majorBidi" w:hAnsiTheme="majorBidi" w:cstheme="majorBidi"/>
          <w:bCs/>
        </w:rPr>
      </w:pPr>
      <w:r w:rsidRPr="00D773F7">
        <w:rPr>
          <w:rFonts w:asciiTheme="majorBidi" w:hAnsiTheme="majorBidi" w:cstheme="majorBidi"/>
          <w:bCs/>
        </w:rPr>
        <w:t>A9.7.5.2.2.1.4</w:t>
      </w:r>
      <w:r w:rsidRPr="00D773F7">
        <w:rPr>
          <w:rFonts w:asciiTheme="majorBidi" w:hAnsiTheme="majorBidi" w:cstheme="majorBidi"/>
          <w:bCs/>
        </w:rPr>
        <w:tab/>
        <w:t xml:space="preserve">Do not classify the metal for long-term aquatic hazard if the dissolved metal ion concentration obtained from the 28-day </w:t>
      </w:r>
      <w:r w:rsidR="00097BC4" w:rsidRPr="00D773F7">
        <w:rPr>
          <w:rFonts w:asciiTheme="majorBidi" w:hAnsiTheme="majorBidi" w:cstheme="majorBidi"/>
          <w:bCs/>
        </w:rPr>
        <w:t>t</w:t>
      </w:r>
      <w:r w:rsidRPr="00D773F7">
        <w:rPr>
          <w:rFonts w:asciiTheme="majorBidi" w:hAnsiTheme="majorBidi" w:cstheme="majorBidi"/>
          <w:bCs/>
        </w:rPr>
        <w:t>ransformation/</w:t>
      </w:r>
      <w:r w:rsidR="00097BC4" w:rsidRPr="00D773F7">
        <w:rPr>
          <w:rFonts w:asciiTheme="majorBidi" w:hAnsiTheme="majorBidi" w:cstheme="majorBidi"/>
          <w:bCs/>
        </w:rPr>
        <w:t>d</w:t>
      </w:r>
      <w:r w:rsidRPr="00D773F7">
        <w:rPr>
          <w:rFonts w:asciiTheme="majorBidi" w:hAnsiTheme="majorBidi" w:cstheme="majorBidi"/>
          <w:bCs/>
        </w:rPr>
        <w:t>issolution test at a loading rate of 1 mg/l is less than the chronic ERV of the dissolved metal ion.</w:t>
      </w:r>
    </w:p>
    <w:p w14:paraId="2BC135CC" w14:textId="77777777" w:rsidR="00186F0A" w:rsidRPr="00D773F7" w:rsidRDefault="00186F0A" w:rsidP="00186F0A">
      <w:pPr>
        <w:pStyle w:val="SingleTxtG"/>
        <w:keepNext/>
        <w:keepLines/>
        <w:jc w:val="center"/>
        <w:rPr>
          <w:rFonts w:asciiTheme="majorBidi" w:eastAsiaTheme="minorHAnsi" w:hAnsiTheme="majorBidi" w:cstheme="majorBidi"/>
          <w:b/>
          <w:bCs/>
          <w:lang w:val="en-US"/>
        </w:rPr>
      </w:pPr>
      <w:r w:rsidRPr="00D773F7">
        <w:rPr>
          <w:rFonts w:asciiTheme="majorBidi" w:eastAsiaTheme="minorHAnsi" w:hAnsiTheme="majorBidi" w:cstheme="majorBidi"/>
          <w:b/>
          <w:bCs/>
          <w:lang w:val="en-US"/>
        </w:rPr>
        <w:t>Figure A9.7.2: Classification strategy for determining long-term aquatic hazard of metals on the basis of chronic data</w:t>
      </w:r>
    </w:p>
    <w:p w14:paraId="084A5D3E" w14:textId="1052CF14" w:rsidR="00F17829" w:rsidRPr="00D773F7" w:rsidRDefault="00D4439F" w:rsidP="0025458C">
      <w:pPr>
        <w:ind w:left="284"/>
        <w:rPr>
          <w:rFonts w:asciiTheme="majorBidi" w:hAnsiTheme="majorBidi" w:cstheme="majorBidi"/>
          <w:i/>
          <w:iCs/>
        </w:rPr>
      </w:pPr>
      <w:r w:rsidRPr="00D773F7">
        <w:rPr>
          <w:rFonts w:asciiTheme="majorBidi" w:hAnsiTheme="majorBidi" w:cstheme="majorBidi"/>
        </w:rPr>
        <w:object w:dxaOrig="9157" w:dyaOrig="7849" w14:anchorId="5BDB8A3B">
          <v:shape id="_x0000_i1035" type="#_x0000_t75" style="width:458.3pt;height:392.85pt" o:ole="">
            <v:imagedata r:id="rId55" o:title=""/>
          </v:shape>
          <o:OLEObject Type="Embed" ProgID="Visio.Drawing.15" ShapeID="_x0000_i1035" DrawAspect="Content" ObjectID="_1744797708" r:id="rId56"/>
        </w:object>
      </w:r>
    </w:p>
    <w:p w14:paraId="4395A778" w14:textId="26A0E10B" w:rsidR="00186F0A" w:rsidRPr="00D773F7" w:rsidRDefault="00186F0A" w:rsidP="003E112D">
      <w:pPr>
        <w:pStyle w:val="SingleTxtG"/>
        <w:keepNext/>
        <w:keepLines/>
        <w:tabs>
          <w:tab w:val="clear" w:pos="2268"/>
          <w:tab w:val="clear" w:pos="2835"/>
          <w:tab w:val="left" w:pos="3402"/>
        </w:tabs>
        <w:spacing w:before="240"/>
        <w:ind w:left="2268"/>
        <w:jc w:val="left"/>
        <w:rPr>
          <w:rFonts w:asciiTheme="majorBidi" w:eastAsiaTheme="minorHAnsi" w:hAnsiTheme="majorBidi" w:cstheme="majorBidi"/>
        </w:rPr>
      </w:pPr>
      <w:r w:rsidRPr="00D773F7">
        <w:rPr>
          <w:rFonts w:asciiTheme="majorBidi" w:eastAsiaTheme="minorHAnsi" w:hAnsiTheme="majorBidi" w:cstheme="majorBidi"/>
        </w:rPr>
        <w:t xml:space="preserve">A9.7.5.2.2.2 </w:t>
      </w:r>
      <w:r w:rsidRPr="00D773F7">
        <w:rPr>
          <w:rFonts w:asciiTheme="majorBidi" w:eastAsiaTheme="minorHAnsi" w:hAnsiTheme="majorBidi" w:cstheme="majorBidi"/>
        </w:rPr>
        <w:tab/>
      </w:r>
      <w:r w:rsidR="003A0D0D" w:rsidRPr="00D773F7">
        <w:rPr>
          <w:rFonts w:asciiTheme="majorBidi" w:eastAsiaTheme="minorHAnsi" w:hAnsiTheme="majorBidi" w:cstheme="majorBidi"/>
        </w:rPr>
        <w:tab/>
      </w:r>
      <w:r w:rsidR="003A0D0D" w:rsidRPr="00D773F7">
        <w:rPr>
          <w:rFonts w:asciiTheme="majorBidi" w:eastAsiaTheme="minorHAnsi" w:hAnsiTheme="majorBidi" w:cstheme="majorBidi"/>
        </w:rPr>
        <w:tab/>
      </w:r>
      <w:r w:rsidRPr="00D773F7">
        <w:rPr>
          <w:rFonts w:asciiTheme="majorBidi" w:eastAsiaTheme="minorHAnsi" w:hAnsiTheme="majorBidi" w:cstheme="majorBidi"/>
        </w:rPr>
        <w:t>The surrogate approach</w:t>
      </w:r>
    </w:p>
    <w:p w14:paraId="5F467797" w14:textId="4A71A8EE" w:rsidR="00186F0A" w:rsidRPr="00D773F7" w:rsidRDefault="00186F0A" w:rsidP="003E112D">
      <w:pPr>
        <w:pStyle w:val="SingleTxtG"/>
        <w:keepNext/>
        <w:keepLines/>
        <w:tabs>
          <w:tab w:val="left" w:pos="2552"/>
        </w:tabs>
        <w:ind w:left="2268"/>
        <w:rPr>
          <w:rFonts w:asciiTheme="majorBidi" w:eastAsiaTheme="minorHAnsi" w:hAnsiTheme="majorBidi" w:cstheme="majorBidi"/>
        </w:rPr>
      </w:pPr>
      <w:r w:rsidRPr="00D773F7">
        <w:rPr>
          <w:rFonts w:asciiTheme="majorBidi" w:eastAsiaTheme="minorHAnsi" w:hAnsiTheme="majorBidi" w:cstheme="majorBidi"/>
        </w:rPr>
        <w:t>A9.7.5.2.2.2.1</w:t>
      </w:r>
      <w:r w:rsidRPr="00D773F7">
        <w:rPr>
          <w:rFonts w:asciiTheme="majorBidi" w:eastAsiaTheme="minorHAnsi" w:hAnsiTheme="majorBidi" w:cstheme="majorBidi"/>
        </w:rPr>
        <w:tab/>
        <w:t xml:space="preserve">Where appropriate chronic toxicity data and/or </w:t>
      </w:r>
      <w:r w:rsidR="00CC1825" w:rsidRPr="00D773F7">
        <w:rPr>
          <w:rFonts w:asciiTheme="majorBidi" w:eastAsiaTheme="minorHAnsi" w:hAnsiTheme="majorBidi" w:cstheme="majorBidi"/>
        </w:rPr>
        <w:t xml:space="preserve">transformation/dissolution </w:t>
      </w:r>
      <w:r w:rsidRPr="00D773F7">
        <w:rPr>
          <w:rFonts w:asciiTheme="majorBidi" w:eastAsiaTheme="minorHAnsi" w:hAnsiTheme="majorBidi" w:cstheme="majorBidi"/>
        </w:rPr>
        <w:t>data are not available, but the metal is classified for short-term (acute) aquatic hazard, then classify the metal as (unless there is evidence of rapid environmental transformation and no bioaccumulation):</w:t>
      </w:r>
    </w:p>
    <w:p w14:paraId="2D66C342" w14:textId="77777777" w:rsidR="00186F0A" w:rsidRPr="00D773F7" w:rsidRDefault="00186F0A" w:rsidP="003A0D0D">
      <w:pPr>
        <w:pStyle w:val="SingleTxtG"/>
        <w:tabs>
          <w:tab w:val="clear" w:pos="2268"/>
          <w:tab w:val="clear" w:pos="2835"/>
        </w:tabs>
        <w:ind w:left="2835" w:hanging="567"/>
        <w:rPr>
          <w:rFonts w:asciiTheme="majorBidi" w:eastAsiaTheme="minorHAnsi" w:hAnsiTheme="majorBidi" w:cstheme="majorBidi"/>
        </w:rPr>
      </w:pPr>
      <w:r w:rsidRPr="00D773F7">
        <w:rPr>
          <w:rFonts w:asciiTheme="majorBidi" w:eastAsiaTheme="minorHAnsi" w:hAnsiTheme="majorBidi" w:cstheme="majorBidi"/>
        </w:rPr>
        <w:t>(a)</w:t>
      </w:r>
      <w:r w:rsidRPr="00D773F7">
        <w:rPr>
          <w:rFonts w:asciiTheme="majorBidi" w:eastAsiaTheme="minorHAnsi" w:hAnsiTheme="majorBidi" w:cstheme="majorBidi"/>
        </w:rPr>
        <w:tab/>
        <w:t>Category Chronic 1 if the metal is classified for short-term (acute) aquatic hazard as category Acute 1. Assign the same M factor as for category Acute 1.</w:t>
      </w:r>
    </w:p>
    <w:p w14:paraId="5A5D87ED" w14:textId="77777777" w:rsidR="00186F0A" w:rsidRPr="00D773F7" w:rsidRDefault="00186F0A" w:rsidP="003A0D0D">
      <w:pPr>
        <w:pStyle w:val="SingleTxtG"/>
        <w:tabs>
          <w:tab w:val="clear" w:pos="2268"/>
          <w:tab w:val="clear" w:pos="2835"/>
        </w:tabs>
        <w:ind w:left="2835" w:hanging="567"/>
        <w:rPr>
          <w:rFonts w:asciiTheme="majorBidi" w:eastAsiaTheme="minorHAnsi" w:hAnsiTheme="majorBidi" w:cstheme="majorBidi"/>
        </w:rPr>
      </w:pPr>
      <w:r w:rsidRPr="00D773F7">
        <w:rPr>
          <w:rFonts w:asciiTheme="majorBidi" w:eastAsiaTheme="minorHAnsi" w:hAnsiTheme="majorBidi" w:cstheme="majorBidi"/>
        </w:rPr>
        <w:lastRenderedPageBreak/>
        <w:t>(b)</w:t>
      </w:r>
      <w:r w:rsidRPr="00D773F7">
        <w:rPr>
          <w:rFonts w:asciiTheme="majorBidi" w:eastAsiaTheme="minorHAnsi" w:hAnsiTheme="majorBidi" w:cstheme="majorBidi"/>
        </w:rPr>
        <w:tab/>
        <w:t>Category Chronic 2 if the metal is classified for short-term (acute) aquatic hazard as category Acute 2.</w:t>
      </w:r>
    </w:p>
    <w:p w14:paraId="51347DD7" w14:textId="77777777" w:rsidR="00186F0A" w:rsidRPr="00D773F7" w:rsidRDefault="00186F0A" w:rsidP="003A0D0D">
      <w:pPr>
        <w:pStyle w:val="SingleTxtG"/>
        <w:tabs>
          <w:tab w:val="clear" w:pos="2268"/>
          <w:tab w:val="clear" w:pos="2835"/>
        </w:tabs>
        <w:ind w:left="2835" w:hanging="567"/>
        <w:rPr>
          <w:rFonts w:asciiTheme="majorBidi" w:eastAsiaTheme="minorHAnsi" w:hAnsiTheme="majorBidi" w:cstheme="majorBidi"/>
        </w:rPr>
      </w:pPr>
      <w:r w:rsidRPr="00D773F7">
        <w:rPr>
          <w:rFonts w:asciiTheme="majorBidi" w:eastAsiaTheme="minorHAnsi" w:hAnsiTheme="majorBidi" w:cstheme="majorBidi"/>
        </w:rPr>
        <w:t>(c)</w:t>
      </w:r>
      <w:r w:rsidRPr="00D773F7">
        <w:rPr>
          <w:rFonts w:asciiTheme="majorBidi" w:eastAsiaTheme="minorHAnsi" w:hAnsiTheme="majorBidi" w:cstheme="majorBidi"/>
        </w:rPr>
        <w:tab/>
        <w:t>Category Chronic 3 if the metal is classified for short-term (acute) aquatic hazard as category Acute 3.</w:t>
      </w:r>
    </w:p>
    <w:p w14:paraId="65CC8CC7" w14:textId="4E5F0B12" w:rsidR="00186F0A" w:rsidRPr="00D773F7" w:rsidRDefault="00186F0A" w:rsidP="003A0D0D">
      <w:pPr>
        <w:pStyle w:val="SingleTxtG"/>
        <w:tabs>
          <w:tab w:val="left" w:pos="1985"/>
        </w:tabs>
        <w:ind w:left="2268"/>
        <w:rPr>
          <w:rFonts w:asciiTheme="majorBidi" w:eastAsiaTheme="minorHAnsi" w:hAnsiTheme="majorBidi" w:cstheme="majorBidi"/>
        </w:rPr>
      </w:pPr>
      <w:r w:rsidRPr="00D773F7">
        <w:rPr>
          <w:rFonts w:asciiTheme="majorBidi" w:eastAsiaTheme="minorHAnsi" w:hAnsiTheme="majorBidi" w:cstheme="majorBidi"/>
        </w:rPr>
        <w:t>A9.7.5.2.2.2.2</w:t>
      </w:r>
      <w:r w:rsidRPr="00D773F7">
        <w:rPr>
          <w:rFonts w:asciiTheme="majorBidi" w:eastAsiaTheme="minorHAnsi" w:hAnsiTheme="majorBidi" w:cstheme="majorBidi"/>
        </w:rPr>
        <w:tab/>
        <w:t xml:space="preserve">In the lack of a short-term aquatic hazard classification due to missing </w:t>
      </w:r>
      <w:r w:rsidR="00CC1825" w:rsidRPr="00D773F7">
        <w:rPr>
          <w:rFonts w:asciiTheme="majorBidi" w:eastAsiaTheme="minorHAnsi" w:hAnsiTheme="majorBidi" w:cstheme="majorBidi"/>
        </w:rPr>
        <w:t xml:space="preserve">transformation/dissolution </w:t>
      </w:r>
      <w:r w:rsidRPr="00D773F7">
        <w:rPr>
          <w:rFonts w:asciiTheme="majorBidi" w:eastAsiaTheme="minorHAnsi" w:hAnsiTheme="majorBidi" w:cstheme="majorBidi"/>
        </w:rPr>
        <w:t xml:space="preserve">data, and there is no clear data of sufficient validity to show that the transformation of metal ions will not occur, the safety net classification (Chronic 4) should be applied when the known classifiable toxicity of these soluble forms is considered to produce sufficient concern. For example, this is the case when the acute </w:t>
      </w:r>
      <w:proofErr w:type="spellStart"/>
      <w:r w:rsidRPr="00D773F7">
        <w:rPr>
          <w:rFonts w:asciiTheme="majorBidi" w:eastAsiaTheme="minorHAnsi" w:hAnsiTheme="majorBidi" w:cstheme="majorBidi"/>
        </w:rPr>
        <w:t>ERV</w:t>
      </w:r>
      <w:r w:rsidRPr="00D773F7">
        <w:rPr>
          <w:rFonts w:asciiTheme="majorBidi" w:eastAsiaTheme="minorHAnsi" w:hAnsiTheme="majorBidi" w:cstheme="majorBidi"/>
          <w:vertAlign w:val="subscript"/>
        </w:rPr>
        <w:t>ion</w:t>
      </w:r>
      <w:proofErr w:type="spellEnd"/>
      <w:r w:rsidRPr="00D773F7">
        <w:rPr>
          <w:rFonts w:asciiTheme="majorBidi" w:eastAsiaTheme="minorHAnsi" w:hAnsiTheme="majorBidi" w:cstheme="majorBidi"/>
        </w:rPr>
        <w:t xml:space="preserve"> is equal to or below 100 mg/</w:t>
      </w:r>
      <w:r w:rsidR="002B4204" w:rsidRPr="00D773F7">
        <w:rPr>
          <w:rFonts w:asciiTheme="majorBidi" w:eastAsiaTheme="minorHAnsi" w:hAnsiTheme="majorBidi" w:cstheme="majorBidi"/>
        </w:rPr>
        <w:t>l</w:t>
      </w:r>
      <w:r w:rsidRPr="00D773F7">
        <w:rPr>
          <w:rFonts w:asciiTheme="majorBidi" w:eastAsiaTheme="minorHAnsi" w:hAnsiTheme="majorBidi" w:cstheme="majorBidi"/>
        </w:rPr>
        <w:t xml:space="preserve">, and/or if the chronic </w:t>
      </w:r>
      <w:proofErr w:type="spellStart"/>
      <w:r w:rsidRPr="00D773F7">
        <w:rPr>
          <w:rFonts w:asciiTheme="majorBidi" w:eastAsiaTheme="minorHAnsi" w:hAnsiTheme="majorBidi" w:cstheme="majorBidi"/>
        </w:rPr>
        <w:t>ERV</w:t>
      </w:r>
      <w:r w:rsidRPr="00D773F7">
        <w:rPr>
          <w:rFonts w:asciiTheme="majorBidi" w:eastAsiaTheme="minorHAnsi" w:hAnsiTheme="majorBidi" w:cstheme="majorBidi"/>
          <w:vertAlign w:val="subscript"/>
        </w:rPr>
        <w:t>ion</w:t>
      </w:r>
      <w:proofErr w:type="spellEnd"/>
      <w:r w:rsidRPr="00D773F7">
        <w:rPr>
          <w:rFonts w:asciiTheme="majorBidi" w:eastAsiaTheme="minorHAnsi" w:hAnsiTheme="majorBidi" w:cstheme="majorBidi"/>
        </w:rPr>
        <w:t xml:space="preserve"> is equal to or below 1</w:t>
      </w:r>
      <w:r w:rsidR="009C2019">
        <w:rPr>
          <w:rFonts w:asciiTheme="majorBidi" w:eastAsiaTheme="minorHAnsi" w:hAnsiTheme="majorBidi" w:cstheme="majorBidi"/>
        </w:rPr>
        <w:t> </w:t>
      </w:r>
      <w:r w:rsidRPr="00D773F7">
        <w:rPr>
          <w:rFonts w:asciiTheme="majorBidi" w:eastAsiaTheme="minorHAnsi" w:hAnsiTheme="majorBidi" w:cstheme="majorBidi"/>
        </w:rPr>
        <w:t>mg/</w:t>
      </w:r>
      <w:r w:rsidR="002B4204" w:rsidRPr="00D773F7">
        <w:rPr>
          <w:rFonts w:asciiTheme="majorBidi" w:eastAsiaTheme="minorHAnsi" w:hAnsiTheme="majorBidi" w:cstheme="majorBidi"/>
        </w:rPr>
        <w:t>l</w:t>
      </w:r>
      <w:r w:rsidRPr="00D773F7">
        <w:rPr>
          <w:rFonts w:asciiTheme="majorBidi" w:eastAsiaTheme="minorHAnsi" w:hAnsiTheme="majorBidi" w:cstheme="majorBidi"/>
        </w:rPr>
        <w:t xml:space="preserve">. In these cases, testing according to the Transformation/Dissolution </w:t>
      </w:r>
      <w:r w:rsidR="002B4204" w:rsidRPr="00D773F7">
        <w:rPr>
          <w:rFonts w:asciiTheme="majorBidi" w:eastAsiaTheme="minorHAnsi" w:hAnsiTheme="majorBidi" w:cstheme="majorBidi"/>
        </w:rPr>
        <w:t>P</w:t>
      </w:r>
      <w:r w:rsidRPr="00D773F7">
        <w:rPr>
          <w:rFonts w:asciiTheme="majorBidi" w:eastAsiaTheme="minorHAnsi" w:hAnsiTheme="majorBidi" w:cstheme="majorBidi"/>
        </w:rPr>
        <w:t>rotocol may be considered.</w:t>
      </w:r>
    </w:p>
    <w:p w14:paraId="734188CE" w14:textId="77777777" w:rsidR="00186F0A" w:rsidRPr="00D773F7" w:rsidRDefault="00186F0A" w:rsidP="003A0D0D">
      <w:pPr>
        <w:pStyle w:val="SingleTxtG"/>
        <w:tabs>
          <w:tab w:val="clear" w:pos="1701"/>
          <w:tab w:val="clear" w:pos="2268"/>
          <w:tab w:val="clear" w:pos="2835"/>
          <w:tab w:val="left" w:pos="3686"/>
        </w:tabs>
        <w:ind w:left="2268"/>
        <w:rPr>
          <w:rFonts w:asciiTheme="majorBidi" w:eastAsiaTheme="minorHAnsi" w:hAnsiTheme="majorBidi" w:cstheme="majorBidi"/>
        </w:rPr>
      </w:pPr>
      <w:r w:rsidRPr="00D773F7">
        <w:rPr>
          <w:rFonts w:asciiTheme="majorBidi" w:eastAsiaTheme="minorHAnsi" w:hAnsiTheme="majorBidi" w:cstheme="majorBidi"/>
        </w:rPr>
        <w:t>A9.7.5.2.2.2.3</w:t>
      </w:r>
      <w:r w:rsidRPr="00D773F7">
        <w:rPr>
          <w:rFonts w:asciiTheme="majorBidi" w:eastAsiaTheme="minorHAnsi" w:hAnsiTheme="majorBidi" w:cstheme="majorBidi"/>
        </w:rPr>
        <w:tab/>
        <w:t>Do not classify the metal for long-term aquatic hazard if the metal is not classified for short-term aquatic hazard and if there are no grounds for concern.</w:t>
      </w:r>
    </w:p>
    <w:p w14:paraId="342A30DC" w14:textId="7A92D022" w:rsidR="00186F0A" w:rsidRPr="00D773F7" w:rsidRDefault="00186F0A" w:rsidP="00186F0A">
      <w:pPr>
        <w:pStyle w:val="SingleTxtG"/>
        <w:keepNext/>
        <w:keepLines/>
        <w:jc w:val="center"/>
        <w:rPr>
          <w:rFonts w:asciiTheme="majorBidi" w:eastAsiaTheme="minorHAnsi" w:hAnsiTheme="majorBidi" w:cstheme="majorBidi"/>
          <w:b/>
          <w:bCs/>
          <w:lang w:val="en-US"/>
        </w:rPr>
      </w:pPr>
      <w:r w:rsidRPr="00D773F7">
        <w:rPr>
          <w:rFonts w:asciiTheme="majorBidi" w:eastAsiaTheme="minorHAnsi" w:hAnsiTheme="majorBidi" w:cstheme="majorBidi"/>
          <w:b/>
          <w:bCs/>
          <w:lang w:val="en-US"/>
        </w:rPr>
        <w:t xml:space="preserve">Figure A9.7.3: Classification strategy for determining long-term aquatic hazard of metals in absence of appropriate chronic toxicity reference data and/or 28-day </w:t>
      </w:r>
      <w:r w:rsidR="00097BC4" w:rsidRPr="00D773F7">
        <w:rPr>
          <w:rFonts w:asciiTheme="majorBidi" w:eastAsiaTheme="minorHAnsi" w:hAnsiTheme="majorBidi" w:cstheme="majorBidi"/>
          <w:b/>
          <w:bCs/>
          <w:lang w:val="en-US"/>
        </w:rPr>
        <w:t>t</w:t>
      </w:r>
      <w:r w:rsidRPr="00D773F7">
        <w:rPr>
          <w:rFonts w:asciiTheme="majorBidi" w:eastAsiaTheme="minorHAnsi" w:hAnsiTheme="majorBidi" w:cstheme="majorBidi"/>
          <w:b/>
          <w:bCs/>
          <w:lang w:val="en-US"/>
        </w:rPr>
        <w:t>ransformation/</w:t>
      </w:r>
      <w:r w:rsidR="00097BC4" w:rsidRPr="00D773F7">
        <w:rPr>
          <w:rFonts w:asciiTheme="majorBidi" w:eastAsiaTheme="minorHAnsi" w:hAnsiTheme="majorBidi" w:cstheme="majorBidi"/>
          <w:b/>
          <w:bCs/>
          <w:lang w:val="en-US"/>
        </w:rPr>
        <w:t>d</w:t>
      </w:r>
      <w:r w:rsidRPr="00D773F7">
        <w:rPr>
          <w:rFonts w:asciiTheme="majorBidi" w:eastAsiaTheme="minorHAnsi" w:hAnsiTheme="majorBidi" w:cstheme="majorBidi"/>
          <w:b/>
          <w:bCs/>
          <w:lang w:val="en-US"/>
        </w:rPr>
        <w:t>issolution data</w:t>
      </w:r>
    </w:p>
    <w:p w14:paraId="51A142A9" w14:textId="1D4D07FE" w:rsidR="00186F0A" w:rsidRPr="00D773F7" w:rsidRDefault="00CF1DA9" w:rsidP="00186F0A">
      <w:pPr>
        <w:pStyle w:val="SingleTxtG"/>
        <w:keepNext/>
        <w:keepLines/>
        <w:jc w:val="center"/>
        <w:rPr>
          <w:rFonts w:asciiTheme="majorBidi" w:hAnsiTheme="majorBidi" w:cstheme="majorBidi"/>
        </w:rPr>
      </w:pPr>
      <w:r w:rsidRPr="00D773F7">
        <w:rPr>
          <w:rFonts w:asciiTheme="majorBidi" w:hAnsiTheme="majorBidi" w:cstheme="majorBidi"/>
        </w:rPr>
        <w:object w:dxaOrig="6697" w:dyaOrig="4609" w14:anchorId="2712F4FB">
          <v:shape id="_x0000_i1036" type="#_x0000_t75" style="width:334.5pt;height:230.9pt" o:ole="">
            <v:imagedata r:id="rId57" o:title=""/>
          </v:shape>
          <o:OLEObject Type="Embed" ProgID="Visio.Drawing.15" ShapeID="_x0000_i1036" DrawAspect="Content" ObjectID="_1744797709" r:id="rId58"/>
        </w:object>
      </w:r>
    </w:p>
    <w:p w14:paraId="328725F6" w14:textId="77777777" w:rsidR="00186F0A" w:rsidRPr="00D773F7" w:rsidRDefault="00186F0A" w:rsidP="00186F0A">
      <w:pPr>
        <w:pStyle w:val="SingleTxtG"/>
        <w:jc w:val="right"/>
        <w:rPr>
          <w:rFonts w:asciiTheme="majorBidi" w:eastAsiaTheme="minorHAnsi" w:hAnsiTheme="majorBidi" w:cstheme="majorBidi"/>
        </w:rPr>
      </w:pPr>
      <w:r w:rsidRPr="00D773F7">
        <w:rPr>
          <w:rFonts w:asciiTheme="majorBidi" w:eastAsiaTheme="minorHAnsi" w:hAnsiTheme="majorBidi" w:cstheme="majorBidi"/>
        </w:rPr>
        <w:t>”</w:t>
      </w:r>
    </w:p>
    <w:p w14:paraId="05C81CAC" w14:textId="0228B971" w:rsidR="00186F0A" w:rsidRPr="00D773F7" w:rsidRDefault="00186F0A" w:rsidP="00186F0A">
      <w:pPr>
        <w:pStyle w:val="SingleTxtG"/>
        <w:rPr>
          <w:rFonts w:asciiTheme="majorBidi" w:eastAsiaTheme="minorHAnsi" w:hAnsiTheme="majorBidi" w:cstheme="majorBidi"/>
        </w:rPr>
      </w:pPr>
      <w:r w:rsidRPr="00D773F7">
        <w:rPr>
          <w:rFonts w:asciiTheme="majorBidi" w:eastAsiaTheme="minorHAnsi" w:hAnsiTheme="majorBidi" w:cstheme="majorBidi"/>
        </w:rPr>
        <w:t xml:space="preserve">A9.7.5.3 to </w:t>
      </w:r>
      <w:r w:rsidRPr="00D773F7">
        <w:rPr>
          <w:rFonts w:asciiTheme="majorBidi" w:hAnsiTheme="majorBidi" w:cstheme="majorBidi"/>
        </w:rPr>
        <w:t>A9.7.5.3.3.3</w:t>
      </w:r>
      <w:r w:rsidRPr="00D773F7">
        <w:rPr>
          <w:rFonts w:asciiTheme="majorBidi" w:eastAsiaTheme="minorHAnsi" w:hAnsiTheme="majorBidi" w:cstheme="majorBidi"/>
        </w:rPr>
        <w:tab/>
        <w:t>Replace with the following text</w:t>
      </w:r>
      <w:r w:rsidRPr="00D773F7">
        <w:rPr>
          <w:rFonts w:asciiTheme="majorBidi" w:hAnsiTheme="majorBidi" w:cstheme="majorBidi"/>
        </w:rPr>
        <w:t>:</w:t>
      </w:r>
    </w:p>
    <w:p w14:paraId="69009ED7" w14:textId="77777777" w:rsidR="00186F0A" w:rsidRPr="00D773F7" w:rsidRDefault="00186F0A" w:rsidP="003A0D0D">
      <w:pPr>
        <w:pStyle w:val="SingleTxtG"/>
        <w:ind w:left="2268"/>
        <w:rPr>
          <w:rFonts w:asciiTheme="majorBidi" w:eastAsiaTheme="minorHAnsi" w:hAnsiTheme="majorBidi" w:cstheme="majorBidi"/>
        </w:rPr>
      </w:pPr>
      <w:r w:rsidRPr="00D773F7">
        <w:rPr>
          <w:rFonts w:asciiTheme="majorBidi" w:eastAsiaTheme="minorHAnsi" w:hAnsiTheme="majorBidi" w:cstheme="majorBidi"/>
        </w:rPr>
        <w:t>“</w:t>
      </w:r>
      <w:r w:rsidRPr="006E65C1">
        <w:rPr>
          <w:rFonts w:asciiTheme="majorBidi" w:eastAsiaTheme="minorHAnsi" w:hAnsiTheme="majorBidi" w:cstheme="majorBidi"/>
          <w:b/>
          <w:bCs/>
        </w:rPr>
        <w:t>A9.7.5.3</w:t>
      </w:r>
      <w:r w:rsidRPr="00D773F7">
        <w:rPr>
          <w:rFonts w:asciiTheme="majorBidi" w:eastAsiaTheme="minorHAnsi" w:hAnsiTheme="majorBidi" w:cstheme="majorBidi"/>
        </w:rPr>
        <w:tab/>
      </w:r>
      <w:r w:rsidRPr="00D773F7">
        <w:rPr>
          <w:rFonts w:asciiTheme="majorBidi" w:eastAsiaTheme="minorHAnsi" w:hAnsiTheme="majorBidi" w:cstheme="majorBidi"/>
          <w:b/>
          <w:bCs/>
          <w:i/>
          <w:iCs/>
        </w:rPr>
        <w:t>Classification strategy for metal compounds</w:t>
      </w:r>
    </w:p>
    <w:p w14:paraId="57DA8C53" w14:textId="3472ECD7" w:rsidR="00186F0A" w:rsidRPr="00D773F7" w:rsidRDefault="00186F0A" w:rsidP="004B0826">
      <w:pPr>
        <w:pStyle w:val="SingleTxtG"/>
        <w:tabs>
          <w:tab w:val="clear" w:pos="2268"/>
          <w:tab w:val="clear" w:pos="2835"/>
          <w:tab w:val="left" w:pos="3402"/>
        </w:tabs>
        <w:ind w:left="2268"/>
        <w:rPr>
          <w:rFonts w:asciiTheme="majorBidi" w:eastAsiaTheme="minorHAnsi" w:hAnsiTheme="majorBidi" w:cstheme="majorBidi"/>
        </w:rPr>
      </w:pPr>
      <w:r w:rsidRPr="00D773F7">
        <w:rPr>
          <w:rFonts w:asciiTheme="majorBidi" w:eastAsiaTheme="minorHAnsi" w:hAnsiTheme="majorBidi" w:cstheme="majorBidi"/>
        </w:rPr>
        <w:t xml:space="preserve">Metal compounds will be considered as readily soluble if the water solubility (measured e.g. through a screening test according to the </w:t>
      </w:r>
      <w:r w:rsidR="0076502F" w:rsidRPr="00D773F7">
        <w:rPr>
          <w:rFonts w:asciiTheme="majorBidi" w:eastAsiaTheme="minorHAnsi" w:hAnsiTheme="majorBidi" w:cstheme="majorBidi"/>
        </w:rPr>
        <w:t>T</w:t>
      </w:r>
      <w:r w:rsidR="00CC1825" w:rsidRPr="00D773F7">
        <w:rPr>
          <w:rFonts w:asciiTheme="majorBidi" w:eastAsiaTheme="minorHAnsi" w:hAnsiTheme="majorBidi" w:cstheme="majorBidi"/>
        </w:rPr>
        <w:t>ransformation/</w:t>
      </w:r>
      <w:r w:rsidR="0076502F" w:rsidRPr="00D773F7">
        <w:rPr>
          <w:rFonts w:asciiTheme="majorBidi" w:eastAsiaTheme="minorHAnsi" w:hAnsiTheme="majorBidi" w:cstheme="majorBidi"/>
        </w:rPr>
        <w:t>D</w:t>
      </w:r>
      <w:r w:rsidR="00CC1825" w:rsidRPr="00D773F7">
        <w:rPr>
          <w:rFonts w:asciiTheme="majorBidi" w:eastAsiaTheme="minorHAnsi" w:hAnsiTheme="majorBidi" w:cstheme="majorBidi"/>
        </w:rPr>
        <w:t>issolution P</w:t>
      </w:r>
      <w:r w:rsidRPr="00D773F7">
        <w:rPr>
          <w:rFonts w:asciiTheme="majorBidi" w:eastAsiaTheme="minorHAnsi" w:hAnsiTheme="majorBidi" w:cstheme="majorBidi"/>
        </w:rPr>
        <w:t xml:space="preserve">rotocol, or estimated e.g. from the solubility product), expressed as the concentration of dissolved metal ion, is greater than or equal to the acute </w:t>
      </w:r>
      <w:proofErr w:type="spellStart"/>
      <w:r w:rsidRPr="00D773F7">
        <w:rPr>
          <w:rFonts w:asciiTheme="majorBidi" w:eastAsiaTheme="minorHAnsi" w:hAnsiTheme="majorBidi" w:cstheme="majorBidi"/>
        </w:rPr>
        <w:t>ERV</w:t>
      </w:r>
      <w:r w:rsidRPr="00D773F7">
        <w:rPr>
          <w:rFonts w:asciiTheme="majorBidi" w:eastAsiaTheme="minorHAnsi" w:hAnsiTheme="majorBidi" w:cstheme="majorBidi"/>
          <w:vertAlign w:val="subscript"/>
        </w:rPr>
        <w:t>ion</w:t>
      </w:r>
      <w:proofErr w:type="spellEnd"/>
      <w:r w:rsidRPr="00D773F7">
        <w:rPr>
          <w:rFonts w:asciiTheme="majorBidi" w:eastAsiaTheme="minorHAnsi" w:hAnsiTheme="majorBidi" w:cstheme="majorBidi"/>
        </w:rPr>
        <w:t xml:space="preserve">. In the context of the classification criteria, metal compounds will also be considered as readily soluble if such data are unavailable, i.e. there are no clear data of sufficient validity to show that the transformation to metal ions will not occur. Care should be exercised for compounds whose solubility is close to the acute ERV as the conditions under which solubility is measured could differ significantly from those of the acute toxicity test. In these cases the results of the screening test are preferred. Metal compounds will be considered as poorly soluble if the water solubility (measured e.g. through a screening test, or estimated e.g. from the solubility </w:t>
      </w:r>
      <w:r w:rsidRPr="00D773F7">
        <w:rPr>
          <w:rFonts w:asciiTheme="majorBidi" w:eastAsiaTheme="minorHAnsi" w:hAnsiTheme="majorBidi" w:cstheme="majorBidi"/>
        </w:rPr>
        <w:lastRenderedPageBreak/>
        <w:t xml:space="preserve">product), expressed as the concentration of dissolved metal ion, is less than the acute </w:t>
      </w:r>
      <w:proofErr w:type="spellStart"/>
      <w:r w:rsidRPr="00D773F7">
        <w:rPr>
          <w:rFonts w:asciiTheme="majorBidi" w:eastAsiaTheme="minorHAnsi" w:hAnsiTheme="majorBidi" w:cstheme="majorBidi"/>
        </w:rPr>
        <w:t>ERV</w:t>
      </w:r>
      <w:r w:rsidRPr="00D773F7">
        <w:rPr>
          <w:rFonts w:asciiTheme="majorBidi" w:eastAsiaTheme="minorHAnsi" w:hAnsiTheme="majorBidi" w:cstheme="majorBidi"/>
          <w:vertAlign w:val="subscript"/>
        </w:rPr>
        <w:t>ion</w:t>
      </w:r>
      <w:proofErr w:type="spellEnd"/>
      <w:r w:rsidRPr="00D773F7">
        <w:rPr>
          <w:rFonts w:asciiTheme="majorBidi" w:eastAsiaTheme="minorHAnsi" w:hAnsiTheme="majorBidi" w:cstheme="majorBidi"/>
        </w:rPr>
        <w:t>.</w:t>
      </w:r>
    </w:p>
    <w:p w14:paraId="76462D68" w14:textId="2F388A2E" w:rsidR="00186F0A" w:rsidRPr="00D773F7" w:rsidRDefault="00186F0A" w:rsidP="003A0D0D">
      <w:pPr>
        <w:pStyle w:val="SingleTxtG"/>
        <w:ind w:left="2268"/>
        <w:rPr>
          <w:rFonts w:asciiTheme="majorBidi" w:eastAsiaTheme="minorHAnsi" w:hAnsiTheme="majorBidi" w:cstheme="majorBidi"/>
        </w:rPr>
      </w:pPr>
      <w:r w:rsidRPr="00D773F7">
        <w:rPr>
          <w:rFonts w:asciiTheme="majorBidi" w:eastAsiaTheme="minorHAnsi" w:hAnsiTheme="majorBidi" w:cstheme="majorBidi"/>
        </w:rPr>
        <w:t xml:space="preserve">A9.7.5.3.1 </w:t>
      </w:r>
      <w:r w:rsidRPr="00D773F7">
        <w:rPr>
          <w:rFonts w:asciiTheme="majorBidi" w:eastAsiaTheme="minorHAnsi" w:hAnsiTheme="majorBidi" w:cstheme="majorBidi"/>
        </w:rPr>
        <w:tab/>
      </w:r>
      <w:r w:rsidR="009C2019">
        <w:rPr>
          <w:rFonts w:asciiTheme="majorBidi" w:eastAsiaTheme="minorHAnsi" w:hAnsiTheme="majorBidi" w:cstheme="majorBidi"/>
        </w:rPr>
        <w:tab/>
      </w:r>
      <w:r w:rsidRPr="00D773F7">
        <w:rPr>
          <w:rFonts w:asciiTheme="majorBidi" w:eastAsiaTheme="minorHAnsi" w:hAnsiTheme="majorBidi" w:cstheme="majorBidi"/>
          <w:i/>
          <w:iCs/>
        </w:rPr>
        <w:t>Short-term (acute) aquatic hazard of metal compounds</w:t>
      </w:r>
    </w:p>
    <w:p w14:paraId="7D48E623" w14:textId="77777777" w:rsidR="00186F0A" w:rsidRPr="00D773F7" w:rsidRDefault="00186F0A" w:rsidP="003A0D0D">
      <w:pPr>
        <w:pStyle w:val="SingleTxtG"/>
        <w:ind w:left="2268"/>
        <w:rPr>
          <w:rFonts w:asciiTheme="majorBidi" w:hAnsiTheme="majorBidi" w:cstheme="majorBidi"/>
        </w:rPr>
      </w:pPr>
      <w:r w:rsidRPr="00D773F7">
        <w:rPr>
          <w:rFonts w:asciiTheme="majorBidi" w:eastAsiaTheme="minorHAnsi" w:hAnsiTheme="majorBidi" w:cstheme="majorBidi"/>
        </w:rPr>
        <w:t>A9.7.5.3.1.1</w:t>
      </w:r>
      <w:r w:rsidRPr="00D773F7">
        <w:rPr>
          <w:rFonts w:asciiTheme="majorBidi" w:eastAsiaTheme="minorHAnsi" w:hAnsiTheme="majorBidi" w:cstheme="majorBidi"/>
        </w:rPr>
        <w:tab/>
      </w:r>
      <w:r w:rsidRPr="00D773F7">
        <w:rPr>
          <w:rFonts w:asciiTheme="majorBidi" w:eastAsiaTheme="minorHAnsi" w:hAnsiTheme="majorBidi" w:cstheme="majorBidi"/>
        </w:rPr>
        <w:tab/>
      </w:r>
      <w:r w:rsidRPr="00D773F7">
        <w:rPr>
          <w:rFonts w:asciiTheme="majorBidi" w:hAnsiTheme="majorBidi" w:cstheme="majorBidi"/>
        </w:rPr>
        <w:t xml:space="preserve">Readily soluble metal compounds are classified on the basis of the acute </w:t>
      </w:r>
      <w:proofErr w:type="spellStart"/>
      <w:r w:rsidRPr="00D773F7">
        <w:rPr>
          <w:rFonts w:asciiTheme="majorBidi" w:hAnsiTheme="majorBidi" w:cstheme="majorBidi"/>
        </w:rPr>
        <w:t>ERV</w:t>
      </w:r>
      <w:r w:rsidRPr="00D773F7">
        <w:rPr>
          <w:rFonts w:asciiTheme="majorBidi" w:hAnsiTheme="majorBidi" w:cstheme="majorBidi"/>
          <w:vertAlign w:val="subscript"/>
        </w:rPr>
        <w:t>compound</w:t>
      </w:r>
      <w:proofErr w:type="spellEnd"/>
      <w:r w:rsidRPr="00D773F7">
        <w:rPr>
          <w:rFonts w:asciiTheme="majorBidi" w:hAnsiTheme="majorBidi" w:cstheme="majorBidi"/>
        </w:rPr>
        <w:t>. Classify the readily soluble metal compound as:</w:t>
      </w:r>
    </w:p>
    <w:p w14:paraId="70B1DA8D" w14:textId="2618FAC9" w:rsidR="00186F0A" w:rsidRPr="00D773F7" w:rsidRDefault="00186F0A" w:rsidP="00186F0A">
      <w:pPr>
        <w:pStyle w:val="SingleTxtG"/>
        <w:ind w:left="2835" w:hanging="567"/>
        <w:rPr>
          <w:rFonts w:asciiTheme="majorBidi" w:eastAsiaTheme="minorHAnsi" w:hAnsiTheme="majorBidi" w:cstheme="majorBidi"/>
        </w:rPr>
      </w:pPr>
      <w:r w:rsidRPr="00D773F7">
        <w:rPr>
          <w:rFonts w:asciiTheme="majorBidi" w:eastAsiaTheme="minorHAnsi" w:hAnsiTheme="majorBidi" w:cstheme="majorBidi"/>
        </w:rPr>
        <w:t>(a)</w:t>
      </w:r>
      <w:r w:rsidRPr="00D773F7">
        <w:rPr>
          <w:rFonts w:asciiTheme="majorBidi" w:eastAsiaTheme="minorHAnsi" w:hAnsiTheme="majorBidi" w:cstheme="majorBidi"/>
        </w:rPr>
        <w:tab/>
        <w:t xml:space="preserve">Category Acute 1 if the acute </w:t>
      </w:r>
      <w:proofErr w:type="spellStart"/>
      <w:r w:rsidRPr="00D773F7">
        <w:rPr>
          <w:rFonts w:asciiTheme="majorBidi" w:eastAsiaTheme="minorHAnsi" w:hAnsiTheme="majorBidi" w:cstheme="majorBidi"/>
        </w:rPr>
        <w:t>ERV</w:t>
      </w:r>
      <w:r w:rsidRPr="00D773F7">
        <w:rPr>
          <w:rFonts w:asciiTheme="majorBidi" w:eastAsiaTheme="minorHAnsi" w:hAnsiTheme="majorBidi" w:cstheme="majorBidi"/>
          <w:vertAlign w:val="subscript"/>
        </w:rPr>
        <w:t>compound</w:t>
      </w:r>
      <w:proofErr w:type="spellEnd"/>
      <w:r w:rsidRPr="00D773F7">
        <w:rPr>
          <w:rFonts w:asciiTheme="majorBidi" w:eastAsiaTheme="minorHAnsi" w:hAnsiTheme="majorBidi" w:cstheme="majorBidi"/>
          <w:vertAlign w:val="subscript"/>
        </w:rPr>
        <w:t xml:space="preserve"> </w:t>
      </w:r>
      <w:r w:rsidRPr="00D773F7">
        <w:rPr>
          <w:rFonts w:asciiTheme="majorBidi" w:eastAsiaTheme="minorHAnsi" w:hAnsiTheme="majorBidi" w:cstheme="majorBidi"/>
        </w:rPr>
        <w:t>is equal to or less than 1</w:t>
      </w:r>
      <w:r w:rsidR="009C2019">
        <w:rPr>
          <w:rFonts w:asciiTheme="majorBidi" w:eastAsiaTheme="minorHAnsi" w:hAnsiTheme="majorBidi" w:cstheme="majorBidi"/>
        </w:rPr>
        <w:t> </w:t>
      </w:r>
      <w:r w:rsidRPr="00D773F7">
        <w:rPr>
          <w:rFonts w:asciiTheme="majorBidi" w:eastAsiaTheme="minorHAnsi" w:hAnsiTheme="majorBidi" w:cstheme="majorBidi"/>
        </w:rPr>
        <w:t>mg/l column</w:t>
      </w:r>
      <w:r w:rsidR="00DC7F4E" w:rsidRPr="00D773F7">
        <w:rPr>
          <w:rFonts w:asciiTheme="majorBidi" w:eastAsiaTheme="minorHAnsi" w:hAnsiTheme="majorBidi" w:cstheme="majorBidi"/>
        </w:rPr>
        <w:t>.</w:t>
      </w:r>
      <w:r w:rsidRPr="00D773F7">
        <w:rPr>
          <w:rFonts w:asciiTheme="majorBidi" w:eastAsiaTheme="minorHAnsi" w:hAnsiTheme="majorBidi" w:cstheme="majorBidi"/>
        </w:rPr>
        <w:t xml:space="preserve"> Assign an Acute M factor according to </w:t>
      </w:r>
      <w:r w:rsidR="001806B2" w:rsidRPr="00D773F7">
        <w:rPr>
          <w:rFonts w:asciiTheme="majorBidi" w:eastAsiaTheme="minorHAnsi" w:hAnsiTheme="majorBidi" w:cstheme="majorBidi"/>
        </w:rPr>
        <w:t>t</w:t>
      </w:r>
      <w:r w:rsidRPr="00D773F7">
        <w:rPr>
          <w:rFonts w:asciiTheme="majorBidi" w:eastAsiaTheme="minorHAnsi" w:hAnsiTheme="majorBidi" w:cstheme="majorBidi"/>
        </w:rPr>
        <w:t>able A9.7.1;</w:t>
      </w:r>
    </w:p>
    <w:p w14:paraId="721A4D94" w14:textId="0421C78A" w:rsidR="00186F0A" w:rsidRPr="00D773F7" w:rsidRDefault="00186F0A" w:rsidP="00186F0A">
      <w:pPr>
        <w:pStyle w:val="SingleTxtG"/>
        <w:ind w:left="2835" w:hanging="567"/>
        <w:rPr>
          <w:rFonts w:asciiTheme="majorBidi" w:eastAsiaTheme="minorHAnsi" w:hAnsiTheme="majorBidi" w:cstheme="majorBidi"/>
        </w:rPr>
      </w:pPr>
      <w:r w:rsidRPr="00D773F7">
        <w:rPr>
          <w:rFonts w:asciiTheme="majorBidi" w:eastAsiaTheme="minorHAnsi" w:hAnsiTheme="majorBidi" w:cstheme="majorBidi"/>
        </w:rPr>
        <w:t>(b)</w:t>
      </w:r>
      <w:r w:rsidRPr="00D773F7">
        <w:rPr>
          <w:rFonts w:asciiTheme="majorBidi" w:eastAsiaTheme="minorHAnsi" w:hAnsiTheme="majorBidi" w:cstheme="majorBidi"/>
        </w:rPr>
        <w:tab/>
        <w:t xml:space="preserve">Category Acute 2 if the acute </w:t>
      </w:r>
      <w:proofErr w:type="spellStart"/>
      <w:r w:rsidRPr="00D773F7">
        <w:rPr>
          <w:rFonts w:asciiTheme="majorBidi" w:eastAsiaTheme="minorHAnsi" w:hAnsiTheme="majorBidi" w:cstheme="majorBidi"/>
        </w:rPr>
        <w:t>ERV</w:t>
      </w:r>
      <w:r w:rsidRPr="00D773F7">
        <w:rPr>
          <w:rFonts w:asciiTheme="majorBidi" w:eastAsiaTheme="minorHAnsi" w:hAnsiTheme="majorBidi" w:cstheme="majorBidi"/>
          <w:vertAlign w:val="subscript"/>
        </w:rPr>
        <w:t>compound</w:t>
      </w:r>
      <w:proofErr w:type="spellEnd"/>
      <w:r w:rsidRPr="00D773F7">
        <w:rPr>
          <w:rFonts w:asciiTheme="majorBidi" w:eastAsiaTheme="minorHAnsi" w:hAnsiTheme="majorBidi" w:cstheme="majorBidi"/>
        </w:rPr>
        <w:t xml:space="preserve"> is greater than 1</w:t>
      </w:r>
      <w:r w:rsidR="009C2019">
        <w:rPr>
          <w:rFonts w:asciiTheme="majorBidi" w:eastAsiaTheme="minorHAnsi" w:hAnsiTheme="majorBidi" w:cstheme="majorBidi"/>
        </w:rPr>
        <w:t> </w:t>
      </w:r>
      <w:r w:rsidRPr="00D773F7">
        <w:rPr>
          <w:rFonts w:asciiTheme="majorBidi" w:eastAsiaTheme="minorHAnsi" w:hAnsiTheme="majorBidi" w:cstheme="majorBidi"/>
        </w:rPr>
        <w:t>mg/1 but less than or equal to 10</w:t>
      </w:r>
      <w:r w:rsidR="009C2019">
        <w:rPr>
          <w:rFonts w:asciiTheme="majorBidi" w:eastAsiaTheme="minorHAnsi" w:hAnsiTheme="majorBidi" w:cstheme="majorBidi"/>
        </w:rPr>
        <w:t> </w:t>
      </w:r>
      <w:r w:rsidRPr="00D773F7">
        <w:rPr>
          <w:rFonts w:asciiTheme="majorBidi" w:eastAsiaTheme="minorHAnsi" w:hAnsiTheme="majorBidi" w:cstheme="majorBidi"/>
        </w:rPr>
        <w:t xml:space="preserve">mg/l; </w:t>
      </w:r>
    </w:p>
    <w:p w14:paraId="761F186E" w14:textId="0FD048BB" w:rsidR="00186F0A" w:rsidRPr="00D773F7" w:rsidRDefault="00186F0A" w:rsidP="00186F0A">
      <w:pPr>
        <w:pStyle w:val="SingleTxtG"/>
        <w:ind w:left="2835" w:hanging="567"/>
        <w:rPr>
          <w:rFonts w:asciiTheme="majorBidi" w:eastAsiaTheme="minorHAnsi" w:hAnsiTheme="majorBidi" w:cstheme="majorBidi"/>
        </w:rPr>
      </w:pPr>
      <w:r w:rsidRPr="00D773F7">
        <w:rPr>
          <w:rFonts w:asciiTheme="majorBidi" w:eastAsiaTheme="minorHAnsi" w:hAnsiTheme="majorBidi" w:cstheme="majorBidi"/>
        </w:rPr>
        <w:t>(c)</w:t>
      </w:r>
      <w:r w:rsidRPr="00D773F7">
        <w:rPr>
          <w:rFonts w:asciiTheme="majorBidi" w:eastAsiaTheme="minorHAnsi" w:hAnsiTheme="majorBidi" w:cstheme="majorBidi"/>
        </w:rPr>
        <w:tab/>
        <w:t xml:space="preserve">Category Acute 3 if the acute </w:t>
      </w:r>
      <w:proofErr w:type="spellStart"/>
      <w:r w:rsidRPr="00D773F7">
        <w:rPr>
          <w:rFonts w:asciiTheme="majorBidi" w:eastAsiaTheme="minorHAnsi" w:hAnsiTheme="majorBidi" w:cstheme="majorBidi"/>
        </w:rPr>
        <w:t>ERV</w:t>
      </w:r>
      <w:r w:rsidRPr="00D773F7">
        <w:rPr>
          <w:rFonts w:asciiTheme="majorBidi" w:eastAsiaTheme="minorHAnsi" w:hAnsiTheme="majorBidi" w:cstheme="majorBidi"/>
          <w:vertAlign w:val="subscript"/>
        </w:rPr>
        <w:t>compound</w:t>
      </w:r>
      <w:proofErr w:type="spellEnd"/>
      <w:r w:rsidRPr="00D773F7">
        <w:rPr>
          <w:rFonts w:asciiTheme="majorBidi" w:eastAsiaTheme="minorHAnsi" w:hAnsiTheme="majorBidi" w:cstheme="majorBidi"/>
        </w:rPr>
        <w:t xml:space="preserve"> is greater than 10</w:t>
      </w:r>
      <w:r w:rsidR="009C2019">
        <w:rPr>
          <w:rFonts w:asciiTheme="majorBidi" w:eastAsiaTheme="minorHAnsi" w:hAnsiTheme="majorBidi" w:cstheme="majorBidi"/>
        </w:rPr>
        <w:t> </w:t>
      </w:r>
      <w:r w:rsidRPr="00D773F7">
        <w:rPr>
          <w:rFonts w:asciiTheme="majorBidi" w:eastAsiaTheme="minorHAnsi" w:hAnsiTheme="majorBidi" w:cstheme="majorBidi"/>
        </w:rPr>
        <w:t>mg/1 but less than or equal to 100</w:t>
      </w:r>
      <w:r w:rsidR="009C2019">
        <w:rPr>
          <w:rFonts w:asciiTheme="majorBidi" w:eastAsiaTheme="minorHAnsi" w:hAnsiTheme="majorBidi" w:cstheme="majorBidi"/>
        </w:rPr>
        <w:t> </w:t>
      </w:r>
      <w:r w:rsidRPr="00D773F7">
        <w:rPr>
          <w:rFonts w:asciiTheme="majorBidi" w:eastAsiaTheme="minorHAnsi" w:hAnsiTheme="majorBidi" w:cstheme="majorBidi"/>
        </w:rPr>
        <w:t>mg/l.</w:t>
      </w:r>
    </w:p>
    <w:p w14:paraId="21F922EF" w14:textId="6B7E9148" w:rsidR="00186F0A" w:rsidRPr="00D773F7" w:rsidRDefault="00186F0A" w:rsidP="004B0826">
      <w:pPr>
        <w:pStyle w:val="SingleTxtG"/>
        <w:ind w:left="2268"/>
        <w:rPr>
          <w:rFonts w:asciiTheme="majorBidi" w:eastAsiaTheme="minorHAnsi" w:hAnsiTheme="majorBidi" w:cstheme="majorBidi"/>
        </w:rPr>
      </w:pPr>
      <w:r w:rsidRPr="00D773F7">
        <w:rPr>
          <w:rFonts w:asciiTheme="majorBidi" w:eastAsiaTheme="minorHAnsi" w:hAnsiTheme="majorBidi" w:cstheme="majorBidi"/>
        </w:rPr>
        <w:tab/>
      </w:r>
      <w:r w:rsidRPr="00D773F7">
        <w:rPr>
          <w:rFonts w:asciiTheme="majorBidi" w:eastAsiaTheme="minorHAnsi" w:hAnsiTheme="majorBidi" w:cstheme="majorBidi"/>
        </w:rPr>
        <w:tab/>
        <w:t xml:space="preserve">Do not classify the readily soluble metal compound for short-term aquatic hazard if the acute </w:t>
      </w:r>
      <w:proofErr w:type="spellStart"/>
      <w:r w:rsidRPr="00D773F7">
        <w:rPr>
          <w:rFonts w:asciiTheme="majorBidi" w:eastAsiaTheme="minorHAnsi" w:hAnsiTheme="majorBidi" w:cstheme="majorBidi"/>
        </w:rPr>
        <w:t>ERV</w:t>
      </w:r>
      <w:r w:rsidRPr="00D773F7">
        <w:rPr>
          <w:rFonts w:asciiTheme="majorBidi" w:eastAsiaTheme="minorHAnsi" w:hAnsiTheme="majorBidi" w:cstheme="majorBidi"/>
          <w:vertAlign w:val="subscript"/>
        </w:rPr>
        <w:t>compound</w:t>
      </w:r>
      <w:proofErr w:type="spellEnd"/>
      <w:r w:rsidRPr="00D773F7">
        <w:rPr>
          <w:rFonts w:asciiTheme="majorBidi" w:eastAsiaTheme="minorHAnsi" w:hAnsiTheme="majorBidi" w:cstheme="majorBidi"/>
        </w:rPr>
        <w:t xml:space="preserve"> is </w:t>
      </w:r>
      <w:r w:rsidR="007046FE" w:rsidRPr="00D773F7">
        <w:rPr>
          <w:rFonts w:asciiTheme="majorBidi" w:eastAsiaTheme="minorHAnsi" w:hAnsiTheme="majorBidi" w:cstheme="majorBidi"/>
        </w:rPr>
        <w:t>greater</w:t>
      </w:r>
      <w:r w:rsidRPr="00D773F7">
        <w:rPr>
          <w:rFonts w:asciiTheme="majorBidi" w:eastAsiaTheme="minorHAnsi" w:hAnsiTheme="majorBidi" w:cstheme="majorBidi"/>
        </w:rPr>
        <w:t xml:space="preserve"> than 100</w:t>
      </w:r>
      <w:r w:rsidR="009C2019">
        <w:rPr>
          <w:rFonts w:asciiTheme="majorBidi" w:eastAsiaTheme="minorHAnsi" w:hAnsiTheme="majorBidi" w:cstheme="majorBidi"/>
        </w:rPr>
        <w:t> </w:t>
      </w:r>
      <w:r w:rsidRPr="00D773F7">
        <w:rPr>
          <w:rFonts w:asciiTheme="majorBidi" w:eastAsiaTheme="minorHAnsi" w:hAnsiTheme="majorBidi" w:cstheme="majorBidi"/>
        </w:rPr>
        <w:t>mg/l.</w:t>
      </w:r>
    </w:p>
    <w:p w14:paraId="6DBDDEBF" w14:textId="71819CAD" w:rsidR="00186F0A" w:rsidRPr="00D773F7" w:rsidRDefault="00186F0A" w:rsidP="004B0826">
      <w:pPr>
        <w:pStyle w:val="SingleTxtG"/>
        <w:tabs>
          <w:tab w:val="left" w:pos="3402"/>
        </w:tabs>
        <w:ind w:left="2268"/>
        <w:rPr>
          <w:rFonts w:asciiTheme="majorBidi" w:eastAsiaTheme="minorHAnsi" w:hAnsiTheme="majorBidi" w:cstheme="majorBidi"/>
        </w:rPr>
      </w:pPr>
      <w:r w:rsidRPr="00D773F7">
        <w:rPr>
          <w:rFonts w:asciiTheme="majorBidi" w:eastAsiaTheme="minorHAnsi" w:hAnsiTheme="majorBidi" w:cstheme="majorBidi"/>
        </w:rPr>
        <w:t>A9.7.5.3.1.2</w:t>
      </w:r>
      <w:r w:rsidRPr="00D773F7">
        <w:rPr>
          <w:rFonts w:asciiTheme="majorBidi" w:eastAsiaTheme="minorHAnsi" w:hAnsiTheme="majorBidi" w:cstheme="majorBidi"/>
        </w:rPr>
        <w:tab/>
      </w:r>
      <w:r w:rsidR="004B0826" w:rsidRPr="00D773F7">
        <w:rPr>
          <w:rFonts w:asciiTheme="majorBidi" w:eastAsiaTheme="minorHAnsi" w:hAnsiTheme="majorBidi" w:cstheme="majorBidi"/>
        </w:rPr>
        <w:tab/>
      </w:r>
      <w:r w:rsidRPr="00D773F7">
        <w:rPr>
          <w:rFonts w:asciiTheme="majorBidi" w:eastAsiaTheme="minorHAnsi" w:hAnsiTheme="majorBidi" w:cstheme="majorBidi"/>
        </w:rPr>
        <w:t xml:space="preserve">Poorly soluble metal compounds are classified on the basis of the acute ERV of the dissolved metal ion and 7-day </w:t>
      </w:r>
      <w:r w:rsidR="00E9499E" w:rsidRPr="00D773F7">
        <w:rPr>
          <w:rFonts w:asciiTheme="majorBidi" w:eastAsiaTheme="minorHAnsi" w:hAnsiTheme="majorBidi" w:cstheme="majorBidi"/>
        </w:rPr>
        <w:t>t</w:t>
      </w:r>
      <w:r w:rsidRPr="00D773F7">
        <w:rPr>
          <w:rFonts w:asciiTheme="majorBidi" w:eastAsiaTheme="minorHAnsi" w:hAnsiTheme="majorBidi" w:cstheme="majorBidi"/>
        </w:rPr>
        <w:t>ransformation/</w:t>
      </w:r>
      <w:r w:rsidR="00E9499E" w:rsidRPr="00D773F7">
        <w:rPr>
          <w:rFonts w:asciiTheme="majorBidi" w:eastAsiaTheme="minorHAnsi" w:hAnsiTheme="majorBidi" w:cstheme="majorBidi"/>
        </w:rPr>
        <w:t>d</w:t>
      </w:r>
      <w:r w:rsidRPr="00D773F7">
        <w:rPr>
          <w:rFonts w:asciiTheme="majorBidi" w:eastAsiaTheme="minorHAnsi" w:hAnsiTheme="majorBidi" w:cstheme="majorBidi"/>
        </w:rPr>
        <w:t>issolution data. Classify the poorly soluble metal compound as:</w:t>
      </w:r>
    </w:p>
    <w:p w14:paraId="281740DF" w14:textId="49C3B540" w:rsidR="00186F0A" w:rsidRPr="00D773F7" w:rsidRDefault="00186F0A" w:rsidP="004B0826">
      <w:pPr>
        <w:pStyle w:val="SingleTxtG"/>
        <w:tabs>
          <w:tab w:val="clear" w:pos="2268"/>
          <w:tab w:val="clear" w:pos="2835"/>
        </w:tabs>
        <w:ind w:left="2835" w:hanging="567"/>
        <w:rPr>
          <w:rFonts w:asciiTheme="majorBidi" w:eastAsiaTheme="minorHAnsi" w:hAnsiTheme="majorBidi" w:cstheme="majorBidi"/>
        </w:rPr>
      </w:pPr>
      <w:r w:rsidRPr="00D773F7">
        <w:rPr>
          <w:rFonts w:asciiTheme="majorBidi" w:eastAsiaTheme="minorHAnsi" w:hAnsiTheme="majorBidi" w:cstheme="majorBidi"/>
        </w:rPr>
        <w:t>(a)</w:t>
      </w:r>
      <w:r w:rsidRPr="00D773F7">
        <w:rPr>
          <w:rFonts w:asciiTheme="majorBidi" w:eastAsiaTheme="minorHAnsi" w:hAnsiTheme="majorBidi" w:cstheme="majorBidi"/>
        </w:rPr>
        <w:tab/>
        <w:t xml:space="preserve">Category Acute 1 if the dissolved metal ion concentration at the low loading rate is equal to or greater than the acute </w:t>
      </w:r>
      <w:proofErr w:type="spellStart"/>
      <w:r w:rsidRPr="00D773F7">
        <w:rPr>
          <w:rFonts w:asciiTheme="majorBidi" w:eastAsiaTheme="minorHAnsi" w:hAnsiTheme="majorBidi" w:cstheme="majorBidi"/>
        </w:rPr>
        <w:t>ERV</w:t>
      </w:r>
      <w:r w:rsidRPr="00D773F7">
        <w:rPr>
          <w:rFonts w:asciiTheme="majorBidi" w:eastAsiaTheme="minorHAnsi" w:hAnsiTheme="majorBidi" w:cstheme="majorBidi"/>
          <w:vertAlign w:val="subscript"/>
        </w:rPr>
        <w:t>ion</w:t>
      </w:r>
      <w:proofErr w:type="spellEnd"/>
      <w:r w:rsidRPr="00D773F7">
        <w:rPr>
          <w:rFonts w:asciiTheme="majorBidi" w:eastAsiaTheme="minorHAnsi" w:hAnsiTheme="majorBidi" w:cstheme="majorBidi"/>
        </w:rPr>
        <w:t xml:space="preserve">, and assign Acute M factor according to </w:t>
      </w:r>
      <w:r w:rsidR="001806B2" w:rsidRPr="00D773F7">
        <w:rPr>
          <w:rFonts w:asciiTheme="majorBidi" w:eastAsiaTheme="minorHAnsi" w:hAnsiTheme="majorBidi" w:cstheme="majorBidi"/>
        </w:rPr>
        <w:t>t</w:t>
      </w:r>
      <w:r w:rsidRPr="00D773F7">
        <w:rPr>
          <w:rFonts w:asciiTheme="majorBidi" w:eastAsiaTheme="minorHAnsi" w:hAnsiTheme="majorBidi" w:cstheme="majorBidi"/>
        </w:rPr>
        <w:t xml:space="preserve">able A9.7.1; </w:t>
      </w:r>
    </w:p>
    <w:p w14:paraId="1F206BAD" w14:textId="77777777" w:rsidR="00186F0A" w:rsidRPr="00D773F7" w:rsidRDefault="00186F0A" w:rsidP="004B0826">
      <w:pPr>
        <w:pStyle w:val="SingleTxtG"/>
        <w:tabs>
          <w:tab w:val="clear" w:pos="2268"/>
          <w:tab w:val="clear" w:pos="2835"/>
        </w:tabs>
        <w:ind w:left="2835" w:hanging="567"/>
        <w:rPr>
          <w:rFonts w:asciiTheme="majorBidi" w:eastAsiaTheme="minorHAnsi" w:hAnsiTheme="majorBidi" w:cstheme="majorBidi"/>
        </w:rPr>
      </w:pPr>
      <w:r w:rsidRPr="00D773F7">
        <w:rPr>
          <w:rFonts w:asciiTheme="majorBidi" w:eastAsiaTheme="minorHAnsi" w:hAnsiTheme="majorBidi" w:cstheme="majorBidi"/>
        </w:rPr>
        <w:t>(b)</w:t>
      </w:r>
      <w:r w:rsidRPr="00D773F7">
        <w:rPr>
          <w:rFonts w:asciiTheme="majorBidi" w:eastAsiaTheme="minorHAnsi" w:hAnsiTheme="majorBidi" w:cstheme="majorBidi"/>
        </w:rPr>
        <w:tab/>
        <w:t xml:space="preserve">Category Acute 2 if the dissolved metal ion concentration at the medium loading rate is equal to or greater than the acute </w:t>
      </w:r>
      <w:proofErr w:type="spellStart"/>
      <w:r w:rsidRPr="00D773F7">
        <w:rPr>
          <w:rFonts w:asciiTheme="majorBidi" w:eastAsiaTheme="minorHAnsi" w:hAnsiTheme="majorBidi" w:cstheme="majorBidi"/>
        </w:rPr>
        <w:t>ERV</w:t>
      </w:r>
      <w:r w:rsidRPr="00D773F7">
        <w:rPr>
          <w:rFonts w:asciiTheme="majorBidi" w:eastAsiaTheme="minorHAnsi" w:hAnsiTheme="majorBidi" w:cstheme="majorBidi"/>
          <w:vertAlign w:val="subscript"/>
        </w:rPr>
        <w:t>ion</w:t>
      </w:r>
      <w:proofErr w:type="spellEnd"/>
      <w:r w:rsidRPr="00D773F7">
        <w:rPr>
          <w:rFonts w:asciiTheme="majorBidi" w:eastAsiaTheme="minorHAnsi" w:hAnsiTheme="majorBidi" w:cstheme="majorBidi"/>
        </w:rPr>
        <w:t>;</w:t>
      </w:r>
    </w:p>
    <w:p w14:paraId="39CF9C52" w14:textId="77777777" w:rsidR="00186F0A" w:rsidRPr="00D773F7" w:rsidRDefault="00186F0A" w:rsidP="004B0826">
      <w:pPr>
        <w:pStyle w:val="SingleTxtG"/>
        <w:tabs>
          <w:tab w:val="clear" w:pos="2268"/>
          <w:tab w:val="clear" w:pos="2835"/>
        </w:tabs>
        <w:ind w:left="2835" w:hanging="567"/>
        <w:rPr>
          <w:rFonts w:asciiTheme="majorBidi" w:eastAsiaTheme="minorHAnsi" w:hAnsiTheme="majorBidi" w:cstheme="majorBidi"/>
        </w:rPr>
      </w:pPr>
      <w:r w:rsidRPr="00D773F7">
        <w:rPr>
          <w:rFonts w:asciiTheme="majorBidi" w:eastAsiaTheme="minorHAnsi" w:hAnsiTheme="majorBidi" w:cstheme="majorBidi"/>
        </w:rPr>
        <w:t>(c)</w:t>
      </w:r>
      <w:r w:rsidRPr="00D773F7">
        <w:rPr>
          <w:rFonts w:asciiTheme="majorBidi" w:eastAsiaTheme="minorHAnsi" w:hAnsiTheme="majorBidi" w:cstheme="majorBidi"/>
        </w:rPr>
        <w:tab/>
        <w:t xml:space="preserve">Category Acute 3 if the dissolved metal ion concentration at the high loading rate is equal to or greater than the acute </w:t>
      </w:r>
      <w:proofErr w:type="spellStart"/>
      <w:r w:rsidRPr="00D773F7">
        <w:rPr>
          <w:rFonts w:asciiTheme="majorBidi" w:eastAsiaTheme="minorHAnsi" w:hAnsiTheme="majorBidi" w:cstheme="majorBidi"/>
        </w:rPr>
        <w:t>ERV</w:t>
      </w:r>
      <w:r w:rsidRPr="00D773F7">
        <w:rPr>
          <w:rFonts w:asciiTheme="majorBidi" w:eastAsiaTheme="minorHAnsi" w:hAnsiTheme="majorBidi" w:cstheme="majorBidi"/>
          <w:vertAlign w:val="subscript"/>
        </w:rPr>
        <w:t>ion</w:t>
      </w:r>
      <w:proofErr w:type="spellEnd"/>
      <w:r w:rsidRPr="00D773F7">
        <w:rPr>
          <w:rFonts w:asciiTheme="majorBidi" w:eastAsiaTheme="minorHAnsi" w:hAnsiTheme="majorBidi" w:cstheme="majorBidi"/>
        </w:rPr>
        <w:t>.</w:t>
      </w:r>
    </w:p>
    <w:p w14:paraId="6CACD2C6" w14:textId="6DFC9139" w:rsidR="00186F0A" w:rsidRPr="00D773F7" w:rsidRDefault="004B0826" w:rsidP="004B0826">
      <w:pPr>
        <w:pStyle w:val="SingleTxtG"/>
        <w:ind w:left="2268"/>
        <w:rPr>
          <w:rFonts w:asciiTheme="majorBidi" w:eastAsiaTheme="minorHAnsi" w:hAnsiTheme="majorBidi" w:cstheme="majorBidi"/>
        </w:rPr>
      </w:pPr>
      <w:r w:rsidRPr="00D773F7">
        <w:rPr>
          <w:rFonts w:asciiTheme="majorBidi" w:eastAsiaTheme="minorHAnsi" w:hAnsiTheme="majorBidi" w:cstheme="majorBidi"/>
        </w:rPr>
        <w:tab/>
      </w:r>
      <w:r w:rsidR="00186F0A" w:rsidRPr="00D773F7">
        <w:rPr>
          <w:rFonts w:asciiTheme="majorBidi" w:eastAsiaTheme="minorHAnsi" w:hAnsiTheme="majorBidi" w:cstheme="majorBidi"/>
        </w:rPr>
        <w:t>Do not classify the poorly soluble metal compound for short-term (acute) aquatic hazard if the dissolved metal ion concentration is below the acute ERV of the dissolved metal ion at all loading rates.</w:t>
      </w:r>
    </w:p>
    <w:p w14:paraId="6479CEB1" w14:textId="2CEFC2B4" w:rsidR="00186F0A" w:rsidRPr="00D773F7" w:rsidRDefault="00186F0A" w:rsidP="004100AF">
      <w:pPr>
        <w:pStyle w:val="SingleTxtG"/>
        <w:keepNext/>
        <w:keepLines/>
        <w:jc w:val="center"/>
        <w:rPr>
          <w:rFonts w:asciiTheme="majorBidi" w:eastAsiaTheme="minorHAnsi" w:hAnsiTheme="majorBidi" w:cstheme="majorBidi"/>
          <w:b/>
          <w:bCs/>
          <w:lang w:val="en-US"/>
        </w:rPr>
      </w:pPr>
      <w:r w:rsidRPr="00D773F7">
        <w:rPr>
          <w:rFonts w:asciiTheme="majorBidi" w:eastAsiaTheme="minorHAnsi" w:hAnsiTheme="majorBidi" w:cstheme="majorBidi"/>
          <w:b/>
          <w:bCs/>
          <w:lang w:val="en-US"/>
        </w:rPr>
        <w:lastRenderedPageBreak/>
        <w:t>Figure A9.7.4: Classification strategy for determining the short-term (acute) aquatic hazard of metal compounds</w:t>
      </w:r>
    </w:p>
    <w:p w14:paraId="66EBE98C" w14:textId="77777777" w:rsidR="004100AF" w:rsidRPr="00D773F7" w:rsidRDefault="004100AF" w:rsidP="004100AF">
      <w:pPr>
        <w:pStyle w:val="SingleTxtG"/>
        <w:keepNext/>
        <w:keepLines/>
        <w:jc w:val="center"/>
        <w:rPr>
          <w:rFonts w:asciiTheme="majorBidi" w:eastAsiaTheme="minorHAnsi" w:hAnsiTheme="majorBidi" w:cstheme="majorBidi"/>
          <w:b/>
          <w:bCs/>
          <w:lang w:val="en-US"/>
        </w:rPr>
      </w:pPr>
    </w:p>
    <w:p w14:paraId="5F928D71" w14:textId="7F42D08C" w:rsidR="00001943" w:rsidRPr="00D773F7" w:rsidRDefault="004100AF" w:rsidP="004100AF">
      <w:pPr>
        <w:jc w:val="center"/>
        <w:rPr>
          <w:rFonts w:asciiTheme="majorBidi" w:eastAsiaTheme="minorHAnsi" w:hAnsiTheme="majorBidi" w:cstheme="majorBidi"/>
          <w:b/>
          <w:bCs/>
          <w:lang w:val="en-US"/>
        </w:rPr>
      </w:pPr>
      <w:r w:rsidRPr="00D773F7">
        <w:rPr>
          <w:rFonts w:asciiTheme="majorBidi" w:hAnsiTheme="majorBidi" w:cstheme="majorBidi"/>
        </w:rPr>
        <w:object w:dxaOrig="8234" w:dyaOrig="8269" w14:anchorId="7FB5DF42">
          <v:shape id="_x0000_i1037" type="#_x0000_t75" style="width:411.7pt;height:413.05pt" o:ole="">
            <v:imagedata r:id="rId59" o:title=""/>
          </v:shape>
          <o:OLEObject Type="Embed" ProgID="Visio.Drawing.15" ShapeID="_x0000_i1037" DrawAspect="Content" ObjectID="_1744797710" r:id="rId60"/>
        </w:object>
      </w:r>
    </w:p>
    <w:p w14:paraId="53F6EDA3" w14:textId="77777777" w:rsidR="00186F0A" w:rsidRPr="00D773F7" w:rsidRDefault="00186F0A" w:rsidP="00186F0A">
      <w:pPr>
        <w:pStyle w:val="SingleTxtG"/>
        <w:keepNext/>
        <w:keepLines/>
        <w:rPr>
          <w:rFonts w:asciiTheme="majorBidi" w:eastAsiaTheme="minorHAnsi" w:hAnsiTheme="majorBidi" w:cstheme="majorBidi"/>
        </w:rPr>
      </w:pPr>
    </w:p>
    <w:p w14:paraId="43076320" w14:textId="77777777" w:rsidR="00186F0A" w:rsidRPr="00D773F7" w:rsidRDefault="00186F0A" w:rsidP="00B72DD5">
      <w:pPr>
        <w:pStyle w:val="SingleTxtG"/>
        <w:keepNext/>
        <w:keepLines/>
        <w:tabs>
          <w:tab w:val="left" w:pos="3686"/>
        </w:tabs>
        <w:ind w:left="2268"/>
        <w:rPr>
          <w:rFonts w:asciiTheme="majorBidi" w:eastAsiaTheme="minorHAnsi" w:hAnsiTheme="majorBidi" w:cstheme="majorBidi"/>
          <w:i/>
          <w:iCs/>
        </w:rPr>
      </w:pPr>
      <w:r w:rsidRPr="00D773F7">
        <w:rPr>
          <w:rFonts w:asciiTheme="majorBidi" w:eastAsiaTheme="minorHAnsi" w:hAnsiTheme="majorBidi" w:cstheme="majorBidi"/>
        </w:rPr>
        <w:t xml:space="preserve">A9.7.5.3.2 </w:t>
      </w:r>
      <w:r w:rsidRPr="00D773F7">
        <w:rPr>
          <w:rFonts w:asciiTheme="majorBidi" w:eastAsiaTheme="minorHAnsi" w:hAnsiTheme="majorBidi" w:cstheme="majorBidi"/>
        </w:rPr>
        <w:tab/>
      </w:r>
      <w:r w:rsidRPr="00D773F7">
        <w:rPr>
          <w:rFonts w:asciiTheme="majorBidi" w:eastAsiaTheme="minorHAnsi" w:hAnsiTheme="majorBidi" w:cstheme="majorBidi"/>
          <w:i/>
          <w:iCs/>
        </w:rPr>
        <w:t>Long-term (chronic) aquatic hazard of metal compounds</w:t>
      </w:r>
    </w:p>
    <w:p w14:paraId="0D72A575" w14:textId="2E55AC20" w:rsidR="00186F0A" w:rsidRPr="00D773F7" w:rsidRDefault="00B72DD5" w:rsidP="00B72DD5">
      <w:pPr>
        <w:pStyle w:val="SingleTxtG"/>
        <w:tabs>
          <w:tab w:val="clear" w:pos="2835"/>
          <w:tab w:val="left" w:pos="3686"/>
        </w:tabs>
        <w:ind w:left="2268"/>
        <w:rPr>
          <w:rFonts w:asciiTheme="majorBidi" w:eastAsiaTheme="minorHAnsi" w:hAnsiTheme="majorBidi" w:cstheme="majorBidi"/>
        </w:rPr>
      </w:pPr>
      <w:r>
        <w:rPr>
          <w:rFonts w:asciiTheme="majorBidi" w:eastAsiaTheme="minorHAnsi" w:hAnsiTheme="majorBidi" w:cstheme="majorBidi"/>
        </w:rPr>
        <w:tab/>
      </w:r>
      <w:r w:rsidR="00186F0A" w:rsidRPr="00D773F7">
        <w:rPr>
          <w:rFonts w:asciiTheme="majorBidi" w:eastAsiaTheme="minorHAnsi" w:hAnsiTheme="majorBidi" w:cstheme="majorBidi"/>
        </w:rPr>
        <w:t xml:space="preserve">The scheme for determining the long-term (chronic) aquatic hazard of metal compounds is described in this section and summarised in </w:t>
      </w:r>
      <w:r w:rsidR="00170498" w:rsidRPr="00D773F7">
        <w:rPr>
          <w:rFonts w:asciiTheme="majorBidi" w:eastAsiaTheme="minorHAnsi" w:hAnsiTheme="majorBidi" w:cstheme="majorBidi"/>
        </w:rPr>
        <w:t>f</w:t>
      </w:r>
      <w:r w:rsidR="00186F0A" w:rsidRPr="00D773F7">
        <w:rPr>
          <w:rFonts w:asciiTheme="majorBidi" w:eastAsiaTheme="minorHAnsi" w:hAnsiTheme="majorBidi" w:cstheme="majorBidi"/>
        </w:rPr>
        <w:t>igure A9.7.5. Metal compounds can be classified for long-term aquatic hazard using chronic toxicity data when available, or using the surrogate approach in absence of appropriate chronic toxicity data.</w:t>
      </w:r>
    </w:p>
    <w:p w14:paraId="02424363" w14:textId="77777777" w:rsidR="00186F0A" w:rsidRPr="00D773F7" w:rsidRDefault="00186F0A" w:rsidP="00B72DD5">
      <w:pPr>
        <w:pStyle w:val="SingleTxtG"/>
        <w:tabs>
          <w:tab w:val="left" w:pos="3686"/>
        </w:tabs>
        <w:ind w:left="2268"/>
        <w:rPr>
          <w:rFonts w:asciiTheme="majorBidi" w:eastAsiaTheme="minorHAnsi" w:hAnsiTheme="majorBidi" w:cstheme="majorBidi"/>
        </w:rPr>
      </w:pPr>
      <w:r w:rsidRPr="00D773F7">
        <w:rPr>
          <w:rFonts w:asciiTheme="majorBidi" w:eastAsiaTheme="minorHAnsi" w:hAnsiTheme="majorBidi" w:cstheme="majorBidi"/>
        </w:rPr>
        <w:t xml:space="preserve">A9.7.5.3.2.1 </w:t>
      </w:r>
      <w:r w:rsidRPr="00D773F7">
        <w:rPr>
          <w:rFonts w:asciiTheme="majorBidi" w:eastAsiaTheme="minorHAnsi" w:hAnsiTheme="majorBidi" w:cstheme="majorBidi"/>
        </w:rPr>
        <w:tab/>
        <w:t>Approach based on available chronic toxicity data</w:t>
      </w:r>
    </w:p>
    <w:p w14:paraId="431FE430" w14:textId="0681F92C" w:rsidR="00186F0A" w:rsidRPr="00D773F7" w:rsidRDefault="00186F0A" w:rsidP="003C10A6">
      <w:pPr>
        <w:pStyle w:val="SingleTxtG"/>
        <w:tabs>
          <w:tab w:val="left" w:pos="2410"/>
          <w:tab w:val="left" w:pos="3686"/>
        </w:tabs>
        <w:ind w:left="2268"/>
        <w:rPr>
          <w:rFonts w:asciiTheme="majorBidi" w:eastAsiaTheme="minorHAnsi" w:hAnsiTheme="majorBidi" w:cstheme="majorBidi"/>
        </w:rPr>
      </w:pPr>
      <w:r w:rsidRPr="00D773F7">
        <w:rPr>
          <w:rFonts w:asciiTheme="majorBidi" w:eastAsiaTheme="minorHAnsi" w:hAnsiTheme="majorBidi" w:cstheme="majorBidi"/>
        </w:rPr>
        <w:t>A9.7.5.3.2.1.1</w:t>
      </w:r>
      <w:r w:rsidRPr="00D773F7">
        <w:rPr>
          <w:rFonts w:asciiTheme="majorBidi" w:eastAsiaTheme="minorHAnsi" w:hAnsiTheme="majorBidi" w:cstheme="majorBidi"/>
        </w:rPr>
        <w:tab/>
        <w:t xml:space="preserve">Where the chronic </w:t>
      </w:r>
      <w:proofErr w:type="spellStart"/>
      <w:r w:rsidRPr="00D773F7">
        <w:rPr>
          <w:rFonts w:asciiTheme="majorBidi" w:eastAsiaTheme="minorHAnsi" w:hAnsiTheme="majorBidi" w:cstheme="majorBidi"/>
        </w:rPr>
        <w:t>ERV</w:t>
      </w:r>
      <w:r w:rsidRPr="00D773F7">
        <w:rPr>
          <w:rFonts w:asciiTheme="majorBidi" w:eastAsiaTheme="minorHAnsi" w:hAnsiTheme="majorBidi" w:cstheme="majorBidi"/>
          <w:vertAlign w:val="subscript"/>
        </w:rPr>
        <w:t>Compound</w:t>
      </w:r>
      <w:proofErr w:type="spellEnd"/>
      <w:r w:rsidRPr="00D773F7">
        <w:rPr>
          <w:rFonts w:asciiTheme="majorBidi" w:eastAsiaTheme="minorHAnsi" w:hAnsiTheme="majorBidi" w:cstheme="majorBidi"/>
        </w:rPr>
        <w:t xml:space="preserve"> is greater than 1 mg/l, the metal compound need not to be considered further in the classification scheme for long-term hazard.</w:t>
      </w:r>
    </w:p>
    <w:p w14:paraId="3981DA42" w14:textId="77777777" w:rsidR="00186F0A" w:rsidRPr="00D773F7" w:rsidRDefault="00186F0A" w:rsidP="003C10A6">
      <w:pPr>
        <w:pStyle w:val="SingleTxtG"/>
        <w:tabs>
          <w:tab w:val="left" w:pos="2410"/>
          <w:tab w:val="left" w:pos="3686"/>
        </w:tabs>
        <w:ind w:left="2268"/>
        <w:rPr>
          <w:rFonts w:asciiTheme="majorBidi" w:eastAsiaTheme="minorHAnsi" w:hAnsiTheme="majorBidi" w:cstheme="majorBidi"/>
        </w:rPr>
      </w:pPr>
      <w:r w:rsidRPr="00D773F7">
        <w:rPr>
          <w:rFonts w:asciiTheme="majorBidi" w:eastAsiaTheme="minorHAnsi" w:hAnsiTheme="majorBidi" w:cstheme="majorBidi"/>
        </w:rPr>
        <w:t>A9.7.5.3.2.1.2</w:t>
      </w:r>
      <w:r w:rsidRPr="00D773F7">
        <w:rPr>
          <w:rFonts w:asciiTheme="majorBidi" w:eastAsiaTheme="minorHAnsi" w:hAnsiTheme="majorBidi" w:cstheme="majorBidi"/>
        </w:rPr>
        <w:tab/>
        <w:t xml:space="preserve">Readily soluble metal compounds are classified on the basis of the chronic </w:t>
      </w:r>
      <w:proofErr w:type="spellStart"/>
      <w:r w:rsidRPr="00D773F7">
        <w:rPr>
          <w:rFonts w:asciiTheme="majorBidi" w:eastAsiaTheme="minorHAnsi" w:hAnsiTheme="majorBidi" w:cstheme="majorBidi"/>
        </w:rPr>
        <w:t>ERV</w:t>
      </w:r>
      <w:r w:rsidRPr="00D773F7">
        <w:rPr>
          <w:rFonts w:asciiTheme="majorBidi" w:eastAsiaTheme="minorHAnsi" w:hAnsiTheme="majorBidi" w:cstheme="majorBidi"/>
          <w:vertAlign w:val="subscript"/>
        </w:rPr>
        <w:t>compound</w:t>
      </w:r>
      <w:proofErr w:type="spellEnd"/>
      <w:r w:rsidRPr="00D773F7">
        <w:rPr>
          <w:rFonts w:asciiTheme="majorBidi" w:eastAsiaTheme="minorHAnsi" w:hAnsiTheme="majorBidi" w:cstheme="majorBidi"/>
        </w:rPr>
        <w:t>. If there is no evidence of rapid environmental transformation, then classify the readily soluble metal compound as:</w:t>
      </w:r>
    </w:p>
    <w:p w14:paraId="459EF822" w14:textId="38BA945D" w:rsidR="00186F0A" w:rsidRPr="00D773F7" w:rsidRDefault="00186F0A" w:rsidP="0066239A">
      <w:pPr>
        <w:pStyle w:val="SingleTxtG"/>
        <w:ind w:left="2835" w:hanging="567"/>
        <w:rPr>
          <w:rFonts w:asciiTheme="majorBidi" w:eastAsiaTheme="minorHAnsi" w:hAnsiTheme="majorBidi" w:cstheme="majorBidi"/>
        </w:rPr>
      </w:pPr>
      <w:r w:rsidRPr="00D773F7">
        <w:rPr>
          <w:rFonts w:asciiTheme="majorBidi" w:eastAsiaTheme="minorHAnsi" w:hAnsiTheme="majorBidi" w:cstheme="majorBidi"/>
        </w:rPr>
        <w:t>(a)</w:t>
      </w:r>
      <w:r w:rsidRPr="00D773F7">
        <w:rPr>
          <w:rFonts w:asciiTheme="majorBidi" w:eastAsiaTheme="minorHAnsi" w:hAnsiTheme="majorBidi" w:cstheme="majorBidi"/>
        </w:rPr>
        <w:tab/>
        <w:t xml:space="preserve">Category Chronic 1 if the chronic </w:t>
      </w:r>
      <w:proofErr w:type="spellStart"/>
      <w:r w:rsidRPr="00D773F7">
        <w:rPr>
          <w:rFonts w:asciiTheme="majorBidi" w:eastAsiaTheme="minorHAnsi" w:hAnsiTheme="majorBidi" w:cstheme="majorBidi"/>
        </w:rPr>
        <w:t>ERV</w:t>
      </w:r>
      <w:r w:rsidRPr="00D773F7">
        <w:rPr>
          <w:rFonts w:asciiTheme="majorBidi" w:eastAsiaTheme="minorHAnsi" w:hAnsiTheme="majorBidi" w:cstheme="majorBidi"/>
          <w:vertAlign w:val="subscript"/>
        </w:rPr>
        <w:t>compound</w:t>
      </w:r>
      <w:proofErr w:type="spellEnd"/>
      <w:r w:rsidRPr="00D773F7">
        <w:rPr>
          <w:rFonts w:asciiTheme="majorBidi" w:eastAsiaTheme="minorHAnsi" w:hAnsiTheme="majorBidi" w:cstheme="majorBidi"/>
        </w:rPr>
        <w:t xml:space="preserve"> is equal to or less than 0.1 mg/l (0.01 mg/l if there is evidence of rapid environmental transformation). Assign a chronic M factor according to </w:t>
      </w:r>
      <w:r w:rsidR="001806B2" w:rsidRPr="00D773F7">
        <w:rPr>
          <w:rFonts w:asciiTheme="majorBidi" w:eastAsiaTheme="minorHAnsi" w:hAnsiTheme="majorBidi" w:cstheme="majorBidi"/>
        </w:rPr>
        <w:t>t</w:t>
      </w:r>
      <w:r w:rsidRPr="00D773F7">
        <w:rPr>
          <w:rFonts w:asciiTheme="majorBidi" w:eastAsiaTheme="minorHAnsi" w:hAnsiTheme="majorBidi" w:cstheme="majorBidi"/>
        </w:rPr>
        <w:t>able A9.7.1;</w:t>
      </w:r>
    </w:p>
    <w:p w14:paraId="7EA2083D" w14:textId="77777777" w:rsidR="00186F0A" w:rsidRPr="00D773F7" w:rsidRDefault="00186F0A" w:rsidP="0066239A">
      <w:pPr>
        <w:pStyle w:val="SingleTxtG"/>
        <w:tabs>
          <w:tab w:val="clear" w:pos="2268"/>
        </w:tabs>
        <w:ind w:left="2835" w:hanging="567"/>
        <w:rPr>
          <w:rFonts w:asciiTheme="majorBidi" w:eastAsiaTheme="minorHAnsi" w:hAnsiTheme="majorBidi" w:cstheme="majorBidi"/>
        </w:rPr>
      </w:pPr>
      <w:r w:rsidRPr="00D773F7">
        <w:rPr>
          <w:rFonts w:asciiTheme="majorBidi" w:eastAsiaTheme="minorHAnsi" w:hAnsiTheme="majorBidi" w:cstheme="majorBidi"/>
        </w:rPr>
        <w:lastRenderedPageBreak/>
        <w:t>(b)</w:t>
      </w:r>
      <w:r w:rsidRPr="00D773F7">
        <w:rPr>
          <w:rFonts w:asciiTheme="majorBidi" w:eastAsiaTheme="minorHAnsi" w:hAnsiTheme="majorBidi" w:cstheme="majorBidi"/>
        </w:rPr>
        <w:tab/>
        <w:t xml:space="preserve">Category Chronic 2 if the chronic </w:t>
      </w:r>
      <w:proofErr w:type="spellStart"/>
      <w:r w:rsidRPr="00D773F7">
        <w:rPr>
          <w:rFonts w:asciiTheme="majorBidi" w:eastAsiaTheme="minorHAnsi" w:hAnsiTheme="majorBidi" w:cstheme="majorBidi"/>
        </w:rPr>
        <w:t>ERV</w:t>
      </w:r>
      <w:r w:rsidRPr="00D773F7">
        <w:rPr>
          <w:rFonts w:asciiTheme="majorBidi" w:eastAsiaTheme="minorHAnsi" w:hAnsiTheme="majorBidi" w:cstheme="majorBidi"/>
          <w:vertAlign w:val="subscript"/>
        </w:rPr>
        <w:t>compound</w:t>
      </w:r>
      <w:proofErr w:type="spellEnd"/>
      <w:r w:rsidRPr="00D773F7">
        <w:rPr>
          <w:rFonts w:asciiTheme="majorBidi" w:eastAsiaTheme="minorHAnsi" w:hAnsiTheme="majorBidi" w:cstheme="majorBidi"/>
        </w:rPr>
        <w:t xml:space="preserve"> is equal to or less than 1 mg/l (0.1 mg/l if there is evidence of rapid environmental transformation);</w:t>
      </w:r>
    </w:p>
    <w:p w14:paraId="29230ED6" w14:textId="1517C1F7" w:rsidR="00186F0A" w:rsidRPr="00D773F7" w:rsidRDefault="00186F0A" w:rsidP="0066239A">
      <w:pPr>
        <w:pStyle w:val="SingleTxtG"/>
        <w:tabs>
          <w:tab w:val="clear" w:pos="2268"/>
        </w:tabs>
        <w:ind w:left="2835" w:hanging="567"/>
        <w:rPr>
          <w:rFonts w:asciiTheme="majorBidi" w:eastAsiaTheme="minorHAnsi" w:hAnsiTheme="majorBidi" w:cstheme="majorBidi"/>
        </w:rPr>
      </w:pPr>
      <w:r w:rsidRPr="00D773F7">
        <w:rPr>
          <w:rFonts w:asciiTheme="majorBidi" w:eastAsiaTheme="minorHAnsi" w:hAnsiTheme="majorBidi" w:cstheme="majorBidi"/>
        </w:rPr>
        <w:t>(c)</w:t>
      </w:r>
      <w:r w:rsidRPr="00D773F7">
        <w:rPr>
          <w:rFonts w:asciiTheme="majorBidi" w:eastAsiaTheme="minorHAnsi" w:hAnsiTheme="majorBidi" w:cstheme="majorBidi"/>
        </w:rPr>
        <w:tab/>
        <w:t xml:space="preserve">Category Chronic 3 if the chronic </w:t>
      </w:r>
      <w:proofErr w:type="spellStart"/>
      <w:r w:rsidRPr="00D773F7">
        <w:rPr>
          <w:rFonts w:asciiTheme="majorBidi" w:eastAsiaTheme="minorHAnsi" w:hAnsiTheme="majorBidi" w:cstheme="majorBidi"/>
        </w:rPr>
        <w:t>ERV</w:t>
      </w:r>
      <w:r w:rsidRPr="00D773F7">
        <w:rPr>
          <w:rFonts w:asciiTheme="majorBidi" w:eastAsiaTheme="minorHAnsi" w:hAnsiTheme="majorBidi" w:cstheme="majorBidi"/>
          <w:vertAlign w:val="subscript"/>
        </w:rPr>
        <w:t>compound</w:t>
      </w:r>
      <w:proofErr w:type="spellEnd"/>
      <w:r w:rsidRPr="00D773F7">
        <w:rPr>
          <w:rFonts w:asciiTheme="majorBidi" w:eastAsiaTheme="minorHAnsi" w:hAnsiTheme="majorBidi" w:cstheme="majorBidi"/>
        </w:rPr>
        <w:t xml:space="preserve"> is equal to or less than 1 mg/</w:t>
      </w:r>
      <w:r w:rsidR="002B4204" w:rsidRPr="00D773F7">
        <w:rPr>
          <w:rFonts w:asciiTheme="majorBidi" w:eastAsiaTheme="minorHAnsi" w:hAnsiTheme="majorBidi" w:cstheme="majorBidi"/>
        </w:rPr>
        <w:t>l</w:t>
      </w:r>
      <w:r w:rsidRPr="00D773F7">
        <w:rPr>
          <w:rFonts w:asciiTheme="majorBidi" w:eastAsiaTheme="minorHAnsi" w:hAnsiTheme="majorBidi" w:cstheme="majorBidi"/>
        </w:rPr>
        <w:t xml:space="preserve"> and there is evidence of rapid environmental transformation; </w:t>
      </w:r>
    </w:p>
    <w:p w14:paraId="40FCF931" w14:textId="67FD12B7" w:rsidR="00186F0A" w:rsidRPr="00D773F7" w:rsidRDefault="00186F0A" w:rsidP="0066239A">
      <w:pPr>
        <w:pStyle w:val="SingleTxtG"/>
        <w:tabs>
          <w:tab w:val="clear" w:pos="2268"/>
        </w:tabs>
        <w:ind w:left="2835" w:hanging="567"/>
        <w:rPr>
          <w:rFonts w:asciiTheme="majorBidi" w:eastAsiaTheme="minorHAnsi" w:hAnsiTheme="majorBidi" w:cstheme="majorBidi"/>
        </w:rPr>
      </w:pPr>
      <w:r w:rsidRPr="00D773F7">
        <w:rPr>
          <w:rFonts w:asciiTheme="majorBidi" w:eastAsiaTheme="minorHAnsi" w:hAnsiTheme="majorBidi" w:cstheme="majorBidi"/>
        </w:rPr>
        <w:t>(d)</w:t>
      </w:r>
      <w:r w:rsidRPr="00D773F7">
        <w:rPr>
          <w:rFonts w:asciiTheme="majorBidi" w:eastAsiaTheme="minorHAnsi" w:hAnsiTheme="majorBidi" w:cstheme="majorBidi"/>
        </w:rPr>
        <w:tab/>
        <w:t>Category Chronic 4 if the data available do not allow classification under the formal criteria but there are nevertheless some grounds for concern (see 4.1.2.2)</w:t>
      </w:r>
    </w:p>
    <w:p w14:paraId="43F09149" w14:textId="72C3F6AE" w:rsidR="00186F0A" w:rsidRPr="00D773F7" w:rsidRDefault="00186F0A" w:rsidP="00F13D63">
      <w:pPr>
        <w:pStyle w:val="SingleTxtG"/>
        <w:tabs>
          <w:tab w:val="left" w:pos="2410"/>
        </w:tabs>
        <w:ind w:left="2268"/>
        <w:rPr>
          <w:rFonts w:asciiTheme="majorBidi" w:eastAsiaTheme="minorHAnsi" w:hAnsiTheme="majorBidi" w:cstheme="majorBidi"/>
        </w:rPr>
      </w:pPr>
      <w:r w:rsidRPr="00D773F7">
        <w:rPr>
          <w:rFonts w:asciiTheme="majorBidi" w:eastAsiaTheme="minorHAnsi" w:hAnsiTheme="majorBidi" w:cstheme="majorBidi"/>
        </w:rPr>
        <w:t>A9.7.5.3.2.1.3</w:t>
      </w:r>
      <w:r w:rsidRPr="00D773F7">
        <w:rPr>
          <w:rFonts w:asciiTheme="majorBidi" w:eastAsiaTheme="minorHAnsi" w:hAnsiTheme="majorBidi" w:cstheme="majorBidi"/>
        </w:rPr>
        <w:tab/>
        <w:t xml:space="preserve">Poorly soluble metal compounds: Consideration must be given to the data available on the rate and extent to which these ions can be generated from the metal compound. For such rate and extent data, to be valid and useable, they should have been generated using the Transformation/Dissolution </w:t>
      </w:r>
      <w:r w:rsidR="00647784" w:rsidRPr="00D773F7">
        <w:rPr>
          <w:rFonts w:asciiTheme="majorBidi" w:eastAsiaTheme="minorHAnsi" w:hAnsiTheme="majorBidi" w:cstheme="majorBidi"/>
        </w:rPr>
        <w:t>P</w:t>
      </w:r>
      <w:r w:rsidRPr="00D773F7">
        <w:rPr>
          <w:rFonts w:asciiTheme="majorBidi" w:eastAsiaTheme="minorHAnsi" w:hAnsiTheme="majorBidi" w:cstheme="majorBidi"/>
        </w:rPr>
        <w:t xml:space="preserve">rotocol for a 28-day period. Where such 28-day </w:t>
      </w:r>
      <w:r w:rsidR="00CC1825" w:rsidRPr="00D773F7">
        <w:rPr>
          <w:rFonts w:asciiTheme="majorBidi" w:eastAsiaTheme="minorHAnsi" w:hAnsiTheme="majorBidi" w:cstheme="majorBidi"/>
        </w:rPr>
        <w:t xml:space="preserve">transformation/dissolution </w:t>
      </w:r>
      <w:r w:rsidRPr="00D773F7">
        <w:rPr>
          <w:rFonts w:asciiTheme="majorBidi" w:eastAsiaTheme="minorHAnsi" w:hAnsiTheme="majorBidi" w:cstheme="majorBidi"/>
        </w:rPr>
        <w:t xml:space="preserve">data are unavailable, the surrogate approach should be used (see A9.7.5.3.2.2). Where 28-day </w:t>
      </w:r>
      <w:r w:rsidR="00CC1825" w:rsidRPr="00D773F7">
        <w:rPr>
          <w:rFonts w:asciiTheme="majorBidi" w:eastAsiaTheme="minorHAnsi" w:hAnsiTheme="majorBidi" w:cstheme="majorBidi"/>
        </w:rPr>
        <w:t xml:space="preserve">transformation/dissolution </w:t>
      </w:r>
      <w:r w:rsidRPr="00D773F7">
        <w:rPr>
          <w:rFonts w:asciiTheme="majorBidi" w:eastAsiaTheme="minorHAnsi" w:hAnsiTheme="majorBidi" w:cstheme="majorBidi"/>
        </w:rPr>
        <w:t>data are available, then classify the poorly soluble metal compound as:</w:t>
      </w:r>
    </w:p>
    <w:p w14:paraId="7F02781B" w14:textId="08B7BA17" w:rsidR="00186F0A" w:rsidRPr="00D773F7" w:rsidRDefault="00F13D63" w:rsidP="00F13D63">
      <w:pPr>
        <w:pStyle w:val="SingleTxtG"/>
        <w:tabs>
          <w:tab w:val="clear" w:pos="1701"/>
          <w:tab w:val="clear" w:pos="2268"/>
          <w:tab w:val="clear" w:pos="2835"/>
        </w:tabs>
        <w:suppressAutoHyphens/>
        <w:ind w:left="2693" w:hanging="425"/>
        <w:rPr>
          <w:rFonts w:asciiTheme="majorBidi" w:eastAsiaTheme="minorHAnsi" w:hAnsiTheme="majorBidi" w:cstheme="majorBidi"/>
        </w:rPr>
      </w:pPr>
      <w:r w:rsidRPr="00D773F7">
        <w:rPr>
          <w:rFonts w:asciiTheme="majorBidi" w:eastAsiaTheme="minorHAnsi" w:hAnsiTheme="majorBidi" w:cstheme="majorBidi"/>
        </w:rPr>
        <w:t>(a)</w:t>
      </w:r>
      <w:r w:rsidRPr="00D773F7">
        <w:rPr>
          <w:rFonts w:asciiTheme="majorBidi" w:eastAsiaTheme="minorHAnsi" w:hAnsiTheme="majorBidi" w:cstheme="majorBidi"/>
        </w:rPr>
        <w:tab/>
      </w:r>
      <w:r w:rsidR="00186F0A" w:rsidRPr="00D773F7">
        <w:rPr>
          <w:rFonts w:asciiTheme="majorBidi" w:eastAsiaTheme="minorHAnsi" w:hAnsiTheme="majorBidi" w:cstheme="majorBidi"/>
        </w:rPr>
        <w:t xml:space="preserve">Category Chronic 1 if the dissolved metal ion concentration obtained at a loading rate of 0.1 mg/l (0.01 mg/l if there is evidence of rapid environmental transformation) is greater than or equal to the chronic ERV of the dissolved metal ion. Assign a chronic M factor according to </w:t>
      </w:r>
      <w:r w:rsidR="001806B2" w:rsidRPr="00D773F7">
        <w:rPr>
          <w:rFonts w:asciiTheme="majorBidi" w:eastAsiaTheme="minorHAnsi" w:hAnsiTheme="majorBidi" w:cstheme="majorBidi"/>
        </w:rPr>
        <w:t>t</w:t>
      </w:r>
      <w:r w:rsidR="00186F0A" w:rsidRPr="00D773F7">
        <w:rPr>
          <w:rFonts w:asciiTheme="majorBidi" w:eastAsiaTheme="minorHAnsi" w:hAnsiTheme="majorBidi" w:cstheme="majorBidi"/>
        </w:rPr>
        <w:t>able</w:t>
      </w:r>
      <w:r w:rsidR="001806B2" w:rsidRPr="00D773F7">
        <w:rPr>
          <w:rFonts w:asciiTheme="majorBidi" w:eastAsiaTheme="minorHAnsi" w:hAnsiTheme="majorBidi" w:cstheme="majorBidi"/>
        </w:rPr>
        <w:t> </w:t>
      </w:r>
      <w:r w:rsidR="00186F0A" w:rsidRPr="00D773F7">
        <w:rPr>
          <w:rFonts w:asciiTheme="majorBidi" w:eastAsiaTheme="minorHAnsi" w:hAnsiTheme="majorBidi" w:cstheme="majorBidi"/>
        </w:rPr>
        <w:t xml:space="preserve">A9.7.1;  </w:t>
      </w:r>
    </w:p>
    <w:p w14:paraId="1CC694CE" w14:textId="4340C734" w:rsidR="00186F0A" w:rsidRPr="00D773F7" w:rsidRDefault="00F13D63" w:rsidP="00F13D63">
      <w:pPr>
        <w:pStyle w:val="SingleTxtG"/>
        <w:tabs>
          <w:tab w:val="clear" w:pos="1701"/>
          <w:tab w:val="clear" w:pos="2268"/>
          <w:tab w:val="clear" w:pos="2835"/>
        </w:tabs>
        <w:suppressAutoHyphens/>
        <w:ind w:left="2693" w:hanging="425"/>
        <w:rPr>
          <w:rFonts w:asciiTheme="majorBidi" w:eastAsiaTheme="minorHAnsi" w:hAnsiTheme="majorBidi" w:cstheme="majorBidi"/>
        </w:rPr>
      </w:pPr>
      <w:r w:rsidRPr="00D773F7">
        <w:rPr>
          <w:rFonts w:asciiTheme="majorBidi" w:eastAsiaTheme="minorHAnsi" w:hAnsiTheme="majorBidi" w:cstheme="majorBidi"/>
        </w:rPr>
        <w:t>(b)</w:t>
      </w:r>
      <w:r w:rsidRPr="00D773F7">
        <w:rPr>
          <w:rFonts w:asciiTheme="majorBidi" w:eastAsiaTheme="minorHAnsi" w:hAnsiTheme="majorBidi" w:cstheme="majorBidi"/>
        </w:rPr>
        <w:tab/>
      </w:r>
      <w:r w:rsidR="00186F0A" w:rsidRPr="00D773F7">
        <w:rPr>
          <w:rFonts w:asciiTheme="majorBidi" w:eastAsiaTheme="minorHAnsi" w:hAnsiTheme="majorBidi" w:cstheme="majorBidi"/>
        </w:rPr>
        <w:t xml:space="preserve">Category Chronic 2 if the dissolved metal ion concentration obtained at a loading rate of 1 mg/l (0.1 mg/l if there is evidence of rapid environmental transformation) is greater than or equal to the chronic ERV of the dissolved metal ion;  </w:t>
      </w:r>
    </w:p>
    <w:p w14:paraId="09475305" w14:textId="3AA3D888" w:rsidR="00186F0A" w:rsidRPr="00D773F7" w:rsidRDefault="00F13D63" w:rsidP="00F13D63">
      <w:pPr>
        <w:pStyle w:val="SingleTxtG"/>
        <w:tabs>
          <w:tab w:val="clear" w:pos="1701"/>
          <w:tab w:val="clear" w:pos="2268"/>
          <w:tab w:val="clear" w:pos="2835"/>
        </w:tabs>
        <w:suppressAutoHyphens/>
        <w:ind w:left="2693" w:hanging="425"/>
        <w:rPr>
          <w:rFonts w:asciiTheme="majorBidi" w:eastAsiaTheme="minorHAnsi" w:hAnsiTheme="majorBidi" w:cstheme="majorBidi"/>
        </w:rPr>
      </w:pPr>
      <w:r w:rsidRPr="00D773F7">
        <w:rPr>
          <w:rFonts w:asciiTheme="majorBidi" w:eastAsiaTheme="minorHAnsi" w:hAnsiTheme="majorBidi" w:cstheme="majorBidi"/>
        </w:rPr>
        <w:t>(c)</w:t>
      </w:r>
      <w:r w:rsidRPr="00D773F7">
        <w:rPr>
          <w:rFonts w:asciiTheme="majorBidi" w:eastAsiaTheme="minorHAnsi" w:hAnsiTheme="majorBidi" w:cstheme="majorBidi"/>
        </w:rPr>
        <w:tab/>
      </w:r>
      <w:r w:rsidR="00186F0A" w:rsidRPr="00D773F7">
        <w:rPr>
          <w:rFonts w:asciiTheme="majorBidi" w:eastAsiaTheme="minorHAnsi" w:hAnsiTheme="majorBidi" w:cstheme="majorBidi"/>
        </w:rPr>
        <w:t>Category Chronic 3 if the dissolved metal ion concentration obtained at a loading rate of 1 mg/l is greater than or equal to the chronic ERV of the dissolved metal ion and there is evidence of rapid environmental transformation;</w:t>
      </w:r>
    </w:p>
    <w:p w14:paraId="1048926E" w14:textId="2DC62530" w:rsidR="00186F0A" w:rsidRPr="00D773F7" w:rsidRDefault="00F13D63" w:rsidP="00F13D63">
      <w:pPr>
        <w:pStyle w:val="SingleTxtG"/>
        <w:tabs>
          <w:tab w:val="clear" w:pos="1701"/>
          <w:tab w:val="clear" w:pos="2268"/>
          <w:tab w:val="clear" w:pos="2835"/>
        </w:tabs>
        <w:suppressAutoHyphens/>
        <w:ind w:left="2693" w:hanging="425"/>
        <w:rPr>
          <w:rFonts w:asciiTheme="majorBidi" w:eastAsiaTheme="minorHAnsi" w:hAnsiTheme="majorBidi" w:cstheme="majorBidi"/>
        </w:rPr>
      </w:pPr>
      <w:r w:rsidRPr="00D773F7">
        <w:rPr>
          <w:rFonts w:asciiTheme="majorBidi" w:eastAsiaTheme="minorHAnsi" w:hAnsiTheme="majorBidi" w:cstheme="majorBidi"/>
        </w:rPr>
        <w:t>(d)</w:t>
      </w:r>
      <w:r w:rsidRPr="00D773F7">
        <w:rPr>
          <w:rFonts w:asciiTheme="majorBidi" w:eastAsiaTheme="minorHAnsi" w:hAnsiTheme="majorBidi" w:cstheme="majorBidi"/>
        </w:rPr>
        <w:tab/>
      </w:r>
      <w:r w:rsidR="00186F0A" w:rsidRPr="00D773F7">
        <w:rPr>
          <w:rFonts w:asciiTheme="majorBidi" w:eastAsiaTheme="minorHAnsi" w:hAnsiTheme="majorBidi" w:cstheme="majorBidi"/>
        </w:rPr>
        <w:t>Category Chronic 4 if the data available do not allow classification under the formal criteria but there are nevertheless some grounds for concern (see 4.1.2.2)</w:t>
      </w:r>
    </w:p>
    <w:p w14:paraId="4B262E7F" w14:textId="0EE36028" w:rsidR="00186F0A" w:rsidRPr="00D773F7" w:rsidRDefault="00186F0A" w:rsidP="00F13D63">
      <w:pPr>
        <w:pStyle w:val="SingleTxtG"/>
        <w:tabs>
          <w:tab w:val="clear" w:pos="1701"/>
          <w:tab w:val="clear" w:pos="2268"/>
        </w:tabs>
        <w:ind w:left="2268"/>
        <w:rPr>
          <w:rFonts w:asciiTheme="majorBidi" w:eastAsiaTheme="minorHAnsi" w:hAnsiTheme="majorBidi" w:cstheme="majorBidi"/>
        </w:rPr>
      </w:pPr>
      <w:r w:rsidRPr="00D773F7">
        <w:rPr>
          <w:rFonts w:asciiTheme="majorBidi" w:eastAsiaTheme="minorHAnsi" w:hAnsiTheme="majorBidi" w:cstheme="majorBidi"/>
        </w:rPr>
        <w:t xml:space="preserve">Do not classify the poorly soluble metal compound for long-term (chronic) aquatic hazard if the dissolved metal ion concentration obtained from the </w:t>
      </w:r>
      <w:r w:rsidR="00B72DD5">
        <w:rPr>
          <w:rFonts w:asciiTheme="majorBidi" w:eastAsiaTheme="minorHAnsi" w:hAnsiTheme="majorBidi" w:cstheme="majorBidi"/>
        </w:rPr>
        <w:br/>
      </w:r>
      <w:r w:rsidRPr="00D773F7">
        <w:rPr>
          <w:rFonts w:asciiTheme="majorBidi" w:eastAsiaTheme="minorHAnsi" w:hAnsiTheme="majorBidi" w:cstheme="majorBidi"/>
        </w:rPr>
        <w:t xml:space="preserve">28-day </w:t>
      </w:r>
      <w:r w:rsidR="00C437BB" w:rsidRPr="00D773F7">
        <w:rPr>
          <w:rFonts w:asciiTheme="majorBidi" w:eastAsiaTheme="minorHAnsi" w:hAnsiTheme="majorBidi" w:cstheme="majorBidi"/>
        </w:rPr>
        <w:t>transformation</w:t>
      </w:r>
      <w:r w:rsidRPr="00D773F7">
        <w:rPr>
          <w:rFonts w:asciiTheme="majorBidi" w:eastAsiaTheme="minorHAnsi" w:hAnsiTheme="majorBidi" w:cstheme="majorBidi"/>
        </w:rPr>
        <w:t>/</w:t>
      </w:r>
      <w:r w:rsidR="00C437BB" w:rsidRPr="00D773F7">
        <w:rPr>
          <w:rFonts w:asciiTheme="majorBidi" w:eastAsiaTheme="minorHAnsi" w:hAnsiTheme="majorBidi" w:cstheme="majorBidi"/>
        </w:rPr>
        <w:t xml:space="preserve">dissolution </w:t>
      </w:r>
      <w:r w:rsidRPr="00D773F7">
        <w:rPr>
          <w:rFonts w:asciiTheme="majorBidi" w:eastAsiaTheme="minorHAnsi" w:hAnsiTheme="majorBidi" w:cstheme="majorBidi"/>
        </w:rPr>
        <w:t>test at a loading rate of 1</w:t>
      </w:r>
      <w:r w:rsidR="00B72DD5">
        <w:rPr>
          <w:rFonts w:asciiTheme="majorBidi" w:eastAsiaTheme="minorHAnsi" w:hAnsiTheme="majorBidi" w:cstheme="majorBidi"/>
        </w:rPr>
        <w:t> </w:t>
      </w:r>
      <w:r w:rsidRPr="00D773F7">
        <w:rPr>
          <w:rFonts w:asciiTheme="majorBidi" w:eastAsiaTheme="minorHAnsi" w:hAnsiTheme="majorBidi" w:cstheme="majorBidi"/>
        </w:rPr>
        <w:t>mg/l is less than the chronic ERV of the dissolved metal ion.</w:t>
      </w:r>
    </w:p>
    <w:p w14:paraId="12D2A23E" w14:textId="77777777" w:rsidR="00186F0A" w:rsidRPr="00D773F7" w:rsidRDefault="00186F0A" w:rsidP="00186F0A">
      <w:pPr>
        <w:pStyle w:val="SingleTxtG"/>
        <w:keepNext/>
        <w:keepLines/>
        <w:spacing w:after="240"/>
        <w:jc w:val="center"/>
        <w:rPr>
          <w:rFonts w:asciiTheme="majorBidi" w:hAnsiTheme="majorBidi" w:cstheme="majorBidi"/>
          <w:sz w:val="16"/>
          <w:szCs w:val="16"/>
          <w:u w:val="single"/>
        </w:rPr>
      </w:pPr>
      <w:bookmarkStart w:id="31" w:name="_Hlk112317281"/>
      <w:r w:rsidRPr="00D773F7">
        <w:rPr>
          <w:rFonts w:asciiTheme="majorBidi" w:eastAsiaTheme="minorHAnsi" w:hAnsiTheme="majorBidi" w:cstheme="majorBidi"/>
          <w:b/>
          <w:bCs/>
          <w:lang w:val="en-US"/>
        </w:rPr>
        <w:lastRenderedPageBreak/>
        <w:t>Figure A9.7.5</w:t>
      </w:r>
      <w:bookmarkEnd w:id="31"/>
      <w:r w:rsidRPr="00D773F7">
        <w:rPr>
          <w:rFonts w:asciiTheme="majorBidi" w:eastAsiaTheme="minorHAnsi" w:hAnsiTheme="majorBidi" w:cstheme="majorBidi"/>
          <w:b/>
          <w:bCs/>
          <w:lang w:val="en-US"/>
        </w:rPr>
        <w:t>: Classification strategy for determining long-term aquatic hazard of metal compounds on the basis of chronic data</w:t>
      </w:r>
    </w:p>
    <w:p w14:paraId="35A6F1C7" w14:textId="0BF45FB7" w:rsidR="00186F0A" w:rsidRPr="00D773F7" w:rsidRDefault="005F6F26" w:rsidP="00186F0A">
      <w:pPr>
        <w:pStyle w:val="SingleTxtG"/>
        <w:keepNext/>
        <w:keepLines/>
        <w:ind w:left="0" w:right="0"/>
        <w:rPr>
          <w:rFonts w:asciiTheme="majorBidi" w:hAnsiTheme="majorBidi" w:cstheme="majorBidi"/>
          <w:sz w:val="16"/>
          <w:szCs w:val="16"/>
          <w:u w:val="single"/>
        </w:rPr>
      </w:pPr>
      <w:r w:rsidRPr="00D773F7">
        <w:rPr>
          <w:rFonts w:asciiTheme="majorBidi" w:hAnsiTheme="majorBidi" w:cstheme="majorBidi"/>
        </w:rPr>
        <w:object w:dxaOrig="9985" w:dyaOrig="12649" w14:anchorId="2A18EF51">
          <v:shape id="_x0000_i1038" type="#_x0000_t75" style="width:481.8pt;height:609.7pt" o:ole="">
            <v:imagedata r:id="rId61" o:title=""/>
          </v:shape>
          <o:OLEObject Type="Embed" ProgID="Visio.Drawing.15" ShapeID="_x0000_i1038" DrawAspect="Content" ObjectID="_1744797711" r:id="rId62"/>
        </w:object>
      </w:r>
    </w:p>
    <w:p w14:paraId="442F3A0A" w14:textId="77777777" w:rsidR="003E112D" w:rsidRDefault="003E112D">
      <w:pPr>
        <w:rPr>
          <w:rFonts w:asciiTheme="majorBidi" w:eastAsiaTheme="minorHAnsi" w:hAnsiTheme="majorBidi" w:cstheme="majorBidi"/>
        </w:rPr>
      </w:pPr>
      <w:r>
        <w:rPr>
          <w:rFonts w:asciiTheme="majorBidi" w:eastAsiaTheme="minorHAnsi" w:hAnsiTheme="majorBidi" w:cstheme="majorBidi"/>
        </w:rPr>
        <w:br w:type="page"/>
      </w:r>
    </w:p>
    <w:p w14:paraId="79EA6F42" w14:textId="74ED06EA" w:rsidR="00186F0A" w:rsidRPr="00D773F7" w:rsidRDefault="00186F0A" w:rsidP="003E112D">
      <w:pPr>
        <w:pStyle w:val="SingleTxtG"/>
        <w:keepNext/>
        <w:keepLines/>
        <w:tabs>
          <w:tab w:val="left" w:pos="3402"/>
        </w:tabs>
        <w:ind w:left="2268"/>
        <w:rPr>
          <w:rFonts w:asciiTheme="majorBidi" w:eastAsiaTheme="minorHAnsi" w:hAnsiTheme="majorBidi" w:cstheme="majorBidi"/>
        </w:rPr>
      </w:pPr>
      <w:r w:rsidRPr="00D773F7">
        <w:rPr>
          <w:rFonts w:asciiTheme="majorBidi" w:eastAsiaTheme="minorHAnsi" w:hAnsiTheme="majorBidi" w:cstheme="majorBidi"/>
        </w:rPr>
        <w:lastRenderedPageBreak/>
        <w:t>A9.7.5.3.3.2</w:t>
      </w:r>
      <w:r w:rsidRPr="00D773F7">
        <w:rPr>
          <w:rFonts w:asciiTheme="majorBidi" w:eastAsiaTheme="minorHAnsi" w:hAnsiTheme="majorBidi" w:cstheme="majorBidi"/>
        </w:rPr>
        <w:tab/>
        <w:t xml:space="preserve"> The surrogate approach</w:t>
      </w:r>
    </w:p>
    <w:p w14:paraId="31BB395A" w14:textId="760E01F9" w:rsidR="00186F0A" w:rsidRPr="00D773F7" w:rsidRDefault="00186F0A" w:rsidP="003E112D">
      <w:pPr>
        <w:pStyle w:val="SingleTxtG"/>
        <w:keepNext/>
        <w:keepLines/>
        <w:tabs>
          <w:tab w:val="clear" w:pos="1701"/>
          <w:tab w:val="left" w:pos="3402"/>
        </w:tabs>
        <w:ind w:left="2268"/>
        <w:rPr>
          <w:rFonts w:asciiTheme="majorBidi" w:eastAsiaTheme="minorHAnsi" w:hAnsiTheme="majorBidi" w:cstheme="majorBidi"/>
        </w:rPr>
      </w:pPr>
      <w:r w:rsidRPr="00D773F7">
        <w:rPr>
          <w:rFonts w:asciiTheme="majorBidi" w:eastAsiaTheme="minorHAnsi" w:hAnsiTheme="majorBidi" w:cstheme="majorBidi"/>
        </w:rPr>
        <w:t xml:space="preserve">Where appropriate chronic toxicity data and/or </w:t>
      </w:r>
      <w:r w:rsidR="00CC1825" w:rsidRPr="00D773F7">
        <w:rPr>
          <w:rFonts w:asciiTheme="majorBidi" w:eastAsiaTheme="minorHAnsi" w:hAnsiTheme="majorBidi" w:cstheme="majorBidi"/>
        </w:rPr>
        <w:t xml:space="preserve">transformation/dissolution </w:t>
      </w:r>
      <w:r w:rsidRPr="00D773F7">
        <w:rPr>
          <w:rFonts w:asciiTheme="majorBidi" w:eastAsiaTheme="minorHAnsi" w:hAnsiTheme="majorBidi" w:cstheme="majorBidi"/>
        </w:rPr>
        <w:t>data are not available, but the metal compound is classified for short-term (acute) aquatic hazard, then the metal compound is classified according to the surrogate approach. The surrogate approach for metal compounds is identical to that for metals (see A9.7.5.2.2.2).”</w:t>
      </w:r>
    </w:p>
    <w:p w14:paraId="76940DA1" w14:textId="36885FA3" w:rsidR="00186F0A" w:rsidRPr="00D773F7" w:rsidRDefault="00186F0A" w:rsidP="003E112D">
      <w:pPr>
        <w:pStyle w:val="SingleTxtG"/>
        <w:keepNext/>
        <w:keepLines/>
        <w:tabs>
          <w:tab w:val="clear" w:pos="1701"/>
          <w:tab w:val="clear" w:pos="2268"/>
        </w:tabs>
        <w:ind w:left="2268" w:hanging="1134"/>
        <w:rPr>
          <w:rFonts w:asciiTheme="majorBidi" w:eastAsiaTheme="minorHAnsi" w:hAnsiTheme="majorBidi" w:cstheme="majorBidi"/>
        </w:rPr>
      </w:pPr>
      <w:r w:rsidRPr="00D773F7">
        <w:rPr>
          <w:rFonts w:asciiTheme="majorBidi" w:eastAsiaTheme="minorHAnsi" w:hAnsiTheme="majorBidi" w:cstheme="majorBidi"/>
        </w:rPr>
        <w:t xml:space="preserve">A9.7.5.4.3 </w:t>
      </w:r>
      <w:r w:rsidR="0066239A" w:rsidRPr="00D773F7">
        <w:rPr>
          <w:rFonts w:asciiTheme="majorBidi" w:eastAsiaTheme="minorHAnsi" w:hAnsiTheme="majorBidi" w:cstheme="majorBidi"/>
        </w:rPr>
        <w:tab/>
      </w:r>
      <w:r w:rsidRPr="00D773F7">
        <w:rPr>
          <w:rFonts w:asciiTheme="majorBidi" w:eastAsiaTheme="minorHAnsi" w:hAnsiTheme="majorBidi" w:cstheme="majorBidi"/>
        </w:rPr>
        <w:t xml:space="preserve">Add the following paragraph after the current table in </w:t>
      </w:r>
      <w:r w:rsidRPr="00D773F7">
        <w:rPr>
          <w:rFonts w:asciiTheme="majorBidi" w:hAnsiTheme="majorBidi" w:cstheme="majorBidi"/>
        </w:rPr>
        <w:t>A9.7.5.4.3</w:t>
      </w:r>
      <w:r w:rsidR="00716CED" w:rsidRPr="00D773F7">
        <w:rPr>
          <w:rFonts w:asciiTheme="majorBidi" w:hAnsiTheme="majorBidi" w:cstheme="majorBidi"/>
        </w:rPr>
        <w:t>:</w:t>
      </w:r>
      <w:r w:rsidRPr="00D773F7">
        <w:rPr>
          <w:rFonts w:asciiTheme="majorBidi" w:hAnsiTheme="majorBidi" w:cstheme="majorBidi"/>
        </w:rPr>
        <w:t xml:space="preserve"> </w:t>
      </w:r>
    </w:p>
    <w:p w14:paraId="28DBD4D2" w14:textId="357FE097" w:rsidR="00186F0A" w:rsidRPr="00D773F7" w:rsidRDefault="00186F0A" w:rsidP="003E112D">
      <w:pPr>
        <w:pStyle w:val="SingleTxtG"/>
        <w:keepNext/>
        <w:keepLines/>
        <w:tabs>
          <w:tab w:val="clear" w:pos="1701"/>
          <w:tab w:val="clear" w:pos="2268"/>
        </w:tabs>
        <w:ind w:left="2268"/>
        <w:rPr>
          <w:rFonts w:asciiTheme="majorBidi" w:eastAsiaTheme="minorHAnsi" w:hAnsiTheme="majorBidi" w:cstheme="majorBidi"/>
        </w:rPr>
      </w:pPr>
      <w:r w:rsidRPr="00D773F7">
        <w:rPr>
          <w:rFonts w:asciiTheme="majorBidi" w:eastAsiaTheme="minorHAnsi" w:hAnsiTheme="majorBidi" w:cstheme="majorBidi"/>
        </w:rPr>
        <w:t xml:space="preserve">“Massive forms will usually be tested as 1 mm particles. Alternatively, the </w:t>
      </w:r>
      <w:r w:rsidR="00CC1825" w:rsidRPr="00D773F7">
        <w:rPr>
          <w:rFonts w:asciiTheme="majorBidi" w:eastAsiaTheme="minorHAnsi" w:hAnsiTheme="majorBidi" w:cstheme="majorBidi"/>
        </w:rPr>
        <w:t xml:space="preserve">transformation/dissolution </w:t>
      </w:r>
      <w:r w:rsidRPr="00D773F7">
        <w:rPr>
          <w:rFonts w:asciiTheme="majorBidi" w:eastAsiaTheme="minorHAnsi" w:hAnsiTheme="majorBidi" w:cstheme="majorBidi"/>
        </w:rPr>
        <w:t xml:space="preserve">testing of materials with different surface areas may result in highly reliable dissolution kinetic equations that allow to define the </w:t>
      </w:r>
      <w:r w:rsidR="00AB2057" w:rsidRPr="00D773F7">
        <w:rPr>
          <w:rFonts w:asciiTheme="majorBidi" w:eastAsiaTheme="minorHAnsi" w:hAnsiTheme="majorBidi" w:cstheme="majorBidi"/>
        </w:rPr>
        <w:t>c</w:t>
      </w:r>
      <w:r w:rsidRPr="00D773F7">
        <w:rPr>
          <w:rFonts w:asciiTheme="majorBidi" w:eastAsiaTheme="minorHAnsi" w:hAnsiTheme="majorBidi" w:cstheme="majorBidi"/>
        </w:rPr>
        <w:t xml:space="preserve">ritical </w:t>
      </w:r>
      <w:r w:rsidR="00AB2057" w:rsidRPr="00D773F7">
        <w:rPr>
          <w:rFonts w:asciiTheme="majorBidi" w:eastAsiaTheme="minorHAnsi" w:hAnsiTheme="majorBidi" w:cstheme="majorBidi"/>
        </w:rPr>
        <w:t>p</w:t>
      </w:r>
      <w:r w:rsidRPr="00D773F7">
        <w:rPr>
          <w:rFonts w:asciiTheme="majorBidi" w:eastAsiaTheme="minorHAnsi" w:hAnsiTheme="majorBidi" w:cstheme="majorBidi"/>
        </w:rPr>
        <w:t xml:space="preserve">article </w:t>
      </w:r>
      <w:r w:rsidR="00AB2057" w:rsidRPr="00D773F7">
        <w:rPr>
          <w:rFonts w:asciiTheme="majorBidi" w:eastAsiaTheme="minorHAnsi" w:hAnsiTheme="majorBidi" w:cstheme="majorBidi"/>
        </w:rPr>
        <w:t>d</w:t>
      </w:r>
      <w:r w:rsidRPr="00D773F7">
        <w:rPr>
          <w:rFonts w:asciiTheme="majorBidi" w:eastAsiaTheme="minorHAnsi" w:hAnsiTheme="majorBidi" w:cstheme="majorBidi"/>
        </w:rPr>
        <w:t>iameter for appropriate loadings for the acute and long-term hazard assessment.”</w:t>
      </w:r>
    </w:p>
    <w:p w14:paraId="14805588" w14:textId="2F7FFE77" w:rsidR="00186F0A" w:rsidRPr="00D773F7" w:rsidRDefault="00186F0A" w:rsidP="003E112D">
      <w:pPr>
        <w:pStyle w:val="SingleTxtG"/>
        <w:keepNext/>
        <w:keepLines/>
        <w:tabs>
          <w:tab w:val="clear" w:pos="1701"/>
          <w:tab w:val="clear" w:pos="2268"/>
        </w:tabs>
        <w:ind w:left="2268" w:hanging="1134"/>
        <w:rPr>
          <w:rFonts w:asciiTheme="majorBidi" w:eastAsiaTheme="minorHAnsi" w:hAnsiTheme="majorBidi" w:cstheme="majorBidi"/>
        </w:rPr>
      </w:pPr>
      <w:r w:rsidRPr="00D773F7">
        <w:rPr>
          <w:rFonts w:asciiTheme="majorBidi" w:eastAsiaTheme="minorHAnsi" w:hAnsiTheme="majorBidi" w:cstheme="majorBidi"/>
        </w:rPr>
        <w:t xml:space="preserve">A9.7.5.4.4 </w:t>
      </w:r>
      <w:r w:rsidR="0066239A" w:rsidRPr="00D773F7">
        <w:rPr>
          <w:rFonts w:asciiTheme="majorBidi" w:eastAsiaTheme="minorHAnsi" w:hAnsiTheme="majorBidi" w:cstheme="majorBidi"/>
        </w:rPr>
        <w:tab/>
      </w:r>
      <w:r w:rsidR="003E1585" w:rsidRPr="00D773F7">
        <w:rPr>
          <w:rFonts w:asciiTheme="majorBidi" w:eastAsiaTheme="minorHAnsi" w:hAnsiTheme="majorBidi" w:cstheme="majorBidi"/>
        </w:rPr>
        <w:t>Amend to read as follows</w:t>
      </w:r>
      <w:r w:rsidRPr="00D773F7">
        <w:rPr>
          <w:rFonts w:asciiTheme="majorBidi" w:eastAsiaTheme="minorHAnsi" w:hAnsiTheme="majorBidi" w:cstheme="majorBidi"/>
        </w:rPr>
        <w:t xml:space="preserve">: </w:t>
      </w:r>
    </w:p>
    <w:p w14:paraId="1A5E02B3" w14:textId="4B3F1D24" w:rsidR="00186F0A" w:rsidRPr="00D773F7" w:rsidRDefault="00186F0A" w:rsidP="003E112D">
      <w:pPr>
        <w:pStyle w:val="SingleTxtG"/>
        <w:keepNext/>
        <w:keepLines/>
        <w:tabs>
          <w:tab w:val="clear" w:pos="1701"/>
          <w:tab w:val="clear" w:pos="2268"/>
        </w:tabs>
        <w:ind w:left="2268"/>
        <w:rPr>
          <w:rFonts w:asciiTheme="majorBidi" w:eastAsiaTheme="minorHAnsi" w:hAnsiTheme="majorBidi" w:cstheme="majorBidi"/>
        </w:rPr>
      </w:pPr>
      <w:r w:rsidRPr="00D773F7">
        <w:rPr>
          <w:rFonts w:asciiTheme="majorBidi" w:eastAsiaTheme="minorHAnsi" w:hAnsiTheme="majorBidi" w:cstheme="majorBidi"/>
        </w:rPr>
        <w:t>“A9.7.5.4.4</w:t>
      </w:r>
      <w:r w:rsidRPr="00D773F7">
        <w:rPr>
          <w:rFonts w:asciiTheme="majorBidi" w:eastAsiaTheme="minorHAnsi" w:hAnsiTheme="majorBidi" w:cstheme="majorBidi"/>
        </w:rPr>
        <w:tab/>
        <w:t xml:space="preserve">For some forms of metals, it may be possible, using the Transformation/Dissolution </w:t>
      </w:r>
      <w:r w:rsidR="00CC1825" w:rsidRPr="00D773F7">
        <w:rPr>
          <w:rFonts w:asciiTheme="majorBidi" w:eastAsiaTheme="minorHAnsi" w:hAnsiTheme="majorBidi" w:cstheme="majorBidi"/>
        </w:rPr>
        <w:t>P</w:t>
      </w:r>
      <w:r w:rsidRPr="00D773F7">
        <w:rPr>
          <w:rFonts w:asciiTheme="majorBidi" w:eastAsiaTheme="minorHAnsi" w:hAnsiTheme="majorBidi" w:cstheme="majorBidi"/>
        </w:rPr>
        <w:t xml:space="preserve">rotocol (OECD 2001), to obtain a correlation between the concentration of the metal ion after a specified time interval as a function of the surface area loadings of the forms tested. Such correlations should be established for the relevant pH ranges as specified in the Transformation/Dissolution </w:t>
      </w:r>
      <w:r w:rsidR="00647784" w:rsidRPr="00D773F7">
        <w:rPr>
          <w:rFonts w:asciiTheme="majorBidi" w:eastAsiaTheme="minorHAnsi" w:hAnsiTheme="majorBidi" w:cstheme="majorBidi"/>
        </w:rPr>
        <w:t>P</w:t>
      </w:r>
      <w:r w:rsidRPr="00D773F7">
        <w:rPr>
          <w:rFonts w:asciiTheme="majorBidi" w:eastAsiaTheme="minorHAnsi" w:hAnsiTheme="majorBidi" w:cstheme="majorBidi"/>
        </w:rPr>
        <w:t>rotocol. In such cases, it could then be possible to estimate the level of dissolved metal ion concentration of the metal with different particles, using the critical surface area approach (</w:t>
      </w:r>
      <w:proofErr w:type="spellStart"/>
      <w:r w:rsidRPr="00D773F7">
        <w:rPr>
          <w:rFonts w:asciiTheme="majorBidi" w:eastAsiaTheme="minorHAnsi" w:hAnsiTheme="majorBidi" w:cstheme="majorBidi"/>
        </w:rPr>
        <w:t>Skeaff</w:t>
      </w:r>
      <w:proofErr w:type="spellEnd"/>
      <w:r w:rsidRPr="00D773F7">
        <w:rPr>
          <w:rFonts w:asciiTheme="majorBidi" w:eastAsiaTheme="minorHAnsi" w:hAnsiTheme="majorBidi" w:cstheme="majorBidi"/>
        </w:rPr>
        <w:t xml:space="preserve"> et. al., 2000) (See reference in appendix VI, part 5, Metals and metal compounds). From this correlation and a linkage to the appropriate toxicity data at corresponding pH level, it is possible to determine a </w:t>
      </w:r>
      <w:r w:rsidR="00AB2057" w:rsidRPr="00D773F7">
        <w:rPr>
          <w:rFonts w:asciiTheme="majorBidi" w:eastAsiaTheme="minorHAnsi" w:hAnsiTheme="majorBidi" w:cstheme="majorBidi"/>
        </w:rPr>
        <w:t>c</w:t>
      </w:r>
      <w:r w:rsidRPr="00D773F7">
        <w:rPr>
          <w:rFonts w:asciiTheme="majorBidi" w:eastAsiaTheme="minorHAnsi" w:hAnsiTheme="majorBidi" w:cstheme="majorBidi"/>
        </w:rPr>
        <w:t xml:space="preserve">ritical </w:t>
      </w:r>
      <w:r w:rsidR="00AB2057" w:rsidRPr="00D773F7">
        <w:rPr>
          <w:rFonts w:asciiTheme="majorBidi" w:eastAsiaTheme="minorHAnsi" w:hAnsiTheme="majorBidi" w:cstheme="majorBidi"/>
        </w:rPr>
        <w:t>s</w:t>
      </w:r>
      <w:r w:rsidRPr="00D773F7">
        <w:rPr>
          <w:rFonts w:asciiTheme="majorBidi" w:eastAsiaTheme="minorHAnsi" w:hAnsiTheme="majorBidi" w:cstheme="majorBidi"/>
        </w:rPr>
        <w:t xml:space="preserve">urface </w:t>
      </w:r>
      <w:r w:rsidR="00AB2057" w:rsidRPr="00D773F7">
        <w:rPr>
          <w:rFonts w:asciiTheme="majorBidi" w:eastAsiaTheme="minorHAnsi" w:hAnsiTheme="majorBidi" w:cstheme="majorBidi"/>
        </w:rPr>
        <w:t>ar</w:t>
      </w:r>
      <w:r w:rsidRPr="00D773F7">
        <w:rPr>
          <w:rFonts w:asciiTheme="majorBidi" w:eastAsiaTheme="minorHAnsi" w:hAnsiTheme="majorBidi" w:cstheme="majorBidi"/>
        </w:rPr>
        <w:t>ea of the substance that delivers the L(E)C</w:t>
      </w:r>
      <w:r w:rsidRPr="00D773F7">
        <w:rPr>
          <w:rFonts w:asciiTheme="majorBidi" w:eastAsiaTheme="minorHAnsi" w:hAnsiTheme="majorBidi" w:cstheme="majorBidi"/>
          <w:vertAlign w:val="subscript"/>
        </w:rPr>
        <w:t>50</w:t>
      </w:r>
      <w:r w:rsidRPr="00D773F7">
        <w:rPr>
          <w:rFonts w:asciiTheme="majorBidi" w:eastAsiaTheme="minorHAnsi" w:hAnsiTheme="majorBidi" w:cstheme="majorBidi"/>
        </w:rPr>
        <w:t xml:space="preserve"> to the dissolution medium and then to convert the </w:t>
      </w:r>
      <w:r w:rsidR="00AB2057" w:rsidRPr="00D773F7">
        <w:rPr>
          <w:rFonts w:asciiTheme="majorBidi" w:eastAsiaTheme="minorHAnsi" w:hAnsiTheme="majorBidi" w:cstheme="majorBidi"/>
        </w:rPr>
        <w:t>critical surface area</w:t>
      </w:r>
      <w:r w:rsidRPr="00D773F7">
        <w:rPr>
          <w:rFonts w:asciiTheme="majorBidi" w:eastAsiaTheme="minorHAnsi" w:hAnsiTheme="majorBidi" w:cstheme="majorBidi"/>
        </w:rPr>
        <w:t xml:space="preserve"> to a </w:t>
      </w:r>
      <w:r w:rsidR="00AB2057" w:rsidRPr="00D773F7">
        <w:rPr>
          <w:rFonts w:asciiTheme="majorBidi" w:eastAsiaTheme="minorHAnsi" w:hAnsiTheme="majorBidi" w:cstheme="majorBidi"/>
        </w:rPr>
        <w:t>c</w:t>
      </w:r>
      <w:r w:rsidRPr="00D773F7">
        <w:rPr>
          <w:rFonts w:asciiTheme="majorBidi" w:eastAsiaTheme="minorHAnsi" w:hAnsiTheme="majorBidi" w:cstheme="majorBidi"/>
        </w:rPr>
        <w:t xml:space="preserve">ritical </w:t>
      </w:r>
      <w:r w:rsidR="00AB2057" w:rsidRPr="00D773F7">
        <w:rPr>
          <w:rFonts w:asciiTheme="majorBidi" w:eastAsiaTheme="minorHAnsi" w:hAnsiTheme="majorBidi" w:cstheme="majorBidi"/>
        </w:rPr>
        <w:t>p</w:t>
      </w:r>
      <w:r w:rsidRPr="00D773F7">
        <w:rPr>
          <w:rFonts w:asciiTheme="majorBidi" w:eastAsiaTheme="minorHAnsi" w:hAnsiTheme="majorBidi" w:cstheme="majorBidi"/>
        </w:rPr>
        <w:t xml:space="preserve">article </w:t>
      </w:r>
      <w:r w:rsidR="00AB2057" w:rsidRPr="00D773F7">
        <w:rPr>
          <w:rFonts w:asciiTheme="majorBidi" w:eastAsiaTheme="minorHAnsi" w:hAnsiTheme="majorBidi" w:cstheme="majorBidi"/>
        </w:rPr>
        <w:t>d</w:t>
      </w:r>
      <w:r w:rsidRPr="00D773F7">
        <w:rPr>
          <w:rFonts w:asciiTheme="majorBidi" w:eastAsiaTheme="minorHAnsi" w:hAnsiTheme="majorBidi" w:cstheme="majorBidi"/>
        </w:rPr>
        <w:t xml:space="preserve">iameter (see example). This </w:t>
      </w:r>
      <w:r w:rsidR="00AB2057" w:rsidRPr="00D773F7">
        <w:rPr>
          <w:rFonts w:asciiTheme="majorBidi" w:eastAsiaTheme="minorHAnsi" w:hAnsiTheme="majorBidi" w:cstheme="majorBidi"/>
        </w:rPr>
        <w:t>critical particle diameter</w:t>
      </w:r>
      <w:r w:rsidRPr="00D773F7">
        <w:rPr>
          <w:rFonts w:asciiTheme="majorBidi" w:eastAsiaTheme="minorHAnsi" w:hAnsiTheme="majorBidi" w:cstheme="majorBidi"/>
        </w:rPr>
        <w:t xml:space="preserve"> at appropriate mass loadings for acute and long-term hazard assessment can then be used to:</w:t>
      </w:r>
    </w:p>
    <w:p w14:paraId="239A3AA9" w14:textId="77777777" w:rsidR="00186F0A" w:rsidRPr="00D773F7" w:rsidRDefault="00186F0A" w:rsidP="00186F0A">
      <w:pPr>
        <w:pStyle w:val="SingleTxtG"/>
        <w:ind w:left="2694" w:hanging="426"/>
        <w:rPr>
          <w:rFonts w:asciiTheme="majorBidi" w:eastAsiaTheme="minorHAnsi" w:hAnsiTheme="majorBidi" w:cstheme="majorBidi"/>
        </w:rPr>
      </w:pPr>
      <w:r w:rsidRPr="00D773F7">
        <w:rPr>
          <w:rFonts w:asciiTheme="majorBidi" w:eastAsiaTheme="minorHAnsi" w:hAnsiTheme="majorBidi" w:cstheme="majorBidi"/>
        </w:rPr>
        <w:t>(a)</w:t>
      </w:r>
      <w:r w:rsidRPr="00D773F7">
        <w:rPr>
          <w:rFonts w:asciiTheme="majorBidi" w:eastAsiaTheme="minorHAnsi" w:hAnsiTheme="majorBidi" w:cstheme="majorBidi"/>
        </w:rPr>
        <w:tab/>
        <w:t xml:space="preserve">determine the classification category of powders based on the finest representative powder on the market and </w:t>
      </w:r>
    </w:p>
    <w:p w14:paraId="6EC9309F" w14:textId="1FA9419F" w:rsidR="00186F0A" w:rsidRPr="00D773F7" w:rsidRDefault="00186F0A" w:rsidP="00186F0A">
      <w:pPr>
        <w:pStyle w:val="SingleTxtG"/>
        <w:ind w:left="2694" w:hanging="426"/>
        <w:rPr>
          <w:rFonts w:asciiTheme="majorBidi" w:eastAsiaTheme="minorHAnsi" w:hAnsiTheme="majorBidi" w:cstheme="majorBidi"/>
        </w:rPr>
      </w:pPr>
      <w:r w:rsidRPr="00D773F7">
        <w:rPr>
          <w:rFonts w:asciiTheme="majorBidi" w:eastAsiaTheme="minorHAnsi" w:hAnsiTheme="majorBidi" w:cstheme="majorBidi"/>
        </w:rPr>
        <w:t>(b)</w:t>
      </w:r>
      <w:r w:rsidRPr="00D773F7">
        <w:rPr>
          <w:rFonts w:asciiTheme="majorBidi" w:eastAsiaTheme="minorHAnsi" w:hAnsiTheme="majorBidi" w:cstheme="majorBidi"/>
        </w:rPr>
        <w:tab/>
        <w:t>determine an accurate classification of the massive metal by applying a 1</w:t>
      </w:r>
      <w:r w:rsidR="00A40924">
        <w:rPr>
          <w:rFonts w:asciiTheme="majorBidi" w:eastAsiaTheme="minorHAnsi" w:hAnsiTheme="majorBidi" w:cstheme="majorBidi"/>
        </w:rPr>
        <w:t> </w:t>
      </w:r>
      <w:r w:rsidRPr="00D773F7">
        <w:rPr>
          <w:rFonts w:asciiTheme="majorBidi" w:eastAsiaTheme="minorHAnsi" w:hAnsiTheme="majorBidi" w:cstheme="majorBidi"/>
        </w:rPr>
        <w:t>mm (default) diameter.</w:t>
      </w:r>
    </w:p>
    <w:p w14:paraId="375B2BB0" w14:textId="46A19E0C" w:rsidR="00186F0A" w:rsidRPr="00A40924" w:rsidRDefault="00186F0A" w:rsidP="003A0D0D">
      <w:pPr>
        <w:pStyle w:val="SingleTxtG"/>
        <w:tabs>
          <w:tab w:val="clear" w:pos="1701"/>
          <w:tab w:val="clear" w:pos="2835"/>
          <w:tab w:val="left" w:pos="3402"/>
        </w:tabs>
        <w:ind w:left="2268"/>
        <w:rPr>
          <w:rFonts w:asciiTheme="majorBidi" w:eastAsiaTheme="minorHAnsi" w:hAnsiTheme="majorBidi" w:cstheme="majorBidi"/>
        </w:rPr>
      </w:pPr>
      <w:r w:rsidRPr="00A40924">
        <w:rPr>
          <w:rFonts w:asciiTheme="majorBidi" w:eastAsiaTheme="minorHAnsi" w:hAnsiTheme="majorBidi" w:cstheme="majorBidi"/>
        </w:rPr>
        <w:t>A9.7.5.4.4.1</w:t>
      </w:r>
      <w:r w:rsidRPr="00A40924">
        <w:rPr>
          <w:rFonts w:asciiTheme="majorBidi" w:eastAsiaTheme="minorHAnsi" w:hAnsiTheme="majorBidi" w:cstheme="majorBidi"/>
        </w:rPr>
        <w:tab/>
        <w:t xml:space="preserve">Within the </w:t>
      </w:r>
      <w:r w:rsidR="008D1D03" w:rsidRPr="00A40924">
        <w:rPr>
          <w:rFonts w:asciiTheme="majorBidi" w:eastAsiaTheme="minorHAnsi" w:hAnsiTheme="majorBidi" w:cstheme="majorBidi"/>
        </w:rPr>
        <w:t>critical surface area</w:t>
      </w:r>
      <w:r w:rsidRPr="00A40924">
        <w:rPr>
          <w:rFonts w:asciiTheme="majorBidi" w:eastAsiaTheme="minorHAnsi" w:hAnsiTheme="majorBidi" w:cstheme="majorBidi"/>
        </w:rPr>
        <w:t xml:space="preserve"> approach an equation is developed to predict metal ion release (based on previously measured metal ion release from different loadings of the metal), which is correlated to measured surface area, and a corresponding calculated equivalent particle diameter. The basis of the </w:t>
      </w:r>
      <w:r w:rsidR="008D1D03" w:rsidRPr="00A40924">
        <w:rPr>
          <w:rFonts w:asciiTheme="majorBidi" w:eastAsiaTheme="minorHAnsi" w:hAnsiTheme="majorBidi" w:cstheme="majorBidi"/>
        </w:rPr>
        <w:t>critical surface area</w:t>
      </w:r>
      <w:r w:rsidRPr="00A40924">
        <w:rPr>
          <w:rFonts w:asciiTheme="majorBidi" w:eastAsiaTheme="minorHAnsi" w:hAnsiTheme="majorBidi" w:cstheme="majorBidi"/>
        </w:rPr>
        <w:t xml:space="preserve"> approach is that the release of metal ions is dependent on the surface area of the substance, with this release being predictable once the relationship has been established. The </w:t>
      </w:r>
      <w:r w:rsidR="008D1D03" w:rsidRPr="00A40924">
        <w:rPr>
          <w:rFonts w:asciiTheme="majorBidi" w:eastAsiaTheme="minorHAnsi" w:hAnsiTheme="majorBidi" w:cstheme="majorBidi"/>
        </w:rPr>
        <w:t>critical surface area</w:t>
      </w:r>
      <w:r w:rsidRPr="00A40924">
        <w:rPr>
          <w:rFonts w:asciiTheme="majorBidi" w:eastAsiaTheme="minorHAnsi" w:hAnsiTheme="majorBidi" w:cstheme="majorBidi"/>
        </w:rPr>
        <w:t xml:space="preserve"> as the surface area loading (mm²/l) to a medium that delivers a selected ecotoxicity reference value to that medium. The term SA is the measured specific surface area (m²/g) of the metal sample. The measured specific critical surface area (</w:t>
      </w:r>
      <w:proofErr w:type="spellStart"/>
      <w:r w:rsidRPr="00A40924">
        <w:rPr>
          <w:rFonts w:asciiTheme="majorBidi" w:eastAsiaTheme="minorHAnsi" w:hAnsiTheme="majorBidi" w:cstheme="majorBidi"/>
        </w:rPr>
        <w:t>SA</w:t>
      </w:r>
      <w:r w:rsidRPr="00A40924">
        <w:rPr>
          <w:rFonts w:asciiTheme="majorBidi" w:eastAsiaTheme="minorHAnsi" w:hAnsiTheme="majorBidi" w:cstheme="majorBidi"/>
          <w:vertAlign w:val="subscript"/>
        </w:rPr>
        <w:t>crit</w:t>
      </w:r>
      <w:proofErr w:type="spellEnd"/>
      <w:r w:rsidRPr="00A40924">
        <w:rPr>
          <w:rFonts w:asciiTheme="majorBidi" w:eastAsiaTheme="minorHAnsi" w:hAnsiTheme="majorBidi" w:cstheme="majorBidi"/>
        </w:rPr>
        <w:t xml:space="preserve">) (m²/g) is the measured specific surface area for the corresponding low, medium and high loadings which are associated with the respective acute and long-term aquatic toxicity classification categories in the classification scheme for metals and metal compounds. A typical equation for this relationship for a given substance, aquatic medium, pH and retention time is: </w:t>
      </w:r>
    </w:p>
    <w:p w14:paraId="3FA7D661" w14:textId="73C47235" w:rsidR="00186F0A" w:rsidRPr="00A40924" w:rsidRDefault="00186F0A" w:rsidP="00AC70A1">
      <w:pPr>
        <w:pStyle w:val="SingleTxtG"/>
        <w:ind w:left="1701" w:firstLine="567"/>
        <w:jc w:val="center"/>
        <w:rPr>
          <w:rFonts w:asciiTheme="majorBidi" w:eastAsiaTheme="minorHAnsi" w:hAnsiTheme="majorBidi" w:cstheme="majorBidi"/>
        </w:rPr>
      </w:pPr>
      <w:r w:rsidRPr="00A40924">
        <w:rPr>
          <w:rFonts w:asciiTheme="majorBidi" w:eastAsiaTheme="minorHAnsi" w:hAnsiTheme="majorBidi" w:cstheme="majorBidi"/>
        </w:rPr>
        <w:t>log(</w:t>
      </w:r>
      <w:proofErr w:type="spellStart"/>
      <w:r w:rsidRPr="00A40924">
        <w:rPr>
          <w:rFonts w:asciiTheme="majorBidi" w:eastAsiaTheme="minorHAnsi" w:hAnsiTheme="majorBidi" w:cstheme="majorBidi"/>
        </w:rPr>
        <w:t>C</w:t>
      </w:r>
      <w:r w:rsidRPr="00A40924">
        <w:rPr>
          <w:rFonts w:asciiTheme="majorBidi" w:eastAsiaTheme="minorHAnsi" w:hAnsiTheme="majorBidi" w:cstheme="majorBidi"/>
          <w:vertAlign w:val="subscript"/>
        </w:rPr>
        <w:t>Me</w:t>
      </w:r>
      <w:proofErr w:type="spellEnd"/>
      <w:r w:rsidRPr="00A40924">
        <w:rPr>
          <w:rFonts w:asciiTheme="majorBidi" w:eastAsiaTheme="minorHAnsi" w:hAnsiTheme="majorBidi" w:cstheme="majorBidi"/>
        </w:rPr>
        <w:t>(</w:t>
      </w:r>
      <w:proofErr w:type="spellStart"/>
      <w:r w:rsidRPr="00A40924">
        <w:rPr>
          <w:rFonts w:asciiTheme="majorBidi" w:eastAsiaTheme="minorHAnsi" w:hAnsiTheme="majorBidi" w:cstheme="majorBidi"/>
          <w:vertAlign w:val="subscript"/>
        </w:rPr>
        <w:t>aq</w:t>
      </w:r>
      <w:proofErr w:type="spellEnd"/>
      <w:r w:rsidRPr="00A40924">
        <w:rPr>
          <w:rFonts w:asciiTheme="majorBidi" w:eastAsiaTheme="minorHAnsi" w:hAnsiTheme="majorBidi" w:cstheme="majorBidi"/>
        </w:rPr>
        <w:t>)</w:t>
      </w:r>
      <w:r w:rsidR="009865A2">
        <w:rPr>
          <w:rFonts w:asciiTheme="majorBidi" w:eastAsiaTheme="minorHAnsi" w:hAnsiTheme="majorBidi" w:cstheme="majorBidi"/>
        </w:rPr>
        <w:t>)</w:t>
      </w:r>
      <w:r w:rsidRPr="00A40924">
        <w:rPr>
          <w:rFonts w:asciiTheme="majorBidi" w:eastAsiaTheme="minorHAnsi" w:hAnsiTheme="majorBidi" w:cstheme="majorBidi"/>
        </w:rPr>
        <w:t xml:space="preserve"> = a + b log(</w:t>
      </w:r>
      <w:proofErr w:type="spellStart"/>
      <w:r w:rsidRPr="00A40924">
        <w:rPr>
          <w:rFonts w:asciiTheme="majorBidi" w:eastAsiaTheme="minorHAnsi" w:hAnsiTheme="majorBidi" w:cstheme="majorBidi"/>
        </w:rPr>
        <w:t>A</w:t>
      </w:r>
      <w:r w:rsidRPr="00A40924">
        <w:rPr>
          <w:rFonts w:asciiTheme="majorBidi" w:eastAsiaTheme="minorHAnsi" w:hAnsiTheme="majorBidi" w:cstheme="majorBidi"/>
          <w:vertAlign w:val="subscript"/>
        </w:rPr>
        <w:t>meas</w:t>
      </w:r>
      <w:proofErr w:type="spellEnd"/>
      <w:r w:rsidRPr="00A40924">
        <w:rPr>
          <w:rFonts w:asciiTheme="majorBidi" w:eastAsiaTheme="minorHAnsi" w:hAnsiTheme="majorBidi" w:cstheme="majorBidi"/>
        </w:rPr>
        <w:t>)</w:t>
      </w:r>
    </w:p>
    <w:p w14:paraId="24D8201B" w14:textId="1693FD77" w:rsidR="00186F0A" w:rsidRPr="00A40924" w:rsidRDefault="00186F0A" w:rsidP="00AC70A1">
      <w:pPr>
        <w:pStyle w:val="SingleTxtG"/>
        <w:tabs>
          <w:tab w:val="clear" w:pos="1701"/>
        </w:tabs>
        <w:ind w:left="2268"/>
        <w:rPr>
          <w:rFonts w:asciiTheme="majorBidi" w:eastAsiaTheme="minorHAnsi" w:hAnsiTheme="majorBidi" w:cstheme="majorBidi"/>
        </w:rPr>
      </w:pPr>
      <w:proofErr w:type="spellStart"/>
      <w:r w:rsidRPr="00A40924">
        <w:rPr>
          <w:rFonts w:asciiTheme="majorBidi" w:eastAsiaTheme="minorHAnsi" w:hAnsiTheme="majorBidi" w:cstheme="majorBidi"/>
        </w:rPr>
        <w:t>C</w:t>
      </w:r>
      <w:r w:rsidRPr="00A40924">
        <w:rPr>
          <w:rFonts w:asciiTheme="majorBidi" w:eastAsiaTheme="minorHAnsi" w:hAnsiTheme="majorBidi" w:cstheme="majorBidi"/>
          <w:vertAlign w:val="subscript"/>
        </w:rPr>
        <w:t>Me</w:t>
      </w:r>
      <w:proofErr w:type="spellEnd"/>
      <w:r w:rsidRPr="00A40924">
        <w:rPr>
          <w:rFonts w:asciiTheme="majorBidi" w:eastAsiaTheme="minorHAnsi" w:hAnsiTheme="majorBidi" w:cstheme="majorBidi"/>
        </w:rPr>
        <w:t>(</w:t>
      </w:r>
      <w:proofErr w:type="spellStart"/>
      <w:r w:rsidRPr="00A40924">
        <w:rPr>
          <w:rFonts w:asciiTheme="majorBidi" w:eastAsiaTheme="minorHAnsi" w:hAnsiTheme="majorBidi" w:cstheme="majorBidi"/>
          <w:vertAlign w:val="subscript"/>
        </w:rPr>
        <w:t>aq</w:t>
      </w:r>
      <w:proofErr w:type="spellEnd"/>
      <w:r w:rsidRPr="00A40924">
        <w:rPr>
          <w:rFonts w:asciiTheme="majorBidi" w:eastAsiaTheme="minorHAnsi" w:hAnsiTheme="majorBidi" w:cstheme="majorBidi"/>
        </w:rPr>
        <w:t>) = total dissolved concentration of metal ion (</w:t>
      </w:r>
      <w:r w:rsidR="004E2886">
        <w:rPr>
          <w:rFonts w:asciiTheme="majorBidi" w:eastAsiaTheme="minorHAnsi" w:hAnsiTheme="majorBidi" w:cstheme="majorBidi"/>
        </w:rPr>
        <w:t xml:space="preserve">in </w:t>
      </w:r>
      <w:r w:rsidRPr="00A40924">
        <w:rPr>
          <w:rFonts w:asciiTheme="majorBidi" w:eastAsiaTheme="minorHAnsi" w:hAnsiTheme="majorBidi" w:cstheme="majorBidi"/>
        </w:rPr>
        <w:t xml:space="preserve">mg/l) at a particular length of test time (i.e. 168 hours for short-term hazard assessment) under certain conditions (i.e. pH, specified medium, etc.), as determined by </w:t>
      </w:r>
      <w:r w:rsidR="00C437BB" w:rsidRPr="00A40924">
        <w:rPr>
          <w:rFonts w:asciiTheme="majorBidi" w:eastAsiaTheme="minorHAnsi" w:hAnsiTheme="majorBidi" w:cstheme="majorBidi"/>
        </w:rPr>
        <w:t>t</w:t>
      </w:r>
      <w:r w:rsidRPr="00A40924">
        <w:rPr>
          <w:rFonts w:asciiTheme="majorBidi" w:eastAsiaTheme="minorHAnsi" w:hAnsiTheme="majorBidi" w:cstheme="majorBidi"/>
        </w:rPr>
        <w:t>ransformation/</w:t>
      </w:r>
      <w:r w:rsidR="00C437BB" w:rsidRPr="00A40924">
        <w:rPr>
          <w:rFonts w:asciiTheme="majorBidi" w:eastAsiaTheme="minorHAnsi" w:hAnsiTheme="majorBidi" w:cstheme="majorBidi"/>
        </w:rPr>
        <w:t>d</w:t>
      </w:r>
      <w:r w:rsidRPr="00A40924">
        <w:rPr>
          <w:rFonts w:asciiTheme="majorBidi" w:eastAsiaTheme="minorHAnsi" w:hAnsiTheme="majorBidi" w:cstheme="majorBidi"/>
        </w:rPr>
        <w:t xml:space="preserve">issolution testing of different surface area loadings </w:t>
      </w:r>
    </w:p>
    <w:p w14:paraId="12546F9F" w14:textId="77777777" w:rsidR="00186F0A" w:rsidRPr="00A40924" w:rsidRDefault="00186F0A" w:rsidP="00AC70A1">
      <w:pPr>
        <w:pStyle w:val="SingleTxtG"/>
        <w:tabs>
          <w:tab w:val="clear" w:pos="1701"/>
        </w:tabs>
        <w:ind w:left="2268"/>
        <w:rPr>
          <w:rFonts w:asciiTheme="majorBidi" w:eastAsiaTheme="minorHAnsi" w:hAnsiTheme="majorBidi" w:cstheme="majorBidi"/>
        </w:rPr>
      </w:pPr>
      <w:r w:rsidRPr="00A40924">
        <w:rPr>
          <w:rFonts w:asciiTheme="majorBidi" w:eastAsiaTheme="minorHAnsi" w:hAnsiTheme="majorBidi" w:cstheme="majorBidi"/>
        </w:rPr>
        <w:t xml:space="preserve">a, b = regression coefficients </w:t>
      </w:r>
    </w:p>
    <w:p w14:paraId="07D2252B" w14:textId="15A73D00" w:rsidR="00A41848" w:rsidRPr="00AF667A" w:rsidRDefault="00186F0A" w:rsidP="00AC70A1">
      <w:pPr>
        <w:pStyle w:val="SingleTxtG"/>
        <w:tabs>
          <w:tab w:val="clear" w:pos="1701"/>
        </w:tabs>
        <w:ind w:left="2268"/>
        <w:rPr>
          <w:rFonts w:asciiTheme="majorBidi" w:eastAsiaTheme="minorHAnsi" w:hAnsiTheme="majorBidi" w:cstheme="majorBidi"/>
          <w:iCs/>
        </w:rPr>
      </w:pPr>
      <w:proofErr w:type="spellStart"/>
      <w:r w:rsidRPr="00AF667A">
        <w:rPr>
          <w:rFonts w:asciiTheme="majorBidi" w:eastAsiaTheme="minorHAnsi" w:hAnsiTheme="majorBidi" w:cstheme="majorBidi"/>
        </w:rPr>
        <w:lastRenderedPageBreak/>
        <w:t>A</w:t>
      </w:r>
      <w:r w:rsidRPr="00AF667A">
        <w:rPr>
          <w:rFonts w:asciiTheme="majorBidi" w:eastAsiaTheme="minorHAnsi" w:hAnsiTheme="majorBidi" w:cstheme="majorBidi"/>
          <w:vertAlign w:val="subscript"/>
        </w:rPr>
        <w:t>meas</w:t>
      </w:r>
      <w:proofErr w:type="spellEnd"/>
      <w:r w:rsidRPr="00AF667A">
        <w:rPr>
          <w:rFonts w:asciiTheme="majorBidi" w:eastAsiaTheme="minorHAnsi" w:hAnsiTheme="majorBidi" w:cstheme="majorBidi"/>
        </w:rPr>
        <w:t xml:space="preserve"> = initial surface area loading</w:t>
      </w:r>
      <w:r w:rsidR="00ED793E">
        <w:rPr>
          <w:rFonts w:asciiTheme="majorBidi" w:eastAsiaTheme="minorHAnsi" w:hAnsiTheme="majorBidi" w:cstheme="majorBidi"/>
        </w:rPr>
        <w:t xml:space="preserve"> </w:t>
      </w:r>
      <w:r w:rsidR="004E2886">
        <w:rPr>
          <w:rFonts w:asciiTheme="majorBidi" w:eastAsiaTheme="minorHAnsi" w:hAnsiTheme="majorBidi" w:cstheme="majorBidi"/>
        </w:rPr>
        <w:t>(</w:t>
      </w:r>
      <w:r w:rsidR="00ED793E">
        <w:rPr>
          <w:rFonts w:asciiTheme="majorBidi" w:eastAsiaTheme="minorHAnsi" w:hAnsiTheme="majorBidi" w:cstheme="majorBidi"/>
        </w:rPr>
        <w:t>in mm</w:t>
      </w:r>
      <w:r w:rsidR="00ED793E">
        <w:rPr>
          <w:rFonts w:asciiTheme="majorBidi" w:eastAsiaTheme="minorHAnsi" w:hAnsiTheme="majorBidi" w:cstheme="majorBidi"/>
          <w:vertAlign w:val="superscript"/>
        </w:rPr>
        <w:t>2</w:t>
      </w:r>
      <w:r w:rsidR="00ED793E" w:rsidRPr="000E1B24">
        <w:rPr>
          <w:rFonts w:asciiTheme="majorBidi" w:eastAsiaTheme="minorHAnsi" w:hAnsiTheme="majorBidi" w:cstheme="majorBidi"/>
        </w:rPr>
        <w:t>/</w:t>
      </w:r>
      <w:r w:rsidR="000E1B24" w:rsidRPr="000E1B24">
        <w:rPr>
          <w:rFonts w:asciiTheme="majorBidi" w:eastAsiaTheme="minorHAnsi" w:hAnsiTheme="majorBidi" w:cstheme="majorBidi"/>
        </w:rPr>
        <w:t>l</w:t>
      </w:r>
      <w:r w:rsidR="004E2886">
        <w:rPr>
          <w:rFonts w:asciiTheme="majorBidi" w:eastAsiaTheme="minorHAnsi" w:hAnsiTheme="majorBidi" w:cstheme="majorBidi"/>
        </w:rPr>
        <w:t>)</w:t>
      </w:r>
      <w:r w:rsidR="000E1B24">
        <w:rPr>
          <w:rFonts w:asciiTheme="majorBidi" w:eastAsiaTheme="minorHAnsi" w:hAnsiTheme="majorBidi" w:cstheme="majorBidi"/>
        </w:rPr>
        <w:t>,</w:t>
      </w:r>
      <w:r w:rsidR="002F6001" w:rsidRPr="00AF667A">
        <w:rPr>
          <w:rFonts w:asciiTheme="majorBidi" w:eastAsiaTheme="minorHAnsi" w:hAnsiTheme="majorBidi" w:cstheme="majorBidi"/>
        </w:rPr>
        <w:t xml:space="preserve"> calculated as follows:</w:t>
      </w:r>
    </w:p>
    <w:p w14:paraId="7E78C36A" w14:textId="018904C1" w:rsidR="006714C1" w:rsidRPr="006714C1" w:rsidRDefault="003007E3" w:rsidP="006714C1">
      <w:pPr>
        <w:pStyle w:val="SingleTxtG"/>
        <w:tabs>
          <w:tab w:val="clear" w:pos="1701"/>
          <w:tab w:val="clear" w:pos="2268"/>
          <w:tab w:val="clear" w:pos="2835"/>
        </w:tabs>
        <w:spacing w:before="240"/>
        <w:ind w:left="2410"/>
        <w:rPr>
          <w:rFonts w:asciiTheme="majorBidi" w:eastAsiaTheme="minorHAnsi" w:hAnsiTheme="majorBidi" w:cstheme="majorBidi"/>
        </w:rPr>
      </w:pPr>
      <m:oMathPara>
        <m:oMath>
          <m:sSub>
            <m:sSubPr>
              <m:ctrlPr>
                <w:rPr>
                  <w:rFonts w:ascii="Cambria Math" w:eastAsiaTheme="minorHAnsi" w:hAnsi="Cambria Math" w:cstheme="majorBidi"/>
                  <w:i/>
                </w:rPr>
              </m:ctrlPr>
            </m:sSubPr>
            <m:e>
              <m:r>
                <m:rPr>
                  <m:nor/>
                </m:rPr>
                <w:rPr>
                  <w:rFonts w:asciiTheme="majorBidi" w:eastAsiaTheme="minorHAnsi" w:hAnsiTheme="majorBidi" w:cstheme="majorBidi"/>
                </w:rPr>
                <m:t>A</m:t>
              </m:r>
            </m:e>
            <m:sub>
              <m:r>
                <m:rPr>
                  <m:nor/>
                </m:rPr>
                <w:rPr>
                  <w:rFonts w:asciiTheme="majorBidi" w:eastAsiaTheme="minorHAnsi" w:hAnsiTheme="majorBidi" w:cstheme="majorBidi"/>
                </w:rPr>
                <m:t>meas</m:t>
              </m:r>
            </m:sub>
          </m:sSub>
          <m:r>
            <m:rPr>
              <m:sty m:val="p"/>
            </m:rPr>
            <w:rPr>
              <w:rFonts w:ascii="Cambria Math" w:eastAsiaTheme="minorHAnsi" w:hAnsi="Cambria Math" w:cstheme="majorBidi"/>
            </w:rPr>
            <m:t>=SA ×substance mass loading ×</m:t>
          </m:r>
          <m:sSup>
            <m:sSupPr>
              <m:ctrlPr>
                <w:rPr>
                  <w:rFonts w:ascii="Cambria Math" w:eastAsiaTheme="minorHAnsi" w:hAnsi="Cambria Math" w:cstheme="majorBidi"/>
                </w:rPr>
              </m:ctrlPr>
            </m:sSupPr>
            <m:e>
              <m:r>
                <m:rPr>
                  <m:sty m:val="p"/>
                </m:rPr>
                <w:rPr>
                  <w:rFonts w:ascii="Cambria Math" w:eastAsiaTheme="minorHAnsi" w:hAnsi="Cambria Math" w:cstheme="majorBidi"/>
                </w:rPr>
                <m:t xml:space="preserve">10 </m:t>
              </m:r>
            </m:e>
            <m:sup>
              <m:r>
                <w:rPr>
                  <w:rFonts w:ascii="Cambria Math" w:eastAsiaTheme="minorHAnsi" w:hAnsi="Cambria Math" w:cstheme="majorBidi"/>
                </w:rPr>
                <m:t>6</m:t>
              </m:r>
            </m:sup>
          </m:sSup>
        </m:oMath>
      </m:oMathPara>
    </w:p>
    <w:p w14:paraId="18A90046" w14:textId="18B54DDD" w:rsidR="000C0992" w:rsidRPr="00AF667A" w:rsidRDefault="00051782" w:rsidP="006714C1">
      <w:pPr>
        <w:pStyle w:val="SingleTxtG"/>
        <w:tabs>
          <w:tab w:val="clear" w:pos="1701"/>
          <w:tab w:val="clear" w:pos="2268"/>
          <w:tab w:val="clear" w:pos="2835"/>
        </w:tabs>
        <w:spacing w:before="240"/>
        <w:ind w:left="2552"/>
        <w:rPr>
          <w:rFonts w:asciiTheme="majorBidi" w:eastAsiaTheme="minorHAnsi" w:hAnsiTheme="majorBidi" w:cstheme="majorBidi"/>
        </w:rPr>
      </w:pPr>
      <w:r w:rsidRPr="00AF667A">
        <w:rPr>
          <w:rFonts w:asciiTheme="majorBidi" w:eastAsiaTheme="minorHAnsi" w:hAnsiTheme="majorBidi" w:cstheme="majorBidi"/>
        </w:rPr>
        <w:t>where</w:t>
      </w:r>
      <w:r w:rsidR="00A53877" w:rsidRPr="00AF667A">
        <w:rPr>
          <w:rFonts w:asciiTheme="majorBidi" w:eastAsiaTheme="minorHAnsi" w:hAnsiTheme="majorBidi" w:cstheme="majorBidi"/>
        </w:rPr>
        <w:t>:</w:t>
      </w:r>
    </w:p>
    <w:p w14:paraId="09219B47" w14:textId="0CF8AACC" w:rsidR="000C0992" w:rsidRDefault="00A53877" w:rsidP="000B4546">
      <w:pPr>
        <w:pStyle w:val="SingleTxtG"/>
        <w:tabs>
          <w:tab w:val="clear" w:pos="1701"/>
        </w:tabs>
        <w:ind w:left="3402" w:hanging="425"/>
        <w:rPr>
          <w:rFonts w:asciiTheme="majorBidi" w:eastAsiaTheme="minorHAnsi" w:hAnsiTheme="majorBidi" w:cstheme="majorBidi"/>
        </w:rPr>
      </w:pPr>
      <w:r w:rsidRPr="00AF667A">
        <w:rPr>
          <w:rFonts w:asciiTheme="majorBidi" w:eastAsiaTheme="minorHAnsi" w:hAnsiTheme="majorBidi" w:cstheme="majorBidi"/>
        </w:rPr>
        <w:t xml:space="preserve">SA = specific surface area </w:t>
      </w:r>
      <w:r w:rsidR="004E2886">
        <w:rPr>
          <w:rFonts w:asciiTheme="majorBidi" w:eastAsiaTheme="minorHAnsi" w:hAnsiTheme="majorBidi" w:cstheme="majorBidi"/>
        </w:rPr>
        <w:t>(</w:t>
      </w:r>
      <w:r w:rsidR="00ED793E">
        <w:rPr>
          <w:rFonts w:asciiTheme="majorBidi" w:eastAsiaTheme="minorHAnsi" w:hAnsiTheme="majorBidi" w:cstheme="majorBidi"/>
        </w:rPr>
        <w:t>in</w:t>
      </w:r>
      <w:r w:rsidR="000E1B24">
        <w:rPr>
          <w:rFonts w:asciiTheme="majorBidi" w:eastAsiaTheme="minorHAnsi" w:hAnsiTheme="majorBidi" w:cstheme="majorBidi"/>
        </w:rPr>
        <w:t xml:space="preserve"> m</w:t>
      </w:r>
      <w:r w:rsidR="000E1B24" w:rsidRPr="000E1B24">
        <w:rPr>
          <w:rFonts w:asciiTheme="majorBidi" w:eastAsiaTheme="minorHAnsi" w:hAnsiTheme="majorBidi" w:cstheme="majorBidi"/>
          <w:vertAlign w:val="superscript"/>
        </w:rPr>
        <w:t>2</w:t>
      </w:r>
      <w:r w:rsidR="000E1B24">
        <w:rPr>
          <w:rFonts w:asciiTheme="majorBidi" w:eastAsiaTheme="minorHAnsi" w:hAnsiTheme="majorBidi" w:cstheme="majorBidi"/>
        </w:rPr>
        <w:t>/g</w:t>
      </w:r>
      <w:r w:rsidR="004E2886">
        <w:rPr>
          <w:rFonts w:asciiTheme="majorBidi" w:eastAsiaTheme="minorHAnsi" w:hAnsiTheme="majorBidi" w:cstheme="majorBidi"/>
        </w:rPr>
        <w:t>)</w:t>
      </w:r>
      <w:r w:rsidR="000E1B24">
        <w:rPr>
          <w:rFonts w:asciiTheme="majorBidi" w:eastAsiaTheme="minorHAnsi" w:hAnsiTheme="majorBidi" w:cstheme="majorBidi"/>
        </w:rPr>
        <w:t xml:space="preserve"> </w:t>
      </w:r>
      <w:r w:rsidR="00716B32">
        <w:rPr>
          <w:rFonts w:asciiTheme="majorBidi" w:eastAsiaTheme="minorHAnsi" w:hAnsiTheme="majorBidi" w:cstheme="majorBidi"/>
        </w:rPr>
        <w:t>measured</w:t>
      </w:r>
      <w:r w:rsidR="003B11E0" w:rsidRPr="00AF667A">
        <w:rPr>
          <w:rFonts w:asciiTheme="majorBidi" w:eastAsiaTheme="minorHAnsi" w:hAnsiTheme="majorBidi" w:cstheme="majorBidi"/>
        </w:rPr>
        <w:t xml:space="preserve"> with the </w:t>
      </w:r>
      <w:proofErr w:type="spellStart"/>
      <w:r w:rsidR="0072318B" w:rsidRPr="00AF667A">
        <w:rPr>
          <w:rFonts w:asciiTheme="majorBidi" w:eastAsiaTheme="minorHAnsi" w:hAnsiTheme="majorBidi" w:cstheme="majorBidi"/>
        </w:rPr>
        <w:t>Brunauer</w:t>
      </w:r>
      <w:proofErr w:type="spellEnd"/>
      <w:r w:rsidR="0072318B" w:rsidRPr="00AF667A">
        <w:rPr>
          <w:rFonts w:asciiTheme="majorBidi" w:eastAsiaTheme="minorHAnsi" w:hAnsiTheme="majorBidi" w:cstheme="majorBidi"/>
        </w:rPr>
        <w:t>-Emmet Teller (BET) nitrogen adsorption</w:t>
      </w:r>
      <w:r w:rsidR="003E18BB" w:rsidRPr="00AF667A">
        <w:rPr>
          <w:rFonts w:asciiTheme="majorBidi" w:eastAsiaTheme="minorHAnsi" w:hAnsiTheme="majorBidi" w:cstheme="majorBidi"/>
        </w:rPr>
        <w:t>-desorption technique</w:t>
      </w:r>
      <w:r w:rsidR="006F4821">
        <w:rPr>
          <w:rFonts w:asciiTheme="majorBidi" w:eastAsiaTheme="minorHAnsi" w:hAnsiTheme="majorBidi" w:cstheme="majorBidi"/>
        </w:rPr>
        <w:t>.</w:t>
      </w:r>
    </w:p>
    <w:p w14:paraId="5520A29E" w14:textId="1B88E48B" w:rsidR="000E1B24" w:rsidRPr="00D773F7" w:rsidRDefault="000E1B24" w:rsidP="000B4546">
      <w:pPr>
        <w:pStyle w:val="SingleTxtG"/>
        <w:tabs>
          <w:tab w:val="clear" w:pos="1701"/>
        </w:tabs>
        <w:ind w:left="3402" w:hanging="425"/>
        <w:rPr>
          <w:rFonts w:asciiTheme="majorBidi" w:eastAsiaTheme="minorHAnsi" w:hAnsiTheme="majorBidi" w:cstheme="majorBidi"/>
        </w:rPr>
      </w:pPr>
      <w:r>
        <w:rPr>
          <w:rFonts w:asciiTheme="majorBidi" w:eastAsiaTheme="minorHAnsi" w:hAnsiTheme="majorBidi" w:cstheme="majorBidi"/>
        </w:rPr>
        <w:t xml:space="preserve">Substance mass loading in </w:t>
      </w:r>
      <w:r w:rsidR="001F775A">
        <w:rPr>
          <w:rFonts w:asciiTheme="majorBidi" w:eastAsiaTheme="minorHAnsi" w:hAnsiTheme="majorBidi" w:cstheme="majorBidi"/>
        </w:rPr>
        <w:t>g/l.</w:t>
      </w:r>
      <w:r w:rsidR="001E776A">
        <w:rPr>
          <w:rFonts w:asciiTheme="majorBidi" w:eastAsiaTheme="minorHAnsi" w:hAnsiTheme="majorBidi" w:cstheme="majorBidi"/>
        </w:rPr>
        <w:t>”</w:t>
      </w:r>
    </w:p>
    <w:p w14:paraId="70D96E5A" w14:textId="0D21E656" w:rsidR="00186F0A" w:rsidRPr="00D773F7" w:rsidRDefault="00186F0A" w:rsidP="0066239A">
      <w:pPr>
        <w:pStyle w:val="SingleTxtG"/>
        <w:tabs>
          <w:tab w:val="clear" w:pos="1701"/>
          <w:tab w:val="clear" w:pos="2268"/>
        </w:tabs>
        <w:ind w:left="2268" w:hanging="1134"/>
        <w:rPr>
          <w:rFonts w:asciiTheme="majorBidi" w:eastAsiaTheme="minorHAnsi" w:hAnsiTheme="majorBidi" w:cstheme="majorBidi"/>
        </w:rPr>
      </w:pPr>
      <w:r w:rsidRPr="00D773F7">
        <w:rPr>
          <w:rFonts w:asciiTheme="majorBidi" w:eastAsiaTheme="minorHAnsi" w:hAnsiTheme="majorBidi" w:cstheme="majorBidi"/>
        </w:rPr>
        <w:t>Figure A9.7.1</w:t>
      </w:r>
      <w:r w:rsidR="00F46E52" w:rsidRPr="00D773F7">
        <w:rPr>
          <w:rFonts w:asciiTheme="majorBidi" w:eastAsiaTheme="minorHAnsi" w:hAnsiTheme="majorBidi" w:cstheme="majorBidi"/>
        </w:rPr>
        <w:tab/>
      </w:r>
      <w:r w:rsidR="0066239A" w:rsidRPr="00D773F7">
        <w:rPr>
          <w:rFonts w:asciiTheme="majorBidi" w:eastAsiaTheme="minorHAnsi" w:hAnsiTheme="majorBidi" w:cstheme="majorBidi"/>
        </w:rPr>
        <w:t xml:space="preserve"> </w:t>
      </w:r>
      <w:r w:rsidRPr="00D773F7">
        <w:rPr>
          <w:rFonts w:asciiTheme="majorBidi" w:eastAsiaTheme="minorHAnsi" w:hAnsiTheme="majorBidi" w:cstheme="majorBidi"/>
        </w:rPr>
        <w:t xml:space="preserve">Delete </w:t>
      </w:r>
    </w:p>
    <w:p w14:paraId="606B6C3A" w14:textId="4C144491" w:rsidR="00186F0A" w:rsidRPr="00D773F7" w:rsidRDefault="00186F0A" w:rsidP="00186F0A">
      <w:pPr>
        <w:pStyle w:val="SingleTxtG"/>
        <w:rPr>
          <w:rFonts w:asciiTheme="majorBidi" w:hAnsiTheme="majorBidi" w:cstheme="majorBidi"/>
        </w:rPr>
      </w:pPr>
      <w:r w:rsidRPr="00D773F7">
        <w:rPr>
          <w:rFonts w:asciiTheme="majorBidi" w:hAnsiTheme="majorBidi" w:cstheme="majorBidi"/>
        </w:rPr>
        <w:t xml:space="preserve">A9.7.5.5 </w:t>
      </w:r>
      <w:r w:rsidRPr="00D773F7">
        <w:rPr>
          <w:rFonts w:asciiTheme="majorBidi" w:eastAsiaTheme="minorHAnsi" w:hAnsiTheme="majorBidi" w:cstheme="majorBidi"/>
        </w:rPr>
        <w:tab/>
        <w:t>Insert a new subsection A9.7.5.5 to read as follows:</w:t>
      </w:r>
    </w:p>
    <w:p w14:paraId="1423DEE4" w14:textId="00C7F362" w:rsidR="00186F0A" w:rsidRPr="00D773F7" w:rsidRDefault="00186F0A" w:rsidP="00AC70A1">
      <w:pPr>
        <w:pStyle w:val="SingleTxtG"/>
        <w:ind w:left="2268"/>
        <w:rPr>
          <w:rFonts w:asciiTheme="majorBidi" w:eastAsiaTheme="minorHAnsi" w:hAnsiTheme="majorBidi" w:cstheme="majorBidi"/>
        </w:rPr>
      </w:pPr>
      <w:r w:rsidRPr="00D773F7">
        <w:rPr>
          <w:rFonts w:asciiTheme="majorBidi" w:hAnsiTheme="majorBidi" w:cstheme="majorBidi"/>
        </w:rPr>
        <w:t>“A9.7.5.5</w:t>
      </w:r>
      <w:r w:rsidRPr="00D773F7">
        <w:rPr>
          <w:rFonts w:asciiTheme="majorBidi" w:hAnsiTheme="majorBidi" w:cstheme="majorBidi"/>
        </w:rPr>
        <w:tab/>
        <w:t xml:space="preserve"> </w:t>
      </w:r>
      <w:r w:rsidRPr="00D773F7">
        <w:rPr>
          <w:rFonts w:asciiTheme="majorBidi" w:eastAsiaTheme="minorHAnsi" w:hAnsiTheme="majorBidi" w:cstheme="majorBidi"/>
        </w:rPr>
        <w:t>Setting M factors for metals and inorganic metal compounds</w:t>
      </w:r>
    </w:p>
    <w:p w14:paraId="3F2A80EF" w14:textId="7B6C9FD3" w:rsidR="00186F0A" w:rsidRPr="00D773F7" w:rsidRDefault="00186F0A" w:rsidP="00AC70A1">
      <w:pPr>
        <w:pStyle w:val="SingleTxtG"/>
        <w:ind w:left="2268"/>
        <w:rPr>
          <w:rFonts w:asciiTheme="majorBidi" w:eastAsiaTheme="minorHAnsi" w:hAnsiTheme="majorBidi" w:cstheme="majorBidi"/>
        </w:rPr>
      </w:pPr>
      <w:r w:rsidRPr="00D773F7">
        <w:rPr>
          <w:rFonts w:asciiTheme="majorBidi" w:hAnsiTheme="majorBidi" w:cstheme="majorBidi"/>
        </w:rPr>
        <w:t>A9.7.5.5.1</w:t>
      </w:r>
      <w:r w:rsidRPr="00D773F7">
        <w:rPr>
          <w:rFonts w:asciiTheme="majorBidi" w:hAnsiTheme="majorBidi" w:cstheme="majorBidi"/>
        </w:rPr>
        <w:tab/>
      </w:r>
      <w:r w:rsidRPr="00D773F7">
        <w:rPr>
          <w:rFonts w:asciiTheme="majorBidi" w:eastAsiaTheme="minorHAnsi" w:hAnsiTheme="majorBidi" w:cstheme="majorBidi"/>
        </w:rPr>
        <w:t>For the hazard class “Hazardous to the Aquatic Environment”, where the application of the normal cut-off values or concentrations limits may lead to an “under-classification” of the mixture, the M factor concept is used. The M factors are used in application of the summation method for the classification of mixtures containing substances that are classified as very ecotoxic. The concept of M factors has been established to give an increased weight to very toxic substances when classifying mixtures. This ensures that the magnitude of their toxicity is not lost in the derivation of the mixtures classification. M factors are only applicable to the concentration of a substance classified as hazardous to the aquatic environment (</w:t>
      </w:r>
      <w:r w:rsidR="007B1A93">
        <w:rPr>
          <w:rFonts w:asciiTheme="majorBidi" w:eastAsiaTheme="minorHAnsi" w:hAnsiTheme="majorBidi" w:cstheme="majorBidi"/>
        </w:rPr>
        <w:t>c</w:t>
      </w:r>
      <w:r w:rsidRPr="00D773F7">
        <w:rPr>
          <w:rFonts w:asciiTheme="majorBidi" w:eastAsiaTheme="minorHAnsi" w:hAnsiTheme="majorBidi" w:cstheme="majorBidi"/>
        </w:rPr>
        <w:t>ategories Acute 1 and Chronic 1) and are used to derive by the summation method the classification of a mixture in which the substance is present. They are, however, substance specific and it is important that they are established when classifying substances. It is important to note that separate Acute and Chronic M factors should be derived and these may not necessarily be of the same value, depending how each was determined (e.g. the basis of the separate acute and chronic ERV values).</w:t>
      </w:r>
    </w:p>
    <w:p w14:paraId="5CA11BD3" w14:textId="77777777" w:rsidR="00186F0A" w:rsidRPr="00D773F7" w:rsidRDefault="00186F0A" w:rsidP="00AC70A1">
      <w:pPr>
        <w:pStyle w:val="SingleTxtG"/>
        <w:ind w:left="2268"/>
        <w:rPr>
          <w:rFonts w:asciiTheme="majorBidi" w:eastAsiaTheme="minorHAnsi" w:hAnsiTheme="majorBidi" w:cstheme="majorBidi"/>
        </w:rPr>
      </w:pPr>
      <w:r w:rsidRPr="00D773F7">
        <w:rPr>
          <w:rFonts w:asciiTheme="majorBidi" w:hAnsiTheme="majorBidi" w:cstheme="majorBidi"/>
          <w:bCs/>
        </w:rPr>
        <w:t>A9.7.5.5.2</w:t>
      </w:r>
      <w:r w:rsidRPr="00D773F7">
        <w:rPr>
          <w:rFonts w:asciiTheme="majorBidi" w:eastAsiaTheme="minorHAnsi" w:hAnsiTheme="majorBidi" w:cstheme="majorBidi"/>
        </w:rPr>
        <w:tab/>
        <w:t>For readily soluble metal compounds M factors are applied as for organic substances (see table A9.7.1).</w:t>
      </w:r>
    </w:p>
    <w:p w14:paraId="2BB5670A" w14:textId="192F0419" w:rsidR="00186F0A" w:rsidRPr="00D773F7" w:rsidRDefault="00186F0A" w:rsidP="00AC70A1">
      <w:pPr>
        <w:pStyle w:val="SingleTxtG"/>
        <w:ind w:left="2268"/>
        <w:rPr>
          <w:rFonts w:asciiTheme="majorBidi" w:eastAsiaTheme="minorHAnsi" w:hAnsiTheme="majorBidi" w:cstheme="majorBidi"/>
        </w:rPr>
      </w:pPr>
      <w:r w:rsidRPr="00D773F7">
        <w:rPr>
          <w:rFonts w:asciiTheme="majorBidi" w:hAnsiTheme="majorBidi" w:cstheme="majorBidi"/>
          <w:bCs/>
        </w:rPr>
        <w:t>A9.7.5.5.3</w:t>
      </w:r>
      <w:r w:rsidRPr="00D773F7">
        <w:rPr>
          <w:rFonts w:asciiTheme="majorBidi" w:eastAsiaTheme="minorHAnsi" w:hAnsiTheme="majorBidi" w:cstheme="majorBidi"/>
        </w:rPr>
        <w:tab/>
        <w:t xml:space="preserve">For poorly soluble metal compounds and metals M factors are applied based on the ratio of the dissolved metal ion concentration (obtained from </w:t>
      </w:r>
      <w:r w:rsidR="00CC1825" w:rsidRPr="00D773F7">
        <w:rPr>
          <w:rFonts w:asciiTheme="majorBidi" w:eastAsiaTheme="minorHAnsi" w:hAnsiTheme="majorBidi" w:cstheme="majorBidi"/>
        </w:rPr>
        <w:t>transformation/dissolution</w:t>
      </w:r>
      <w:r w:rsidRPr="00D773F7">
        <w:rPr>
          <w:rFonts w:asciiTheme="majorBidi" w:eastAsiaTheme="minorHAnsi" w:hAnsiTheme="majorBidi" w:cstheme="majorBidi"/>
        </w:rPr>
        <w:t xml:space="preserve"> testing after respectively 7 and 28 days for the loading that was used to establish the classification of Category Acute 1 or Category Chronic 1) and the ERV of the dissolved metal ion. If that ratio is below 10 then an M factor of 1 is applied; if that ratio is ≥ 10 and &lt; 100 then an M factor of 10 is applied; if that ratio is ≥ 100 and &lt; 1000 then an M factor of 100 is applied… (continue this approach in factor 10 intervals).</w:t>
      </w:r>
    </w:p>
    <w:p w14:paraId="693EA7FF" w14:textId="0A626D07" w:rsidR="00186F0A" w:rsidRPr="00D773F7" w:rsidRDefault="00186F0A" w:rsidP="00186F0A">
      <w:pPr>
        <w:pStyle w:val="SingleTxtG"/>
        <w:jc w:val="center"/>
        <w:rPr>
          <w:rFonts w:asciiTheme="majorBidi" w:eastAsiaTheme="minorHAnsi" w:hAnsiTheme="majorBidi" w:cstheme="majorBidi"/>
          <w:b/>
          <w:bCs/>
        </w:rPr>
      </w:pPr>
      <w:r w:rsidRPr="00D773F7">
        <w:rPr>
          <w:rFonts w:asciiTheme="majorBidi" w:eastAsiaTheme="minorHAnsi" w:hAnsiTheme="majorBidi" w:cstheme="majorBidi"/>
          <w:b/>
          <w:bCs/>
        </w:rPr>
        <w:t>Table A9.7.1</w:t>
      </w:r>
      <w:r w:rsidR="008C035F">
        <w:rPr>
          <w:rFonts w:asciiTheme="majorBidi" w:eastAsiaTheme="minorHAnsi" w:hAnsiTheme="majorBidi" w:cstheme="majorBidi"/>
          <w:b/>
          <w:bCs/>
        </w:rPr>
        <w:t>:</w:t>
      </w:r>
      <w:r w:rsidRPr="00D773F7">
        <w:rPr>
          <w:rFonts w:asciiTheme="majorBidi" w:eastAsiaTheme="minorHAnsi" w:hAnsiTheme="majorBidi" w:cstheme="majorBidi"/>
          <w:b/>
          <w:bCs/>
        </w:rPr>
        <w:t xml:space="preserve"> M factors for readily soluble metal compounds</w:t>
      </w:r>
    </w:p>
    <w:tbl>
      <w:tblPr>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28"/>
        <w:gridCol w:w="3543"/>
      </w:tblGrid>
      <w:tr w:rsidR="00186F0A" w:rsidRPr="00D773F7" w14:paraId="24598CEA" w14:textId="77777777">
        <w:trPr>
          <w:trHeight w:val="366"/>
        </w:trPr>
        <w:tc>
          <w:tcPr>
            <w:tcW w:w="3828" w:type="dxa"/>
          </w:tcPr>
          <w:p w14:paraId="23BFD8C6" w14:textId="3BBCED01" w:rsidR="00186F0A" w:rsidRPr="00D773F7" w:rsidRDefault="00186F0A">
            <w:pPr>
              <w:keepNext/>
              <w:keepLines/>
              <w:spacing w:before="20" w:after="20" w:line="240" w:lineRule="auto"/>
              <w:jc w:val="center"/>
              <w:rPr>
                <w:rFonts w:asciiTheme="majorBidi" w:hAnsiTheme="majorBidi" w:cstheme="majorBidi"/>
                <w:b/>
                <w:bCs/>
              </w:rPr>
            </w:pPr>
            <w:r w:rsidRPr="00D773F7">
              <w:rPr>
                <w:rFonts w:asciiTheme="majorBidi" w:hAnsiTheme="majorBidi" w:cstheme="majorBidi"/>
                <w:b/>
                <w:bCs/>
              </w:rPr>
              <w:t xml:space="preserve">Acute </w:t>
            </w:r>
            <w:proofErr w:type="spellStart"/>
            <w:r w:rsidRPr="00D773F7">
              <w:rPr>
                <w:rFonts w:asciiTheme="majorBidi" w:hAnsiTheme="majorBidi" w:cstheme="majorBidi"/>
                <w:b/>
                <w:bCs/>
              </w:rPr>
              <w:t>ERV</w:t>
            </w:r>
            <w:r w:rsidRPr="00D773F7">
              <w:rPr>
                <w:rFonts w:asciiTheme="majorBidi" w:hAnsiTheme="majorBidi" w:cstheme="majorBidi"/>
                <w:b/>
                <w:bCs/>
                <w:vertAlign w:val="subscript"/>
              </w:rPr>
              <w:t>compound</w:t>
            </w:r>
            <w:proofErr w:type="spellEnd"/>
            <w:r w:rsidRPr="00D773F7">
              <w:rPr>
                <w:rFonts w:asciiTheme="majorBidi" w:hAnsiTheme="majorBidi" w:cstheme="majorBidi"/>
                <w:b/>
                <w:bCs/>
              </w:rPr>
              <w:t xml:space="preserve"> (mg/</w:t>
            </w:r>
            <w:r w:rsidR="002B4204" w:rsidRPr="00D773F7">
              <w:rPr>
                <w:rFonts w:asciiTheme="majorBidi" w:hAnsiTheme="majorBidi" w:cstheme="majorBidi"/>
                <w:b/>
                <w:bCs/>
              </w:rPr>
              <w:t>l</w:t>
            </w:r>
            <w:r w:rsidRPr="00D773F7">
              <w:rPr>
                <w:rFonts w:asciiTheme="majorBidi" w:hAnsiTheme="majorBidi" w:cstheme="majorBidi"/>
                <w:b/>
                <w:bCs/>
              </w:rPr>
              <w:t>)</w:t>
            </w:r>
          </w:p>
        </w:tc>
        <w:tc>
          <w:tcPr>
            <w:tcW w:w="3543" w:type="dxa"/>
          </w:tcPr>
          <w:p w14:paraId="11EBF66E" w14:textId="77777777" w:rsidR="00186F0A" w:rsidRPr="00D773F7" w:rsidRDefault="00186F0A">
            <w:pPr>
              <w:keepNext/>
              <w:keepLines/>
              <w:spacing w:before="20" w:after="20" w:line="240" w:lineRule="auto"/>
              <w:jc w:val="center"/>
              <w:rPr>
                <w:rFonts w:asciiTheme="majorBidi" w:hAnsiTheme="majorBidi" w:cstheme="majorBidi"/>
                <w:b/>
                <w:bCs/>
              </w:rPr>
            </w:pPr>
            <w:r w:rsidRPr="00D773F7">
              <w:rPr>
                <w:rFonts w:asciiTheme="majorBidi" w:hAnsiTheme="majorBidi" w:cstheme="majorBidi"/>
                <w:b/>
                <w:bCs/>
              </w:rPr>
              <w:t>Acute Multiplication factors (M)</w:t>
            </w:r>
          </w:p>
        </w:tc>
      </w:tr>
      <w:tr w:rsidR="00186F0A" w:rsidRPr="00D773F7" w14:paraId="3EA64D5E" w14:textId="77777777">
        <w:trPr>
          <w:trHeight w:val="367"/>
        </w:trPr>
        <w:tc>
          <w:tcPr>
            <w:tcW w:w="3828" w:type="dxa"/>
          </w:tcPr>
          <w:p w14:paraId="1A7FB444" w14:textId="77777777" w:rsidR="00186F0A" w:rsidRPr="00D773F7" w:rsidRDefault="00186F0A">
            <w:pPr>
              <w:keepNext/>
              <w:keepLines/>
              <w:spacing w:before="20" w:after="20" w:line="240" w:lineRule="auto"/>
              <w:jc w:val="center"/>
              <w:rPr>
                <w:rFonts w:asciiTheme="majorBidi" w:hAnsiTheme="majorBidi" w:cstheme="majorBidi"/>
              </w:rPr>
            </w:pPr>
            <w:r w:rsidRPr="00D773F7">
              <w:rPr>
                <w:rFonts w:asciiTheme="majorBidi" w:hAnsiTheme="majorBidi" w:cstheme="majorBidi"/>
              </w:rPr>
              <w:t>0.1 &lt; Acute ERV ≤ 1</w:t>
            </w:r>
          </w:p>
        </w:tc>
        <w:tc>
          <w:tcPr>
            <w:tcW w:w="3543" w:type="dxa"/>
          </w:tcPr>
          <w:p w14:paraId="30336494" w14:textId="77777777" w:rsidR="00186F0A" w:rsidRPr="00D773F7" w:rsidRDefault="00186F0A">
            <w:pPr>
              <w:keepNext/>
              <w:keepLines/>
              <w:spacing w:before="20" w:after="20" w:line="240" w:lineRule="auto"/>
              <w:jc w:val="center"/>
              <w:rPr>
                <w:rFonts w:asciiTheme="majorBidi" w:hAnsiTheme="majorBidi" w:cstheme="majorBidi"/>
              </w:rPr>
            </w:pPr>
            <w:r w:rsidRPr="00D773F7">
              <w:rPr>
                <w:rFonts w:asciiTheme="majorBidi" w:hAnsiTheme="majorBidi" w:cstheme="majorBidi"/>
              </w:rPr>
              <w:t>1</w:t>
            </w:r>
          </w:p>
        </w:tc>
      </w:tr>
      <w:tr w:rsidR="00186F0A" w:rsidRPr="00D773F7" w14:paraId="591B971A" w14:textId="77777777">
        <w:trPr>
          <w:trHeight w:val="367"/>
        </w:trPr>
        <w:tc>
          <w:tcPr>
            <w:tcW w:w="3828" w:type="dxa"/>
          </w:tcPr>
          <w:p w14:paraId="0CF2F38E" w14:textId="77777777" w:rsidR="00186F0A" w:rsidRPr="00D773F7" w:rsidRDefault="00186F0A">
            <w:pPr>
              <w:keepNext/>
              <w:keepLines/>
              <w:spacing w:before="20" w:after="20" w:line="240" w:lineRule="auto"/>
              <w:jc w:val="center"/>
              <w:rPr>
                <w:rFonts w:asciiTheme="majorBidi" w:hAnsiTheme="majorBidi" w:cstheme="majorBidi"/>
              </w:rPr>
            </w:pPr>
            <w:r w:rsidRPr="00D773F7">
              <w:rPr>
                <w:rFonts w:asciiTheme="majorBidi" w:hAnsiTheme="majorBidi" w:cstheme="majorBidi"/>
              </w:rPr>
              <w:t>0.01 &lt; Acute ERV ≤ 0.1</w:t>
            </w:r>
          </w:p>
        </w:tc>
        <w:tc>
          <w:tcPr>
            <w:tcW w:w="3543" w:type="dxa"/>
          </w:tcPr>
          <w:p w14:paraId="5F765158" w14:textId="77777777" w:rsidR="00186F0A" w:rsidRPr="00D773F7" w:rsidRDefault="00186F0A">
            <w:pPr>
              <w:keepNext/>
              <w:keepLines/>
              <w:spacing w:before="20" w:after="20" w:line="240" w:lineRule="auto"/>
              <w:jc w:val="center"/>
              <w:rPr>
                <w:rFonts w:asciiTheme="majorBidi" w:hAnsiTheme="majorBidi" w:cstheme="majorBidi"/>
              </w:rPr>
            </w:pPr>
            <w:r w:rsidRPr="00D773F7">
              <w:rPr>
                <w:rFonts w:asciiTheme="majorBidi" w:hAnsiTheme="majorBidi" w:cstheme="majorBidi"/>
              </w:rPr>
              <w:t>10</w:t>
            </w:r>
          </w:p>
        </w:tc>
      </w:tr>
      <w:tr w:rsidR="00186F0A" w:rsidRPr="00D773F7" w14:paraId="36A04D09" w14:textId="77777777">
        <w:trPr>
          <w:trHeight w:val="367"/>
        </w:trPr>
        <w:tc>
          <w:tcPr>
            <w:tcW w:w="3828" w:type="dxa"/>
          </w:tcPr>
          <w:p w14:paraId="12809D22" w14:textId="77777777" w:rsidR="00186F0A" w:rsidRPr="00D773F7" w:rsidRDefault="00186F0A">
            <w:pPr>
              <w:keepNext/>
              <w:keepLines/>
              <w:spacing w:before="20" w:after="20" w:line="240" w:lineRule="auto"/>
              <w:jc w:val="center"/>
              <w:rPr>
                <w:rFonts w:asciiTheme="majorBidi" w:hAnsiTheme="majorBidi" w:cstheme="majorBidi"/>
              </w:rPr>
            </w:pPr>
            <w:r w:rsidRPr="00D773F7">
              <w:rPr>
                <w:rFonts w:asciiTheme="majorBidi" w:hAnsiTheme="majorBidi" w:cstheme="majorBidi"/>
              </w:rPr>
              <w:t>0.001 &lt; Acute ERV ≤ 0.01</w:t>
            </w:r>
          </w:p>
        </w:tc>
        <w:tc>
          <w:tcPr>
            <w:tcW w:w="3543" w:type="dxa"/>
          </w:tcPr>
          <w:p w14:paraId="6B18EF46" w14:textId="77777777" w:rsidR="00186F0A" w:rsidRPr="00D773F7" w:rsidRDefault="00186F0A">
            <w:pPr>
              <w:keepNext/>
              <w:keepLines/>
              <w:spacing w:before="20" w:after="20" w:line="240" w:lineRule="auto"/>
              <w:jc w:val="center"/>
              <w:rPr>
                <w:rFonts w:asciiTheme="majorBidi" w:hAnsiTheme="majorBidi" w:cstheme="majorBidi"/>
              </w:rPr>
            </w:pPr>
            <w:r w:rsidRPr="00D773F7">
              <w:rPr>
                <w:rFonts w:asciiTheme="majorBidi" w:hAnsiTheme="majorBidi" w:cstheme="majorBidi"/>
              </w:rPr>
              <w:t>100</w:t>
            </w:r>
          </w:p>
        </w:tc>
      </w:tr>
      <w:tr w:rsidR="00186F0A" w:rsidRPr="00D773F7" w14:paraId="03CABEED" w14:textId="77777777">
        <w:trPr>
          <w:trHeight w:val="367"/>
        </w:trPr>
        <w:tc>
          <w:tcPr>
            <w:tcW w:w="3828" w:type="dxa"/>
          </w:tcPr>
          <w:p w14:paraId="3EB82ECE" w14:textId="77777777" w:rsidR="00186F0A" w:rsidRPr="00D773F7" w:rsidRDefault="00186F0A">
            <w:pPr>
              <w:keepNext/>
              <w:keepLines/>
              <w:spacing w:before="20" w:after="20" w:line="240" w:lineRule="auto"/>
              <w:jc w:val="center"/>
              <w:rPr>
                <w:rFonts w:asciiTheme="majorBidi" w:hAnsiTheme="majorBidi" w:cstheme="majorBidi"/>
              </w:rPr>
            </w:pPr>
            <w:r w:rsidRPr="00D773F7">
              <w:rPr>
                <w:rFonts w:asciiTheme="majorBidi" w:hAnsiTheme="majorBidi" w:cstheme="majorBidi"/>
              </w:rPr>
              <w:t>0.0001 &lt; Acute ERV ≤ 0.001</w:t>
            </w:r>
          </w:p>
        </w:tc>
        <w:tc>
          <w:tcPr>
            <w:tcW w:w="3543" w:type="dxa"/>
          </w:tcPr>
          <w:p w14:paraId="3AE87B30" w14:textId="77777777" w:rsidR="00186F0A" w:rsidRPr="00D773F7" w:rsidRDefault="00186F0A">
            <w:pPr>
              <w:keepNext/>
              <w:keepLines/>
              <w:spacing w:before="20" w:after="20" w:line="240" w:lineRule="auto"/>
              <w:jc w:val="center"/>
              <w:rPr>
                <w:rFonts w:asciiTheme="majorBidi" w:hAnsiTheme="majorBidi" w:cstheme="majorBidi"/>
              </w:rPr>
            </w:pPr>
            <w:r w:rsidRPr="00D773F7">
              <w:rPr>
                <w:rFonts w:asciiTheme="majorBidi" w:hAnsiTheme="majorBidi" w:cstheme="majorBidi"/>
              </w:rPr>
              <w:t>1000</w:t>
            </w:r>
          </w:p>
        </w:tc>
      </w:tr>
      <w:tr w:rsidR="00186F0A" w:rsidRPr="00D773F7" w14:paraId="73AAC38E" w14:textId="77777777">
        <w:trPr>
          <w:trHeight w:val="362"/>
        </w:trPr>
        <w:tc>
          <w:tcPr>
            <w:tcW w:w="3828" w:type="dxa"/>
          </w:tcPr>
          <w:p w14:paraId="140B3F73" w14:textId="77777777" w:rsidR="00186F0A" w:rsidRPr="00D773F7" w:rsidRDefault="00186F0A">
            <w:pPr>
              <w:keepNext/>
              <w:keepLines/>
              <w:spacing w:before="20" w:after="20" w:line="240" w:lineRule="auto"/>
              <w:jc w:val="center"/>
              <w:rPr>
                <w:rFonts w:asciiTheme="majorBidi" w:hAnsiTheme="majorBidi" w:cstheme="majorBidi"/>
              </w:rPr>
            </w:pPr>
            <w:r w:rsidRPr="00D773F7">
              <w:rPr>
                <w:rFonts w:asciiTheme="majorBidi" w:hAnsiTheme="majorBidi" w:cstheme="majorBidi"/>
              </w:rPr>
              <w:t>Continue in factor 10 intervals</w:t>
            </w:r>
          </w:p>
        </w:tc>
        <w:tc>
          <w:tcPr>
            <w:tcW w:w="3543" w:type="dxa"/>
          </w:tcPr>
          <w:p w14:paraId="0E8DDED8" w14:textId="77777777" w:rsidR="00186F0A" w:rsidRPr="00D773F7" w:rsidRDefault="00186F0A">
            <w:pPr>
              <w:keepNext/>
              <w:keepLines/>
              <w:spacing w:before="20" w:after="20" w:line="240" w:lineRule="auto"/>
              <w:jc w:val="center"/>
              <w:rPr>
                <w:rFonts w:asciiTheme="majorBidi" w:hAnsiTheme="majorBidi" w:cstheme="majorBidi"/>
              </w:rPr>
            </w:pPr>
          </w:p>
        </w:tc>
      </w:tr>
    </w:tbl>
    <w:p w14:paraId="791D1C8A" w14:textId="77777777" w:rsidR="00186F0A" w:rsidRPr="00D773F7" w:rsidRDefault="00186F0A" w:rsidP="00186F0A">
      <w:pPr>
        <w:pStyle w:val="SingleTxtG"/>
        <w:rPr>
          <w:rFonts w:asciiTheme="majorBidi" w:eastAsiaTheme="minorHAnsi" w:hAnsiTheme="majorBidi" w:cstheme="majorBidi"/>
        </w:rPr>
      </w:pPr>
    </w:p>
    <w:tbl>
      <w:tblPr>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07"/>
        <w:gridCol w:w="2337"/>
        <w:gridCol w:w="2227"/>
      </w:tblGrid>
      <w:tr w:rsidR="00186F0A" w:rsidRPr="00D773F7" w14:paraId="57A2894C" w14:textId="77777777">
        <w:trPr>
          <w:trHeight w:val="373"/>
        </w:trPr>
        <w:tc>
          <w:tcPr>
            <w:tcW w:w="2807" w:type="dxa"/>
          </w:tcPr>
          <w:p w14:paraId="6CDCC102" w14:textId="59DD027F" w:rsidR="00186F0A" w:rsidRPr="00D773F7" w:rsidRDefault="00186F0A">
            <w:pPr>
              <w:keepNext/>
              <w:keepLines/>
              <w:spacing w:before="20" w:after="20" w:line="240" w:lineRule="auto"/>
              <w:jc w:val="center"/>
              <w:rPr>
                <w:rFonts w:asciiTheme="majorBidi" w:hAnsiTheme="majorBidi" w:cstheme="majorBidi"/>
                <w:b/>
                <w:bCs/>
              </w:rPr>
            </w:pPr>
            <w:r w:rsidRPr="00D773F7">
              <w:rPr>
                <w:rFonts w:asciiTheme="majorBidi" w:hAnsiTheme="majorBidi" w:cstheme="majorBidi"/>
                <w:b/>
                <w:bCs/>
              </w:rPr>
              <w:lastRenderedPageBreak/>
              <w:t xml:space="preserve">Chronic </w:t>
            </w:r>
            <w:proofErr w:type="spellStart"/>
            <w:r w:rsidRPr="00D773F7">
              <w:rPr>
                <w:rFonts w:asciiTheme="majorBidi" w:hAnsiTheme="majorBidi" w:cstheme="majorBidi"/>
                <w:b/>
                <w:bCs/>
              </w:rPr>
              <w:t>ERV</w:t>
            </w:r>
            <w:r w:rsidRPr="00D773F7">
              <w:rPr>
                <w:rFonts w:asciiTheme="majorBidi" w:hAnsiTheme="majorBidi" w:cstheme="majorBidi"/>
                <w:b/>
                <w:bCs/>
                <w:vertAlign w:val="subscript"/>
              </w:rPr>
              <w:t>compound</w:t>
            </w:r>
            <w:proofErr w:type="spellEnd"/>
            <w:r w:rsidRPr="00D773F7">
              <w:rPr>
                <w:rFonts w:asciiTheme="majorBidi" w:hAnsiTheme="majorBidi" w:cstheme="majorBidi"/>
                <w:b/>
                <w:bCs/>
              </w:rPr>
              <w:t xml:space="preserve"> (mg/</w:t>
            </w:r>
            <w:r w:rsidR="002B4204" w:rsidRPr="00D773F7">
              <w:rPr>
                <w:rFonts w:asciiTheme="majorBidi" w:hAnsiTheme="majorBidi" w:cstheme="majorBidi"/>
                <w:b/>
                <w:bCs/>
              </w:rPr>
              <w:t>l</w:t>
            </w:r>
            <w:r w:rsidRPr="00D773F7">
              <w:rPr>
                <w:rFonts w:asciiTheme="majorBidi" w:hAnsiTheme="majorBidi" w:cstheme="majorBidi"/>
                <w:b/>
                <w:bCs/>
              </w:rPr>
              <w:t>)</w:t>
            </w:r>
          </w:p>
        </w:tc>
        <w:tc>
          <w:tcPr>
            <w:tcW w:w="4564" w:type="dxa"/>
            <w:gridSpan w:val="2"/>
          </w:tcPr>
          <w:p w14:paraId="6BE552B3" w14:textId="77777777" w:rsidR="00186F0A" w:rsidRPr="00D773F7" w:rsidRDefault="00186F0A">
            <w:pPr>
              <w:keepNext/>
              <w:keepLines/>
              <w:spacing w:before="20" w:after="20" w:line="240" w:lineRule="auto"/>
              <w:jc w:val="center"/>
              <w:rPr>
                <w:rFonts w:asciiTheme="majorBidi" w:hAnsiTheme="majorBidi" w:cstheme="majorBidi"/>
                <w:b/>
                <w:bCs/>
              </w:rPr>
            </w:pPr>
            <w:r w:rsidRPr="00D773F7">
              <w:rPr>
                <w:rFonts w:asciiTheme="majorBidi" w:hAnsiTheme="majorBidi" w:cstheme="majorBidi"/>
                <w:b/>
                <w:bCs/>
              </w:rPr>
              <w:t>Chronic Multiplication factors (M)</w:t>
            </w:r>
          </w:p>
        </w:tc>
      </w:tr>
      <w:tr w:rsidR="00186F0A" w:rsidRPr="00D773F7" w14:paraId="0665F0EB" w14:textId="77777777">
        <w:trPr>
          <w:trHeight w:val="340"/>
        </w:trPr>
        <w:tc>
          <w:tcPr>
            <w:tcW w:w="2807" w:type="dxa"/>
          </w:tcPr>
          <w:p w14:paraId="117A1496" w14:textId="77777777" w:rsidR="00186F0A" w:rsidRPr="00D773F7" w:rsidRDefault="00186F0A">
            <w:pPr>
              <w:keepNext/>
              <w:keepLines/>
              <w:spacing w:before="20" w:after="20" w:line="240" w:lineRule="auto"/>
              <w:jc w:val="center"/>
              <w:rPr>
                <w:rFonts w:asciiTheme="majorBidi" w:hAnsiTheme="majorBidi" w:cstheme="majorBidi"/>
                <w:b/>
                <w:bCs/>
              </w:rPr>
            </w:pPr>
          </w:p>
        </w:tc>
        <w:tc>
          <w:tcPr>
            <w:tcW w:w="2337" w:type="dxa"/>
          </w:tcPr>
          <w:p w14:paraId="13746828" w14:textId="77777777" w:rsidR="00186F0A" w:rsidRPr="00D773F7" w:rsidRDefault="00186F0A">
            <w:pPr>
              <w:keepNext/>
              <w:keepLines/>
              <w:spacing w:before="20" w:after="20" w:line="240" w:lineRule="auto"/>
              <w:jc w:val="center"/>
              <w:rPr>
                <w:rFonts w:asciiTheme="majorBidi" w:hAnsiTheme="majorBidi" w:cstheme="majorBidi"/>
                <w:b/>
                <w:bCs/>
              </w:rPr>
            </w:pPr>
            <w:r w:rsidRPr="00D773F7">
              <w:rPr>
                <w:rFonts w:asciiTheme="majorBidi" w:hAnsiTheme="majorBidi" w:cstheme="majorBidi"/>
                <w:b/>
                <w:bCs/>
              </w:rPr>
              <w:t>No rapid environmental transformation</w:t>
            </w:r>
          </w:p>
        </w:tc>
        <w:tc>
          <w:tcPr>
            <w:tcW w:w="2227" w:type="dxa"/>
          </w:tcPr>
          <w:p w14:paraId="73CC79B4" w14:textId="77777777" w:rsidR="00186F0A" w:rsidRPr="00D773F7" w:rsidRDefault="00186F0A">
            <w:pPr>
              <w:keepNext/>
              <w:keepLines/>
              <w:spacing w:before="20" w:after="20" w:line="240" w:lineRule="auto"/>
              <w:jc w:val="center"/>
              <w:rPr>
                <w:rFonts w:asciiTheme="majorBidi" w:hAnsiTheme="majorBidi" w:cstheme="majorBidi"/>
                <w:b/>
                <w:bCs/>
              </w:rPr>
            </w:pPr>
            <w:r w:rsidRPr="00D773F7">
              <w:rPr>
                <w:rFonts w:asciiTheme="majorBidi" w:hAnsiTheme="majorBidi" w:cstheme="majorBidi"/>
                <w:b/>
                <w:bCs/>
              </w:rPr>
              <w:t>Rapid environmental transformation</w:t>
            </w:r>
          </w:p>
        </w:tc>
      </w:tr>
      <w:tr w:rsidR="00186F0A" w:rsidRPr="00D773F7" w14:paraId="0F9DF5B7" w14:textId="77777777">
        <w:trPr>
          <w:trHeight w:val="340"/>
        </w:trPr>
        <w:tc>
          <w:tcPr>
            <w:tcW w:w="2807" w:type="dxa"/>
          </w:tcPr>
          <w:p w14:paraId="0FD82B09" w14:textId="77777777" w:rsidR="00186F0A" w:rsidRPr="00D773F7" w:rsidRDefault="00186F0A">
            <w:pPr>
              <w:keepNext/>
              <w:keepLines/>
              <w:spacing w:before="20" w:after="20" w:line="240" w:lineRule="auto"/>
              <w:jc w:val="center"/>
              <w:rPr>
                <w:rFonts w:asciiTheme="majorBidi" w:hAnsiTheme="majorBidi" w:cstheme="majorBidi"/>
              </w:rPr>
            </w:pPr>
            <w:r w:rsidRPr="00D773F7">
              <w:rPr>
                <w:rFonts w:asciiTheme="majorBidi" w:hAnsiTheme="majorBidi" w:cstheme="majorBidi"/>
              </w:rPr>
              <w:t>0.01 &lt; Chronic ERV ≤ 0.1</w:t>
            </w:r>
          </w:p>
        </w:tc>
        <w:tc>
          <w:tcPr>
            <w:tcW w:w="2337" w:type="dxa"/>
          </w:tcPr>
          <w:p w14:paraId="72F7AC91" w14:textId="77777777" w:rsidR="00186F0A" w:rsidRPr="00D773F7" w:rsidRDefault="00186F0A">
            <w:pPr>
              <w:keepNext/>
              <w:keepLines/>
              <w:spacing w:before="20" w:after="20" w:line="240" w:lineRule="auto"/>
              <w:jc w:val="center"/>
              <w:rPr>
                <w:rFonts w:asciiTheme="majorBidi" w:hAnsiTheme="majorBidi" w:cstheme="majorBidi"/>
              </w:rPr>
            </w:pPr>
            <w:r w:rsidRPr="00D773F7">
              <w:rPr>
                <w:rFonts w:asciiTheme="majorBidi" w:hAnsiTheme="majorBidi" w:cstheme="majorBidi"/>
              </w:rPr>
              <w:t>1</w:t>
            </w:r>
          </w:p>
        </w:tc>
        <w:tc>
          <w:tcPr>
            <w:tcW w:w="2227" w:type="dxa"/>
          </w:tcPr>
          <w:p w14:paraId="22A42EA3" w14:textId="77777777" w:rsidR="00186F0A" w:rsidRPr="00D773F7" w:rsidRDefault="00186F0A">
            <w:pPr>
              <w:keepNext/>
              <w:keepLines/>
              <w:spacing w:before="20" w:after="20" w:line="240" w:lineRule="auto"/>
              <w:jc w:val="center"/>
              <w:rPr>
                <w:rFonts w:asciiTheme="majorBidi" w:hAnsiTheme="majorBidi" w:cstheme="majorBidi"/>
              </w:rPr>
            </w:pPr>
            <w:r w:rsidRPr="00D773F7">
              <w:rPr>
                <w:rFonts w:asciiTheme="majorBidi" w:hAnsiTheme="majorBidi" w:cstheme="majorBidi"/>
              </w:rPr>
              <w:t>-</w:t>
            </w:r>
          </w:p>
        </w:tc>
      </w:tr>
      <w:tr w:rsidR="00186F0A" w:rsidRPr="00D773F7" w14:paraId="604E16F7" w14:textId="77777777">
        <w:trPr>
          <w:trHeight w:val="373"/>
        </w:trPr>
        <w:tc>
          <w:tcPr>
            <w:tcW w:w="2807" w:type="dxa"/>
          </w:tcPr>
          <w:p w14:paraId="39E8206F" w14:textId="77777777" w:rsidR="00186F0A" w:rsidRPr="00D773F7" w:rsidRDefault="00186F0A">
            <w:pPr>
              <w:keepNext/>
              <w:keepLines/>
              <w:spacing w:before="20" w:after="20" w:line="240" w:lineRule="auto"/>
              <w:jc w:val="center"/>
              <w:rPr>
                <w:rFonts w:asciiTheme="majorBidi" w:hAnsiTheme="majorBidi" w:cstheme="majorBidi"/>
              </w:rPr>
            </w:pPr>
            <w:r w:rsidRPr="00D773F7">
              <w:rPr>
                <w:rFonts w:asciiTheme="majorBidi" w:hAnsiTheme="majorBidi" w:cstheme="majorBidi"/>
              </w:rPr>
              <w:t>0.001 &lt; Chronic ERV ≤ 0.01</w:t>
            </w:r>
          </w:p>
        </w:tc>
        <w:tc>
          <w:tcPr>
            <w:tcW w:w="2337" w:type="dxa"/>
          </w:tcPr>
          <w:p w14:paraId="19310995" w14:textId="77777777" w:rsidR="00186F0A" w:rsidRPr="00D773F7" w:rsidRDefault="00186F0A">
            <w:pPr>
              <w:keepNext/>
              <w:keepLines/>
              <w:spacing w:before="20" w:after="20" w:line="240" w:lineRule="auto"/>
              <w:jc w:val="center"/>
              <w:rPr>
                <w:rFonts w:asciiTheme="majorBidi" w:hAnsiTheme="majorBidi" w:cstheme="majorBidi"/>
              </w:rPr>
            </w:pPr>
            <w:r w:rsidRPr="00D773F7">
              <w:rPr>
                <w:rFonts w:asciiTheme="majorBidi" w:hAnsiTheme="majorBidi" w:cstheme="majorBidi"/>
              </w:rPr>
              <w:t>10</w:t>
            </w:r>
          </w:p>
        </w:tc>
        <w:tc>
          <w:tcPr>
            <w:tcW w:w="2227" w:type="dxa"/>
          </w:tcPr>
          <w:p w14:paraId="09496902" w14:textId="77777777" w:rsidR="00186F0A" w:rsidRPr="00D773F7" w:rsidRDefault="00186F0A">
            <w:pPr>
              <w:keepNext/>
              <w:keepLines/>
              <w:spacing w:before="20" w:after="20" w:line="240" w:lineRule="auto"/>
              <w:jc w:val="center"/>
              <w:rPr>
                <w:rFonts w:asciiTheme="majorBidi" w:hAnsiTheme="majorBidi" w:cstheme="majorBidi"/>
              </w:rPr>
            </w:pPr>
            <w:r w:rsidRPr="00D773F7">
              <w:rPr>
                <w:rFonts w:asciiTheme="majorBidi" w:hAnsiTheme="majorBidi" w:cstheme="majorBidi"/>
              </w:rPr>
              <w:t>1</w:t>
            </w:r>
          </w:p>
        </w:tc>
      </w:tr>
      <w:tr w:rsidR="00186F0A" w:rsidRPr="00D773F7" w14:paraId="6638C20A" w14:textId="77777777">
        <w:trPr>
          <w:trHeight w:val="373"/>
        </w:trPr>
        <w:tc>
          <w:tcPr>
            <w:tcW w:w="2807" w:type="dxa"/>
          </w:tcPr>
          <w:p w14:paraId="2ED3E623" w14:textId="77777777" w:rsidR="00186F0A" w:rsidRPr="00D773F7" w:rsidRDefault="00186F0A">
            <w:pPr>
              <w:keepNext/>
              <w:keepLines/>
              <w:spacing w:before="20" w:after="20" w:line="240" w:lineRule="auto"/>
              <w:jc w:val="center"/>
              <w:rPr>
                <w:rFonts w:asciiTheme="majorBidi" w:hAnsiTheme="majorBidi" w:cstheme="majorBidi"/>
              </w:rPr>
            </w:pPr>
            <w:r w:rsidRPr="00D773F7">
              <w:rPr>
                <w:rFonts w:asciiTheme="majorBidi" w:hAnsiTheme="majorBidi" w:cstheme="majorBidi"/>
              </w:rPr>
              <w:t>0.0001 &lt; Chronic ERV ≤ 0.001</w:t>
            </w:r>
          </w:p>
        </w:tc>
        <w:tc>
          <w:tcPr>
            <w:tcW w:w="2337" w:type="dxa"/>
          </w:tcPr>
          <w:p w14:paraId="12308F7B" w14:textId="77777777" w:rsidR="00186F0A" w:rsidRPr="00D773F7" w:rsidRDefault="00186F0A">
            <w:pPr>
              <w:keepNext/>
              <w:keepLines/>
              <w:spacing w:before="20" w:after="20" w:line="240" w:lineRule="auto"/>
              <w:jc w:val="center"/>
              <w:rPr>
                <w:rFonts w:asciiTheme="majorBidi" w:hAnsiTheme="majorBidi" w:cstheme="majorBidi"/>
              </w:rPr>
            </w:pPr>
            <w:r w:rsidRPr="00D773F7">
              <w:rPr>
                <w:rFonts w:asciiTheme="majorBidi" w:hAnsiTheme="majorBidi" w:cstheme="majorBidi"/>
              </w:rPr>
              <w:t>100</w:t>
            </w:r>
          </w:p>
        </w:tc>
        <w:tc>
          <w:tcPr>
            <w:tcW w:w="2227" w:type="dxa"/>
          </w:tcPr>
          <w:p w14:paraId="6BFD0F16" w14:textId="77777777" w:rsidR="00186F0A" w:rsidRPr="00D773F7" w:rsidRDefault="00186F0A">
            <w:pPr>
              <w:keepNext/>
              <w:keepLines/>
              <w:spacing w:before="20" w:after="20" w:line="240" w:lineRule="auto"/>
              <w:jc w:val="center"/>
              <w:rPr>
                <w:rFonts w:asciiTheme="majorBidi" w:hAnsiTheme="majorBidi" w:cstheme="majorBidi"/>
              </w:rPr>
            </w:pPr>
            <w:r w:rsidRPr="00D773F7">
              <w:rPr>
                <w:rFonts w:asciiTheme="majorBidi" w:hAnsiTheme="majorBidi" w:cstheme="majorBidi"/>
              </w:rPr>
              <w:t>10</w:t>
            </w:r>
          </w:p>
        </w:tc>
      </w:tr>
      <w:tr w:rsidR="00186F0A" w:rsidRPr="00D773F7" w14:paraId="1801CCD2" w14:textId="77777777">
        <w:trPr>
          <w:trHeight w:val="373"/>
        </w:trPr>
        <w:tc>
          <w:tcPr>
            <w:tcW w:w="2807" w:type="dxa"/>
          </w:tcPr>
          <w:p w14:paraId="2A78EE00" w14:textId="77777777" w:rsidR="00186F0A" w:rsidRPr="00D773F7" w:rsidRDefault="00186F0A">
            <w:pPr>
              <w:keepNext/>
              <w:keepLines/>
              <w:spacing w:before="20" w:after="20" w:line="240" w:lineRule="auto"/>
              <w:jc w:val="center"/>
              <w:rPr>
                <w:rFonts w:asciiTheme="majorBidi" w:hAnsiTheme="majorBidi" w:cstheme="majorBidi"/>
              </w:rPr>
            </w:pPr>
            <w:r w:rsidRPr="00D773F7">
              <w:rPr>
                <w:rFonts w:asciiTheme="majorBidi" w:hAnsiTheme="majorBidi" w:cstheme="majorBidi"/>
              </w:rPr>
              <w:t>0.00001 &lt; Chronic ERV ≤ 0.0001</w:t>
            </w:r>
          </w:p>
        </w:tc>
        <w:tc>
          <w:tcPr>
            <w:tcW w:w="2337" w:type="dxa"/>
          </w:tcPr>
          <w:p w14:paraId="7C4F2CD8" w14:textId="77777777" w:rsidR="00186F0A" w:rsidRPr="00D773F7" w:rsidRDefault="00186F0A">
            <w:pPr>
              <w:keepNext/>
              <w:keepLines/>
              <w:spacing w:before="20" w:after="20" w:line="240" w:lineRule="auto"/>
              <w:jc w:val="center"/>
              <w:rPr>
                <w:rFonts w:asciiTheme="majorBidi" w:hAnsiTheme="majorBidi" w:cstheme="majorBidi"/>
              </w:rPr>
            </w:pPr>
            <w:r w:rsidRPr="00D773F7">
              <w:rPr>
                <w:rFonts w:asciiTheme="majorBidi" w:hAnsiTheme="majorBidi" w:cstheme="majorBidi"/>
              </w:rPr>
              <w:t>1000</w:t>
            </w:r>
          </w:p>
        </w:tc>
        <w:tc>
          <w:tcPr>
            <w:tcW w:w="2227" w:type="dxa"/>
          </w:tcPr>
          <w:p w14:paraId="0478592D" w14:textId="77777777" w:rsidR="00186F0A" w:rsidRPr="00D773F7" w:rsidRDefault="00186F0A">
            <w:pPr>
              <w:keepNext/>
              <w:keepLines/>
              <w:spacing w:before="20" w:after="20" w:line="240" w:lineRule="auto"/>
              <w:jc w:val="center"/>
              <w:rPr>
                <w:rFonts w:asciiTheme="majorBidi" w:hAnsiTheme="majorBidi" w:cstheme="majorBidi"/>
              </w:rPr>
            </w:pPr>
            <w:r w:rsidRPr="00D773F7">
              <w:rPr>
                <w:rFonts w:asciiTheme="majorBidi" w:hAnsiTheme="majorBidi" w:cstheme="majorBidi"/>
              </w:rPr>
              <w:t>100</w:t>
            </w:r>
          </w:p>
        </w:tc>
      </w:tr>
      <w:tr w:rsidR="00186F0A" w:rsidRPr="00D773F7" w14:paraId="0EE9D37C" w14:textId="77777777">
        <w:trPr>
          <w:trHeight w:val="380"/>
        </w:trPr>
        <w:tc>
          <w:tcPr>
            <w:tcW w:w="2807" w:type="dxa"/>
          </w:tcPr>
          <w:p w14:paraId="181B53FB" w14:textId="77777777" w:rsidR="00186F0A" w:rsidRPr="00D773F7" w:rsidRDefault="00186F0A">
            <w:pPr>
              <w:spacing w:before="20" w:after="20" w:line="240" w:lineRule="auto"/>
              <w:jc w:val="center"/>
              <w:rPr>
                <w:rFonts w:asciiTheme="majorBidi" w:hAnsiTheme="majorBidi" w:cstheme="majorBidi"/>
              </w:rPr>
            </w:pPr>
            <w:r w:rsidRPr="00D773F7">
              <w:rPr>
                <w:rFonts w:asciiTheme="majorBidi" w:hAnsiTheme="majorBidi" w:cstheme="majorBidi"/>
              </w:rPr>
              <w:t>Continue in factor 10 intervals</w:t>
            </w:r>
          </w:p>
        </w:tc>
        <w:tc>
          <w:tcPr>
            <w:tcW w:w="2337" w:type="dxa"/>
          </w:tcPr>
          <w:p w14:paraId="6B7186CB" w14:textId="77777777" w:rsidR="00186F0A" w:rsidRPr="00D773F7" w:rsidRDefault="00186F0A">
            <w:pPr>
              <w:spacing w:before="20" w:after="20" w:line="240" w:lineRule="auto"/>
              <w:jc w:val="center"/>
              <w:rPr>
                <w:rFonts w:asciiTheme="majorBidi" w:hAnsiTheme="majorBidi" w:cstheme="majorBidi"/>
              </w:rPr>
            </w:pPr>
          </w:p>
        </w:tc>
        <w:tc>
          <w:tcPr>
            <w:tcW w:w="2227" w:type="dxa"/>
          </w:tcPr>
          <w:p w14:paraId="7D4D05F0" w14:textId="77777777" w:rsidR="00186F0A" w:rsidRPr="00D773F7" w:rsidRDefault="00186F0A">
            <w:pPr>
              <w:spacing w:before="20" w:after="20" w:line="240" w:lineRule="auto"/>
              <w:jc w:val="center"/>
              <w:rPr>
                <w:rFonts w:asciiTheme="majorBidi" w:hAnsiTheme="majorBidi" w:cstheme="majorBidi"/>
              </w:rPr>
            </w:pPr>
          </w:p>
        </w:tc>
      </w:tr>
    </w:tbl>
    <w:p w14:paraId="3B62E2EF" w14:textId="77777777" w:rsidR="00186F0A" w:rsidRPr="00D773F7" w:rsidRDefault="00186F0A" w:rsidP="00186F0A">
      <w:pPr>
        <w:pStyle w:val="SingleTxtG"/>
        <w:ind w:firstLine="567"/>
        <w:jc w:val="right"/>
        <w:rPr>
          <w:rFonts w:asciiTheme="majorBidi" w:eastAsiaTheme="minorHAnsi" w:hAnsiTheme="majorBidi" w:cstheme="majorBidi"/>
        </w:rPr>
      </w:pPr>
      <w:r w:rsidRPr="00D773F7">
        <w:rPr>
          <w:rFonts w:asciiTheme="majorBidi" w:eastAsiaTheme="minorHAnsi" w:hAnsiTheme="majorBidi" w:cstheme="majorBidi"/>
        </w:rPr>
        <w:t>”</w:t>
      </w:r>
    </w:p>
    <w:p w14:paraId="217CA329" w14:textId="512119B3" w:rsidR="009241A0" w:rsidRPr="00D773F7" w:rsidRDefault="009241A0" w:rsidP="009241A0">
      <w:pPr>
        <w:pStyle w:val="H1G"/>
        <w:spacing w:before="280" w:after="220"/>
        <w:rPr>
          <w:rFonts w:asciiTheme="majorBidi" w:hAnsiTheme="majorBidi" w:cstheme="majorBidi"/>
        </w:rPr>
      </w:pPr>
      <w:r w:rsidRPr="00D773F7">
        <w:rPr>
          <w:rFonts w:asciiTheme="majorBidi" w:hAnsiTheme="majorBidi" w:cstheme="majorBidi"/>
        </w:rPr>
        <w:tab/>
      </w:r>
      <w:r w:rsidRPr="00D773F7">
        <w:rPr>
          <w:rFonts w:asciiTheme="majorBidi" w:hAnsiTheme="majorBidi" w:cstheme="majorBidi"/>
        </w:rPr>
        <w:tab/>
      </w:r>
      <w:r w:rsidR="00186F0A" w:rsidRPr="00D773F7">
        <w:rPr>
          <w:rFonts w:asciiTheme="majorBidi" w:hAnsiTheme="majorBidi" w:cstheme="majorBidi"/>
        </w:rPr>
        <w:t>Annex 9, Appendix VI</w:t>
      </w:r>
    </w:p>
    <w:p w14:paraId="5BA8CF14" w14:textId="6C7D65D4" w:rsidR="00186F0A" w:rsidRPr="00D773F7" w:rsidRDefault="00195DCC" w:rsidP="00186F0A">
      <w:pPr>
        <w:pStyle w:val="SingleTxtG"/>
        <w:rPr>
          <w:rFonts w:asciiTheme="majorBidi" w:eastAsiaTheme="minorHAnsi" w:hAnsiTheme="majorBidi" w:cstheme="majorBidi"/>
        </w:rPr>
      </w:pPr>
      <w:r w:rsidRPr="00D773F7">
        <w:rPr>
          <w:rFonts w:asciiTheme="majorBidi" w:eastAsiaTheme="minorHAnsi" w:hAnsiTheme="majorBidi" w:cstheme="majorBidi"/>
        </w:rPr>
        <w:t>I</w:t>
      </w:r>
      <w:r w:rsidR="00186F0A" w:rsidRPr="00D773F7">
        <w:rPr>
          <w:rFonts w:asciiTheme="majorBidi" w:eastAsiaTheme="minorHAnsi" w:hAnsiTheme="majorBidi" w:cstheme="majorBidi"/>
        </w:rPr>
        <w:t xml:space="preserve">nsert the following references under </w:t>
      </w:r>
      <w:r w:rsidR="00210A09" w:rsidRPr="00D773F7">
        <w:rPr>
          <w:rFonts w:asciiTheme="majorBidi" w:eastAsiaTheme="minorHAnsi" w:hAnsiTheme="majorBidi" w:cstheme="majorBidi"/>
        </w:rPr>
        <w:t>section</w:t>
      </w:r>
      <w:r w:rsidR="00C75A8D" w:rsidRPr="00D773F7">
        <w:rPr>
          <w:rFonts w:asciiTheme="majorBidi" w:eastAsiaTheme="minorHAnsi" w:hAnsiTheme="majorBidi" w:cstheme="majorBidi"/>
        </w:rPr>
        <w:t xml:space="preserve"> </w:t>
      </w:r>
      <w:r w:rsidR="00186F0A" w:rsidRPr="00D773F7">
        <w:rPr>
          <w:rFonts w:asciiTheme="majorBidi" w:eastAsiaTheme="minorHAnsi" w:hAnsiTheme="majorBidi" w:cstheme="majorBidi"/>
        </w:rPr>
        <w:t xml:space="preserve">5 </w:t>
      </w:r>
      <w:r w:rsidR="00C75A8D" w:rsidRPr="00D773F7">
        <w:rPr>
          <w:rFonts w:asciiTheme="majorBidi" w:eastAsiaTheme="minorHAnsi" w:hAnsiTheme="majorBidi" w:cstheme="majorBidi"/>
        </w:rPr>
        <w:t>“</w:t>
      </w:r>
      <w:r w:rsidR="00186F0A" w:rsidRPr="00D773F7">
        <w:rPr>
          <w:rFonts w:asciiTheme="majorBidi" w:eastAsiaTheme="minorHAnsi" w:hAnsiTheme="majorBidi" w:cstheme="majorBidi"/>
        </w:rPr>
        <w:t>Metals and metal compounds</w:t>
      </w:r>
      <w:r w:rsidRPr="00D773F7">
        <w:rPr>
          <w:rFonts w:asciiTheme="majorBidi" w:eastAsiaTheme="minorHAnsi" w:hAnsiTheme="majorBidi" w:cstheme="majorBidi"/>
        </w:rPr>
        <w:t>”</w:t>
      </w:r>
      <w:r w:rsidR="00186F0A" w:rsidRPr="00D773F7">
        <w:rPr>
          <w:rFonts w:asciiTheme="majorBidi" w:eastAsiaTheme="minorHAnsi" w:hAnsiTheme="majorBidi" w:cstheme="majorBidi"/>
        </w:rPr>
        <w:t>:</w:t>
      </w:r>
    </w:p>
    <w:p w14:paraId="761D0D73" w14:textId="77777777" w:rsidR="00186F0A" w:rsidRPr="00D773F7" w:rsidRDefault="00186F0A" w:rsidP="00186F0A">
      <w:pPr>
        <w:pStyle w:val="SingleTxtG"/>
        <w:rPr>
          <w:rFonts w:asciiTheme="majorBidi" w:eastAsiaTheme="minorHAnsi" w:hAnsiTheme="majorBidi" w:cstheme="majorBidi"/>
        </w:rPr>
      </w:pPr>
      <w:r w:rsidRPr="00D773F7">
        <w:rPr>
          <w:rFonts w:asciiTheme="majorBidi" w:eastAsiaTheme="minorHAnsi" w:hAnsiTheme="majorBidi" w:cstheme="majorBidi"/>
        </w:rPr>
        <w:t xml:space="preserve">“Garman, E.R., Meyer, J.S., Bergeron, C.M., </w:t>
      </w:r>
      <w:proofErr w:type="spellStart"/>
      <w:r w:rsidRPr="00D773F7">
        <w:rPr>
          <w:rFonts w:asciiTheme="majorBidi" w:eastAsiaTheme="minorHAnsi" w:hAnsiTheme="majorBidi" w:cstheme="majorBidi"/>
        </w:rPr>
        <w:t>Blewett</w:t>
      </w:r>
      <w:proofErr w:type="spellEnd"/>
      <w:r w:rsidRPr="00D773F7">
        <w:rPr>
          <w:rFonts w:asciiTheme="majorBidi" w:eastAsiaTheme="minorHAnsi" w:hAnsiTheme="majorBidi" w:cstheme="majorBidi"/>
        </w:rPr>
        <w:t xml:space="preserve">, T.A., Clements, W.H., Elias, M.C., Farley, K.J., </w:t>
      </w:r>
      <w:proofErr w:type="spellStart"/>
      <w:r w:rsidRPr="00D773F7">
        <w:rPr>
          <w:rFonts w:asciiTheme="majorBidi" w:eastAsiaTheme="minorHAnsi" w:hAnsiTheme="majorBidi" w:cstheme="majorBidi"/>
        </w:rPr>
        <w:t>Gissi</w:t>
      </w:r>
      <w:proofErr w:type="spellEnd"/>
      <w:r w:rsidRPr="00D773F7">
        <w:rPr>
          <w:rFonts w:asciiTheme="majorBidi" w:eastAsiaTheme="minorHAnsi" w:hAnsiTheme="majorBidi" w:cstheme="majorBidi"/>
        </w:rPr>
        <w:t>, F. and Ryan, A.C. (2020), Validation of Bioavailability‐Based Toxicity Models for Metals. Environmental Toxicology &amp; Chemistry, 39: 101-117.</w:t>
      </w:r>
    </w:p>
    <w:p w14:paraId="5399F727" w14:textId="77777777" w:rsidR="00186F0A" w:rsidRPr="00D773F7" w:rsidRDefault="00186F0A" w:rsidP="00186F0A">
      <w:pPr>
        <w:pStyle w:val="SingleTxtG"/>
        <w:rPr>
          <w:rFonts w:asciiTheme="majorBidi" w:eastAsiaTheme="minorHAnsi" w:hAnsiTheme="majorBidi" w:cstheme="majorBidi"/>
        </w:rPr>
      </w:pPr>
      <w:r w:rsidRPr="00D773F7">
        <w:rPr>
          <w:rFonts w:asciiTheme="majorBidi" w:eastAsiaTheme="minorHAnsi" w:hAnsiTheme="majorBidi" w:cstheme="majorBidi"/>
        </w:rPr>
        <w:t>OECD (2015). Guidance on selecting a strategy for assessing the ecological risk of organometallic and organic metal salt substances based on their environmental fate. OECD Series on Testing and Assessment nr. 212. OECD, Paris, France.</w:t>
      </w:r>
    </w:p>
    <w:p w14:paraId="54AB6F1B" w14:textId="77777777" w:rsidR="00186F0A" w:rsidRPr="00D773F7" w:rsidRDefault="00186F0A" w:rsidP="00186F0A">
      <w:pPr>
        <w:pStyle w:val="SingleTxtG"/>
        <w:rPr>
          <w:rFonts w:asciiTheme="majorBidi" w:hAnsiTheme="majorBidi" w:cstheme="majorBidi"/>
        </w:rPr>
      </w:pPr>
      <w:r w:rsidRPr="00D773F7">
        <w:rPr>
          <w:rFonts w:asciiTheme="majorBidi" w:hAnsiTheme="majorBidi" w:cstheme="majorBidi"/>
        </w:rPr>
        <w:t xml:space="preserve">Tipping, E., Lofts, S., and </w:t>
      </w:r>
      <w:proofErr w:type="spellStart"/>
      <w:r w:rsidRPr="00D773F7">
        <w:rPr>
          <w:rFonts w:asciiTheme="majorBidi" w:hAnsiTheme="majorBidi" w:cstheme="majorBidi"/>
        </w:rPr>
        <w:t>Sonke</w:t>
      </w:r>
      <w:proofErr w:type="spellEnd"/>
      <w:r w:rsidRPr="00D773F7">
        <w:rPr>
          <w:rFonts w:asciiTheme="majorBidi" w:hAnsiTheme="majorBidi" w:cstheme="majorBidi"/>
        </w:rPr>
        <w:t xml:space="preserve">, J.E. (2011). </w:t>
      </w:r>
      <w:proofErr w:type="spellStart"/>
      <w:r w:rsidRPr="00D773F7">
        <w:rPr>
          <w:rFonts w:asciiTheme="majorBidi" w:hAnsiTheme="majorBidi" w:cstheme="majorBidi"/>
        </w:rPr>
        <w:t>Humic</w:t>
      </w:r>
      <w:proofErr w:type="spellEnd"/>
      <w:r w:rsidRPr="00D773F7">
        <w:rPr>
          <w:rFonts w:asciiTheme="majorBidi" w:hAnsiTheme="majorBidi" w:cstheme="majorBidi"/>
        </w:rPr>
        <w:t xml:space="preserve"> Ion-Binding Model VII: a revised parameterisation of cation-binding by </w:t>
      </w:r>
      <w:proofErr w:type="spellStart"/>
      <w:r w:rsidRPr="00D773F7">
        <w:rPr>
          <w:rFonts w:asciiTheme="majorBidi" w:hAnsiTheme="majorBidi" w:cstheme="majorBidi"/>
        </w:rPr>
        <w:t>humic</w:t>
      </w:r>
      <w:proofErr w:type="spellEnd"/>
      <w:r w:rsidRPr="00D773F7">
        <w:rPr>
          <w:rFonts w:asciiTheme="majorBidi" w:hAnsiTheme="majorBidi" w:cstheme="majorBidi"/>
        </w:rPr>
        <w:t xml:space="preserve"> substances. Environmental Chemistry 8 225—235.</w:t>
      </w:r>
    </w:p>
    <w:p w14:paraId="22B6CACE" w14:textId="3FE31B1B" w:rsidR="00EA0DD9" w:rsidRPr="00D773F7" w:rsidRDefault="00EA0DD9" w:rsidP="00EA0DD9">
      <w:pPr>
        <w:pStyle w:val="H1G"/>
        <w:spacing w:before="280" w:after="220"/>
        <w:rPr>
          <w:rFonts w:asciiTheme="majorBidi" w:hAnsiTheme="majorBidi" w:cstheme="majorBidi"/>
        </w:rPr>
      </w:pPr>
      <w:r w:rsidRPr="00D773F7">
        <w:rPr>
          <w:rFonts w:asciiTheme="majorBidi" w:hAnsiTheme="majorBidi" w:cstheme="majorBidi"/>
        </w:rPr>
        <w:tab/>
      </w:r>
      <w:r w:rsidRPr="00D773F7">
        <w:rPr>
          <w:rFonts w:asciiTheme="majorBidi" w:hAnsiTheme="majorBidi" w:cstheme="majorBidi"/>
        </w:rPr>
        <w:tab/>
        <w:t>Annex 10</w:t>
      </w:r>
    </w:p>
    <w:p w14:paraId="7ED443E1" w14:textId="087517D5" w:rsidR="00BD0D09" w:rsidRPr="00D773F7" w:rsidRDefault="0062693E" w:rsidP="00BD0D09">
      <w:pPr>
        <w:pStyle w:val="SingleTxtG"/>
        <w:rPr>
          <w:rFonts w:asciiTheme="majorBidi" w:eastAsiaTheme="minorHAnsi" w:hAnsiTheme="majorBidi" w:cstheme="majorBidi"/>
        </w:rPr>
      </w:pPr>
      <w:r w:rsidRPr="00D773F7">
        <w:rPr>
          <w:rFonts w:asciiTheme="majorBidi" w:eastAsiaTheme="minorHAnsi" w:hAnsiTheme="majorBidi" w:cstheme="majorBidi"/>
        </w:rPr>
        <w:t>A10.1</w:t>
      </w:r>
      <w:r w:rsidRPr="00D773F7">
        <w:rPr>
          <w:rFonts w:asciiTheme="majorBidi" w:eastAsiaTheme="minorHAnsi" w:hAnsiTheme="majorBidi" w:cstheme="majorBidi"/>
        </w:rPr>
        <w:tab/>
      </w:r>
      <w:r w:rsidR="000D55FD" w:rsidRPr="00D773F7">
        <w:rPr>
          <w:rFonts w:asciiTheme="majorBidi" w:eastAsiaTheme="minorHAnsi" w:hAnsiTheme="majorBidi" w:cstheme="majorBidi"/>
        </w:rPr>
        <w:tab/>
      </w:r>
      <w:r w:rsidR="00BD0D09" w:rsidRPr="00D773F7">
        <w:rPr>
          <w:rFonts w:asciiTheme="majorBidi" w:eastAsiaTheme="minorHAnsi" w:hAnsiTheme="majorBidi" w:cstheme="majorBidi"/>
        </w:rPr>
        <w:t>In the third sentence delete “(SSIMs).</w:t>
      </w:r>
    </w:p>
    <w:p w14:paraId="0282F8E7" w14:textId="05D7D933" w:rsidR="0062693E" w:rsidRPr="00D773F7" w:rsidRDefault="00AC70A1" w:rsidP="00AC70A1">
      <w:pPr>
        <w:pStyle w:val="SingleTxtG"/>
        <w:ind w:left="2268"/>
        <w:rPr>
          <w:rFonts w:asciiTheme="majorBidi" w:eastAsiaTheme="minorHAnsi" w:hAnsiTheme="majorBidi" w:cstheme="majorBidi"/>
        </w:rPr>
      </w:pPr>
      <w:r w:rsidRPr="00D773F7">
        <w:rPr>
          <w:rFonts w:asciiTheme="majorBidi" w:eastAsiaTheme="minorHAnsi" w:hAnsiTheme="majorBidi" w:cstheme="majorBidi"/>
        </w:rPr>
        <w:t>A</w:t>
      </w:r>
      <w:r w:rsidR="0062693E" w:rsidRPr="00D773F7">
        <w:rPr>
          <w:rFonts w:asciiTheme="majorBidi" w:eastAsiaTheme="minorHAnsi" w:hAnsiTheme="majorBidi" w:cstheme="majorBidi"/>
        </w:rPr>
        <w:t xml:space="preserve">mend </w:t>
      </w:r>
      <w:r w:rsidR="00D765DB" w:rsidRPr="00D773F7">
        <w:rPr>
          <w:rFonts w:asciiTheme="majorBidi" w:eastAsiaTheme="minorHAnsi" w:hAnsiTheme="majorBidi" w:cstheme="majorBidi"/>
        </w:rPr>
        <w:t xml:space="preserve">the two last sentences </w:t>
      </w:r>
      <w:r w:rsidR="00027C88" w:rsidRPr="00D773F7">
        <w:rPr>
          <w:rFonts w:asciiTheme="majorBidi" w:eastAsiaTheme="minorHAnsi" w:hAnsiTheme="majorBidi" w:cstheme="majorBidi"/>
        </w:rPr>
        <w:t xml:space="preserve">of the paragraph to read </w:t>
      </w:r>
      <w:r w:rsidR="00BD0D09" w:rsidRPr="00D773F7">
        <w:rPr>
          <w:rFonts w:asciiTheme="majorBidi" w:eastAsiaTheme="minorHAnsi" w:hAnsiTheme="majorBidi" w:cstheme="majorBidi"/>
        </w:rPr>
        <w:t xml:space="preserve">as follows: </w:t>
      </w:r>
      <w:r w:rsidR="00D765DB" w:rsidRPr="00D773F7">
        <w:rPr>
          <w:rFonts w:asciiTheme="majorBidi" w:eastAsiaTheme="minorHAnsi" w:hAnsiTheme="majorBidi" w:cstheme="majorBidi"/>
        </w:rPr>
        <w:t>“</w:t>
      </w:r>
      <w:r w:rsidR="0062693E" w:rsidRPr="00D773F7">
        <w:rPr>
          <w:rFonts w:asciiTheme="majorBidi" w:eastAsiaTheme="minorHAnsi" w:hAnsiTheme="majorBidi" w:cstheme="majorBidi"/>
        </w:rPr>
        <w:t>The experimental work on several metals and metal compounds upon which this Test Guidance is based has been conducted and reported (references 5 to 15, this annex). This test guidance has subsequently also been published as a guidance document by OECD (reference 16).”.</w:t>
      </w:r>
    </w:p>
    <w:p w14:paraId="75935E00" w14:textId="77777777" w:rsidR="0062693E" w:rsidRPr="00D773F7" w:rsidRDefault="0062693E" w:rsidP="0032750F">
      <w:pPr>
        <w:pStyle w:val="SingleTxtG"/>
        <w:tabs>
          <w:tab w:val="left" w:pos="1985"/>
        </w:tabs>
        <w:ind w:left="2268" w:hanging="1134"/>
        <w:rPr>
          <w:rFonts w:asciiTheme="majorBidi" w:eastAsiaTheme="minorHAnsi" w:hAnsiTheme="majorBidi" w:cstheme="majorBidi"/>
        </w:rPr>
      </w:pPr>
      <w:r w:rsidRPr="00D773F7">
        <w:rPr>
          <w:rFonts w:asciiTheme="majorBidi" w:eastAsiaTheme="minorHAnsi" w:hAnsiTheme="majorBidi" w:cstheme="majorBidi"/>
        </w:rPr>
        <w:t>A10.1.2</w:t>
      </w:r>
      <w:r w:rsidRPr="00D773F7">
        <w:rPr>
          <w:rFonts w:asciiTheme="majorBidi" w:eastAsiaTheme="minorHAnsi" w:hAnsiTheme="majorBidi" w:cstheme="majorBidi"/>
        </w:rPr>
        <w:tab/>
      </w:r>
      <w:r w:rsidRPr="00D773F7">
        <w:rPr>
          <w:rFonts w:asciiTheme="majorBidi" w:eastAsiaTheme="minorHAnsi" w:hAnsiTheme="majorBidi" w:cstheme="majorBidi"/>
        </w:rPr>
        <w:tab/>
        <w:t>Replace the term “dissolution/transformation” in the last sentence with Transformation/Dissolution”.</w:t>
      </w:r>
    </w:p>
    <w:p w14:paraId="318A2D06" w14:textId="77777777" w:rsidR="0062693E" w:rsidRPr="00D773F7" w:rsidRDefault="0062693E" w:rsidP="0062693E">
      <w:pPr>
        <w:pStyle w:val="SingleTxtG"/>
        <w:rPr>
          <w:rFonts w:asciiTheme="majorBidi" w:eastAsiaTheme="minorHAnsi" w:hAnsiTheme="majorBidi" w:cstheme="majorBidi"/>
        </w:rPr>
      </w:pPr>
      <w:r w:rsidRPr="00D773F7">
        <w:rPr>
          <w:rFonts w:asciiTheme="majorBidi" w:eastAsiaTheme="minorHAnsi" w:hAnsiTheme="majorBidi" w:cstheme="majorBidi"/>
        </w:rPr>
        <w:t>A10.1.4</w:t>
      </w:r>
      <w:r w:rsidRPr="00D773F7">
        <w:rPr>
          <w:rFonts w:asciiTheme="majorBidi" w:eastAsiaTheme="minorHAnsi" w:hAnsiTheme="majorBidi" w:cstheme="majorBidi"/>
        </w:rPr>
        <w:tab/>
        <w:t>Insert the following new paragraph:</w:t>
      </w:r>
    </w:p>
    <w:p w14:paraId="1CEE15E0" w14:textId="5F6C3056" w:rsidR="0062693E" w:rsidRPr="00D773F7" w:rsidRDefault="0062693E" w:rsidP="0032750F">
      <w:pPr>
        <w:pStyle w:val="SingleTxtG"/>
        <w:ind w:left="2268"/>
        <w:rPr>
          <w:rFonts w:asciiTheme="majorBidi" w:eastAsiaTheme="minorHAnsi" w:hAnsiTheme="majorBidi" w:cstheme="majorBidi"/>
        </w:rPr>
      </w:pPr>
      <w:r w:rsidRPr="00D773F7">
        <w:rPr>
          <w:rFonts w:asciiTheme="majorBidi" w:eastAsiaTheme="minorHAnsi" w:hAnsiTheme="majorBidi" w:cstheme="majorBidi"/>
        </w:rPr>
        <w:t xml:space="preserve">“A10.1.4 </w:t>
      </w:r>
      <w:r w:rsidRPr="00D773F7">
        <w:rPr>
          <w:rFonts w:asciiTheme="majorBidi" w:eastAsiaTheme="minorHAnsi" w:hAnsiTheme="majorBidi" w:cstheme="majorBidi"/>
        </w:rPr>
        <w:tab/>
        <w:t>This test guidance is not applicable to organometal</w:t>
      </w:r>
      <w:r w:rsidR="00496750" w:rsidRPr="00D773F7">
        <w:rPr>
          <w:rFonts w:asciiTheme="majorBidi" w:eastAsiaTheme="minorHAnsi" w:hAnsiTheme="majorBidi" w:cstheme="majorBidi"/>
        </w:rPr>
        <w:t>lic</w:t>
      </w:r>
      <w:r w:rsidRPr="00D773F7">
        <w:rPr>
          <w:rFonts w:asciiTheme="majorBidi" w:eastAsiaTheme="minorHAnsi" w:hAnsiTheme="majorBidi" w:cstheme="majorBidi"/>
        </w:rPr>
        <w:t xml:space="preserve"> compounds.”</w:t>
      </w:r>
    </w:p>
    <w:p w14:paraId="74C9EBEB" w14:textId="7FA0A81B" w:rsidR="0062693E" w:rsidRPr="00D773F7" w:rsidRDefault="0062693E" w:rsidP="0032750F">
      <w:pPr>
        <w:pStyle w:val="SingleTxtG"/>
        <w:ind w:left="2268" w:hanging="1134"/>
        <w:rPr>
          <w:rFonts w:asciiTheme="majorBidi" w:eastAsiaTheme="minorHAnsi" w:hAnsiTheme="majorBidi" w:cstheme="majorBidi"/>
        </w:rPr>
      </w:pPr>
      <w:r w:rsidRPr="00D773F7">
        <w:rPr>
          <w:rFonts w:asciiTheme="majorBidi" w:hAnsiTheme="majorBidi" w:cstheme="majorBidi"/>
        </w:rPr>
        <w:t xml:space="preserve">A10.2.2.1 </w:t>
      </w:r>
      <w:r w:rsidRPr="00D773F7">
        <w:rPr>
          <w:rFonts w:asciiTheme="majorBidi" w:hAnsiTheme="majorBidi" w:cstheme="majorBidi"/>
        </w:rPr>
        <w:tab/>
        <w:t xml:space="preserve">Amend the end of the last sentence to read as follows: </w:t>
      </w:r>
      <w:r w:rsidRPr="00D773F7">
        <w:rPr>
          <w:rFonts w:asciiTheme="majorBidi" w:eastAsiaTheme="minorHAnsi" w:hAnsiTheme="majorBidi" w:cstheme="majorBidi"/>
        </w:rPr>
        <w:t xml:space="preserve"> “</w:t>
      </w:r>
      <w:r w:rsidR="00BA3539" w:rsidRPr="00D773F7">
        <w:rPr>
          <w:rFonts w:asciiTheme="majorBidi" w:eastAsiaTheme="minorHAnsi" w:hAnsiTheme="majorBidi" w:cstheme="majorBidi"/>
        </w:rPr>
        <w:t>…</w:t>
      </w:r>
      <w:r w:rsidRPr="00D773F7">
        <w:rPr>
          <w:rFonts w:asciiTheme="majorBidi" w:hAnsiTheme="majorBidi" w:cstheme="majorBidi"/>
        </w:rPr>
        <w:t>is indistinguishable from soluble forms</w:t>
      </w:r>
      <w:r w:rsidRPr="00D773F7">
        <w:rPr>
          <w:rFonts w:asciiTheme="majorBidi" w:eastAsiaTheme="minorHAnsi" w:hAnsiTheme="majorBidi" w:cstheme="majorBidi"/>
        </w:rPr>
        <w:t xml:space="preserve">, and to verify the pH dependency of the dissolution, in preparation of the full </w:t>
      </w:r>
      <w:r w:rsidR="009E3C48" w:rsidRPr="00D773F7">
        <w:rPr>
          <w:rFonts w:asciiTheme="majorBidi" w:eastAsiaTheme="minorHAnsi" w:hAnsiTheme="majorBidi" w:cstheme="majorBidi"/>
        </w:rPr>
        <w:t>transformation/dissolution</w:t>
      </w:r>
      <w:r w:rsidRPr="00D773F7">
        <w:rPr>
          <w:rFonts w:asciiTheme="majorBidi" w:eastAsiaTheme="minorHAnsi" w:hAnsiTheme="majorBidi" w:cstheme="majorBidi"/>
        </w:rPr>
        <w:t xml:space="preserve"> test (</w:t>
      </w:r>
      <w:r w:rsidR="009E3C48" w:rsidRPr="00D773F7">
        <w:rPr>
          <w:rFonts w:asciiTheme="majorBidi" w:eastAsiaTheme="minorHAnsi" w:hAnsiTheme="majorBidi" w:cstheme="majorBidi"/>
        </w:rPr>
        <w:t>s</w:t>
      </w:r>
      <w:r w:rsidRPr="00D773F7">
        <w:rPr>
          <w:rFonts w:asciiTheme="majorBidi" w:eastAsiaTheme="minorHAnsi" w:hAnsiTheme="majorBidi" w:cstheme="majorBidi"/>
        </w:rPr>
        <w:t>ee A9.7.2.3).”</w:t>
      </w:r>
    </w:p>
    <w:p w14:paraId="016C8365" w14:textId="04DB83EF" w:rsidR="0062693E" w:rsidRPr="00D773F7" w:rsidRDefault="0062693E" w:rsidP="0032750F">
      <w:pPr>
        <w:pStyle w:val="SingleTxtG"/>
        <w:ind w:left="2268" w:hanging="1134"/>
        <w:rPr>
          <w:rFonts w:asciiTheme="majorBidi" w:eastAsiaTheme="minorHAnsi" w:hAnsiTheme="majorBidi" w:cstheme="majorBidi"/>
        </w:rPr>
      </w:pPr>
      <w:r w:rsidRPr="00D773F7">
        <w:rPr>
          <w:rFonts w:asciiTheme="majorBidi" w:hAnsiTheme="majorBidi" w:cstheme="majorBidi"/>
        </w:rPr>
        <w:t xml:space="preserve">A10.2.3.1 </w:t>
      </w:r>
      <w:r w:rsidRPr="00D773F7">
        <w:rPr>
          <w:rFonts w:asciiTheme="majorBidi" w:hAnsiTheme="majorBidi" w:cstheme="majorBidi"/>
        </w:rPr>
        <w:tab/>
        <w:t xml:space="preserve">Amend the end of the paragraph to read as follows: </w:t>
      </w:r>
      <w:r w:rsidRPr="00D773F7">
        <w:rPr>
          <w:rFonts w:asciiTheme="majorBidi" w:eastAsiaTheme="minorHAnsi" w:hAnsiTheme="majorBidi" w:cstheme="majorBidi"/>
        </w:rPr>
        <w:t>“</w:t>
      </w:r>
      <w:r w:rsidR="0007229C" w:rsidRPr="00D773F7">
        <w:rPr>
          <w:rFonts w:asciiTheme="majorBidi" w:eastAsiaTheme="minorHAnsi" w:hAnsiTheme="majorBidi" w:cstheme="majorBidi"/>
        </w:rPr>
        <w:t>…</w:t>
      </w:r>
      <w:r w:rsidRPr="00D773F7">
        <w:rPr>
          <w:rFonts w:asciiTheme="majorBidi" w:eastAsiaTheme="minorHAnsi" w:hAnsiTheme="majorBidi" w:cstheme="majorBidi"/>
        </w:rPr>
        <w:t xml:space="preserve"> using a loading of 1</w:t>
      </w:r>
      <w:r w:rsidR="00666BF6">
        <w:rPr>
          <w:rFonts w:asciiTheme="majorBidi" w:eastAsiaTheme="minorHAnsi" w:hAnsiTheme="majorBidi" w:cstheme="majorBidi"/>
        </w:rPr>
        <w:t> </w:t>
      </w:r>
      <w:r w:rsidRPr="00D773F7">
        <w:rPr>
          <w:rFonts w:asciiTheme="majorBidi" w:eastAsiaTheme="minorHAnsi" w:hAnsiTheme="majorBidi" w:cstheme="majorBidi"/>
        </w:rPr>
        <w:t>mg/l, 0.1 mg/l, or 0.01 mg/l depending on the transformation rate.”.</w:t>
      </w:r>
    </w:p>
    <w:p w14:paraId="3AF97842" w14:textId="77777777" w:rsidR="0062693E" w:rsidRPr="00D773F7" w:rsidRDefault="0062693E" w:rsidP="0032750F">
      <w:pPr>
        <w:pStyle w:val="SingleTxtG"/>
        <w:ind w:left="2268" w:hanging="1134"/>
        <w:rPr>
          <w:rFonts w:asciiTheme="majorBidi" w:eastAsiaTheme="minorHAnsi" w:hAnsiTheme="majorBidi" w:cstheme="majorBidi"/>
        </w:rPr>
      </w:pPr>
      <w:r w:rsidRPr="00D773F7">
        <w:rPr>
          <w:rFonts w:asciiTheme="majorBidi" w:eastAsiaTheme="minorHAnsi" w:hAnsiTheme="majorBidi" w:cstheme="majorBidi"/>
        </w:rPr>
        <w:t>A10.2.3.2</w:t>
      </w:r>
      <w:r w:rsidRPr="00D773F7">
        <w:rPr>
          <w:rFonts w:asciiTheme="majorBidi" w:eastAsiaTheme="minorHAnsi" w:hAnsiTheme="majorBidi" w:cstheme="majorBidi"/>
        </w:rPr>
        <w:tab/>
      </w:r>
      <w:r w:rsidRPr="00D773F7">
        <w:rPr>
          <w:rFonts w:asciiTheme="majorBidi" w:hAnsiTheme="majorBidi" w:cstheme="majorBidi"/>
        </w:rPr>
        <w:t>Amend the last sentence to read as follows:</w:t>
      </w:r>
    </w:p>
    <w:p w14:paraId="0F874928" w14:textId="21BE2576" w:rsidR="0062693E" w:rsidRPr="00D773F7" w:rsidRDefault="0062693E" w:rsidP="0032750F">
      <w:pPr>
        <w:pStyle w:val="SingleTxtG"/>
        <w:ind w:left="2268"/>
        <w:rPr>
          <w:rFonts w:asciiTheme="majorBidi" w:eastAsiaTheme="minorHAnsi" w:hAnsiTheme="majorBidi" w:cstheme="majorBidi"/>
        </w:rPr>
      </w:pPr>
      <w:r w:rsidRPr="00D773F7">
        <w:rPr>
          <w:rFonts w:asciiTheme="majorBidi" w:eastAsiaTheme="minorHAnsi" w:hAnsiTheme="majorBidi" w:cstheme="majorBidi"/>
        </w:rPr>
        <w:t>“</w:t>
      </w:r>
      <w:r w:rsidR="0082551C" w:rsidRPr="00D773F7">
        <w:rPr>
          <w:rFonts w:asciiTheme="majorBidi" w:eastAsiaTheme="minorHAnsi" w:hAnsiTheme="majorBidi" w:cstheme="majorBidi"/>
        </w:rPr>
        <w:t>…</w:t>
      </w:r>
      <w:r w:rsidRPr="00D773F7">
        <w:rPr>
          <w:rFonts w:asciiTheme="majorBidi" w:eastAsiaTheme="minorHAnsi" w:hAnsiTheme="majorBidi" w:cstheme="majorBidi"/>
        </w:rPr>
        <w:t>except for the 28-day full test where the pH range of 5.5 to 8.5 is recommended if technically feasible to take into consideration possible long-term effects on acidic lakes.”</w:t>
      </w:r>
    </w:p>
    <w:p w14:paraId="540E45EB" w14:textId="77777777" w:rsidR="0062693E" w:rsidRPr="00D773F7" w:rsidRDefault="0062693E" w:rsidP="0032750F">
      <w:pPr>
        <w:pStyle w:val="SingleTxtG"/>
        <w:ind w:left="2268" w:hanging="1134"/>
        <w:rPr>
          <w:rFonts w:asciiTheme="majorBidi" w:eastAsiaTheme="minorHAnsi" w:hAnsiTheme="majorBidi" w:cstheme="majorBidi"/>
        </w:rPr>
      </w:pPr>
      <w:r w:rsidRPr="00D773F7">
        <w:rPr>
          <w:rFonts w:asciiTheme="majorBidi" w:eastAsiaTheme="minorHAnsi" w:hAnsiTheme="majorBidi" w:cstheme="majorBidi"/>
        </w:rPr>
        <w:t>A10.2.3.3</w:t>
      </w:r>
      <w:r w:rsidRPr="00D773F7">
        <w:rPr>
          <w:rFonts w:asciiTheme="majorBidi" w:eastAsiaTheme="minorHAnsi" w:hAnsiTheme="majorBidi" w:cstheme="majorBidi"/>
        </w:rPr>
        <w:tab/>
        <w:t xml:space="preserve">In the first sentence, replace “while massive are tested” with “while massive forms are tested”. </w:t>
      </w:r>
    </w:p>
    <w:p w14:paraId="429D1FAA" w14:textId="7C46417A" w:rsidR="0062693E" w:rsidRPr="00D773F7" w:rsidRDefault="0062693E" w:rsidP="0032750F">
      <w:pPr>
        <w:pStyle w:val="SingleTxtG"/>
        <w:ind w:left="2268"/>
        <w:rPr>
          <w:rFonts w:asciiTheme="majorBidi" w:eastAsiaTheme="minorHAnsi" w:hAnsiTheme="majorBidi" w:cstheme="majorBidi"/>
        </w:rPr>
      </w:pPr>
      <w:r w:rsidRPr="00D773F7">
        <w:rPr>
          <w:rFonts w:asciiTheme="majorBidi" w:eastAsiaTheme="minorHAnsi" w:hAnsiTheme="majorBidi" w:cstheme="majorBidi"/>
        </w:rPr>
        <w:lastRenderedPageBreak/>
        <w:t>Add the following sentence at the end of the existing paragraph: “The tested material should also be free from oxidation/corrosion layers due to storage, given the latter may disturb the transformation rate. Appropriate pre-treatment of the samples is recommended.”</w:t>
      </w:r>
    </w:p>
    <w:p w14:paraId="20D487B0" w14:textId="4495E85A" w:rsidR="0062693E" w:rsidRPr="00D773F7" w:rsidRDefault="0062693E" w:rsidP="00746D8C">
      <w:pPr>
        <w:pStyle w:val="SingleTxtG"/>
        <w:tabs>
          <w:tab w:val="clear" w:pos="1701"/>
        </w:tabs>
        <w:ind w:left="2268" w:hanging="1134"/>
        <w:rPr>
          <w:rFonts w:asciiTheme="majorBidi" w:eastAsiaTheme="minorHAnsi" w:hAnsiTheme="majorBidi" w:cstheme="majorBidi"/>
        </w:rPr>
      </w:pPr>
      <w:r w:rsidRPr="00D773F7">
        <w:rPr>
          <w:rFonts w:asciiTheme="majorBidi" w:eastAsiaTheme="minorHAnsi" w:hAnsiTheme="majorBidi" w:cstheme="majorBidi"/>
        </w:rPr>
        <w:t>A10.4 (f)</w:t>
      </w:r>
      <w:r w:rsidRPr="00D773F7">
        <w:rPr>
          <w:rFonts w:asciiTheme="majorBidi" w:eastAsiaTheme="minorHAnsi" w:hAnsiTheme="majorBidi" w:cstheme="majorBidi"/>
        </w:rPr>
        <w:tab/>
        <w:t>Amend the end of the sentence to read “or equivalent technique, and particle size distribution;”.</w:t>
      </w:r>
    </w:p>
    <w:p w14:paraId="146636FE" w14:textId="77777777" w:rsidR="0062693E" w:rsidRPr="00D773F7" w:rsidRDefault="0062693E" w:rsidP="00746D8C">
      <w:pPr>
        <w:pStyle w:val="SingleTxtG"/>
        <w:tabs>
          <w:tab w:val="clear" w:pos="1701"/>
        </w:tabs>
        <w:rPr>
          <w:rFonts w:asciiTheme="majorBidi" w:eastAsiaTheme="minorHAnsi" w:hAnsiTheme="majorBidi" w:cstheme="majorBidi"/>
        </w:rPr>
      </w:pPr>
      <w:r w:rsidRPr="00D773F7">
        <w:rPr>
          <w:rFonts w:asciiTheme="majorBidi" w:eastAsiaTheme="minorHAnsi" w:hAnsiTheme="majorBidi" w:cstheme="majorBidi"/>
        </w:rPr>
        <w:t>A10.5</w:t>
      </w:r>
      <w:r w:rsidRPr="00D773F7">
        <w:rPr>
          <w:rFonts w:asciiTheme="majorBidi" w:eastAsiaTheme="minorHAnsi" w:hAnsiTheme="majorBidi" w:cstheme="majorBidi"/>
        </w:rPr>
        <w:tab/>
        <w:t xml:space="preserve">In sub-paragraph (d), delete “radial impeller”. </w:t>
      </w:r>
    </w:p>
    <w:p w14:paraId="30586FC3" w14:textId="44B432EC" w:rsidR="0062693E" w:rsidRPr="00D773F7" w:rsidRDefault="00753AF6" w:rsidP="00746D8C">
      <w:pPr>
        <w:pStyle w:val="SingleTxtG"/>
        <w:tabs>
          <w:tab w:val="left" w:pos="1985"/>
        </w:tabs>
        <w:ind w:left="2268"/>
        <w:rPr>
          <w:rFonts w:asciiTheme="majorBidi" w:eastAsiaTheme="minorHAnsi" w:hAnsiTheme="majorBidi" w:cstheme="majorBidi"/>
        </w:rPr>
      </w:pPr>
      <w:r w:rsidRPr="00D773F7">
        <w:rPr>
          <w:rFonts w:asciiTheme="majorBidi" w:eastAsiaTheme="minorHAnsi" w:hAnsiTheme="majorBidi" w:cstheme="majorBidi"/>
        </w:rPr>
        <w:t xml:space="preserve">In </w:t>
      </w:r>
      <w:r w:rsidR="0062693E" w:rsidRPr="00D773F7">
        <w:rPr>
          <w:rFonts w:asciiTheme="majorBidi" w:eastAsiaTheme="minorHAnsi" w:hAnsiTheme="majorBidi" w:cstheme="majorBidi"/>
        </w:rPr>
        <w:t>sub-paragraph (e)</w:t>
      </w:r>
      <w:r w:rsidRPr="00D773F7">
        <w:rPr>
          <w:rFonts w:asciiTheme="majorBidi" w:eastAsiaTheme="minorHAnsi" w:hAnsiTheme="majorBidi" w:cstheme="majorBidi"/>
        </w:rPr>
        <w:t xml:space="preserve"> replace “(A10.5.1.7) </w:t>
      </w:r>
      <w:proofErr w:type="spellStart"/>
      <w:r w:rsidRPr="00D773F7">
        <w:rPr>
          <w:rFonts w:asciiTheme="majorBidi" w:eastAsiaTheme="minorHAnsi" w:hAnsiTheme="majorBidi" w:cstheme="majorBidi"/>
        </w:rPr>
        <w:t>acrodisc</w:t>
      </w:r>
      <w:proofErr w:type="spellEnd"/>
      <w:r w:rsidRPr="00D773F7">
        <w:rPr>
          <w:rFonts w:asciiTheme="majorBidi" w:eastAsiaTheme="minorHAnsi" w:hAnsiTheme="majorBidi" w:cstheme="majorBidi"/>
        </w:rPr>
        <w:t xml:space="preserve"> filter</w:t>
      </w:r>
      <w:r w:rsidR="004C2105" w:rsidRPr="00D773F7">
        <w:rPr>
          <w:rFonts w:asciiTheme="majorBidi" w:eastAsiaTheme="minorHAnsi" w:hAnsiTheme="majorBidi" w:cstheme="majorBidi"/>
        </w:rPr>
        <w:t>” with “(A10.5.1.</w:t>
      </w:r>
      <w:r w:rsidR="00AC0D04">
        <w:rPr>
          <w:rFonts w:asciiTheme="majorBidi" w:eastAsiaTheme="minorHAnsi" w:hAnsiTheme="majorBidi" w:cstheme="majorBidi"/>
        </w:rPr>
        <w:t>10</w:t>
      </w:r>
      <w:r w:rsidR="004C2105" w:rsidRPr="00D773F7">
        <w:rPr>
          <w:rFonts w:asciiTheme="majorBidi" w:eastAsiaTheme="minorHAnsi" w:hAnsiTheme="majorBidi" w:cstheme="majorBidi"/>
        </w:rPr>
        <w:t>) filter”</w:t>
      </w:r>
      <w:r w:rsidR="0062693E" w:rsidRPr="00D773F7">
        <w:rPr>
          <w:rFonts w:asciiTheme="majorBidi" w:eastAsiaTheme="minorHAnsi" w:hAnsiTheme="majorBidi" w:cstheme="majorBidi"/>
        </w:rPr>
        <w:t xml:space="preserve"> </w:t>
      </w:r>
    </w:p>
    <w:p w14:paraId="4713662D" w14:textId="4B7B8989" w:rsidR="0062693E" w:rsidRPr="00D773F7" w:rsidRDefault="004D08EA" w:rsidP="00746D8C">
      <w:pPr>
        <w:pStyle w:val="SingleTxtG"/>
        <w:tabs>
          <w:tab w:val="clear" w:pos="1701"/>
        </w:tabs>
        <w:ind w:left="2268"/>
        <w:rPr>
          <w:rFonts w:asciiTheme="majorBidi" w:eastAsiaTheme="minorHAnsi" w:hAnsiTheme="majorBidi" w:cstheme="majorBidi"/>
        </w:rPr>
      </w:pPr>
      <w:r w:rsidRPr="00D773F7">
        <w:rPr>
          <w:rFonts w:asciiTheme="majorBidi" w:eastAsiaTheme="minorHAnsi" w:hAnsiTheme="majorBidi" w:cstheme="majorBidi"/>
        </w:rPr>
        <w:t xml:space="preserve">In </w:t>
      </w:r>
      <w:r w:rsidR="0062693E" w:rsidRPr="00D773F7">
        <w:rPr>
          <w:rFonts w:asciiTheme="majorBidi" w:eastAsiaTheme="minorHAnsi" w:hAnsiTheme="majorBidi" w:cstheme="majorBidi"/>
        </w:rPr>
        <w:t>sub-paragraph (k)</w:t>
      </w:r>
      <w:r w:rsidRPr="00D773F7">
        <w:rPr>
          <w:rFonts w:asciiTheme="majorBidi" w:eastAsiaTheme="minorHAnsi" w:hAnsiTheme="majorBidi" w:cstheme="majorBidi"/>
        </w:rPr>
        <w:t xml:space="preserve"> </w:t>
      </w:r>
      <w:r w:rsidR="00BF4314" w:rsidRPr="00D773F7">
        <w:rPr>
          <w:rFonts w:asciiTheme="majorBidi" w:eastAsiaTheme="minorHAnsi" w:hAnsiTheme="majorBidi" w:cstheme="majorBidi"/>
        </w:rPr>
        <w:t>replace “</w:t>
      </w:r>
      <w:r w:rsidR="00F43630" w:rsidRPr="00D773F7">
        <w:rPr>
          <w:rFonts w:asciiTheme="majorBidi" w:eastAsiaTheme="minorHAnsi" w:hAnsiTheme="majorBidi" w:cstheme="majorBidi"/>
        </w:rPr>
        <w:t>coupled axial plasma spectrometry” with “coupled plasma mass spectrometry</w:t>
      </w:r>
      <w:r w:rsidRPr="00D773F7">
        <w:rPr>
          <w:rFonts w:asciiTheme="majorBidi" w:eastAsiaTheme="minorHAnsi" w:hAnsiTheme="majorBidi" w:cstheme="majorBidi"/>
        </w:rPr>
        <w:t>” and amend the end to read as follows: “</w:t>
      </w:r>
      <w:r w:rsidR="001E083A" w:rsidRPr="00D773F7">
        <w:rPr>
          <w:rFonts w:asciiTheme="majorBidi" w:eastAsiaTheme="minorHAnsi" w:hAnsiTheme="majorBidi" w:cstheme="majorBidi"/>
        </w:rPr>
        <w:t xml:space="preserve">…the lowest </w:t>
      </w:r>
      <w:r w:rsidR="0062693E" w:rsidRPr="00D773F7">
        <w:rPr>
          <w:rFonts w:asciiTheme="majorBidi" w:eastAsiaTheme="minorHAnsi" w:hAnsiTheme="majorBidi" w:cstheme="majorBidi"/>
        </w:rPr>
        <w:t>chronic ecotoxicity reference value or the lowest acute ecotoxicity reference value if only a 7-day test is conducted;”</w:t>
      </w:r>
      <w:r w:rsidR="001E083A" w:rsidRPr="00D773F7">
        <w:rPr>
          <w:rFonts w:asciiTheme="majorBidi" w:eastAsiaTheme="minorHAnsi" w:hAnsiTheme="majorBidi" w:cstheme="majorBidi"/>
        </w:rPr>
        <w:t>.</w:t>
      </w:r>
    </w:p>
    <w:p w14:paraId="4E43BA44" w14:textId="430585FF" w:rsidR="0062693E" w:rsidRPr="00D773F7" w:rsidRDefault="0062693E" w:rsidP="00746D8C">
      <w:pPr>
        <w:pStyle w:val="SingleTxtG"/>
        <w:ind w:left="2268" w:hanging="1134"/>
        <w:rPr>
          <w:rFonts w:asciiTheme="majorBidi" w:eastAsiaTheme="minorHAnsi" w:hAnsiTheme="majorBidi" w:cstheme="majorBidi"/>
        </w:rPr>
      </w:pPr>
      <w:r w:rsidRPr="00D773F7">
        <w:rPr>
          <w:rFonts w:asciiTheme="majorBidi" w:hAnsiTheme="majorBidi" w:cstheme="majorBidi"/>
        </w:rPr>
        <w:t>A10.5.1.2</w:t>
      </w:r>
      <w:r w:rsidRPr="00D773F7">
        <w:rPr>
          <w:rFonts w:asciiTheme="majorBidi" w:hAnsiTheme="majorBidi" w:cstheme="majorBidi"/>
        </w:rPr>
        <w:tab/>
      </w:r>
      <w:r w:rsidR="00E92582" w:rsidRPr="00D773F7">
        <w:rPr>
          <w:rFonts w:asciiTheme="majorBidi" w:hAnsiTheme="majorBidi" w:cstheme="majorBidi"/>
        </w:rPr>
        <w:t xml:space="preserve">Amend </w:t>
      </w:r>
      <w:r w:rsidRPr="00D773F7">
        <w:rPr>
          <w:rFonts w:asciiTheme="majorBidi" w:hAnsiTheme="majorBidi" w:cstheme="majorBidi"/>
        </w:rPr>
        <w:t xml:space="preserve">the text between brackets in the first sentence </w:t>
      </w:r>
      <w:r w:rsidR="00E92582" w:rsidRPr="00D773F7">
        <w:rPr>
          <w:rFonts w:asciiTheme="majorBidi" w:hAnsiTheme="majorBidi" w:cstheme="majorBidi"/>
        </w:rPr>
        <w:t xml:space="preserve">to read as follows: </w:t>
      </w:r>
      <w:r w:rsidRPr="00D773F7">
        <w:rPr>
          <w:rFonts w:asciiTheme="majorBidi" w:hAnsiTheme="majorBidi" w:cstheme="majorBidi"/>
        </w:rPr>
        <w:t>“</w:t>
      </w:r>
      <w:r w:rsidRPr="00D773F7">
        <w:rPr>
          <w:rFonts w:asciiTheme="majorBidi" w:eastAsiaTheme="minorHAnsi" w:hAnsiTheme="majorBidi" w:cstheme="majorBidi"/>
        </w:rPr>
        <w:t xml:space="preserve"> (e.g. HCl or aqua regia)”</w:t>
      </w:r>
    </w:p>
    <w:p w14:paraId="174DAE74" w14:textId="77777777" w:rsidR="0062693E" w:rsidRPr="00D773F7" w:rsidRDefault="0062693E" w:rsidP="00746D8C">
      <w:pPr>
        <w:pStyle w:val="SingleTxtG"/>
        <w:ind w:left="2268"/>
        <w:rPr>
          <w:rFonts w:asciiTheme="majorBidi" w:eastAsiaTheme="minorHAnsi" w:hAnsiTheme="majorBidi" w:cstheme="majorBidi"/>
        </w:rPr>
      </w:pPr>
      <w:r w:rsidRPr="00D773F7">
        <w:rPr>
          <w:rFonts w:asciiTheme="majorBidi" w:eastAsiaTheme="minorHAnsi" w:hAnsiTheme="majorBidi" w:cstheme="majorBidi"/>
        </w:rPr>
        <w:t>Insert the following new second sentence: “Specific attention to the type of glassware is required for metals that can be released from the glass.”</w:t>
      </w:r>
    </w:p>
    <w:p w14:paraId="46F59BEC" w14:textId="2BB9B164" w:rsidR="000B29E3" w:rsidRPr="00D773F7" w:rsidRDefault="000B29E3" w:rsidP="00746D8C">
      <w:pPr>
        <w:pStyle w:val="SingleTxtG"/>
        <w:ind w:left="2268"/>
        <w:rPr>
          <w:rFonts w:asciiTheme="majorBidi" w:eastAsiaTheme="minorHAnsi" w:hAnsiTheme="majorBidi" w:cstheme="majorBidi"/>
        </w:rPr>
      </w:pPr>
      <w:r w:rsidRPr="00D773F7">
        <w:rPr>
          <w:rFonts w:asciiTheme="majorBidi" w:eastAsiaTheme="minorHAnsi" w:hAnsiTheme="majorBidi" w:cstheme="majorBidi"/>
        </w:rPr>
        <w:t xml:space="preserve">In the third sentence insert “e.g.” before </w:t>
      </w:r>
      <w:r w:rsidR="0078118B" w:rsidRPr="00D773F7">
        <w:rPr>
          <w:rFonts w:asciiTheme="majorBidi" w:eastAsiaTheme="minorHAnsi" w:hAnsiTheme="majorBidi" w:cstheme="majorBidi"/>
        </w:rPr>
        <w:t>“one or two two-litre reaction kettles”</w:t>
      </w:r>
    </w:p>
    <w:p w14:paraId="6F20E54B" w14:textId="2C65C009" w:rsidR="00BB7078" w:rsidRPr="00D773F7" w:rsidRDefault="00A07F63" w:rsidP="00746D8C">
      <w:pPr>
        <w:pStyle w:val="SingleTxtG"/>
        <w:tabs>
          <w:tab w:val="clear" w:pos="1701"/>
        </w:tabs>
        <w:ind w:left="2268" w:hanging="1134"/>
        <w:rPr>
          <w:rFonts w:asciiTheme="majorBidi" w:eastAsiaTheme="minorHAnsi" w:hAnsiTheme="majorBidi" w:cstheme="majorBidi"/>
          <w:i/>
          <w:iCs/>
        </w:rPr>
      </w:pPr>
      <w:r w:rsidRPr="00D773F7">
        <w:rPr>
          <w:rFonts w:asciiTheme="majorBidi" w:hAnsiTheme="majorBidi" w:cstheme="majorBidi"/>
        </w:rPr>
        <w:t>Footnote 2</w:t>
      </w:r>
      <w:r w:rsidRPr="00D773F7">
        <w:rPr>
          <w:rFonts w:asciiTheme="majorBidi" w:hAnsiTheme="majorBidi" w:cstheme="majorBidi"/>
        </w:rPr>
        <w:tab/>
        <w:t xml:space="preserve">Replace “dissolution/transformation protocol” with “Transformation/Dissolution </w:t>
      </w:r>
      <w:r w:rsidR="00647784" w:rsidRPr="00D773F7">
        <w:rPr>
          <w:rFonts w:asciiTheme="majorBidi" w:hAnsiTheme="majorBidi" w:cstheme="majorBidi"/>
        </w:rPr>
        <w:t>P</w:t>
      </w:r>
      <w:r w:rsidRPr="00D773F7">
        <w:rPr>
          <w:rFonts w:asciiTheme="majorBidi" w:hAnsiTheme="majorBidi" w:cstheme="majorBidi"/>
        </w:rPr>
        <w:t>rotocol”.</w:t>
      </w:r>
    </w:p>
    <w:p w14:paraId="64C8F0E1" w14:textId="7C8A0E66" w:rsidR="0062693E" w:rsidRPr="00D773F7" w:rsidRDefault="0062693E" w:rsidP="00746D8C">
      <w:pPr>
        <w:pStyle w:val="SingleTxtG"/>
        <w:ind w:left="2410" w:hanging="1276"/>
        <w:rPr>
          <w:rFonts w:asciiTheme="majorBidi" w:eastAsiaTheme="minorHAnsi" w:hAnsiTheme="majorBidi" w:cstheme="majorBidi"/>
        </w:rPr>
      </w:pPr>
      <w:r w:rsidRPr="00D773F7">
        <w:rPr>
          <w:rFonts w:asciiTheme="majorBidi" w:hAnsiTheme="majorBidi" w:cstheme="majorBidi"/>
        </w:rPr>
        <w:t>A10.5.1.4</w:t>
      </w:r>
      <w:r w:rsidRPr="00D773F7">
        <w:rPr>
          <w:rFonts w:asciiTheme="majorBidi" w:hAnsiTheme="majorBidi" w:cstheme="majorBidi"/>
        </w:rPr>
        <w:tab/>
      </w:r>
      <w:r w:rsidRPr="00D773F7">
        <w:rPr>
          <w:rFonts w:asciiTheme="majorBidi" w:eastAsiaTheme="minorHAnsi" w:hAnsiTheme="majorBidi" w:cstheme="majorBidi"/>
        </w:rPr>
        <w:t>Amend to read as follows:</w:t>
      </w:r>
    </w:p>
    <w:p w14:paraId="0BCDC2C8" w14:textId="636DC5D2" w:rsidR="0062693E" w:rsidRPr="00D773F7" w:rsidRDefault="0062693E" w:rsidP="007177D7">
      <w:pPr>
        <w:pStyle w:val="SingleTxtG"/>
        <w:ind w:left="2268"/>
        <w:rPr>
          <w:rFonts w:asciiTheme="majorBidi" w:eastAsiaTheme="minorHAnsi" w:hAnsiTheme="majorBidi" w:cstheme="majorBidi"/>
        </w:rPr>
      </w:pPr>
      <w:r w:rsidRPr="00D773F7">
        <w:rPr>
          <w:rFonts w:asciiTheme="majorBidi" w:eastAsiaTheme="minorHAnsi" w:hAnsiTheme="majorBidi" w:cstheme="majorBidi"/>
        </w:rPr>
        <w:t>“A10.5.1.4</w:t>
      </w:r>
      <w:r w:rsidRPr="00D773F7">
        <w:rPr>
          <w:rFonts w:asciiTheme="majorBidi" w:eastAsiaTheme="minorHAnsi" w:hAnsiTheme="majorBidi" w:cstheme="majorBidi"/>
        </w:rPr>
        <w:tab/>
        <w:t xml:space="preserve">The concentration of total organic carbon in the medium before adding the substance, should not exceed 2.0 mg/l.” </w:t>
      </w:r>
    </w:p>
    <w:p w14:paraId="6FB61A5E" w14:textId="57574974" w:rsidR="0062693E" w:rsidRPr="00D773F7" w:rsidRDefault="0062693E" w:rsidP="00746D8C">
      <w:pPr>
        <w:pStyle w:val="SingleTxtG"/>
        <w:ind w:left="2268" w:hanging="1134"/>
        <w:rPr>
          <w:rFonts w:asciiTheme="majorBidi" w:eastAsiaTheme="minorHAnsi" w:hAnsiTheme="majorBidi" w:cstheme="majorBidi"/>
        </w:rPr>
      </w:pPr>
      <w:r w:rsidRPr="00D773F7">
        <w:rPr>
          <w:rFonts w:asciiTheme="majorBidi" w:hAnsiTheme="majorBidi" w:cstheme="majorBidi"/>
        </w:rPr>
        <w:t>A10.5.1.5</w:t>
      </w:r>
      <w:r w:rsidRPr="00D773F7">
        <w:rPr>
          <w:rFonts w:asciiTheme="majorBidi" w:hAnsiTheme="majorBidi" w:cstheme="majorBidi"/>
        </w:rPr>
        <w:tab/>
        <w:t xml:space="preserve">In the first </w:t>
      </w:r>
      <w:r w:rsidR="00F03F58" w:rsidRPr="00D773F7">
        <w:rPr>
          <w:rFonts w:asciiTheme="majorBidi" w:hAnsiTheme="majorBidi" w:cstheme="majorBidi"/>
        </w:rPr>
        <w:t>sentence</w:t>
      </w:r>
      <w:r w:rsidRPr="00D773F7">
        <w:rPr>
          <w:rFonts w:asciiTheme="majorBidi" w:hAnsiTheme="majorBidi" w:cstheme="majorBidi"/>
        </w:rPr>
        <w:t>, replace “transformation of the metal compound” with “</w:t>
      </w:r>
      <w:r w:rsidRPr="00D773F7">
        <w:rPr>
          <w:rFonts w:asciiTheme="majorBidi" w:eastAsiaTheme="minorHAnsi" w:hAnsiTheme="majorBidi" w:cstheme="majorBidi"/>
        </w:rPr>
        <w:t>transformation of the metal or metal compound”</w:t>
      </w:r>
      <w:r w:rsidR="007C1837" w:rsidRPr="00D773F7">
        <w:rPr>
          <w:rFonts w:asciiTheme="majorBidi" w:eastAsiaTheme="minorHAnsi" w:hAnsiTheme="majorBidi" w:cstheme="majorBidi"/>
        </w:rPr>
        <w:t>.</w:t>
      </w:r>
    </w:p>
    <w:p w14:paraId="381E6C54" w14:textId="16608BF8" w:rsidR="0062693E" w:rsidRPr="00D773F7" w:rsidRDefault="0062693E" w:rsidP="00746D8C">
      <w:pPr>
        <w:pStyle w:val="SingleTxtG"/>
        <w:tabs>
          <w:tab w:val="clear" w:pos="1701"/>
        </w:tabs>
        <w:rPr>
          <w:rFonts w:asciiTheme="majorBidi" w:eastAsiaTheme="minorHAnsi" w:hAnsiTheme="majorBidi" w:cstheme="majorBidi"/>
        </w:rPr>
      </w:pPr>
      <w:r w:rsidRPr="00D773F7">
        <w:rPr>
          <w:rFonts w:asciiTheme="majorBidi" w:eastAsiaTheme="minorHAnsi" w:hAnsiTheme="majorBidi" w:cstheme="majorBidi"/>
        </w:rPr>
        <w:t xml:space="preserve">A10.5.1.7 </w:t>
      </w:r>
      <w:r w:rsidRPr="00D773F7">
        <w:rPr>
          <w:rFonts w:asciiTheme="majorBidi" w:eastAsiaTheme="minorHAnsi" w:hAnsiTheme="majorBidi" w:cstheme="majorBidi"/>
        </w:rPr>
        <w:tab/>
        <w:t xml:space="preserve">Insert the following new note 3 under </w:t>
      </w:r>
      <w:r w:rsidR="001806B2" w:rsidRPr="00D773F7">
        <w:rPr>
          <w:rFonts w:asciiTheme="majorBidi" w:eastAsiaTheme="minorHAnsi" w:hAnsiTheme="majorBidi" w:cstheme="majorBidi"/>
        </w:rPr>
        <w:t>t</w:t>
      </w:r>
      <w:r w:rsidRPr="00D773F7">
        <w:rPr>
          <w:rFonts w:asciiTheme="majorBidi" w:eastAsiaTheme="minorHAnsi" w:hAnsiTheme="majorBidi" w:cstheme="majorBidi"/>
        </w:rPr>
        <w:t>able A10.1:</w:t>
      </w:r>
    </w:p>
    <w:p w14:paraId="022EA6D0" w14:textId="77777777" w:rsidR="0062693E" w:rsidRPr="00D773F7" w:rsidRDefault="0062693E" w:rsidP="00746D8C">
      <w:pPr>
        <w:pStyle w:val="SingleTxtG"/>
        <w:tabs>
          <w:tab w:val="clear" w:pos="1701"/>
        </w:tabs>
        <w:ind w:left="2268"/>
        <w:rPr>
          <w:rFonts w:asciiTheme="majorBidi" w:eastAsiaTheme="minorHAnsi" w:hAnsiTheme="majorBidi" w:cstheme="majorBidi"/>
        </w:rPr>
      </w:pPr>
      <w:r w:rsidRPr="00D773F7">
        <w:rPr>
          <w:rFonts w:asciiTheme="majorBidi" w:eastAsiaTheme="minorHAnsi" w:hAnsiTheme="majorBidi" w:cstheme="majorBidi"/>
        </w:rPr>
        <w:t>“</w:t>
      </w:r>
      <w:r w:rsidRPr="00D773F7">
        <w:rPr>
          <w:rFonts w:asciiTheme="majorBidi" w:eastAsiaTheme="minorHAnsi" w:hAnsiTheme="majorBidi" w:cstheme="majorBidi"/>
          <w:b/>
          <w:bCs/>
          <w:i/>
          <w:iCs/>
        </w:rPr>
        <w:t>NOTE 3:</w:t>
      </w:r>
      <w:r w:rsidRPr="00D773F7">
        <w:rPr>
          <w:rFonts w:asciiTheme="majorBidi" w:eastAsiaTheme="minorHAnsi" w:hAnsiTheme="majorBidi" w:cstheme="majorBidi"/>
          <w:i/>
          <w:iCs/>
        </w:rPr>
        <w:tab/>
        <w:t>Equilibration via headspace is recommended given CO</w:t>
      </w:r>
      <w:r w:rsidRPr="00D773F7">
        <w:rPr>
          <w:rFonts w:asciiTheme="majorBidi" w:eastAsiaTheme="minorHAnsi" w:hAnsiTheme="majorBidi" w:cstheme="majorBidi"/>
          <w:i/>
          <w:iCs/>
          <w:vertAlign w:val="subscript"/>
        </w:rPr>
        <w:t>2</w:t>
      </w:r>
      <w:r w:rsidRPr="00D773F7">
        <w:rPr>
          <w:rFonts w:asciiTheme="majorBidi" w:eastAsiaTheme="minorHAnsi" w:hAnsiTheme="majorBidi" w:cstheme="majorBidi"/>
          <w:i/>
          <w:iCs/>
        </w:rPr>
        <w:t xml:space="preserve"> gas bubbling does not guarantee equal distribution between different test vessels.</w:t>
      </w:r>
      <w:r w:rsidRPr="00D773F7">
        <w:rPr>
          <w:rFonts w:asciiTheme="majorBidi" w:eastAsiaTheme="minorHAnsi" w:hAnsiTheme="majorBidi" w:cstheme="majorBidi"/>
        </w:rPr>
        <w:t>”</w:t>
      </w:r>
    </w:p>
    <w:p w14:paraId="0043736C" w14:textId="77777777" w:rsidR="0062693E" w:rsidRPr="00D773F7" w:rsidRDefault="0062693E" w:rsidP="0062693E">
      <w:pPr>
        <w:pStyle w:val="SingleTxtG"/>
        <w:rPr>
          <w:rFonts w:asciiTheme="majorBidi" w:eastAsiaTheme="minorHAnsi" w:hAnsiTheme="majorBidi" w:cstheme="majorBidi"/>
        </w:rPr>
      </w:pPr>
      <w:r w:rsidRPr="00D773F7">
        <w:rPr>
          <w:rFonts w:asciiTheme="majorBidi" w:hAnsiTheme="majorBidi" w:cstheme="majorBidi"/>
        </w:rPr>
        <w:t xml:space="preserve">A10.5.1.9 </w:t>
      </w:r>
      <w:r w:rsidRPr="00D773F7">
        <w:rPr>
          <w:rFonts w:asciiTheme="majorBidi" w:hAnsiTheme="majorBidi" w:cstheme="majorBidi"/>
        </w:rPr>
        <w:tab/>
        <w:t>Amend to read as follows:</w:t>
      </w:r>
    </w:p>
    <w:p w14:paraId="36AF9960" w14:textId="6D9442B5" w:rsidR="0062693E" w:rsidRPr="00D773F7" w:rsidRDefault="0062693E" w:rsidP="00746D8C">
      <w:pPr>
        <w:pStyle w:val="SingleTxtG"/>
        <w:ind w:left="2268"/>
        <w:rPr>
          <w:rFonts w:asciiTheme="majorBidi" w:eastAsiaTheme="minorHAnsi" w:hAnsiTheme="majorBidi" w:cstheme="majorBidi"/>
        </w:rPr>
      </w:pPr>
      <w:r w:rsidRPr="00D773F7">
        <w:rPr>
          <w:rFonts w:asciiTheme="majorBidi" w:eastAsiaTheme="minorHAnsi" w:hAnsiTheme="majorBidi" w:cstheme="majorBidi"/>
        </w:rPr>
        <w:t>“A10.5.1.9</w:t>
      </w:r>
      <w:r w:rsidRPr="00D773F7">
        <w:rPr>
          <w:rFonts w:asciiTheme="majorBidi" w:eastAsiaTheme="minorHAnsi" w:hAnsiTheme="majorBidi" w:cstheme="majorBidi"/>
        </w:rPr>
        <w:tab/>
        <w:t xml:space="preserve">During the full </w:t>
      </w:r>
      <w:r w:rsidR="00E9499E" w:rsidRPr="00D773F7">
        <w:rPr>
          <w:rFonts w:asciiTheme="majorBidi" w:eastAsiaTheme="minorHAnsi" w:hAnsiTheme="majorBidi" w:cstheme="majorBidi"/>
        </w:rPr>
        <w:t>t</w:t>
      </w:r>
      <w:r w:rsidRPr="00D773F7">
        <w:rPr>
          <w:rFonts w:asciiTheme="majorBidi" w:eastAsiaTheme="minorHAnsi" w:hAnsiTheme="majorBidi" w:cstheme="majorBidi"/>
        </w:rPr>
        <w:t>ransformation/</w:t>
      </w:r>
      <w:r w:rsidR="00E9499E" w:rsidRPr="00D773F7">
        <w:rPr>
          <w:rFonts w:asciiTheme="majorBidi" w:eastAsiaTheme="minorHAnsi" w:hAnsiTheme="majorBidi" w:cstheme="majorBidi"/>
        </w:rPr>
        <w:t>d</w:t>
      </w:r>
      <w:r w:rsidRPr="00D773F7">
        <w:rPr>
          <w:rFonts w:asciiTheme="majorBidi" w:eastAsiaTheme="minorHAnsi" w:hAnsiTheme="majorBidi" w:cstheme="majorBidi"/>
        </w:rPr>
        <w:t xml:space="preserve">issolution test, agitation should be used which is sufficient to maintain the flow of aqueous medium over the test substance while maintaining the integrity of the surface of the test substance and of any solid reaction product coatings formed during the test. For 1 </w:t>
      </w:r>
      <w:r w:rsidRPr="00D773F7">
        <w:rPr>
          <w:rFonts w:asciiTheme="majorBidi" w:eastAsiaTheme="minorHAnsi" w:hAnsiTheme="majorBidi" w:cstheme="majorBidi"/>
          <w:i/>
          <w:iCs/>
        </w:rPr>
        <w:t>l</w:t>
      </w:r>
      <w:r w:rsidRPr="00D773F7">
        <w:rPr>
          <w:rFonts w:asciiTheme="majorBidi" w:eastAsiaTheme="minorHAnsi" w:hAnsiTheme="majorBidi" w:cstheme="majorBidi"/>
        </w:rPr>
        <w:t xml:space="preserve"> of aqueous medium, this may be accomplished by the use of a 1.0 to 3.0 </w:t>
      </w:r>
      <w:r w:rsidRPr="00D773F7">
        <w:rPr>
          <w:rFonts w:asciiTheme="majorBidi" w:eastAsiaTheme="minorHAnsi" w:hAnsiTheme="majorBidi" w:cstheme="majorBidi"/>
          <w:i/>
          <w:iCs/>
        </w:rPr>
        <w:t>l</w:t>
      </w:r>
      <w:r w:rsidRPr="00D773F7">
        <w:rPr>
          <w:rFonts w:asciiTheme="majorBidi" w:eastAsiaTheme="minorHAnsi" w:hAnsiTheme="majorBidi" w:cstheme="majorBidi"/>
        </w:rPr>
        <w:t xml:space="preserve"> flask capped with a rubber stopper and placed on an orbital or laboratory shaker set at 100 </w:t>
      </w:r>
      <w:proofErr w:type="spellStart"/>
      <w:r w:rsidRPr="00D773F7">
        <w:rPr>
          <w:rFonts w:asciiTheme="majorBidi" w:eastAsiaTheme="minorHAnsi" w:hAnsiTheme="majorBidi" w:cstheme="majorBidi"/>
        </w:rPr>
        <w:t>r.p.m</w:t>
      </w:r>
      <w:proofErr w:type="spellEnd"/>
      <w:r w:rsidRPr="00D773F7">
        <w:rPr>
          <w:rFonts w:asciiTheme="majorBidi" w:eastAsiaTheme="minorHAnsi" w:hAnsiTheme="majorBidi" w:cstheme="majorBidi"/>
        </w:rPr>
        <w:t>. Other methods of gentle agitation may be used provided they meet the criteria of surface integrity and homogeneous solution.”.</w:t>
      </w:r>
    </w:p>
    <w:p w14:paraId="099BD8FD" w14:textId="17D46F35" w:rsidR="0062693E" w:rsidRPr="00D773F7" w:rsidRDefault="0062693E" w:rsidP="00746D8C">
      <w:pPr>
        <w:pStyle w:val="SingleTxtG"/>
        <w:tabs>
          <w:tab w:val="left" w:pos="1985"/>
        </w:tabs>
        <w:ind w:left="2268" w:hanging="1134"/>
        <w:rPr>
          <w:rFonts w:asciiTheme="majorBidi" w:hAnsiTheme="majorBidi" w:cstheme="majorBidi"/>
        </w:rPr>
      </w:pPr>
      <w:r w:rsidRPr="00D773F7">
        <w:rPr>
          <w:rFonts w:asciiTheme="majorBidi" w:hAnsiTheme="majorBidi" w:cstheme="majorBidi"/>
        </w:rPr>
        <w:t>A10.5.1.10</w:t>
      </w:r>
      <w:r w:rsidRPr="00D773F7">
        <w:rPr>
          <w:rFonts w:asciiTheme="majorBidi" w:hAnsiTheme="majorBidi" w:cstheme="majorBidi"/>
        </w:rPr>
        <w:tab/>
        <w:t>Amend the end of the first sentence to read</w:t>
      </w:r>
      <w:r w:rsidR="00AE0F86" w:rsidRPr="00D773F7">
        <w:rPr>
          <w:rFonts w:asciiTheme="majorBidi" w:hAnsiTheme="majorBidi" w:cstheme="majorBidi"/>
        </w:rPr>
        <w:t xml:space="preserve"> as follows</w:t>
      </w:r>
      <w:r w:rsidRPr="00D773F7">
        <w:rPr>
          <w:rFonts w:asciiTheme="majorBidi" w:hAnsiTheme="majorBidi" w:cstheme="majorBidi"/>
        </w:rPr>
        <w:t xml:space="preserve">: “…which will in turn depend on particle size distributions, the shape of the particles and particle density.” </w:t>
      </w:r>
    </w:p>
    <w:p w14:paraId="3AE00CFF" w14:textId="4E1ECC5A" w:rsidR="0062693E" w:rsidRPr="00D773F7" w:rsidRDefault="0062693E" w:rsidP="00746D8C">
      <w:pPr>
        <w:pStyle w:val="SingleTxtG"/>
        <w:tabs>
          <w:tab w:val="left" w:pos="1985"/>
        </w:tabs>
        <w:ind w:left="2268"/>
        <w:rPr>
          <w:rFonts w:asciiTheme="majorBidi" w:eastAsiaTheme="minorHAnsi" w:hAnsiTheme="majorBidi" w:cstheme="majorBidi"/>
        </w:rPr>
      </w:pPr>
      <w:r w:rsidRPr="00D773F7">
        <w:rPr>
          <w:rFonts w:asciiTheme="majorBidi" w:eastAsiaTheme="minorHAnsi" w:hAnsiTheme="majorBidi" w:cstheme="majorBidi"/>
        </w:rPr>
        <w:t xml:space="preserve">Replace the last </w:t>
      </w:r>
      <w:r w:rsidR="000B673B" w:rsidRPr="00D773F7">
        <w:rPr>
          <w:rFonts w:asciiTheme="majorBidi" w:eastAsiaTheme="minorHAnsi" w:hAnsiTheme="majorBidi" w:cstheme="majorBidi"/>
        </w:rPr>
        <w:t xml:space="preserve">two </w:t>
      </w:r>
      <w:r w:rsidRPr="00D773F7">
        <w:rPr>
          <w:rFonts w:asciiTheme="majorBidi" w:eastAsiaTheme="minorHAnsi" w:hAnsiTheme="majorBidi" w:cstheme="majorBidi"/>
        </w:rPr>
        <w:t>sentence</w:t>
      </w:r>
      <w:r w:rsidR="000B673B" w:rsidRPr="00D773F7">
        <w:rPr>
          <w:rFonts w:asciiTheme="majorBidi" w:eastAsiaTheme="minorHAnsi" w:hAnsiTheme="majorBidi" w:cstheme="majorBidi"/>
        </w:rPr>
        <w:t>s (“Hence, filtration…</w:t>
      </w:r>
      <w:r w:rsidR="00387775" w:rsidRPr="00D773F7">
        <w:rPr>
          <w:rFonts w:asciiTheme="majorBidi" w:eastAsiaTheme="minorHAnsi" w:hAnsiTheme="majorBidi" w:cstheme="majorBidi"/>
        </w:rPr>
        <w:t>may be useful”)</w:t>
      </w:r>
      <w:r w:rsidRPr="00D773F7">
        <w:rPr>
          <w:rFonts w:asciiTheme="majorBidi" w:eastAsiaTheme="minorHAnsi" w:hAnsiTheme="majorBidi" w:cstheme="majorBidi"/>
        </w:rPr>
        <w:t xml:space="preserve"> </w:t>
      </w:r>
      <w:r w:rsidR="00387775" w:rsidRPr="00D773F7">
        <w:rPr>
          <w:rFonts w:asciiTheme="majorBidi" w:eastAsiaTheme="minorHAnsi" w:hAnsiTheme="majorBidi" w:cstheme="majorBidi"/>
        </w:rPr>
        <w:t>with</w:t>
      </w:r>
      <w:r w:rsidRPr="00D773F7">
        <w:rPr>
          <w:rFonts w:asciiTheme="majorBidi" w:eastAsiaTheme="minorHAnsi" w:hAnsiTheme="majorBidi" w:cstheme="majorBidi"/>
        </w:rPr>
        <w:t xml:space="preserve">: </w:t>
      </w:r>
    </w:p>
    <w:p w14:paraId="405F571F" w14:textId="0E927E27" w:rsidR="0062693E" w:rsidRPr="00D773F7" w:rsidRDefault="0062693E" w:rsidP="00746D8C">
      <w:pPr>
        <w:pStyle w:val="SingleTxtG"/>
        <w:tabs>
          <w:tab w:val="left" w:pos="1985"/>
        </w:tabs>
        <w:ind w:left="2268"/>
        <w:rPr>
          <w:rFonts w:asciiTheme="majorBidi" w:eastAsiaTheme="minorHAnsi" w:hAnsiTheme="majorBidi" w:cstheme="majorBidi"/>
        </w:rPr>
      </w:pPr>
      <w:r w:rsidRPr="00D773F7">
        <w:rPr>
          <w:rFonts w:asciiTheme="majorBidi" w:eastAsiaTheme="minorHAnsi" w:hAnsiTheme="majorBidi" w:cstheme="majorBidi"/>
        </w:rPr>
        <w:t>“Alternative techniques may be considered in case of finer particles. If there is concern that particles will remain in suspension, then filtration efficiency should be checked prior to any testing. Options that could be considered to increase filtration efficiency include centrifugation followed by filtration, or waiting for about 5 minutes for the suspension to settle prior to taking a solution sample.”.</w:t>
      </w:r>
    </w:p>
    <w:p w14:paraId="249E1ADA" w14:textId="05DB33FC" w:rsidR="0062693E" w:rsidRPr="00D773F7" w:rsidRDefault="0062693E" w:rsidP="008B339F">
      <w:pPr>
        <w:pStyle w:val="SingleTxtG"/>
        <w:keepNext/>
        <w:keepLines/>
        <w:tabs>
          <w:tab w:val="clear" w:pos="1701"/>
        </w:tabs>
        <w:rPr>
          <w:rFonts w:asciiTheme="majorBidi" w:eastAsiaTheme="minorHAnsi" w:hAnsiTheme="majorBidi" w:cstheme="majorBidi"/>
        </w:rPr>
      </w:pPr>
      <w:r w:rsidRPr="00D773F7">
        <w:rPr>
          <w:rFonts w:asciiTheme="majorBidi" w:hAnsiTheme="majorBidi" w:cstheme="majorBidi"/>
        </w:rPr>
        <w:lastRenderedPageBreak/>
        <w:t xml:space="preserve">A10.5.2.1 </w:t>
      </w:r>
      <w:r w:rsidRPr="00D773F7">
        <w:rPr>
          <w:rFonts w:asciiTheme="majorBidi" w:hAnsiTheme="majorBidi" w:cstheme="majorBidi"/>
        </w:rPr>
        <w:tab/>
        <w:t xml:space="preserve">Amend the </w:t>
      </w:r>
      <w:r w:rsidRPr="00D773F7">
        <w:rPr>
          <w:rFonts w:asciiTheme="majorBidi" w:eastAsiaTheme="minorHAnsi" w:hAnsiTheme="majorBidi" w:cstheme="majorBidi"/>
        </w:rPr>
        <w:t>first paragraph to read as follows:</w:t>
      </w:r>
    </w:p>
    <w:p w14:paraId="6078E7D2" w14:textId="278E7AEF" w:rsidR="0062693E" w:rsidRPr="00D773F7" w:rsidRDefault="0062693E" w:rsidP="00746D8C">
      <w:pPr>
        <w:pStyle w:val="SingleTxtG"/>
        <w:tabs>
          <w:tab w:val="clear" w:pos="1701"/>
        </w:tabs>
        <w:ind w:left="2268"/>
        <w:rPr>
          <w:rFonts w:asciiTheme="majorBidi" w:eastAsiaTheme="minorHAnsi" w:hAnsiTheme="majorBidi" w:cstheme="majorBidi"/>
        </w:rPr>
      </w:pPr>
      <w:r w:rsidRPr="00D773F7">
        <w:rPr>
          <w:rFonts w:asciiTheme="majorBidi" w:eastAsiaTheme="minorHAnsi" w:hAnsiTheme="majorBidi" w:cstheme="majorBidi"/>
        </w:rPr>
        <w:t>“A suitable validated analytical method for the total dissolved metal analysis is essential to the study. The analytical detection limit should preferably be 5 times lower than the appropriate chronic ecotoxicity reference value, or the acute ecotoxicity reference value in case a 7-day test is conducted.”.</w:t>
      </w:r>
    </w:p>
    <w:p w14:paraId="19626032" w14:textId="77777777" w:rsidR="0062693E" w:rsidRPr="00D773F7" w:rsidRDefault="0062693E" w:rsidP="00746D8C">
      <w:pPr>
        <w:pStyle w:val="SingleTxtG"/>
        <w:tabs>
          <w:tab w:val="clear" w:pos="1701"/>
        </w:tabs>
        <w:ind w:left="2268" w:hanging="1134"/>
        <w:rPr>
          <w:rFonts w:asciiTheme="majorBidi" w:eastAsiaTheme="minorHAnsi" w:hAnsiTheme="majorBidi" w:cstheme="majorBidi"/>
        </w:rPr>
      </w:pPr>
      <w:r w:rsidRPr="00D773F7">
        <w:rPr>
          <w:rFonts w:asciiTheme="majorBidi" w:hAnsiTheme="majorBidi" w:cstheme="majorBidi"/>
        </w:rPr>
        <w:t>A10.5.2.3.1</w:t>
      </w:r>
      <w:r w:rsidRPr="00D773F7">
        <w:rPr>
          <w:rFonts w:asciiTheme="majorBidi" w:hAnsiTheme="majorBidi" w:cstheme="majorBidi"/>
        </w:rPr>
        <w:tab/>
        <w:t xml:space="preserve">Delete “(e.g. 37-44 µm)” and add the following sentence at the end of the paragraph: </w:t>
      </w:r>
      <w:r w:rsidRPr="00D773F7">
        <w:rPr>
          <w:rFonts w:asciiTheme="majorBidi" w:eastAsiaTheme="minorHAnsi" w:hAnsiTheme="majorBidi" w:cstheme="majorBidi"/>
        </w:rPr>
        <w:t>“This variability may be higher at the lower loadings.”</w:t>
      </w:r>
    </w:p>
    <w:p w14:paraId="6E113022" w14:textId="77777777" w:rsidR="0062693E" w:rsidRPr="00D773F7" w:rsidRDefault="0062693E" w:rsidP="00746D8C">
      <w:pPr>
        <w:pStyle w:val="SingleTxtG"/>
        <w:tabs>
          <w:tab w:val="clear" w:pos="1701"/>
        </w:tabs>
        <w:ind w:left="2268" w:hanging="1134"/>
        <w:rPr>
          <w:rFonts w:asciiTheme="majorBidi" w:eastAsiaTheme="minorHAnsi" w:hAnsiTheme="majorBidi" w:cstheme="majorBidi"/>
        </w:rPr>
      </w:pPr>
      <w:r w:rsidRPr="00D773F7">
        <w:rPr>
          <w:rFonts w:asciiTheme="majorBidi" w:hAnsiTheme="majorBidi" w:cstheme="majorBidi"/>
        </w:rPr>
        <w:t>A10.5.2.3.3</w:t>
      </w:r>
      <w:r w:rsidRPr="00D773F7">
        <w:rPr>
          <w:rFonts w:asciiTheme="majorBidi" w:hAnsiTheme="majorBidi" w:cstheme="majorBidi"/>
        </w:rPr>
        <w:tab/>
      </w:r>
      <w:r w:rsidRPr="00D773F7">
        <w:rPr>
          <w:rFonts w:asciiTheme="majorBidi" w:eastAsiaTheme="minorHAnsi" w:hAnsiTheme="majorBidi" w:cstheme="majorBidi"/>
        </w:rPr>
        <w:t>Amend the end of the final sentence in the second paragraph to read as follows: “with target pH 1 and analysed for total dissolved metal concentration.”</w:t>
      </w:r>
    </w:p>
    <w:p w14:paraId="24707D9E" w14:textId="77777777" w:rsidR="0062693E" w:rsidRPr="00D773F7" w:rsidRDefault="0062693E" w:rsidP="00746D8C">
      <w:pPr>
        <w:pStyle w:val="SingleTxtG"/>
        <w:tabs>
          <w:tab w:val="clear" w:pos="1701"/>
        </w:tabs>
        <w:ind w:left="2268" w:hanging="1134"/>
        <w:rPr>
          <w:rFonts w:asciiTheme="majorBidi" w:eastAsiaTheme="minorHAnsi" w:hAnsiTheme="majorBidi" w:cstheme="majorBidi"/>
        </w:rPr>
      </w:pPr>
      <w:r w:rsidRPr="00D773F7">
        <w:rPr>
          <w:rFonts w:asciiTheme="majorBidi" w:hAnsiTheme="majorBidi" w:cstheme="majorBidi"/>
        </w:rPr>
        <w:t>A10.5.2.3.5</w:t>
      </w:r>
      <w:r w:rsidRPr="00D773F7">
        <w:rPr>
          <w:rFonts w:asciiTheme="majorBidi" w:hAnsiTheme="majorBidi" w:cstheme="majorBidi"/>
        </w:rPr>
        <w:tab/>
      </w:r>
      <w:r w:rsidRPr="00D773F7">
        <w:rPr>
          <w:rFonts w:asciiTheme="majorBidi" w:eastAsiaTheme="minorHAnsi" w:hAnsiTheme="majorBidi" w:cstheme="majorBidi"/>
        </w:rPr>
        <w:t>Amend the final sentence to read as follows: “It is a requirement to check the specific surface area of powder samples.”</w:t>
      </w:r>
    </w:p>
    <w:p w14:paraId="0A8FD438" w14:textId="27B1D2A6" w:rsidR="0062693E" w:rsidRPr="00D773F7" w:rsidRDefault="0062693E" w:rsidP="00746D8C">
      <w:pPr>
        <w:pStyle w:val="SingleTxtG"/>
        <w:tabs>
          <w:tab w:val="clear" w:pos="1701"/>
        </w:tabs>
        <w:ind w:left="2268" w:hanging="1134"/>
        <w:rPr>
          <w:rFonts w:asciiTheme="majorBidi" w:eastAsiaTheme="minorHAnsi" w:hAnsiTheme="majorBidi" w:cstheme="majorBidi"/>
        </w:rPr>
      </w:pPr>
      <w:r w:rsidRPr="00D773F7">
        <w:rPr>
          <w:rFonts w:asciiTheme="majorBidi" w:eastAsiaTheme="minorHAnsi" w:hAnsiTheme="majorBidi" w:cstheme="majorBidi"/>
        </w:rPr>
        <w:t xml:space="preserve">A10.5.3.1 </w:t>
      </w:r>
      <w:r w:rsidRPr="00D773F7">
        <w:rPr>
          <w:rFonts w:asciiTheme="majorBidi" w:eastAsiaTheme="minorHAnsi" w:hAnsiTheme="majorBidi" w:cstheme="majorBidi"/>
        </w:rPr>
        <w:tab/>
        <w:t>Amend the heading to read as follows: “</w:t>
      </w:r>
      <w:r w:rsidRPr="00D773F7">
        <w:rPr>
          <w:rFonts w:asciiTheme="majorBidi" w:eastAsiaTheme="minorHAnsi" w:hAnsiTheme="majorBidi" w:cstheme="majorBidi"/>
          <w:i/>
          <w:iCs/>
        </w:rPr>
        <w:t xml:space="preserve">Screening </w:t>
      </w:r>
      <w:r w:rsidR="00222C13" w:rsidRPr="00D773F7">
        <w:rPr>
          <w:rFonts w:asciiTheme="majorBidi" w:eastAsiaTheme="minorHAnsi" w:hAnsiTheme="majorBidi" w:cstheme="majorBidi"/>
          <w:i/>
          <w:iCs/>
        </w:rPr>
        <w:t>t</w:t>
      </w:r>
      <w:r w:rsidRPr="00D773F7">
        <w:rPr>
          <w:rFonts w:asciiTheme="majorBidi" w:eastAsiaTheme="minorHAnsi" w:hAnsiTheme="majorBidi" w:cstheme="majorBidi"/>
          <w:i/>
          <w:iCs/>
        </w:rPr>
        <w:t>ransformation/</w:t>
      </w:r>
      <w:r w:rsidR="00222C13" w:rsidRPr="00D773F7">
        <w:rPr>
          <w:rFonts w:asciiTheme="majorBidi" w:eastAsiaTheme="minorHAnsi" w:hAnsiTheme="majorBidi" w:cstheme="majorBidi"/>
          <w:i/>
          <w:iCs/>
        </w:rPr>
        <w:t>d</w:t>
      </w:r>
      <w:r w:rsidRPr="00D773F7">
        <w:rPr>
          <w:rFonts w:asciiTheme="majorBidi" w:eastAsiaTheme="minorHAnsi" w:hAnsiTheme="majorBidi" w:cstheme="majorBidi"/>
          <w:i/>
          <w:iCs/>
        </w:rPr>
        <w:t>issolution test – sparingly soluble metal compounds</w:t>
      </w:r>
      <w:r w:rsidRPr="00D773F7">
        <w:rPr>
          <w:rFonts w:asciiTheme="majorBidi" w:eastAsiaTheme="minorHAnsi" w:hAnsiTheme="majorBidi" w:cstheme="majorBidi"/>
        </w:rPr>
        <w:t>”.</w:t>
      </w:r>
    </w:p>
    <w:p w14:paraId="4ACD1633" w14:textId="201F1999" w:rsidR="0062693E" w:rsidRPr="00D773F7" w:rsidRDefault="0062693E" w:rsidP="00746D8C">
      <w:pPr>
        <w:pStyle w:val="SingleTxtG"/>
        <w:tabs>
          <w:tab w:val="clear" w:pos="1701"/>
        </w:tabs>
        <w:ind w:left="2268" w:hanging="1134"/>
        <w:rPr>
          <w:rFonts w:asciiTheme="majorBidi" w:eastAsiaTheme="minorHAnsi" w:hAnsiTheme="majorBidi" w:cstheme="majorBidi"/>
        </w:rPr>
      </w:pPr>
      <w:r w:rsidRPr="00D773F7">
        <w:rPr>
          <w:rFonts w:asciiTheme="majorBidi" w:hAnsiTheme="majorBidi" w:cstheme="majorBidi"/>
        </w:rPr>
        <w:t xml:space="preserve">A10.5.3.1.1 </w:t>
      </w:r>
      <w:r w:rsidRPr="00D773F7">
        <w:rPr>
          <w:rFonts w:asciiTheme="majorBidi" w:hAnsiTheme="majorBidi" w:cstheme="majorBidi"/>
        </w:rPr>
        <w:tab/>
        <w:t>In the last sentence, in the text between brackets, replace “addition of the solids” with “</w:t>
      </w:r>
      <w:r w:rsidRPr="00D773F7">
        <w:rPr>
          <w:rFonts w:asciiTheme="majorBidi" w:eastAsiaTheme="minorHAnsi" w:hAnsiTheme="majorBidi" w:cstheme="majorBidi"/>
        </w:rPr>
        <w:t>addition of the test material”</w:t>
      </w:r>
      <w:r w:rsidR="00575124" w:rsidRPr="00D773F7">
        <w:rPr>
          <w:rFonts w:asciiTheme="majorBidi" w:eastAsiaTheme="minorHAnsi" w:hAnsiTheme="majorBidi" w:cstheme="majorBidi"/>
        </w:rPr>
        <w:t>.</w:t>
      </w:r>
    </w:p>
    <w:p w14:paraId="38D982A9" w14:textId="77777777" w:rsidR="0062693E" w:rsidRPr="00D773F7" w:rsidRDefault="0062693E" w:rsidP="00746D8C">
      <w:pPr>
        <w:pStyle w:val="SingleTxtG"/>
        <w:tabs>
          <w:tab w:val="clear" w:pos="1701"/>
        </w:tabs>
        <w:ind w:left="2268" w:hanging="1134"/>
        <w:rPr>
          <w:rFonts w:asciiTheme="majorBidi" w:eastAsiaTheme="minorHAnsi" w:hAnsiTheme="majorBidi" w:cstheme="majorBidi"/>
        </w:rPr>
      </w:pPr>
      <w:r w:rsidRPr="00D773F7">
        <w:rPr>
          <w:rFonts w:asciiTheme="majorBidi" w:eastAsiaTheme="minorHAnsi" w:hAnsiTheme="majorBidi" w:cstheme="majorBidi"/>
        </w:rPr>
        <w:t>A10.5.3.1.2</w:t>
      </w:r>
      <w:r w:rsidRPr="00D773F7">
        <w:rPr>
          <w:rFonts w:asciiTheme="majorBidi" w:eastAsiaTheme="minorHAnsi" w:hAnsiTheme="majorBidi" w:cstheme="majorBidi"/>
        </w:rPr>
        <w:tab/>
        <w:t>Amend the end of the first sentence to read as follows: “rapidly and vigorously (e.g. on an orbital shaker at 200 rpm, if feasible).”</w:t>
      </w:r>
    </w:p>
    <w:p w14:paraId="58A5577E" w14:textId="30056865" w:rsidR="0062693E" w:rsidRPr="00D773F7" w:rsidRDefault="0062693E" w:rsidP="00746D8C">
      <w:pPr>
        <w:pStyle w:val="SingleTxtG"/>
        <w:tabs>
          <w:tab w:val="clear" w:pos="1701"/>
        </w:tabs>
        <w:ind w:left="2268" w:hanging="1134"/>
        <w:rPr>
          <w:rFonts w:asciiTheme="majorBidi" w:eastAsiaTheme="minorHAnsi" w:hAnsiTheme="majorBidi" w:cstheme="majorBidi"/>
        </w:rPr>
      </w:pPr>
      <w:r w:rsidRPr="00D773F7">
        <w:rPr>
          <w:rFonts w:asciiTheme="majorBidi" w:hAnsiTheme="majorBidi" w:cstheme="majorBidi"/>
        </w:rPr>
        <w:t xml:space="preserve">A10.5.3.2 </w:t>
      </w:r>
      <w:r w:rsidR="00746D8C" w:rsidRPr="00D773F7">
        <w:rPr>
          <w:rFonts w:asciiTheme="majorBidi" w:hAnsiTheme="majorBidi" w:cstheme="majorBidi"/>
        </w:rPr>
        <w:tab/>
      </w:r>
      <w:r w:rsidRPr="00D773F7">
        <w:rPr>
          <w:rFonts w:asciiTheme="majorBidi" w:eastAsiaTheme="minorHAnsi" w:hAnsiTheme="majorBidi" w:cstheme="majorBidi"/>
        </w:rPr>
        <w:t xml:space="preserve">Amend the heading to read: </w:t>
      </w:r>
      <w:r w:rsidR="00814CF4" w:rsidRPr="00D773F7">
        <w:rPr>
          <w:rFonts w:asciiTheme="majorBidi" w:eastAsiaTheme="minorHAnsi" w:hAnsiTheme="majorBidi" w:cstheme="majorBidi"/>
        </w:rPr>
        <w:t>“</w:t>
      </w:r>
      <w:r w:rsidRPr="00D773F7">
        <w:rPr>
          <w:rFonts w:asciiTheme="majorBidi" w:eastAsiaTheme="minorHAnsi" w:hAnsiTheme="majorBidi" w:cstheme="majorBidi"/>
          <w:i/>
          <w:iCs/>
        </w:rPr>
        <w:t xml:space="preserve">Full </w:t>
      </w:r>
      <w:r w:rsidR="00222C13" w:rsidRPr="00D773F7">
        <w:rPr>
          <w:rFonts w:asciiTheme="majorBidi" w:eastAsiaTheme="minorHAnsi" w:hAnsiTheme="majorBidi" w:cstheme="majorBidi"/>
          <w:i/>
          <w:iCs/>
        </w:rPr>
        <w:t>t</w:t>
      </w:r>
      <w:r w:rsidRPr="00D773F7">
        <w:rPr>
          <w:rFonts w:asciiTheme="majorBidi" w:eastAsiaTheme="minorHAnsi" w:hAnsiTheme="majorBidi" w:cstheme="majorBidi"/>
          <w:i/>
          <w:iCs/>
        </w:rPr>
        <w:t>ransformation/</w:t>
      </w:r>
      <w:r w:rsidR="00222C13" w:rsidRPr="00D773F7">
        <w:rPr>
          <w:rFonts w:asciiTheme="majorBidi" w:eastAsiaTheme="minorHAnsi" w:hAnsiTheme="majorBidi" w:cstheme="majorBidi"/>
          <w:i/>
          <w:iCs/>
        </w:rPr>
        <w:t>d</w:t>
      </w:r>
      <w:r w:rsidRPr="00D773F7">
        <w:rPr>
          <w:rFonts w:asciiTheme="majorBidi" w:eastAsiaTheme="minorHAnsi" w:hAnsiTheme="majorBidi" w:cstheme="majorBidi"/>
          <w:i/>
          <w:iCs/>
        </w:rPr>
        <w:t>issolution test - metals and metal compounds</w:t>
      </w:r>
      <w:r w:rsidRPr="00D773F7">
        <w:rPr>
          <w:rFonts w:asciiTheme="majorBidi" w:eastAsiaTheme="minorHAnsi" w:hAnsiTheme="majorBidi" w:cstheme="majorBidi"/>
        </w:rPr>
        <w:t>”</w:t>
      </w:r>
    </w:p>
    <w:p w14:paraId="5A1A6A78" w14:textId="111C5940" w:rsidR="0062693E" w:rsidRPr="00D773F7" w:rsidRDefault="0062693E" w:rsidP="00746D8C">
      <w:pPr>
        <w:pStyle w:val="SingleTxtG"/>
        <w:tabs>
          <w:tab w:val="clear" w:pos="1701"/>
        </w:tabs>
        <w:rPr>
          <w:rFonts w:asciiTheme="majorBidi" w:eastAsiaTheme="minorHAnsi" w:hAnsiTheme="majorBidi" w:cstheme="majorBidi"/>
        </w:rPr>
      </w:pPr>
      <w:r w:rsidRPr="00D773F7">
        <w:rPr>
          <w:rFonts w:asciiTheme="majorBidi" w:hAnsiTheme="majorBidi" w:cstheme="majorBidi"/>
        </w:rPr>
        <w:t xml:space="preserve">A10.5.3.2.2 </w:t>
      </w:r>
      <w:r w:rsidRPr="00D773F7">
        <w:rPr>
          <w:rFonts w:asciiTheme="majorBidi" w:hAnsiTheme="majorBidi" w:cstheme="majorBidi"/>
        </w:rPr>
        <w:tab/>
        <w:t>Amend</w:t>
      </w:r>
      <w:r w:rsidR="00746D8C" w:rsidRPr="00D773F7">
        <w:rPr>
          <w:rFonts w:asciiTheme="majorBidi" w:hAnsiTheme="majorBidi" w:cstheme="majorBidi"/>
        </w:rPr>
        <w:t xml:space="preserve"> to read </w:t>
      </w:r>
      <w:r w:rsidRPr="00D773F7">
        <w:rPr>
          <w:rFonts w:asciiTheme="majorBidi" w:hAnsiTheme="majorBidi" w:cstheme="majorBidi"/>
        </w:rPr>
        <w:t xml:space="preserve">as follows: </w:t>
      </w:r>
    </w:p>
    <w:p w14:paraId="42735470" w14:textId="4A121D42" w:rsidR="0062693E" w:rsidRPr="00D773F7" w:rsidRDefault="0062693E" w:rsidP="00746D8C">
      <w:pPr>
        <w:pStyle w:val="SingleTxtG"/>
        <w:tabs>
          <w:tab w:val="clear" w:pos="2268"/>
          <w:tab w:val="left" w:pos="1985"/>
        </w:tabs>
        <w:ind w:left="2268"/>
        <w:rPr>
          <w:rFonts w:asciiTheme="majorBidi" w:eastAsiaTheme="minorHAnsi" w:hAnsiTheme="majorBidi" w:cstheme="majorBidi"/>
        </w:rPr>
      </w:pPr>
      <w:r w:rsidRPr="00D773F7">
        <w:rPr>
          <w:rFonts w:asciiTheme="majorBidi" w:eastAsiaTheme="minorHAnsi" w:hAnsiTheme="majorBidi" w:cstheme="majorBidi"/>
        </w:rPr>
        <w:t>“For 7-day test, substance loadings of 1, 10 and 100 mg/l, respectively, are added to the test vessels (number of which depends on the reproducibility as established in subsection A10.5.2.3), containing the aqueous medium. The test vessels are closed (but allowing for equilibration with air if required) and agitated as described in A10.5.1.9. If a 28-day test is to be conducted, then the loading may be 0.01 mg/l, 0.1 mg/l or 1 mg/l depending on the transformation rate. The test with 1 mg/l loading may be extended to 28 days, provided that the same pH value is to be chosen for both 7 day and 28-day tests. The 7-day tests are only conducted at pH ranges of 6 up to 8.5, while a somewhat broader pH range of 5.5 and 6</w:t>
      </w:r>
      <w:r w:rsidR="000A681F">
        <w:rPr>
          <w:rFonts w:asciiTheme="majorBidi" w:eastAsiaTheme="minorHAnsi" w:hAnsiTheme="majorBidi" w:cstheme="majorBidi"/>
        </w:rPr>
        <w:t xml:space="preserve"> </w:t>
      </w:r>
      <w:r w:rsidRPr="00D773F7">
        <w:rPr>
          <w:rFonts w:asciiTheme="majorBidi" w:eastAsiaTheme="minorHAnsi" w:hAnsiTheme="majorBidi" w:cstheme="majorBidi"/>
        </w:rPr>
        <w:t>to 8.5 is recommended if technically feasible for the 28-day tests. A concurrent control test with no substance loaded (i.e. a blank test solution) is required. At established time intervals (e.g. 2 hours, 6 hours, 1, 4 and 7 days for the short-term test and additionally at e.g. 14, 21 and 28 days for the long-term test), the temperature, pH and dissolved O</w:t>
      </w:r>
      <w:r w:rsidRPr="00D773F7">
        <w:rPr>
          <w:rFonts w:asciiTheme="majorBidi" w:eastAsiaTheme="minorHAnsi" w:hAnsiTheme="majorBidi" w:cstheme="majorBidi"/>
          <w:vertAlign w:val="subscript"/>
        </w:rPr>
        <w:t>2</w:t>
      </w:r>
      <w:r w:rsidRPr="00D773F7">
        <w:rPr>
          <w:rFonts w:asciiTheme="majorBidi" w:eastAsiaTheme="minorHAnsi" w:hAnsiTheme="majorBidi" w:cstheme="majorBidi"/>
        </w:rPr>
        <w:t xml:space="preserve"> concentrations are measured in each test vessel, and at least two samples (e.g. 10 - 15 ml) are drawn by syringe from each test vessel. The solid and dissolved fractions….</w:t>
      </w:r>
      <w:r w:rsidR="00A0443B" w:rsidRPr="00D773F7">
        <w:rPr>
          <w:rFonts w:asciiTheme="majorBidi" w:eastAsiaTheme="minorHAnsi" w:hAnsiTheme="majorBidi" w:cstheme="majorBidi"/>
        </w:rPr>
        <w:t>”</w:t>
      </w:r>
      <w:r w:rsidRPr="00D773F7">
        <w:rPr>
          <w:rFonts w:asciiTheme="majorBidi" w:eastAsiaTheme="minorHAnsi" w:hAnsiTheme="majorBidi" w:cstheme="majorBidi"/>
        </w:rPr>
        <w:t xml:space="preserve"> [</w:t>
      </w:r>
      <w:r w:rsidRPr="00D773F7">
        <w:rPr>
          <w:rFonts w:asciiTheme="majorBidi" w:eastAsiaTheme="minorHAnsi" w:hAnsiTheme="majorBidi" w:cstheme="majorBidi"/>
          <w:i/>
          <w:iCs/>
        </w:rPr>
        <w:t>the rest of</w:t>
      </w:r>
      <w:r w:rsidRPr="00D773F7">
        <w:rPr>
          <w:rFonts w:asciiTheme="majorBidi" w:eastAsiaTheme="minorHAnsi" w:hAnsiTheme="majorBidi" w:cstheme="majorBidi"/>
        </w:rPr>
        <w:t xml:space="preserve"> </w:t>
      </w:r>
      <w:r w:rsidRPr="00D773F7">
        <w:rPr>
          <w:rFonts w:asciiTheme="majorBidi" w:eastAsiaTheme="minorHAnsi" w:hAnsiTheme="majorBidi" w:cstheme="majorBidi"/>
          <w:i/>
          <w:iCs/>
        </w:rPr>
        <w:t>the text remains unchanged</w:t>
      </w:r>
      <w:r w:rsidRPr="00D773F7">
        <w:rPr>
          <w:rFonts w:asciiTheme="majorBidi" w:eastAsiaTheme="minorHAnsi" w:hAnsiTheme="majorBidi" w:cstheme="majorBidi"/>
        </w:rPr>
        <w:t>].</w:t>
      </w:r>
    </w:p>
    <w:p w14:paraId="62F906DB" w14:textId="26533518" w:rsidR="00A0443B" w:rsidRPr="00D773F7" w:rsidRDefault="00A0443B" w:rsidP="00746D8C">
      <w:pPr>
        <w:pStyle w:val="SingleTxtG"/>
        <w:tabs>
          <w:tab w:val="clear" w:pos="1701"/>
          <w:tab w:val="clear" w:pos="2268"/>
        </w:tabs>
        <w:ind w:left="2268"/>
        <w:rPr>
          <w:rFonts w:asciiTheme="majorBidi" w:eastAsiaTheme="minorHAnsi" w:hAnsiTheme="majorBidi" w:cstheme="majorBidi"/>
        </w:rPr>
      </w:pPr>
      <w:r w:rsidRPr="00D773F7">
        <w:rPr>
          <w:rFonts w:asciiTheme="majorBidi" w:eastAsiaTheme="minorHAnsi" w:hAnsiTheme="majorBidi" w:cstheme="majorBidi"/>
        </w:rPr>
        <w:t>At the end of the last sentence replace “(long term test)” with “(the long-term test)”.</w:t>
      </w:r>
    </w:p>
    <w:p w14:paraId="5D7B142B" w14:textId="77777777" w:rsidR="0062693E" w:rsidRPr="00D773F7" w:rsidRDefault="0062693E" w:rsidP="00746D8C">
      <w:pPr>
        <w:pStyle w:val="SingleTxtG"/>
        <w:tabs>
          <w:tab w:val="clear" w:pos="1701"/>
        </w:tabs>
        <w:ind w:left="2268" w:hanging="1134"/>
        <w:rPr>
          <w:rFonts w:asciiTheme="majorBidi" w:hAnsiTheme="majorBidi" w:cstheme="majorBidi"/>
        </w:rPr>
      </w:pPr>
      <w:r w:rsidRPr="00D773F7">
        <w:rPr>
          <w:rFonts w:asciiTheme="majorBidi" w:hAnsiTheme="majorBidi" w:cstheme="majorBidi"/>
        </w:rPr>
        <w:t xml:space="preserve">A10.6.2.1 </w:t>
      </w:r>
      <w:r w:rsidRPr="00D773F7">
        <w:rPr>
          <w:rFonts w:asciiTheme="majorBidi" w:hAnsiTheme="majorBidi" w:cstheme="majorBidi"/>
        </w:rPr>
        <w:tab/>
        <w:t>Insert the following new paragraph at the end of the section:</w:t>
      </w:r>
    </w:p>
    <w:p w14:paraId="55C19A66" w14:textId="77777777" w:rsidR="0062693E" w:rsidRPr="00D773F7" w:rsidRDefault="0062693E" w:rsidP="00746D8C">
      <w:pPr>
        <w:pStyle w:val="SingleTxtG"/>
        <w:tabs>
          <w:tab w:val="clear" w:pos="1701"/>
        </w:tabs>
        <w:ind w:left="2268"/>
        <w:rPr>
          <w:rFonts w:asciiTheme="majorBidi" w:eastAsiaTheme="minorHAnsi" w:hAnsiTheme="majorBidi" w:cstheme="majorBidi"/>
        </w:rPr>
      </w:pPr>
      <w:r w:rsidRPr="00D773F7">
        <w:rPr>
          <w:rFonts w:asciiTheme="majorBidi" w:hAnsiTheme="majorBidi" w:cstheme="majorBidi"/>
        </w:rPr>
        <w:t>“The release rate may also be expressed relative to the surface area of the test substance (e.g. µg/mm</w:t>
      </w:r>
      <w:r w:rsidRPr="00D773F7">
        <w:rPr>
          <w:rFonts w:asciiTheme="majorBidi" w:hAnsiTheme="majorBidi" w:cstheme="majorBidi"/>
          <w:vertAlign w:val="superscript"/>
        </w:rPr>
        <w:t>2</w:t>
      </w:r>
      <w:r w:rsidRPr="00D773F7">
        <w:rPr>
          <w:rFonts w:asciiTheme="majorBidi" w:hAnsiTheme="majorBidi" w:cstheme="majorBidi"/>
        </w:rPr>
        <w:t>) to allow for a comparison of the release rates between different surface loadings or particle sizes.”</w:t>
      </w:r>
    </w:p>
    <w:p w14:paraId="090582D3" w14:textId="77777777" w:rsidR="005002E2" w:rsidRDefault="00A96F04" w:rsidP="00A96F04">
      <w:pPr>
        <w:pStyle w:val="SingleTxtG"/>
        <w:tabs>
          <w:tab w:val="clear" w:pos="1701"/>
        </w:tabs>
        <w:rPr>
          <w:rFonts w:asciiTheme="majorBidi" w:hAnsiTheme="majorBidi" w:cstheme="majorBidi"/>
        </w:rPr>
      </w:pPr>
      <w:r>
        <w:rPr>
          <w:rFonts w:asciiTheme="majorBidi" w:hAnsiTheme="majorBidi" w:cstheme="majorBidi"/>
        </w:rPr>
        <w:t>A10.6.2.2</w:t>
      </w:r>
      <w:r>
        <w:rPr>
          <w:rFonts w:asciiTheme="majorBidi" w:hAnsiTheme="majorBidi" w:cstheme="majorBidi"/>
        </w:rPr>
        <w:tab/>
      </w:r>
      <w:r w:rsidR="005002E2">
        <w:rPr>
          <w:rFonts w:asciiTheme="majorBidi" w:hAnsiTheme="majorBidi" w:cstheme="majorBidi"/>
        </w:rPr>
        <w:t>Amend to read as follows:</w:t>
      </w:r>
    </w:p>
    <w:p w14:paraId="452FA09A" w14:textId="501266D1" w:rsidR="005002E2" w:rsidRDefault="005002E2" w:rsidP="00A96F04">
      <w:pPr>
        <w:pStyle w:val="SingleTxtG"/>
        <w:tabs>
          <w:tab w:val="clear" w:pos="1701"/>
        </w:tabs>
        <w:rPr>
          <w:rFonts w:asciiTheme="majorBidi" w:hAnsiTheme="majorBidi" w:cstheme="majorBidi"/>
        </w:rPr>
      </w:pPr>
      <w:r>
        <w:rPr>
          <w:rFonts w:asciiTheme="majorBidi" w:hAnsiTheme="majorBidi" w:cstheme="majorBidi"/>
        </w:rPr>
        <w:tab/>
      </w:r>
      <w:r w:rsidR="00576106" w:rsidRPr="00D773F7">
        <w:rPr>
          <w:rFonts w:asciiTheme="majorBidi" w:hAnsiTheme="majorBidi" w:cstheme="majorBidi"/>
        </w:rPr>
        <w:t xml:space="preserve"> “A10.6.2.2</w:t>
      </w:r>
      <w:r>
        <w:rPr>
          <w:rFonts w:asciiTheme="majorBidi" w:hAnsiTheme="majorBidi" w:cstheme="majorBidi"/>
        </w:rPr>
        <w:tab/>
      </w:r>
      <w:r w:rsidR="0062693E" w:rsidRPr="00516B12">
        <w:rPr>
          <w:rFonts w:asciiTheme="majorBidi" w:hAnsiTheme="majorBidi" w:cstheme="majorBidi"/>
          <w:i/>
          <w:iCs/>
        </w:rPr>
        <w:t>Long</w:t>
      </w:r>
      <w:r w:rsidR="00576106" w:rsidRPr="00516B12">
        <w:rPr>
          <w:rFonts w:asciiTheme="majorBidi" w:hAnsiTheme="majorBidi" w:cstheme="majorBidi"/>
          <w:i/>
          <w:iCs/>
        </w:rPr>
        <w:t>-</w:t>
      </w:r>
      <w:r w:rsidR="0062693E" w:rsidRPr="00516B12">
        <w:rPr>
          <w:rFonts w:asciiTheme="majorBidi" w:hAnsiTheme="majorBidi" w:cstheme="majorBidi"/>
          <w:i/>
          <w:iCs/>
        </w:rPr>
        <w:t>term tes</w:t>
      </w:r>
      <w:r w:rsidRPr="00516B12">
        <w:rPr>
          <w:rFonts w:asciiTheme="majorBidi" w:hAnsiTheme="majorBidi" w:cstheme="majorBidi"/>
          <w:i/>
          <w:iCs/>
        </w:rPr>
        <w:t>t</w:t>
      </w:r>
    </w:p>
    <w:p w14:paraId="62D0F695" w14:textId="2CCC1D09" w:rsidR="0062693E" w:rsidRPr="00D773F7" w:rsidRDefault="00B41C26" w:rsidP="00B41C26">
      <w:pPr>
        <w:pStyle w:val="SingleTxtG"/>
        <w:tabs>
          <w:tab w:val="clear" w:pos="1701"/>
          <w:tab w:val="clear" w:pos="2835"/>
          <w:tab w:val="left" w:pos="3402"/>
        </w:tabs>
        <w:ind w:left="2268"/>
        <w:rPr>
          <w:rFonts w:asciiTheme="majorBidi" w:hAnsiTheme="majorBidi" w:cstheme="majorBidi"/>
        </w:rPr>
      </w:pPr>
      <w:r>
        <w:rPr>
          <w:rFonts w:asciiTheme="majorBidi" w:hAnsiTheme="majorBidi" w:cstheme="majorBidi"/>
        </w:rPr>
        <w:tab/>
      </w:r>
      <w:r w:rsidR="00115DC1">
        <w:rPr>
          <w:rFonts w:asciiTheme="majorBidi" w:hAnsiTheme="majorBidi" w:cstheme="majorBidi"/>
        </w:rPr>
        <w:t>The dissolved metal concentrations, measured</w:t>
      </w:r>
      <w:r w:rsidR="004F359A">
        <w:rPr>
          <w:rFonts w:asciiTheme="majorBidi" w:hAnsiTheme="majorBidi" w:cstheme="majorBidi"/>
        </w:rPr>
        <w:t xml:space="preserve"> from the </w:t>
      </w:r>
      <w:r w:rsidR="00851A9F">
        <w:rPr>
          <w:rFonts w:asciiTheme="majorBidi" w:hAnsiTheme="majorBidi" w:cstheme="majorBidi"/>
        </w:rPr>
        <w:t>1</w:t>
      </w:r>
      <w:r>
        <w:rPr>
          <w:rFonts w:asciiTheme="majorBidi" w:hAnsiTheme="majorBidi" w:cstheme="majorBidi"/>
        </w:rPr>
        <w:t> </w:t>
      </w:r>
      <w:r w:rsidR="00851A9F">
        <w:rPr>
          <w:rFonts w:asciiTheme="majorBidi" w:hAnsiTheme="majorBidi" w:cstheme="majorBidi"/>
        </w:rPr>
        <w:t>mg/l loading during the 28-day test, are plotted versus time</w:t>
      </w:r>
      <w:r w:rsidR="00516B12">
        <w:rPr>
          <w:rFonts w:asciiTheme="majorBidi" w:hAnsiTheme="majorBidi" w:cstheme="majorBidi"/>
        </w:rPr>
        <w:t xml:space="preserve"> and the transformation/dissolution kinetics determined, if possible, as described in</w:t>
      </w:r>
      <w:r>
        <w:rPr>
          <w:rFonts w:asciiTheme="majorBidi" w:hAnsiTheme="majorBidi" w:cstheme="majorBidi"/>
        </w:rPr>
        <w:t> </w:t>
      </w:r>
      <w:r w:rsidR="00516B12">
        <w:rPr>
          <w:rFonts w:asciiTheme="majorBidi" w:hAnsiTheme="majorBidi" w:cstheme="majorBidi"/>
        </w:rPr>
        <w:t>A10.6.2.1.</w:t>
      </w:r>
      <w:r w:rsidR="0062693E" w:rsidRPr="00D773F7">
        <w:rPr>
          <w:rFonts w:asciiTheme="majorBidi" w:hAnsiTheme="majorBidi" w:cstheme="majorBidi"/>
        </w:rPr>
        <w:t>”</w:t>
      </w:r>
      <w:r>
        <w:rPr>
          <w:rFonts w:asciiTheme="majorBidi" w:hAnsiTheme="majorBidi" w:cstheme="majorBidi"/>
        </w:rPr>
        <w:t xml:space="preserve">. </w:t>
      </w:r>
    </w:p>
    <w:p w14:paraId="05909BC8" w14:textId="113B08BC" w:rsidR="0062693E" w:rsidRPr="00D773F7" w:rsidRDefault="0062693E" w:rsidP="008B339F">
      <w:pPr>
        <w:pStyle w:val="H1G"/>
        <w:rPr>
          <w:rFonts w:asciiTheme="majorBidi" w:hAnsiTheme="majorBidi" w:cstheme="majorBidi"/>
          <w:bCs/>
        </w:rPr>
      </w:pPr>
      <w:r w:rsidRPr="00D773F7">
        <w:rPr>
          <w:rFonts w:asciiTheme="majorBidi" w:hAnsiTheme="majorBidi" w:cstheme="majorBidi"/>
        </w:rPr>
        <w:lastRenderedPageBreak/>
        <w:tab/>
      </w:r>
      <w:r w:rsidRPr="00D773F7">
        <w:rPr>
          <w:rFonts w:asciiTheme="majorBidi" w:hAnsiTheme="majorBidi" w:cstheme="majorBidi"/>
        </w:rPr>
        <w:tab/>
      </w:r>
      <w:r w:rsidRPr="00D773F7">
        <w:rPr>
          <w:rFonts w:asciiTheme="majorBidi" w:hAnsiTheme="majorBidi" w:cstheme="majorBidi"/>
          <w:bCs/>
        </w:rPr>
        <w:t>Annex 10, Appendix</w:t>
      </w:r>
    </w:p>
    <w:p w14:paraId="17B4FF7B" w14:textId="77777777" w:rsidR="0062693E" w:rsidRPr="00D773F7" w:rsidRDefault="0062693E" w:rsidP="008B339F">
      <w:pPr>
        <w:pStyle w:val="SingleTxtG"/>
        <w:keepNext/>
        <w:keepLines/>
        <w:tabs>
          <w:tab w:val="left" w:pos="1985"/>
        </w:tabs>
        <w:rPr>
          <w:rFonts w:asciiTheme="majorBidi" w:hAnsiTheme="majorBidi" w:cstheme="majorBidi"/>
        </w:rPr>
      </w:pPr>
      <w:r w:rsidRPr="00D773F7">
        <w:rPr>
          <w:rFonts w:asciiTheme="majorBidi" w:hAnsiTheme="majorBidi" w:cstheme="majorBidi"/>
        </w:rPr>
        <w:t>Insert the following new references:</w:t>
      </w:r>
    </w:p>
    <w:p w14:paraId="15B9D187" w14:textId="77777777" w:rsidR="0062693E" w:rsidRPr="00D773F7" w:rsidRDefault="0062693E" w:rsidP="0062693E">
      <w:pPr>
        <w:pStyle w:val="SingleTxtG"/>
        <w:tabs>
          <w:tab w:val="left" w:pos="1985"/>
        </w:tabs>
        <w:rPr>
          <w:rFonts w:asciiTheme="majorBidi" w:hAnsiTheme="majorBidi" w:cstheme="majorBidi"/>
        </w:rPr>
      </w:pPr>
      <w:r w:rsidRPr="00D773F7">
        <w:rPr>
          <w:rFonts w:asciiTheme="majorBidi" w:hAnsiTheme="majorBidi" w:cstheme="majorBidi"/>
        </w:rPr>
        <w:t>12.</w:t>
      </w:r>
      <w:r w:rsidRPr="00D773F7">
        <w:rPr>
          <w:rFonts w:asciiTheme="majorBidi" w:hAnsiTheme="majorBidi" w:cstheme="majorBidi"/>
        </w:rPr>
        <w:tab/>
      </w:r>
      <w:proofErr w:type="spellStart"/>
      <w:r w:rsidRPr="00D773F7">
        <w:rPr>
          <w:rFonts w:asciiTheme="majorBidi" w:hAnsiTheme="majorBidi" w:cstheme="majorBidi"/>
        </w:rPr>
        <w:t>Skeaff</w:t>
      </w:r>
      <w:proofErr w:type="spellEnd"/>
      <w:r w:rsidRPr="00D773F7">
        <w:rPr>
          <w:rFonts w:asciiTheme="majorBidi" w:hAnsiTheme="majorBidi" w:cstheme="majorBidi"/>
        </w:rPr>
        <w:t xml:space="preserve">, J.M., Hardy, D.J. and King, P. (2008), A new approach to the hazard classification of alloys based on transformation/dissolution. </w:t>
      </w:r>
      <w:proofErr w:type="spellStart"/>
      <w:r w:rsidRPr="00D773F7">
        <w:rPr>
          <w:rFonts w:asciiTheme="majorBidi" w:hAnsiTheme="majorBidi" w:cstheme="majorBidi"/>
        </w:rPr>
        <w:t>Integr</w:t>
      </w:r>
      <w:proofErr w:type="spellEnd"/>
      <w:r w:rsidRPr="00D773F7">
        <w:rPr>
          <w:rFonts w:asciiTheme="majorBidi" w:hAnsiTheme="majorBidi" w:cstheme="majorBidi"/>
        </w:rPr>
        <w:t xml:space="preserve"> Environ Assess </w:t>
      </w:r>
      <w:proofErr w:type="spellStart"/>
      <w:r w:rsidRPr="00D773F7">
        <w:rPr>
          <w:rFonts w:asciiTheme="majorBidi" w:hAnsiTheme="majorBidi" w:cstheme="majorBidi"/>
        </w:rPr>
        <w:t>Manag</w:t>
      </w:r>
      <w:proofErr w:type="spellEnd"/>
      <w:r w:rsidRPr="00D773F7">
        <w:rPr>
          <w:rFonts w:asciiTheme="majorBidi" w:hAnsiTheme="majorBidi" w:cstheme="majorBidi"/>
        </w:rPr>
        <w:t>, 4: 75-93. https://doi.org/10.1897/IEAM_2007-050.1</w:t>
      </w:r>
    </w:p>
    <w:p w14:paraId="14A7D23B" w14:textId="77777777" w:rsidR="0062693E" w:rsidRPr="00D773F7" w:rsidRDefault="0062693E" w:rsidP="0062693E">
      <w:pPr>
        <w:pStyle w:val="SingleTxtG"/>
        <w:tabs>
          <w:tab w:val="left" w:pos="1985"/>
        </w:tabs>
        <w:rPr>
          <w:rFonts w:asciiTheme="majorBidi" w:hAnsiTheme="majorBidi" w:cstheme="majorBidi"/>
        </w:rPr>
      </w:pPr>
      <w:r w:rsidRPr="00D773F7">
        <w:rPr>
          <w:rFonts w:asciiTheme="majorBidi" w:hAnsiTheme="majorBidi" w:cstheme="majorBidi"/>
        </w:rPr>
        <w:t>13.</w:t>
      </w:r>
      <w:r w:rsidRPr="00D773F7">
        <w:rPr>
          <w:rFonts w:asciiTheme="majorBidi" w:hAnsiTheme="majorBidi" w:cstheme="majorBidi"/>
        </w:rPr>
        <w:tab/>
      </w:r>
      <w:proofErr w:type="spellStart"/>
      <w:r w:rsidRPr="00D773F7">
        <w:rPr>
          <w:rFonts w:asciiTheme="majorBidi" w:hAnsiTheme="majorBidi" w:cstheme="majorBidi"/>
        </w:rPr>
        <w:t>Skeaff</w:t>
      </w:r>
      <w:proofErr w:type="spellEnd"/>
      <w:r w:rsidRPr="00D773F7">
        <w:rPr>
          <w:rFonts w:asciiTheme="majorBidi" w:hAnsiTheme="majorBidi" w:cstheme="majorBidi"/>
        </w:rPr>
        <w:t xml:space="preserve">, J., Adams, W.J., Rodriguez, P., Brouwers, T. and </w:t>
      </w:r>
      <w:proofErr w:type="spellStart"/>
      <w:r w:rsidRPr="00D773F7">
        <w:rPr>
          <w:rFonts w:asciiTheme="majorBidi" w:hAnsiTheme="majorBidi" w:cstheme="majorBidi"/>
        </w:rPr>
        <w:t>Waeterschoot</w:t>
      </w:r>
      <w:proofErr w:type="spellEnd"/>
      <w:r w:rsidRPr="00D773F7">
        <w:rPr>
          <w:rFonts w:asciiTheme="majorBidi" w:hAnsiTheme="majorBidi" w:cstheme="majorBidi"/>
        </w:rPr>
        <w:t xml:space="preserve">, H. (2011), Advances in metals classification under the United Nations globally harmonized system of classification and </w:t>
      </w:r>
      <w:proofErr w:type="spellStart"/>
      <w:r w:rsidRPr="00D773F7">
        <w:rPr>
          <w:rFonts w:asciiTheme="majorBidi" w:hAnsiTheme="majorBidi" w:cstheme="majorBidi"/>
        </w:rPr>
        <w:t>labeling</w:t>
      </w:r>
      <w:proofErr w:type="spellEnd"/>
      <w:r w:rsidRPr="00D773F7">
        <w:rPr>
          <w:rFonts w:asciiTheme="majorBidi" w:hAnsiTheme="majorBidi" w:cstheme="majorBidi"/>
        </w:rPr>
        <w:t xml:space="preserve">. </w:t>
      </w:r>
      <w:proofErr w:type="spellStart"/>
      <w:r w:rsidRPr="00D773F7">
        <w:rPr>
          <w:rFonts w:asciiTheme="majorBidi" w:hAnsiTheme="majorBidi" w:cstheme="majorBidi"/>
        </w:rPr>
        <w:t>Integr</w:t>
      </w:r>
      <w:proofErr w:type="spellEnd"/>
      <w:r w:rsidRPr="00D773F7">
        <w:rPr>
          <w:rFonts w:asciiTheme="majorBidi" w:hAnsiTheme="majorBidi" w:cstheme="majorBidi"/>
        </w:rPr>
        <w:t xml:space="preserve"> Environ Assess </w:t>
      </w:r>
      <w:proofErr w:type="spellStart"/>
      <w:r w:rsidRPr="00D773F7">
        <w:rPr>
          <w:rFonts w:asciiTheme="majorBidi" w:hAnsiTheme="majorBidi" w:cstheme="majorBidi"/>
        </w:rPr>
        <w:t>Manag</w:t>
      </w:r>
      <w:proofErr w:type="spellEnd"/>
      <w:r w:rsidRPr="00D773F7">
        <w:rPr>
          <w:rFonts w:asciiTheme="majorBidi" w:hAnsiTheme="majorBidi" w:cstheme="majorBidi"/>
        </w:rPr>
        <w:t>, 7: 559-576. https://doi.org/10.1002/ieam.194</w:t>
      </w:r>
    </w:p>
    <w:p w14:paraId="0538DF07" w14:textId="77777777" w:rsidR="0062693E" w:rsidRPr="00D773F7" w:rsidRDefault="0062693E" w:rsidP="0062693E">
      <w:pPr>
        <w:pStyle w:val="SingleTxtG"/>
        <w:tabs>
          <w:tab w:val="left" w:pos="1985"/>
        </w:tabs>
        <w:rPr>
          <w:rFonts w:asciiTheme="majorBidi" w:hAnsiTheme="majorBidi" w:cstheme="majorBidi"/>
        </w:rPr>
      </w:pPr>
      <w:r w:rsidRPr="00D773F7">
        <w:rPr>
          <w:rFonts w:asciiTheme="majorBidi" w:hAnsiTheme="majorBidi" w:cstheme="majorBidi"/>
        </w:rPr>
        <w:t>14.</w:t>
      </w:r>
      <w:r w:rsidRPr="00D773F7">
        <w:rPr>
          <w:rFonts w:asciiTheme="majorBidi" w:hAnsiTheme="majorBidi" w:cstheme="majorBidi"/>
        </w:rPr>
        <w:tab/>
      </w:r>
      <w:proofErr w:type="spellStart"/>
      <w:r w:rsidRPr="00D773F7">
        <w:rPr>
          <w:rFonts w:asciiTheme="majorBidi" w:hAnsiTheme="majorBidi" w:cstheme="majorBidi"/>
        </w:rPr>
        <w:t>Skeaff</w:t>
      </w:r>
      <w:proofErr w:type="spellEnd"/>
      <w:r w:rsidRPr="00D773F7">
        <w:rPr>
          <w:rFonts w:asciiTheme="majorBidi" w:hAnsiTheme="majorBidi" w:cstheme="majorBidi"/>
        </w:rPr>
        <w:t xml:space="preserve">, J.M. and Beaudoin, R. (2015), Transformation/dissolution characteristics of a nickel matte and nickel concentrates for acute and chronic hazard classification. </w:t>
      </w:r>
      <w:proofErr w:type="spellStart"/>
      <w:r w:rsidRPr="00D773F7">
        <w:rPr>
          <w:rFonts w:asciiTheme="majorBidi" w:hAnsiTheme="majorBidi" w:cstheme="majorBidi"/>
        </w:rPr>
        <w:t>Integr</w:t>
      </w:r>
      <w:proofErr w:type="spellEnd"/>
      <w:r w:rsidRPr="00D773F7">
        <w:rPr>
          <w:rFonts w:asciiTheme="majorBidi" w:hAnsiTheme="majorBidi" w:cstheme="majorBidi"/>
        </w:rPr>
        <w:t xml:space="preserve"> Environ Assess </w:t>
      </w:r>
      <w:proofErr w:type="spellStart"/>
      <w:r w:rsidRPr="00D773F7">
        <w:rPr>
          <w:rFonts w:asciiTheme="majorBidi" w:hAnsiTheme="majorBidi" w:cstheme="majorBidi"/>
        </w:rPr>
        <w:t>Manag</w:t>
      </w:r>
      <w:proofErr w:type="spellEnd"/>
      <w:r w:rsidRPr="00D773F7">
        <w:rPr>
          <w:rFonts w:asciiTheme="majorBidi" w:hAnsiTheme="majorBidi" w:cstheme="majorBidi"/>
        </w:rPr>
        <w:t>, 11: 130-142. https://doi.org/10.1002/ieam.1573</w:t>
      </w:r>
    </w:p>
    <w:p w14:paraId="71D0CEDB" w14:textId="77777777" w:rsidR="0062693E" w:rsidRPr="00D773F7" w:rsidRDefault="0062693E" w:rsidP="0062693E">
      <w:pPr>
        <w:pStyle w:val="SingleTxtG"/>
        <w:tabs>
          <w:tab w:val="left" w:pos="1985"/>
        </w:tabs>
        <w:rPr>
          <w:rFonts w:asciiTheme="majorBidi" w:hAnsiTheme="majorBidi" w:cstheme="majorBidi"/>
        </w:rPr>
      </w:pPr>
      <w:r w:rsidRPr="00D773F7">
        <w:rPr>
          <w:rFonts w:asciiTheme="majorBidi" w:hAnsiTheme="majorBidi" w:cstheme="majorBidi"/>
        </w:rPr>
        <w:t>15.</w:t>
      </w:r>
      <w:r w:rsidRPr="00D773F7">
        <w:rPr>
          <w:rFonts w:asciiTheme="majorBidi" w:hAnsiTheme="majorBidi" w:cstheme="majorBidi"/>
        </w:rPr>
        <w:tab/>
        <w:t>Huntsman-</w:t>
      </w:r>
      <w:proofErr w:type="spellStart"/>
      <w:r w:rsidRPr="00D773F7">
        <w:rPr>
          <w:rFonts w:asciiTheme="majorBidi" w:hAnsiTheme="majorBidi" w:cstheme="majorBidi"/>
        </w:rPr>
        <w:t>Mapila</w:t>
      </w:r>
      <w:proofErr w:type="spellEnd"/>
      <w:r w:rsidRPr="00D773F7">
        <w:rPr>
          <w:rFonts w:asciiTheme="majorBidi" w:hAnsiTheme="majorBidi" w:cstheme="majorBidi"/>
        </w:rPr>
        <w:t xml:space="preserve">, P., </w:t>
      </w:r>
      <w:proofErr w:type="spellStart"/>
      <w:r w:rsidRPr="00D773F7">
        <w:rPr>
          <w:rFonts w:asciiTheme="majorBidi" w:hAnsiTheme="majorBidi" w:cstheme="majorBidi"/>
        </w:rPr>
        <w:t>Skeaff</w:t>
      </w:r>
      <w:proofErr w:type="spellEnd"/>
      <w:r w:rsidRPr="00D773F7">
        <w:rPr>
          <w:rFonts w:asciiTheme="majorBidi" w:hAnsiTheme="majorBidi" w:cstheme="majorBidi"/>
        </w:rPr>
        <w:t>, J.M., Pawlak, M. and Beaudoin, R. (2016), Addressing aquatic hazard classification for metals, metal compounds and alloys in marine systems, Marine Pollution Bulletin 109:550-557. https://doi.org/10.1016/j.marpolbul.2016.03.055</w:t>
      </w:r>
    </w:p>
    <w:p w14:paraId="7E29AE6C" w14:textId="77777777" w:rsidR="00E21790" w:rsidRPr="00D773F7" w:rsidRDefault="0062693E" w:rsidP="00B40BAB">
      <w:pPr>
        <w:pStyle w:val="SingleTxtG"/>
        <w:rPr>
          <w:rFonts w:asciiTheme="majorBidi" w:hAnsiTheme="majorBidi" w:cstheme="majorBidi"/>
        </w:rPr>
      </w:pPr>
      <w:r w:rsidRPr="00D773F7">
        <w:rPr>
          <w:rFonts w:asciiTheme="majorBidi" w:hAnsiTheme="majorBidi" w:cstheme="majorBidi"/>
        </w:rPr>
        <w:t>16.</w:t>
      </w:r>
      <w:r w:rsidRPr="00D773F7">
        <w:rPr>
          <w:rFonts w:asciiTheme="majorBidi" w:hAnsiTheme="majorBidi" w:cstheme="majorBidi"/>
        </w:rPr>
        <w:tab/>
        <w:t>OECD Environment Health and Safety Publications; Series on Testing and Assessment n° 29. Guidance document on Transformation Dissolution of Metals and Metal Compounds in Aqueous media, July 2001.</w:t>
      </w:r>
      <w:r w:rsidR="00B40BAB" w:rsidRPr="00D773F7">
        <w:rPr>
          <w:rFonts w:asciiTheme="majorBidi" w:hAnsiTheme="majorBidi" w:cstheme="majorBidi"/>
        </w:rPr>
        <w:t xml:space="preserve"> </w:t>
      </w:r>
    </w:p>
    <w:p w14:paraId="10B64341" w14:textId="3D20AE02" w:rsidR="00291435" w:rsidRPr="00D773F7" w:rsidRDefault="00E21790" w:rsidP="00E21790">
      <w:pPr>
        <w:spacing w:before="240"/>
        <w:jc w:val="center"/>
        <w:rPr>
          <w:rFonts w:asciiTheme="majorBidi" w:hAnsiTheme="majorBidi" w:cstheme="majorBidi"/>
          <w:u w:val="single"/>
        </w:rPr>
      </w:pPr>
      <w:r w:rsidRPr="00D773F7">
        <w:rPr>
          <w:rFonts w:asciiTheme="majorBidi" w:hAnsiTheme="majorBidi" w:cstheme="majorBidi"/>
          <w:u w:val="single"/>
        </w:rPr>
        <w:tab/>
      </w:r>
      <w:r w:rsidRPr="00D773F7">
        <w:rPr>
          <w:rFonts w:asciiTheme="majorBidi" w:hAnsiTheme="majorBidi" w:cstheme="majorBidi"/>
          <w:u w:val="single"/>
        </w:rPr>
        <w:tab/>
      </w:r>
      <w:r w:rsidRPr="00D773F7">
        <w:rPr>
          <w:rFonts w:asciiTheme="majorBidi" w:hAnsiTheme="majorBidi" w:cstheme="majorBidi"/>
          <w:u w:val="single"/>
        </w:rPr>
        <w:tab/>
      </w:r>
    </w:p>
    <w:sectPr w:rsidR="00291435" w:rsidRPr="00D773F7" w:rsidSect="004C4BC6">
      <w:headerReference w:type="even" r:id="rId63"/>
      <w:headerReference w:type="default" r:id="rId64"/>
      <w:footerReference w:type="even" r:id="rId65"/>
      <w:footerReference w:type="default" r:id="rId66"/>
      <w:endnotePr>
        <w:numFmt w:val="decimal"/>
      </w:endnotePr>
      <w:pgSz w:w="11907" w:h="16840" w:code="9"/>
      <w:pgMar w:top="1417" w:right="1134" w:bottom="1134" w:left="1134" w:header="85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61015" w14:textId="77777777" w:rsidR="00B10691" w:rsidRPr="00C47B2E" w:rsidRDefault="00B10691" w:rsidP="00C47B2E">
      <w:pPr>
        <w:pStyle w:val="Footer"/>
      </w:pPr>
    </w:p>
  </w:endnote>
  <w:endnote w:type="continuationSeparator" w:id="0">
    <w:p w14:paraId="6CB63D9B" w14:textId="77777777" w:rsidR="00B10691" w:rsidRPr="00C47B2E" w:rsidRDefault="00B10691" w:rsidP="00C47B2E">
      <w:pPr>
        <w:pStyle w:val="Footer"/>
      </w:pPr>
    </w:p>
  </w:endnote>
  <w:endnote w:type="continuationNotice" w:id="1">
    <w:p w14:paraId="3F861B9D" w14:textId="77777777" w:rsidR="00B10691" w:rsidRPr="00C47B2E" w:rsidRDefault="00B10691"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00"/>
    <w:family w:val="roman"/>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MS PMincho">
    <w:charset w:val="80"/>
    <w:family w:val="roman"/>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61C58" w14:textId="25E1D1FD" w:rsidR="00D94B05" w:rsidRPr="00835F99" w:rsidRDefault="00835F99" w:rsidP="00835F99">
    <w:pPr>
      <w:pStyle w:val="Footer"/>
      <w:tabs>
        <w:tab w:val="right" w:pos="9598"/>
        <w:tab w:val="right" w:pos="9638"/>
      </w:tabs>
      <w:rPr>
        <w:sz w:val="18"/>
      </w:rPr>
    </w:pPr>
    <w:r w:rsidRPr="00835F99">
      <w:rPr>
        <w:b/>
        <w:sz w:val="18"/>
      </w:rPr>
      <w:fldChar w:fldCharType="begin"/>
    </w:r>
    <w:r w:rsidRPr="00835F99">
      <w:rPr>
        <w:b/>
        <w:sz w:val="18"/>
      </w:rPr>
      <w:instrText xml:space="preserve"> PAGE  \* MERGEFORMAT </w:instrText>
    </w:r>
    <w:r w:rsidRPr="00835F99">
      <w:rPr>
        <w:b/>
        <w:sz w:val="18"/>
      </w:rPr>
      <w:fldChar w:fldCharType="separate"/>
    </w:r>
    <w:r w:rsidRPr="00835F99">
      <w:rPr>
        <w:b/>
        <w:noProof/>
        <w:sz w:val="18"/>
      </w:rPr>
      <w:t>2</w:t>
    </w:r>
    <w:r w:rsidRPr="00835F99">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1027376508"/>
      <w:docPartObj>
        <w:docPartGallery w:val="Page Numbers (Bottom of Page)"/>
        <w:docPartUnique/>
      </w:docPartObj>
    </w:sdtPr>
    <w:sdtEndPr>
      <w:rPr>
        <w:noProof/>
      </w:rPr>
    </w:sdtEndPr>
    <w:sdtContent>
      <w:p w14:paraId="53756437" w14:textId="42003FDB" w:rsidR="00366BC5" w:rsidRPr="00366BC5" w:rsidRDefault="004C4BC6">
        <w:pPr>
          <w:pStyle w:val="Footer"/>
          <w:rPr>
            <w:b/>
            <w:bCs/>
          </w:rPr>
        </w:pPr>
        <w:r w:rsidRPr="00366BC5">
          <w:rPr>
            <w:b/>
            <w:bCs/>
          </w:rPr>
          <w:fldChar w:fldCharType="begin"/>
        </w:r>
        <w:r>
          <w:rPr>
            <w:b/>
            <w:sz w:val="18"/>
          </w:rPr>
          <w:instrText xml:space="preserve"> PAGE  \* MERGEFORMAT </w:instrText>
        </w:r>
        <w:r w:rsidRPr="00366BC5">
          <w:rPr>
            <w:b/>
            <w:bCs/>
          </w:rPr>
          <w:fldChar w:fldCharType="separate"/>
        </w:r>
        <w:r w:rsidR="00366BC5" w:rsidRPr="00366BC5">
          <w:rPr>
            <w:b/>
            <w:bCs/>
            <w:noProof/>
          </w:rPr>
          <w:t>2</w:t>
        </w:r>
        <w:r w:rsidRPr="00366BC5">
          <w:rPr>
            <w:b/>
            <w:bCs/>
          </w:rPr>
          <w:fldChar w:fldCharType="end"/>
        </w:r>
      </w:p>
    </w:sdtContent>
  </w:sdt>
  <w:p w14:paraId="156CD82B" w14:textId="332FFFCF" w:rsidR="004C4BC6" w:rsidRPr="004C4BC6" w:rsidRDefault="004C4BC6" w:rsidP="004C4BC6">
    <w:pPr>
      <w:pStyle w:val="Footer"/>
      <w:tabs>
        <w:tab w:val="right" w:pos="9638"/>
      </w:tabs>
      <w:rPr>
        <w:b/>
        <w:sz w:val="1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182944084"/>
      <w:docPartObj>
        <w:docPartGallery w:val="Page Numbers (Bottom of Page)"/>
        <w:docPartUnique/>
      </w:docPartObj>
    </w:sdtPr>
    <w:sdtEndPr>
      <w:rPr>
        <w:noProof/>
      </w:rPr>
    </w:sdtEndPr>
    <w:sdtContent>
      <w:p w14:paraId="6794C97F" w14:textId="41F23F50" w:rsidR="00CA5CDC" w:rsidRPr="00CA5CDC" w:rsidRDefault="004C4BC6">
        <w:pPr>
          <w:pStyle w:val="Footer"/>
          <w:jc w:val="right"/>
          <w:rPr>
            <w:b/>
            <w:bCs/>
          </w:rPr>
        </w:pPr>
        <w:r w:rsidRPr="00CA5CDC">
          <w:rPr>
            <w:b/>
            <w:bCs/>
          </w:rPr>
          <w:fldChar w:fldCharType="begin"/>
        </w:r>
        <w:r>
          <w:rPr>
            <w:b/>
            <w:sz w:val="18"/>
          </w:rPr>
          <w:instrText xml:space="preserve"> PAGE  \* MERGEFORMAT </w:instrText>
        </w:r>
        <w:r w:rsidRPr="00CA5CDC">
          <w:rPr>
            <w:b/>
            <w:bCs/>
          </w:rPr>
          <w:fldChar w:fldCharType="separate"/>
        </w:r>
        <w:r w:rsidR="00CA5CDC" w:rsidRPr="00CA5CDC">
          <w:rPr>
            <w:b/>
            <w:bCs/>
            <w:noProof/>
          </w:rPr>
          <w:t>2</w:t>
        </w:r>
        <w:r w:rsidRPr="00CA5CDC">
          <w:rPr>
            <w:b/>
            <w:bCs/>
          </w:rPr>
          <w:fldChar w:fldCharType="end"/>
        </w:r>
      </w:p>
    </w:sdtContent>
  </w:sdt>
  <w:p w14:paraId="628FFF50" w14:textId="7E06D7E1" w:rsidR="004C4BC6" w:rsidRPr="004C4BC6" w:rsidRDefault="004C4BC6" w:rsidP="004C4BC6">
    <w:pPr>
      <w:pStyle w:val="Footer"/>
      <w:tabs>
        <w:tab w:val="right" w:pos="9638"/>
      </w:tabs>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1F1AA" w14:textId="114ACE31" w:rsidR="00D94B05" w:rsidRPr="00D73959" w:rsidRDefault="00835F99" w:rsidP="00477D71">
    <w:pPr>
      <w:pStyle w:val="Footer"/>
      <w:tabs>
        <w:tab w:val="left" w:pos="5775"/>
        <w:tab w:val="right" w:pos="9598"/>
        <w:tab w:val="right" w:pos="9638"/>
      </w:tabs>
      <w:jc w:val="right"/>
      <w:rPr>
        <w:b/>
        <w:bCs/>
        <w:sz w:val="18"/>
      </w:rPr>
    </w:pPr>
    <w:r>
      <w:rPr>
        <w:b/>
        <w:sz w:val="18"/>
      </w:rPr>
      <w:tab/>
    </w:r>
    <w:r w:rsidRPr="00D73959">
      <w:rPr>
        <w:b/>
        <w:bCs/>
        <w:sz w:val="18"/>
      </w:rPr>
      <w:fldChar w:fldCharType="begin"/>
    </w:r>
    <w:r w:rsidRPr="00D73959">
      <w:rPr>
        <w:b/>
        <w:bCs/>
        <w:sz w:val="18"/>
      </w:rPr>
      <w:instrText xml:space="preserve"> PAGE  \* MERGEFORMAT </w:instrText>
    </w:r>
    <w:r w:rsidRPr="00D73959">
      <w:rPr>
        <w:b/>
        <w:bCs/>
        <w:sz w:val="18"/>
      </w:rPr>
      <w:fldChar w:fldCharType="separate"/>
    </w:r>
    <w:r w:rsidRPr="00D73959">
      <w:rPr>
        <w:b/>
        <w:bCs/>
        <w:noProof/>
        <w:sz w:val="18"/>
      </w:rPr>
      <w:t>3</w:t>
    </w:r>
    <w:r w:rsidRPr="00D73959">
      <w:rPr>
        <w:b/>
        <w:bCs/>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D066C" w14:textId="77777777" w:rsidR="00D94B05" w:rsidRPr="00835F99" w:rsidRDefault="00E52109" w:rsidP="00764440">
    <w:pPr>
      <w:pStyle w:val="Footer"/>
      <w:rPr>
        <w:rFonts w:asciiTheme="majorBidi" w:hAnsiTheme="majorBidi" w:cstheme="majorBidi"/>
        <w:sz w:val="20"/>
      </w:rPr>
    </w:pPr>
    <w:r>
      <w:rPr>
        <w:noProof/>
        <w:lang w:val="fr-CH" w:eastAsia="fr-CH"/>
      </w:rPr>
      <w:drawing>
        <wp:anchor distT="0" distB="0" distL="114300" distR="114300" simplePos="0" relativeHeight="251658240" behindDoc="0" locked="1" layoutInCell="1" allowOverlap="1" wp14:anchorId="3877953D" wp14:editId="5EA50D17">
          <wp:simplePos x="0" y="0"/>
          <wp:positionH relativeFrom="margin">
            <wp:posOffset>5003800</wp:posOffset>
          </wp:positionH>
          <wp:positionV relativeFrom="margin">
            <wp:posOffset>9323705</wp:posOffset>
          </wp:positionV>
          <wp:extent cx="923925" cy="228600"/>
          <wp:effectExtent l="0" t="0" r="9525" b="0"/>
          <wp:wrapNone/>
          <wp:docPr id="2" name="Pictur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B6B97" w14:textId="05D116AC" w:rsidR="00B73E8E" w:rsidRPr="00B73E8E" w:rsidRDefault="00B73E8E" w:rsidP="00B73E8E">
    <w:pPr>
      <w:pStyle w:val="Footer"/>
    </w:pPr>
    <w:r>
      <w:rPr>
        <w:noProof/>
      </w:rPr>
      <mc:AlternateContent>
        <mc:Choice Requires="wps">
          <w:drawing>
            <wp:anchor distT="0" distB="0" distL="114300" distR="114300" simplePos="0" relativeHeight="251658244" behindDoc="0" locked="0" layoutInCell="1" allowOverlap="1" wp14:anchorId="415F72F1" wp14:editId="2956A7BA">
              <wp:simplePos x="0" y="0"/>
              <wp:positionH relativeFrom="margin">
                <wp:posOffset>-431800</wp:posOffset>
              </wp:positionH>
              <wp:positionV relativeFrom="margin">
                <wp:posOffset>0</wp:posOffset>
              </wp:positionV>
              <wp:extent cx="215900" cy="6120130"/>
              <wp:effectExtent l="0" t="0" r="0" b="0"/>
              <wp:wrapNone/>
              <wp:docPr id="6" name="Text Box 6"/>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8AFACBC" w14:textId="77777777" w:rsidR="00B73E8E" w:rsidRPr="00835F99" w:rsidRDefault="00B73E8E" w:rsidP="00B73E8E">
                          <w:pPr>
                            <w:pStyle w:val="Footer"/>
                            <w:tabs>
                              <w:tab w:val="right" w:pos="9598"/>
                              <w:tab w:val="right" w:pos="9638"/>
                            </w:tabs>
                            <w:rPr>
                              <w:sz w:val="18"/>
                            </w:rPr>
                          </w:pPr>
                          <w:r w:rsidRPr="00835F99">
                            <w:rPr>
                              <w:b/>
                              <w:sz w:val="18"/>
                            </w:rPr>
                            <w:fldChar w:fldCharType="begin"/>
                          </w:r>
                          <w:r w:rsidRPr="00835F99">
                            <w:rPr>
                              <w:b/>
                              <w:sz w:val="18"/>
                            </w:rPr>
                            <w:instrText xml:space="preserve"> PAGE  \* MERGEFORMAT </w:instrText>
                          </w:r>
                          <w:r w:rsidRPr="00835F99">
                            <w:rPr>
                              <w:b/>
                              <w:sz w:val="18"/>
                            </w:rPr>
                            <w:fldChar w:fldCharType="separate"/>
                          </w:r>
                          <w:r>
                            <w:rPr>
                              <w:b/>
                              <w:sz w:val="18"/>
                            </w:rPr>
                            <w:t>4</w:t>
                          </w:r>
                          <w:r w:rsidRPr="00835F99">
                            <w:rPr>
                              <w:b/>
                              <w:sz w:val="18"/>
                            </w:rPr>
                            <w:fldChar w:fldCharType="end"/>
                          </w:r>
                          <w:r>
                            <w:rPr>
                              <w:sz w:val="18"/>
                            </w:rPr>
                            <w:tab/>
                          </w:r>
                        </w:p>
                        <w:p w14:paraId="3D8BC5D2" w14:textId="77777777" w:rsidR="00B73E8E" w:rsidRDefault="00B73E8E"/>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arto="http://schemas.microsoft.com/office/word/2006/arto">
          <w:pict>
            <v:shapetype w14:anchorId="415F72F1" id="_x0000_t202" coordsize="21600,21600" o:spt="202" path="m,l,21600r21600,l21600,xe">
              <v:stroke joinstyle="miter"/>
              <v:path gradientshapeok="t" o:connecttype="rect"/>
            </v:shapetype>
            <v:shape id="Text Box 6" o:spid="_x0000_s1028" type="#_x0000_t202" style="position:absolute;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L2Ux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68AFACBC" w14:textId="77777777" w:rsidR="00B73E8E" w:rsidRPr="00835F99" w:rsidRDefault="00B73E8E" w:rsidP="00B73E8E">
                    <w:pPr>
                      <w:pStyle w:val="Footer"/>
                      <w:tabs>
                        <w:tab w:val="right" w:pos="9598"/>
                        <w:tab w:val="right" w:pos="9638"/>
                      </w:tabs>
                      <w:rPr>
                        <w:sz w:val="18"/>
                      </w:rPr>
                    </w:pPr>
                    <w:r w:rsidRPr="00835F99">
                      <w:rPr>
                        <w:b/>
                        <w:sz w:val="18"/>
                      </w:rPr>
                      <w:fldChar w:fldCharType="begin"/>
                    </w:r>
                    <w:r w:rsidRPr="00835F99">
                      <w:rPr>
                        <w:b/>
                        <w:sz w:val="18"/>
                      </w:rPr>
                      <w:instrText xml:space="preserve"> PAGE  \* MERGEFORMAT </w:instrText>
                    </w:r>
                    <w:r w:rsidRPr="00835F99">
                      <w:rPr>
                        <w:b/>
                        <w:sz w:val="18"/>
                      </w:rPr>
                      <w:fldChar w:fldCharType="separate"/>
                    </w:r>
                    <w:r>
                      <w:rPr>
                        <w:b/>
                        <w:sz w:val="18"/>
                      </w:rPr>
                      <w:t>4</w:t>
                    </w:r>
                    <w:r w:rsidRPr="00835F99">
                      <w:rPr>
                        <w:b/>
                        <w:sz w:val="18"/>
                      </w:rPr>
                      <w:fldChar w:fldCharType="end"/>
                    </w:r>
                    <w:r>
                      <w:rPr>
                        <w:sz w:val="18"/>
                      </w:rPr>
                      <w:tab/>
                    </w:r>
                  </w:p>
                  <w:p w14:paraId="3D8BC5D2" w14:textId="77777777" w:rsidR="00B73E8E" w:rsidRDefault="00B73E8E"/>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5F4DA" w14:textId="5807ED2C" w:rsidR="00B73E8E" w:rsidRPr="00B73E8E" w:rsidRDefault="00B73E8E" w:rsidP="00B73E8E">
    <w:pPr>
      <w:pStyle w:val="Footer"/>
    </w:pPr>
    <w:r>
      <w:rPr>
        <w:noProof/>
      </w:rPr>
      <mc:AlternateContent>
        <mc:Choice Requires="wps">
          <w:drawing>
            <wp:anchor distT="0" distB="0" distL="114300" distR="114300" simplePos="0" relativeHeight="251658242" behindDoc="0" locked="0" layoutInCell="1" allowOverlap="1" wp14:anchorId="4322A340" wp14:editId="19456BCC">
              <wp:simplePos x="0" y="0"/>
              <wp:positionH relativeFrom="margin">
                <wp:posOffset>-431800</wp:posOffset>
              </wp:positionH>
              <wp:positionV relativeFrom="margin">
                <wp:posOffset>0</wp:posOffset>
              </wp:positionV>
              <wp:extent cx="215900" cy="6120130"/>
              <wp:effectExtent l="0" t="0" r="0" b="0"/>
              <wp:wrapNone/>
              <wp:docPr id="4" name="Text Box 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F12E2A6" w14:textId="77777777" w:rsidR="00B73E8E" w:rsidRPr="00677672" w:rsidRDefault="00B73E8E" w:rsidP="005E60C9">
                          <w:pPr>
                            <w:pStyle w:val="Footer"/>
                            <w:tabs>
                              <w:tab w:val="left" w:pos="5775"/>
                              <w:tab w:val="right" w:pos="9598"/>
                              <w:tab w:val="right" w:pos="9638"/>
                            </w:tabs>
                            <w:jc w:val="right"/>
                            <w:rPr>
                              <w:b/>
                              <w:bCs/>
                              <w:sz w:val="18"/>
                            </w:rPr>
                          </w:pPr>
                          <w:r>
                            <w:rPr>
                              <w:b/>
                              <w:sz w:val="18"/>
                            </w:rPr>
                            <w:tab/>
                          </w:r>
                          <w:r w:rsidRPr="00835F99">
                            <w:rPr>
                              <w:sz w:val="18"/>
                            </w:rPr>
                            <w:fldChar w:fldCharType="begin"/>
                          </w:r>
                          <w:r w:rsidRPr="00835F99">
                            <w:rPr>
                              <w:sz w:val="18"/>
                            </w:rPr>
                            <w:instrText xml:space="preserve"> PAGE  \* MERGEFORMAT </w:instrText>
                          </w:r>
                          <w:r w:rsidRPr="00835F99">
                            <w:rPr>
                              <w:sz w:val="18"/>
                            </w:rPr>
                            <w:fldChar w:fldCharType="separate"/>
                          </w:r>
                          <w:r>
                            <w:rPr>
                              <w:sz w:val="18"/>
                            </w:rPr>
                            <w:t>3</w:t>
                          </w:r>
                          <w:r w:rsidRPr="00835F99">
                            <w:rPr>
                              <w:sz w:val="18"/>
                            </w:rPr>
                            <w:fldChar w:fldCharType="end"/>
                          </w:r>
                        </w:p>
                        <w:p w14:paraId="2565EBD3" w14:textId="77777777" w:rsidR="00B73E8E" w:rsidRDefault="00B73E8E"/>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arto="http://schemas.microsoft.com/office/word/2006/arto">
          <w:pict>
            <v:shapetype w14:anchorId="4322A340" id="_x0000_t202" coordsize="21600,21600" o:spt="202" path="m,l,21600r21600,l21600,xe">
              <v:stroke joinstyle="miter"/>
              <v:path gradientshapeok="t" o:connecttype="rect"/>
            </v:shapetype>
            <v:shape id="Text Box 4" o:spid="_x0000_s1029" type="#_x0000_t202" style="position:absolute;margin-left:-34pt;margin-top:0;width:17pt;height:481.9pt;z-index:25165824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4F12E2A6" w14:textId="77777777" w:rsidR="00B73E8E" w:rsidRPr="00677672" w:rsidRDefault="00B73E8E" w:rsidP="005E60C9">
                    <w:pPr>
                      <w:pStyle w:val="Footer"/>
                      <w:tabs>
                        <w:tab w:val="left" w:pos="5775"/>
                        <w:tab w:val="right" w:pos="9598"/>
                        <w:tab w:val="right" w:pos="9638"/>
                      </w:tabs>
                      <w:jc w:val="right"/>
                      <w:rPr>
                        <w:b/>
                        <w:bCs/>
                        <w:sz w:val="18"/>
                      </w:rPr>
                    </w:pPr>
                    <w:r>
                      <w:rPr>
                        <w:b/>
                        <w:sz w:val="18"/>
                      </w:rPr>
                      <w:tab/>
                    </w:r>
                    <w:r w:rsidRPr="00835F99">
                      <w:rPr>
                        <w:sz w:val="18"/>
                      </w:rPr>
                      <w:fldChar w:fldCharType="begin"/>
                    </w:r>
                    <w:r w:rsidRPr="00835F99">
                      <w:rPr>
                        <w:sz w:val="18"/>
                      </w:rPr>
                      <w:instrText xml:space="preserve"> PAGE  \* MERGEFORMAT </w:instrText>
                    </w:r>
                    <w:r w:rsidRPr="00835F99">
                      <w:rPr>
                        <w:sz w:val="18"/>
                      </w:rPr>
                      <w:fldChar w:fldCharType="separate"/>
                    </w:r>
                    <w:r>
                      <w:rPr>
                        <w:sz w:val="18"/>
                      </w:rPr>
                      <w:t>3</w:t>
                    </w:r>
                    <w:r w:rsidRPr="00835F99">
                      <w:rPr>
                        <w:sz w:val="18"/>
                      </w:rPr>
                      <w:fldChar w:fldCharType="end"/>
                    </w:r>
                  </w:p>
                  <w:p w14:paraId="2565EBD3" w14:textId="77777777" w:rsidR="00B73E8E" w:rsidRDefault="00B73E8E"/>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2050905274"/>
      <w:docPartObj>
        <w:docPartGallery w:val="Page Numbers (Bottom of Page)"/>
        <w:docPartUnique/>
      </w:docPartObj>
    </w:sdtPr>
    <w:sdtEndPr>
      <w:rPr>
        <w:noProof/>
      </w:rPr>
    </w:sdtEndPr>
    <w:sdtContent>
      <w:p w14:paraId="5FCF0892" w14:textId="29FBFB37" w:rsidR="007E47DF" w:rsidRPr="007E47DF" w:rsidRDefault="007408C1">
        <w:pPr>
          <w:pStyle w:val="Footer"/>
          <w:rPr>
            <w:b/>
            <w:bCs/>
          </w:rPr>
        </w:pPr>
        <w:r w:rsidRPr="007E47DF">
          <w:rPr>
            <w:b/>
            <w:bCs/>
          </w:rPr>
          <w:fldChar w:fldCharType="begin"/>
        </w:r>
        <w:r>
          <w:rPr>
            <w:b/>
            <w:sz w:val="18"/>
          </w:rPr>
          <w:instrText xml:space="preserve"> PAGE  \* MERGEFORMAT </w:instrText>
        </w:r>
        <w:r w:rsidRPr="007E47DF">
          <w:rPr>
            <w:b/>
            <w:bCs/>
          </w:rPr>
          <w:fldChar w:fldCharType="separate"/>
        </w:r>
        <w:r w:rsidR="007E47DF" w:rsidRPr="007E47DF">
          <w:rPr>
            <w:b/>
            <w:bCs/>
            <w:noProof/>
          </w:rPr>
          <w:t>2</w:t>
        </w:r>
        <w:r w:rsidRPr="007E47DF">
          <w:rPr>
            <w:b/>
            <w:bCs/>
          </w:rPr>
          <w:fldChar w:fldCharType="end"/>
        </w:r>
      </w:p>
    </w:sdtContent>
  </w:sdt>
  <w:p w14:paraId="68900A41" w14:textId="2FEADA8C" w:rsidR="007408C1" w:rsidRPr="007408C1" w:rsidRDefault="007408C1" w:rsidP="00271F75">
    <w:pPr>
      <w:pStyle w:val="Footer"/>
      <w:tabs>
        <w:tab w:val="right" w:pos="9638"/>
      </w:tabs>
      <w:rPr>
        <w:b/>
        <w:sz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1780173734"/>
      <w:docPartObj>
        <w:docPartGallery w:val="Page Numbers (Bottom of Page)"/>
        <w:docPartUnique/>
      </w:docPartObj>
    </w:sdtPr>
    <w:sdtEndPr>
      <w:rPr>
        <w:noProof/>
      </w:rPr>
    </w:sdtEndPr>
    <w:sdtContent>
      <w:p w14:paraId="4C2E9FAA" w14:textId="164407F9" w:rsidR="007632A5" w:rsidRPr="00EA1D51" w:rsidRDefault="007408C1">
        <w:pPr>
          <w:pStyle w:val="Footer"/>
          <w:jc w:val="right"/>
          <w:rPr>
            <w:b/>
            <w:bCs/>
          </w:rPr>
        </w:pPr>
        <w:r w:rsidRPr="00EA1D51">
          <w:rPr>
            <w:b/>
            <w:bCs/>
          </w:rPr>
          <w:fldChar w:fldCharType="begin"/>
        </w:r>
        <w:r>
          <w:rPr>
            <w:b/>
            <w:sz w:val="18"/>
          </w:rPr>
          <w:instrText xml:space="preserve"> PAGE  \* MERGEFORMAT </w:instrText>
        </w:r>
        <w:r w:rsidRPr="00EA1D51">
          <w:rPr>
            <w:b/>
            <w:bCs/>
          </w:rPr>
          <w:fldChar w:fldCharType="separate"/>
        </w:r>
        <w:r w:rsidR="007632A5" w:rsidRPr="00EA1D51">
          <w:rPr>
            <w:b/>
            <w:bCs/>
            <w:noProof/>
          </w:rPr>
          <w:t>2</w:t>
        </w:r>
        <w:r w:rsidRPr="00EA1D51">
          <w:rPr>
            <w:b/>
            <w:bCs/>
          </w:rPr>
          <w:fldChar w:fldCharType="end"/>
        </w:r>
      </w:p>
    </w:sdtContent>
  </w:sdt>
  <w:p w14:paraId="780F07D4" w14:textId="5A60BC8F" w:rsidR="007408C1" w:rsidRPr="007408C1" w:rsidRDefault="007408C1" w:rsidP="007408C1">
    <w:pPr>
      <w:pStyle w:val="Footer"/>
      <w:tabs>
        <w:tab w:val="right" w:pos="9638"/>
      </w:tabs>
      <w:rPr>
        <w:sz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C2254" w14:textId="3CE15D88" w:rsidR="00BB69E8" w:rsidRPr="00BB69E8" w:rsidRDefault="00BB69E8" w:rsidP="00BB69E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86312" w14:textId="23DA2453" w:rsidR="00BB69E8" w:rsidRPr="00BB69E8" w:rsidRDefault="00BB69E8" w:rsidP="00BB6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B0FF8" w14:textId="77777777" w:rsidR="00B10691" w:rsidRPr="00C47B2E" w:rsidRDefault="00B10691" w:rsidP="00C47B2E">
      <w:pPr>
        <w:tabs>
          <w:tab w:val="right" w:pos="2155"/>
        </w:tabs>
        <w:spacing w:after="80" w:line="240" w:lineRule="auto"/>
        <w:ind w:left="680"/>
      </w:pPr>
      <w:r>
        <w:rPr>
          <w:u w:val="single"/>
        </w:rPr>
        <w:tab/>
      </w:r>
    </w:p>
  </w:footnote>
  <w:footnote w:type="continuationSeparator" w:id="0">
    <w:p w14:paraId="104F106C" w14:textId="77777777" w:rsidR="00B10691" w:rsidRPr="00C47B2E" w:rsidRDefault="00B10691" w:rsidP="005E716E">
      <w:pPr>
        <w:tabs>
          <w:tab w:val="right" w:pos="2155"/>
        </w:tabs>
        <w:spacing w:after="80" w:line="240" w:lineRule="auto"/>
        <w:ind w:left="680"/>
      </w:pPr>
      <w:r>
        <w:rPr>
          <w:u w:val="single"/>
        </w:rPr>
        <w:tab/>
      </w:r>
    </w:p>
  </w:footnote>
  <w:footnote w:type="continuationNotice" w:id="1">
    <w:p w14:paraId="5D3DA8F5" w14:textId="77777777" w:rsidR="00B10691" w:rsidRPr="00C47B2E" w:rsidRDefault="00B10691" w:rsidP="00C47B2E">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52855" w14:textId="430A8E21" w:rsidR="00835F99" w:rsidRPr="00835F99" w:rsidRDefault="003007E3">
    <w:pPr>
      <w:pStyle w:val="Header"/>
    </w:pPr>
    <w:r>
      <w:fldChar w:fldCharType="begin"/>
    </w:r>
    <w:r>
      <w:instrText xml:space="preserve"> TITLE  \* MERGEFORMAT </w:instrText>
    </w:r>
    <w:r>
      <w:fldChar w:fldCharType="separate"/>
    </w:r>
    <w:r>
      <w:t>ST/SG/AC.10/50/Add.3</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9F4C9" w14:textId="4076964E" w:rsidR="004C4BC6" w:rsidRPr="004C4BC6" w:rsidRDefault="003007E3" w:rsidP="00CA5CDC">
    <w:pPr>
      <w:pStyle w:val="Header"/>
      <w:jc w:val="right"/>
    </w:pPr>
    <w:r>
      <w:fldChar w:fldCharType="begin"/>
    </w:r>
    <w:r>
      <w:instrText xml:space="preserve"> TITLE  \* MERGEFORMAT </w:instrText>
    </w:r>
    <w:r>
      <w:fldChar w:fldCharType="separate"/>
    </w:r>
    <w:r>
      <w:t>ST/SG/AC.10/50/Add.3</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1A705" w14:textId="75AB2AC3" w:rsidR="00D94B05" w:rsidRPr="00835F99" w:rsidRDefault="003007E3" w:rsidP="00835F99">
    <w:pPr>
      <w:pStyle w:val="Header"/>
      <w:jc w:val="right"/>
    </w:pPr>
    <w:r>
      <w:fldChar w:fldCharType="begin"/>
    </w:r>
    <w:r>
      <w:instrText xml:space="preserve"> TITLE  \* MERGEFORMAT </w:instrText>
    </w:r>
    <w:r>
      <w:fldChar w:fldCharType="separate"/>
    </w:r>
    <w:r>
      <w:t>ST/SG/AC.10/50/Add.3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FB845" w14:textId="0AEAD9D5" w:rsidR="00B73E8E" w:rsidRPr="00B73E8E" w:rsidRDefault="00B73E8E" w:rsidP="00B73E8E">
    <w:r>
      <w:rPr>
        <w:noProof/>
      </w:rPr>
      <mc:AlternateContent>
        <mc:Choice Requires="wps">
          <w:drawing>
            <wp:anchor distT="0" distB="0" distL="114300" distR="114300" simplePos="0" relativeHeight="251658243" behindDoc="0" locked="0" layoutInCell="1" allowOverlap="1" wp14:anchorId="6EB36FCE" wp14:editId="57822864">
              <wp:simplePos x="0" y="0"/>
              <wp:positionH relativeFrom="page">
                <wp:posOffset>9935845</wp:posOffset>
              </wp:positionH>
              <wp:positionV relativeFrom="margin">
                <wp:posOffset>0</wp:posOffset>
              </wp:positionV>
              <wp:extent cx="215900" cy="612013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13BA0E5" w14:textId="29CF697B" w:rsidR="00B73E8E" w:rsidRPr="00835F99" w:rsidRDefault="003007E3" w:rsidP="00B73E8E">
                          <w:pPr>
                            <w:pStyle w:val="Header"/>
                          </w:pPr>
                          <w:r>
                            <w:fldChar w:fldCharType="begin"/>
                          </w:r>
                          <w:r>
                            <w:instrText xml:space="preserve"> TITLE  \* MERGEFORMAT </w:instrText>
                          </w:r>
                          <w:r>
                            <w:fldChar w:fldCharType="separate"/>
                          </w:r>
                          <w:r>
                            <w:t>ST/SG/AC.10/50/Add.3</w:t>
                          </w:r>
                          <w:r>
                            <w:fldChar w:fldCharType="end"/>
                          </w:r>
                        </w:p>
                        <w:p w14:paraId="4199AC01" w14:textId="77777777" w:rsidR="00B73E8E" w:rsidRDefault="00B73E8E"/>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EB36FCE" id="_x0000_t202" coordsize="21600,21600" o:spt="202" path="m,l,21600r21600,l21600,xe">
              <v:stroke joinstyle="miter"/>
              <v:path gradientshapeok="t" o:connecttype="rect"/>
            </v:shapetype>
            <v:shape id="Text Box 5" o:spid="_x0000_s1026" type="#_x0000_t202" style="position:absolute;margin-left:782.35pt;margin-top:0;width:17pt;height:481.9pt;z-index:251658243;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" fillcolor="#4f81bd [3204]" stroked="f" strokeweight=".5pt">
              <v:fill opacity="0"/>
              <v:path arrowok="t"/>
              <v:textbox style="layout-flow:vertical" inset="0,0,0,0">
                <w:txbxContent>
                  <w:p w14:paraId="013BA0E5" w14:textId="29CF697B" w:rsidR="00B73E8E" w:rsidRPr="00835F99" w:rsidRDefault="003007E3" w:rsidP="00B73E8E">
                    <w:pPr>
                      <w:pStyle w:val="Header"/>
                    </w:pPr>
                    <w:r>
                      <w:fldChar w:fldCharType="begin"/>
                    </w:r>
                    <w:r>
                      <w:instrText xml:space="preserve"> TITLE  \* MERGEFORMAT </w:instrText>
                    </w:r>
                    <w:r>
                      <w:fldChar w:fldCharType="separate"/>
                    </w:r>
                    <w:r>
                      <w:t>ST/SG/AC.10/50/Add.3</w:t>
                    </w:r>
                    <w:r>
                      <w:fldChar w:fldCharType="end"/>
                    </w:r>
                  </w:p>
                  <w:p w14:paraId="4199AC01" w14:textId="77777777" w:rsidR="00B73E8E" w:rsidRDefault="00B73E8E"/>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39C6E" w14:textId="18F3DD36" w:rsidR="00B73E8E" w:rsidRPr="00B73E8E" w:rsidRDefault="00B73E8E" w:rsidP="00B73E8E">
    <w:r>
      <w:rPr>
        <w:noProof/>
      </w:rPr>
      <mc:AlternateContent>
        <mc:Choice Requires="wps">
          <w:drawing>
            <wp:anchor distT="0" distB="0" distL="114300" distR="114300" simplePos="0" relativeHeight="251658241" behindDoc="0" locked="0" layoutInCell="1" allowOverlap="1" wp14:anchorId="5E7A2E04" wp14:editId="31F5BCA3">
              <wp:simplePos x="0" y="0"/>
              <wp:positionH relativeFrom="page">
                <wp:posOffset>9935845</wp:posOffset>
              </wp:positionH>
              <wp:positionV relativeFrom="margin">
                <wp:posOffset>0</wp:posOffset>
              </wp:positionV>
              <wp:extent cx="215900" cy="612013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BAC3D92" w14:textId="629E411B" w:rsidR="00B73E8E" w:rsidRPr="00835F99" w:rsidRDefault="003007E3" w:rsidP="00B73E8E">
                          <w:pPr>
                            <w:pStyle w:val="Header"/>
                            <w:jc w:val="right"/>
                          </w:pPr>
                          <w:r>
                            <w:fldChar w:fldCharType="begin"/>
                          </w:r>
                          <w:r>
                            <w:instrText xml:space="preserve"> TITLE  \* MERGEFORMAT </w:instrText>
                          </w:r>
                          <w:r>
                            <w:fldChar w:fldCharType="separate"/>
                          </w:r>
                          <w:r>
                            <w:t>ST/SG/AC.10/50/Add.3</w:t>
                          </w:r>
                          <w:r>
                            <w:fldChar w:fldCharType="end"/>
                          </w:r>
                        </w:p>
                        <w:p w14:paraId="247773F7" w14:textId="77777777" w:rsidR="00B73E8E" w:rsidRDefault="00B73E8E"/>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E7A2E04" id="_x0000_t202" coordsize="21600,21600" o:spt="202" path="m,l,21600r21600,l21600,xe">
              <v:stroke joinstyle="miter"/>
              <v:path gradientshapeok="t" o:connecttype="rect"/>
            </v:shapetype>
            <v:shape id="Text Box 3" o:spid="_x0000_s1027" type="#_x0000_t202" style="position:absolute;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QjdwIAAAY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" fillcolor="#4f81bd [3204]" stroked="f" strokeweight=".5pt">
              <v:fill opacity="0"/>
              <v:stroke joinstyle="round"/>
              <v:textbox style="layout-flow:vertical" inset="0,0,0,0">
                <w:txbxContent>
                  <w:p w14:paraId="2BAC3D92" w14:textId="629E411B" w:rsidR="00B73E8E" w:rsidRPr="00835F99" w:rsidRDefault="003007E3" w:rsidP="00B73E8E">
                    <w:pPr>
                      <w:pStyle w:val="Header"/>
                      <w:jc w:val="right"/>
                    </w:pPr>
                    <w:r>
                      <w:fldChar w:fldCharType="begin"/>
                    </w:r>
                    <w:r>
                      <w:instrText xml:space="preserve"> TITLE  \* MERGEFORMAT </w:instrText>
                    </w:r>
                    <w:r>
                      <w:fldChar w:fldCharType="separate"/>
                    </w:r>
                    <w:r>
                      <w:t>ST/SG/AC.10/50/Add.3</w:t>
                    </w:r>
                    <w:r>
                      <w:fldChar w:fldCharType="end"/>
                    </w:r>
                  </w:p>
                  <w:p w14:paraId="247773F7" w14:textId="77777777" w:rsidR="00B73E8E" w:rsidRDefault="00B73E8E"/>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A5199" w14:textId="52D162E1" w:rsidR="007408C1" w:rsidRPr="007408C1" w:rsidRDefault="003007E3" w:rsidP="00271F75">
    <w:pPr>
      <w:pStyle w:val="Header"/>
    </w:pPr>
    <w:r>
      <w:fldChar w:fldCharType="begin"/>
    </w:r>
    <w:r>
      <w:instrText xml:space="preserve"> TITLE  \* MERGEFORMAT </w:instrText>
    </w:r>
    <w:r>
      <w:fldChar w:fldCharType="separate"/>
    </w:r>
    <w:r>
      <w:t>ST/SG/AC.10/50/Add.3</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15EA3" w14:textId="22221299" w:rsidR="007408C1" w:rsidRPr="007408C1" w:rsidRDefault="003007E3" w:rsidP="007632A5">
    <w:pPr>
      <w:pStyle w:val="Header"/>
      <w:jc w:val="right"/>
    </w:pPr>
    <w:r>
      <w:fldChar w:fldCharType="begin"/>
    </w:r>
    <w:r>
      <w:instrText xml:space="preserve"> TITLE  \* MERGEFORMAT </w:instrText>
    </w:r>
    <w:r>
      <w:fldChar w:fldCharType="separate"/>
    </w:r>
    <w:r>
      <w:t>ST/SG/AC.10/50/Add.3</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B5266" w14:textId="204CDA23" w:rsidR="00BB69E8" w:rsidRPr="00BB69E8" w:rsidRDefault="00FE534C" w:rsidP="00BB69E8">
    <w:r>
      <w:rPr>
        <w:noProof/>
      </w:rPr>
      <mc:AlternateContent>
        <mc:Choice Requires="wps">
          <w:drawing>
            <wp:anchor distT="0" distB="0" distL="114300" distR="114300" simplePos="0" relativeHeight="251658246" behindDoc="0" locked="0" layoutInCell="1" allowOverlap="1" wp14:anchorId="10DBF4A3" wp14:editId="69DB1750">
              <wp:simplePos x="0" y="0"/>
              <wp:positionH relativeFrom="margin">
                <wp:posOffset>-428097</wp:posOffset>
              </wp:positionH>
              <wp:positionV relativeFrom="margin">
                <wp:posOffset>2209</wp:posOffset>
              </wp:positionV>
              <wp:extent cx="215900" cy="6347012"/>
              <wp:effectExtent l="0" t="0" r="0" b="0"/>
              <wp:wrapNone/>
              <wp:docPr id="7" name="Text Box 7"/>
              <wp:cNvGraphicFramePr/>
              <a:graphic xmlns:a="http://schemas.openxmlformats.org/drawingml/2006/main">
                <a:graphicData uri="http://schemas.microsoft.com/office/word/2010/wordprocessingShape">
                  <wps:wsp>
                    <wps:cNvSpPr txBox="1"/>
                    <wps:spPr>
                      <a:xfrm>
                        <a:off x="0" y="0"/>
                        <a:ext cx="215900" cy="6347012"/>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B005769" w14:textId="77777777" w:rsidR="00BB69E8" w:rsidRPr="007408C1" w:rsidRDefault="00BB69E8" w:rsidP="00FE534C">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sz w:val="18"/>
                            </w:rPr>
                            <w:t>46</w:t>
                          </w:r>
                          <w:r>
                            <w:rPr>
                              <w:b/>
                              <w:sz w:val="18"/>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DBF4A3" id="_x0000_t202" coordsize="21600,21600" o:spt="202" path="m,l,21600r21600,l21600,xe">
              <v:stroke joinstyle="miter"/>
              <v:path gradientshapeok="t" o:connecttype="rect"/>
            </v:shapetype>
            <v:shape id="Text Box 12" o:spid="_x0000_s1030" type="#_x0000_t202" style="position:absolute;margin-left:-33.7pt;margin-top:.15pt;width:17pt;height:499.75pt;z-index:25165824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" fillcolor="#4f81bd [3204]" stroked="f" strokeweight=".5pt">
              <v:fill opacity="0"/>
              <v:stroke joinstyle="round"/>
              <v:textbox style="layout-flow:vertical" inset="0,0,0,0">
                <w:txbxContent>
                  <w:p w14:paraId="37E835E6" w14:textId="71E9D3E2" w:rsidR="00BB69E8" w:rsidRPr="007408C1" w:rsidRDefault="00BB69E8" w:rsidP="00FE534C">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sz w:val="18"/>
                      </w:rPr>
                      <w:t>46</w:t>
                    </w:r>
                    <w:r>
                      <w:rPr>
                        <w:b/>
                        <w:sz w:val="18"/>
                      </w:rPr>
                      <w:fldChar w:fldCharType="end"/>
                    </w:r>
                  </w:p>
                </w:txbxContent>
              </v:textbox>
              <w10:wrap anchorx="margin" anchory="margin"/>
            </v:shape>
          </w:pict>
        </mc:Fallback>
      </mc:AlternateContent>
    </w:r>
    <w:r w:rsidR="00BB69E8">
      <w:rPr>
        <w:noProof/>
      </w:rPr>
      <mc:AlternateContent>
        <mc:Choice Requires="wps">
          <w:drawing>
            <wp:anchor distT="0" distB="0" distL="114300" distR="114300" simplePos="0" relativeHeight="251658245" behindDoc="0" locked="0" layoutInCell="1" allowOverlap="1" wp14:anchorId="3F592457" wp14:editId="7E9CD862">
              <wp:simplePos x="0" y="0"/>
              <wp:positionH relativeFrom="page">
                <wp:posOffset>9935845</wp:posOffset>
              </wp:positionH>
              <wp:positionV relativeFrom="margin">
                <wp:posOffset>0</wp:posOffset>
              </wp:positionV>
              <wp:extent cx="215900" cy="612013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88DE158" w14:textId="35AA4A4C" w:rsidR="00BB69E8" w:rsidRPr="007408C1" w:rsidRDefault="003007E3" w:rsidP="00EA1D51">
                          <w:pPr>
                            <w:pStyle w:val="Header"/>
                          </w:pPr>
                          <w:r>
                            <w:fldChar w:fldCharType="begin"/>
                          </w:r>
                          <w:r>
                            <w:instrText xml:space="preserve"> TITLE  \* MERGEFORMAT </w:instrText>
                          </w:r>
                          <w:r>
                            <w:fldChar w:fldCharType="separate"/>
                          </w:r>
                          <w:r>
                            <w:t>ST/SG/AC.10/50/Add.3</w:t>
                          </w:r>
                          <w:r>
                            <w:fldChar w:fldCharType="end"/>
                          </w:r>
                        </w:p>
                        <w:p w14:paraId="34A5F821" w14:textId="77777777" w:rsidR="00BB69E8" w:rsidRDefault="00BB69E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F592457" id="_x0000_t202" coordsize="21600,21600" o:spt="202" path="m,l,21600r21600,l21600,xe">
              <v:stroke joinstyle="miter"/>
              <v:path gradientshapeok="t" o:connecttype="rect"/>
            </v:shapetype>
            <v:shape id="Text Box 11" o:spid="_x0000_s1031" type="#_x0000_t202" style="position:absolute;margin-left:782.35pt;margin-top:0;width:17pt;height:481.9pt;z-index:251658245;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a3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" fillcolor="#4f81bd [3204]" stroked="f" strokeweight=".5pt">
              <v:fill opacity="0"/>
              <v:stroke joinstyle="round"/>
              <v:textbox style="layout-flow:vertical" inset="0,0,0,0">
                <w:txbxContent>
                  <w:p w14:paraId="188DE158" w14:textId="35AA4A4C" w:rsidR="00BB69E8" w:rsidRPr="007408C1" w:rsidRDefault="003007E3" w:rsidP="00EA1D51">
                    <w:pPr>
                      <w:pStyle w:val="Header"/>
                    </w:pPr>
                    <w:r>
                      <w:fldChar w:fldCharType="begin"/>
                    </w:r>
                    <w:r>
                      <w:instrText xml:space="preserve"> TITLE  \* MERGEFORMAT </w:instrText>
                    </w:r>
                    <w:r>
                      <w:fldChar w:fldCharType="separate"/>
                    </w:r>
                    <w:r>
                      <w:t>ST/SG/AC.10/50/Add.3</w:t>
                    </w:r>
                    <w:r>
                      <w:fldChar w:fldCharType="end"/>
                    </w:r>
                  </w:p>
                  <w:p w14:paraId="34A5F821" w14:textId="77777777" w:rsidR="00BB69E8" w:rsidRDefault="00BB69E8"/>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5E602" w14:textId="68BE92E8" w:rsidR="00BB69E8" w:rsidRPr="00BB69E8" w:rsidRDefault="00366BC5" w:rsidP="00BB69E8">
    <w:r>
      <w:rPr>
        <w:noProof/>
      </w:rPr>
      <mc:AlternateContent>
        <mc:Choice Requires="wps">
          <w:drawing>
            <wp:anchor distT="0" distB="0" distL="114300" distR="114300" simplePos="0" relativeHeight="251658248" behindDoc="0" locked="0" layoutInCell="1" allowOverlap="1" wp14:anchorId="455B1CA2" wp14:editId="19A2817C">
              <wp:simplePos x="0" y="0"/>
              <wp:positionH relativeFrom="margin">
                <wp:posOffset>-419559</wp:posOffset>
              </wp:positionH>
              <wp:positionV relativeFrom="margin">
                <wp:posOffset>-51963</wp:posOffset>
              </wp:positionV>
              <wp:extent cx="215900" cy="6319915"/>
              <wp:effectExtent l="0" t="0" r="0" b="0"/>
              <wp:wrapNone/>
              <wp:docPr id="8" name="Text Box 8"/>
              <wp:cNvGraphicFramePr/>
              <a:graphic xmlns:a="http://schemas.openxmlformats.org/drawingml/2006/main">
                <a:graphicData uri="http://schemas.microsoft.com/office/word/2010/wordprocessingShape">
                  <wps:wsp>
                    <wps:cNvSpPr txBox="1"/>
                    <wps:spPr>
                      <a:xfrm>
                        <a:off x="0" y="0"/>
                        <a:ext cx="215900" cy="6319915"/>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7262824" w14:textId="77777777" w:rsidR="00BB69E8" w:rsidRPr="007408C1" w:rsidRDefault="00BB69E8" w:rsidP="00366BC5">
                          <w:pPr>
                            <w:pStyle w:val="Footer"/>
                            <w:tabs>
                              <w:tab w:val="right" w:pos="9638"/>
                            </w:tabs>
                            <w:jc w:val="right"/>
                            <w:rPr>
                              <w:sz w:val="18"/>
                            </w:rPr>
                          </w:pPr>
                          <w:r>
                            <w:rPr>
                              <w:b/>
                              <w:sz w:val="18"/>
                            </w:rPr>
                            <w:fldChar w:fldCharType="begin"/>
                          </w:r>
                          <w:r>
                            <w:rPr>
                              <w:b/>
                              <w:sz w:val="18"/>
                            </w:rPr>
                            <w:instrText xml:space="preserve"> PAGE  \* MERGEFORMAT </w:instrText>
                          </w:r>
                          <w:r>
                            <w:rPr>
                              <w:b/>
                              <w:sz w:val="18"/>
                            </w:rPr>
                            <w:fldChar w:fldCharType="separate"/>
                          </w:r>
                          <w:r>
                            <w:rPr>
                              <w:b/>
                              <w:sz w:val="18"/>
                            </w:rPr>
                            <w:t>47</w:t>
                          </w:r>
                          <w:r>
                            <w:rPr>
                              <w:b/>
                              <w:sz w:val="18"/>
                            </w:rPr>
                            <w:fldChar w:fldCharType="end"/>
                          </w:r>
                        </w:p>
                        <w:p w14:paraId="0DDED47C" w14:textId="77777777" w:rsidR="00BB69E8" w:rsidRDefault="00BB69E8" w:rsidP="00366BC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5B1CA2" id="_x0000_t202" coordsize="21600,21600" o:spt="202" path="m,l,21600r21600,l21600,xe">
              <v:stroke joinstyle="miter"/>
              <v:path gradientshapeok="t" o:connecttype="rect"/>
            </v:shapetype>
            <v:shape id="Text Box 14" o:spid="_x0000_s1032" type="#_x0000_t202" style="position:absolute;margin-left:-33.05pt;margin-top:-4.1pt;width:17pt;height:497.65pt;z-index:25165824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" fillcolor="#4f81bd [3204]" stroked="f" strokeweight=".5pt">
              <v:fill opacity="0"/>
              <v:stroke joinstyle="round"/>
              <v:textbox style="layout-flow:vertical" inset="0,0,0,0">
                <w:txbxContent>
                  <w:p w14:paraId="443811FA" w14:textId="75D0F224" w:rsidR="00BB69E8" w:rsidRPr="007408C1" w:rsidRDefault="00BB69E8" w:rsidP="00366BC5">
                    <w:pPr>
                      <w:pStyle w:val="Footer"/>
                      <w:tabs>
                        <w:tab w:val="right" w:pos="9638"/>
                      </w:tabs>
                      <w:jc w:val="right"/>
                      <w:rPr>
                        <w:sz w:val="18"/>
                      </w:rPr>
                    </w:pPr>
                    <w:r>
                      <w:rPr>
                        <w:b/>
                        <w:sz w:val="18"/>
                      </w:rPr>
                      <w:fldChar w:fldCharType="begin"/>
                    </w:r>
                    <w:r>
                      <w:rPr>
                        <w:b/>
                        <w:sz w:val="18"/>
                      </w:rPr>
                      <w:instrText xml:space="preserve"> PAGE  \* MERGEFORMAT </w:instrText>
                    </w:r>
                    <w:r>
                      <w:rPr>
                        <w:b/>
                        <w:sz w:val="18"/>
                      </w:rPr>
                      <w:fldChar w:fldCharType="separate"/>
                    </w:r>
                    <w:r>
                      <w:rPr>
                        <w:b/>
                        <w:sz w:val="18"/>
                      </w:rPr>
                      <w:t>47</w:t>
                    </w:r>
                    <w:r>
                      <w:rPr>
                        <w:b/>
                        <w:sz w:val="18"/>
                      </w:rPr>
                      <w:fldChar w:fldCharType="end"/>
                    </w:r>
                  </w:p>
                  <w:p w14:paraId="1C80ED5D" w14:textId="77777777" w:rsidR="00BB69E8" w:rsidRDefault="00BB69E8" w:rsidP="00366BC5"/>
                </w:txbxContent>
              </v:textbox>
              <w10:wrap anchorx="margin" anchory="margin"/>
            </v:shape>
          </w:pict>
        </mc:Fallback>
      </mc:AlternateContent>
    </w:r>
    <w:r w:rsidR="00BB69E8">
      <w:rPr>
        <w:noProof/>
      </w:rPr>
      <mc:AlternateContent>
        <mc:Choice Requires="wps">
          <w:drawing>
            <wp:anchor distT="0" distB="0" distL="114300" distR="114300" simplePos="0" relativeHeight="251658247" behindDoc="0" locked="0" layoutInCell="1" allowOverlap="1" wp14:anchorId="7216C93C" wp14:editId="4E439A9A">
              <wp:simplePos x="0" y="0"/>
              <wp:positionH relativeFrom="page">
                <wp:posOffset>9935845</wp:posOffset>
              </wp:positionH>
              <wp:positionV relativeFrom="margin">
                <wp:posOffset>0</wp:posOffset>
              </wp:positionV>
              <wp:extent cx="215900" cy="612013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366BC41D" w14:textId="1AFA6B5A" w:rsidR="00BB69E8" w:rsidRPr="007408C1" w:rsidRDefault="003007E3" w:rsidP="00EA1D51">
                          <w:pPr>
                            <w:pStyle w:val="Header"/>
                            <w:jc w:val="right"/>
                          </w:pPr>
                          <w:r>
                            <w:fldChar w:fldCharType="begin"/>
                          </w:r>
                          <w:r>
                            <w:instrText xml:space="preserve"> TITLE  \* MERGEFORMAT </w:instrText>
                          </w:r>
                          <w:r>
                            <w:fldChar w:fldCharType="separate"/>
                          </w:r>
                          <w:r>
                            <w:t>ST/SG/AC.10/50/Add.3</w:t>
                          </w:r>
                          <w:r>
                            <w:fldChar w:fldCharType="end"/>
                          </w:r>
                        </w:p>
                        <w:p w14:paraId="7B4635E6" w14:textId="77777777" w:rsidR="00BB69E8" w:rsidRDefault="00BB69E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216C93C" id="_x0000_t202" coordsize="21600,21600" o:spt="202" path="m,l,21600r21600,l21600,xe">
              <v:stroke joinstyle="miter"/>
              <v:path gradientshapeok="t" o:connecttype="rect"/>
            </v:shapetype>
            <v:shape id="Text Box 13" o:spid="_x0000_s1033" type="#_x0000_t202" style="position:absolute;margin-left:782.35pt;margin-top:0;width:17pt;height:481.9pt;z-index:251658247;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OOTqbVBAgAAhwQA&#10;AA4AAAAAAAAAAAAAAAAALgIAAGRycy9lMm9Eb2MueG1sUEsBAi0AFAAGAAgAAAAhACTj3urfAAAA&#10;CgEAAA8AAAAAAAAAAAAAAAAAmwQAAGRycy9kb3ducmV2LnhtbFBLBQYAAAAABAAEAPMAAACnBQAA&#10;AAA=&#10;" fillcolor="#4f81bd [3204]" stroked="f" strokeweight=".5pt">
              <v:fill opacity="0"/>
              <v:path arrowok="t"/>
              <v:textbox style="layout-flow:vertical" inset="0,0,0,0">
                <w:txbxContent>
                  <w:p w14:paraId="366BC41D" w14:textId="1AFA6B5A" w:rsidR="00BB69E8" w:rsidRPr="007408C1" w:rsidRDefault="003007E3" w:rsidP="00EA1D51">
                    <w:pPr>
                      <w:pStyle w:val="Header"/>
                      <w:jc w:val="right"/>
                    </w:pPr>
                    <w:r>
                      <w:fldChar w:fldCharType="begin"/>
                    </w:r>
                    <w:r>
                      <w:instrText xml:space="preserve"> TITLE  \* MERGEFORMAT </w:instrText>
                    </w:r>
                    <w:r>
                      <w:fldChar w:fldCharType="separate"/>
                    </w:r>
                    <w:r>
                      <w:t>ST/SG/AC.10/50/Add.3</w:t>
                    </w:r>
                    <w:r>
                      <w:fldChar w:fldCharType="end"/>
                    </w:r>
                  </w:p>
                  <w:p w14:paraId="7B4635E6" w14:textId="77777777" w:rsidR="00BB69E8" w:rsidRDefault="00BB69E8"/>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93223" w14:textId="263AEA3B" w:rsidR="004C4BC6" w:rsidRPr="004C4BC6" w:rsidRDefault="003007E3" w:rsidP="00366BC5">
    <w:pPr>
      <w:pStyle w:val="Header"/>
    </w:pPr>
    <w:r>
      <w:fldChar w:fldCharType="begin"/>
    </w:r>
    <w:r>
      <w:instrText xml:space="preserve"> TITLE  \* MERGEFORMAT </w:instrText>
    </w:r>
    <w:r>
      <w:fldChar w:fldCharType="separate"/>
    </w:r>
    <w:r>
      <w:t>ST/SG/AC.10/50/Add.3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880419"/>
    <w:multiLevelType w:val="hybridMultilevel"/>
    <w:tmpl w:val="6A801118"/>
    <w:lvl w:ilvl="0" w:tplc="2578E18C">
      <w:start w:val="1"/>
      <w:numFmt w:val="lowerLetter"/>
      <w:lvlText w:val="(%1)"/>
      <w:lvlJc w:val="left"/>
      <w:pPr>
        <w:ind w:left="1665" w:hanging="555"/>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6" w15:restartNumberingAfterBreak="0">
    <w:nsid w:val="2FA32E34"/>
    <w:multiLevelType w:val="hybridMultilevel"/>
    <w:tmpl w:val="6F4E724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D3525EA"/>
    <w:multiLevelType w:val="hybridMultilevel"/>
    <w:tmpl w:val="5A56071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4" w15:restartNumberingAfterBreak="0">
    <w:nsid w:val="754059FD"/>
    <w:multiLevelType w:val="hybridMultilevel"/>
    <w:tmpl w:val="28746B24"/>
    <w:lvl w:ilvl="0" w:tplc="08090001">
      <w:start w:val="1"/>
      <w:numFmt w:val="bullet"/>
      <w:lvlText w:val=""/>
      <w:lvlJc w:val="left"/>
      <w:pPr>
        <w:ind w:left="2214" w:hanging="360"/>
      </w:pPr>
      <w:rPr>
        <w:rFonts w:ascii="Symbol" w:hAnsi="Symbol" w:hint="default"/>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15"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28524302">
    <w:abstractNumId w:val="7"/>
  </w:num>
  <w:num w:numId="2" w16cid:durableId="353464379">
    <w:abstractNumId w:val="4"/>
  </w:num>
  <w:num w:numId="3" w16cid:durableId="1172991103">
    <w:abstractNumId w:val="0"/>
  </w:num>
  <w:num w:numId="4" w16cid:durableId="1021276646">
    <w:abstractNumId w:val="9"/>
  </w:num>
  <w:num w:numId="5" w16cid:durableId="314184413">
    <w:abstractNumId w:val="10"/>
  </w:num>
  <w:num w:numId="6" w16cid:durableId="152139076">
    <w:abstractNumId w:val="15"/>
  </w:num>
  <w:num w:numId="7" w16cid:durableId="509956626">
    <w:abstractNumId w:val="3"/>
  </w:num>
  <w:num w:numId="8" w16cid:durableId="997074391">
    <w:abstractNumId w:val="1"/>
  </w:num>
  <w:num w:numId="9" w16cid:durableId="1570533564">
    <w:abstractNumId w:val="12"/>
  </w:num>
  <w:num w:numId="10" w16cid:durableId="322635135">
    <w:abstractNumId w:val="1"/>
  </w:num>
  <w:num w:numId="11" w16cid:durableId="326326230">
    <w:abstractNumId w:val="12"/>
  </w:num>
  <w:num w:numId="12" w16cid:durableId="956372803">
    <w:abstractNumId w:val="2"/>
  </w:num>
  <w:num w:numId="13" w16cid:durableId="378867003">
    <w:abstractNumId w:val="2"/>
  </w:num>
  <w:num w:numId="14" w16cid:durableId="1021738452">
    <w:abstractNumId w:val="13"/>
  </w:num>
  <w:num w:numId="15" w16cid:durableId="1758214198">
    <w:abstractNumId w:val="1"/>
  </w:num>
  <w:num w:numId="16" w16cid:durableId="1318072636">
    <w:abstractNumId w:val="12"/>
  </w:num>
  <w:num w:numId="17" w16cid:durableId="417365002">
    <w:abstractNumId w:val="12"/>
  </w:num>
  <w:num w:numId="18" w16cid:durableId="244993353">
    <w:abstractNumId w:val="1"/>
  </w:num>
  <w:num w:numId="19" w16cid:durableId="1721590111">
    <w:abstractNumId w:val="8"/>
  </w:num>
  <w:num w:numId="20" w16cid:durableId="1960528787">
    <w:abstractNumId w:val="6"/>
  </w:num>
  <w:num w:numId="21" w16cid:durableId="1762600847">
    <w:abstractNumId w:val="14"/>
  </w:num>
  <w:num w:numId="22" w16cid:durableId="917517524">
    <w:abstractNumId w:val="5"/>
  </w:num>
  <w:num w:numId="23" w16cid:durableId="1768648163">
    <w:abstractNumId w:val="11"/>
  </w:num>
  <w:num w:numId="24" w16cid:durableId="792401856">
    <w:abstractNumId w:val="12"/>
  </w:num>
  <w:num w:numId="25" w16cid:durableId="338197686">
    <w:abstractNumId w:val="12"/>
  </w:num>
  <w:num w:numId="26" w16cid:durableId="1833372820">
    <w:abstractNumId w:val="12"/>
  </w:num>
  <w:num w:numId="27" w16cid:durableId="1648705450">
    <w:abstractNumId w:val="12"/>
  </w:num>
  <w:num w:numId="28" w16cid:durableId="2110196890">
    <w:abstractNumId w:val="12"/>
  </w:num>
  <w:num w:numId="29" w16cid:durableId="1923375229">
    <w:abstractNumId w:val="1"/>
  </w:num>
  <w:num w:numId="30" w16cid:durableId="508832856">
    <w:abstractNumId w:val="1"/>
  </w:num>
  <w:num w:numId="31" w16cid:durableId="1842770320">
    <w:abstractNumId w:val="1"/>
  </w:num>
  <w:num w:numId="32" w16cid:durableId="1703744493">
    <w:abstractNumId w:val="1"/>
  </w:num>
  <w:num w:numId="33" w16cid:durableId="1040206795">
    <w:abstractNumId w:val="1"/>
  </w:num>
  <w:num w:numId="34" w16cid:durableId="1254897056">
    <w:abstractNumId w:val="1"/>
  </w:num>
  <w:num w:numId="35" w16cid:durableId="1983924289">
    <w:abstractNumId w:val="1"/>
  </w:num>
  <w:num w:numId="36" w16cid:durableId="1506703227">
    <w:abstractNumId w:val="1"/>
  </w:num>
  <w:num w:numId="37" w16cid:durableId="1499887927">
    <w:abstractNumId w:val="1"/>
  </w:num>
  <w:num w:numId="38" w16cid:durableId="261383531">
    <w:abstractNumId w:val="1"/>
  </w:num>
  <w:num w:numId="39" w16cid:durableId="1187527842">
    <w:abstractNumId w:val="1"/>
  </w:num>
  <w:num w:numId="40" w16cid:durableId="1149978394">
    <w:abstractNumId w:val="1"/>
  </w:num>
  <w:num w:numId="41" w16cid:durableId="1875923534">
    <w:abstractNumId w:val="1"/>
  </w:num>
  <w:num w:numId="42" w16cid:durableId="1710764266">
    <w:abstractNumId w:val="1"/>
  </w:num>
  <w:num w:numId="43" w16cid:durableId="579869240">
    <w:abstractNumId w:val="1"/>
  </w:num>
  <w:num w:numId="44" w16cid:durableId="1260724713">
    <w:abstractNumId w:val="1"/>
  </w:num>
  <w:num w:numId="45" w16cid:durableId="153692902">
    <w:abstractNumId w:val="1"/>
  </w:num>
  <w:num w:numId="46" w16cid:durableId="2134326120">
    <w:abstractNumId w:val="1"/>
  </w:num>
  <w:num w:numId="47" w16cid:durableId="1199203141">
    <w:abstractNumId w:val="1"/>
  </w:num>
  <w:num w:numId="48" w16cid:durableId="18282843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attachedTemplate r:id="rId1"/>
  <w:defaultTabStop w:val="567"/>
  <w:hyphenationZone w:val="425"/>
  <w:evenAndOddHeaders/>
  <w:characterSpacingControl w:val="doNotCompress"/>
  <w:savePreviewPicture/>
  <w:hdrShapeDefaults>
    <o:shapedefaults v:ext="edit" spidmax="2078"/>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F99"/>
    <w:rsid w:val="00000B5B"/>
    <w:rsid w:val="00000BE1"/>
    <w:rsid w:val="00001943"/>
    <w:rsid w:val="00002208"/>
    <w:rsid w:val="000024AF"/>
    <w:rsid w:val="0000277E"/>
    <w:rsid w:val="00002C5F"/>
    <w:rsid w:val="00002DBA"/>
    <w:rsid w:val="00005CFE"/>
    <w:rsid w:val="00007637"/>
    <w:rsid w:val="00007DF8"/>
    <w:rsid w:val="00010DE4"/>
    <w:rsid w:val="00013ACD"/>
    <w:rsid w:val="00014605"/>
    <w:rsid w:val="000149CF"/>
    <w:rsid w:val="00020A44"/>
    <w:rsid w:val="00021023"/>
    <w:rsid w:val="00021BE3"/>
    <w:rsid w:val="0002228E"/>
    <w:rsid w:val="00023A8D"/>
    <w:rsid w:val="00024A7F"/>
    <w:rsid w:val="000253BF"/>
    <w:rsid w:val="00027443"/>
    <w:rsid w:val="00027C88"/>
    <w:rsid w:val="00030169"/>
    <w:rsid w:val="000327F8"/>
    <w:rsid w:val="00032DD4"/>
    <w:rsid w:val="00032F2C"/>
    <w:rsid w:val="00035B19"/>
    <w:rsid w:val="00037D41"/>
    <w:rsid w:val="00040D2E"/>
    <w:rsid w:val="0004246E"/>
    <w:rsid w:val="00042EEF"/>
    <w:rsid w:val="000442AF"/>
    <w:rsid w:val="00046213"/>
    <w:rsid w:val="0004694D"/>
    <w:rsid w:val="00046BCB"/>
    <w:rsid w:val="00046E92"/>
    <w:rsid w:val="00051782"/>
    <w:rsid w:val="00051882"/>
    <w:rsid w:val="00056A0A"/>
    <w:rsid w:val="00056ADE"/>
    <w:rsid w:val="00056D9A"/>
    <w:rsid w:val="000571BE"/>
    <w:rsid w:val="0006045B"/>
    <w:rsid w:val="0006066B"/>
    <w:rsid w:val="00060CE5"/>
    <w:rsid w:val="00061BA1"/>
    <w:rsid w:val="00062B38"/>
    <w:rsid w:val="00063C8D"/>
    <w:rsid w:val="00063C90"/>
    <w:rsid w:val="00063CDC"/>
    <w:rsid w:val="000653D6"/>
    <w:rsid w:val="00066917"/>
    <w:rsid w:val="00070000"/>
    <w:rsid w:val="00070516"/>
    <w:rsid w:val="00070F00"/>
    <w:rsid w:val="0007229C"/>
    <w:rsid w:val="000732B5"/>
    <w:rsid w:val="00073A05"/>
    <w:rsid w:val="00074140"/>
    <w:rsid w:val="00075AB0"/>
    <w:rsid w:val="00076A4E"/>
    <w:rsid w:val="00076B7F"/>
    <w:rsid w:val="00080139"/>
    <w:rsid w:val="00080CC5"/>
    <w:rsid w:val="00081872"/>
    <w:rsid w:val="0008537C"/>
    <w:rsid w:val="00086246"/>
    <w:rsid w:val="00086874"/>
    <w:rsid w:val="00087B27"/>
    <w:rsid w:val="00093122"/>
    <w:rsid w:val="000931AA"/>
    <w:rsid w:val="0009359E"/>
    <w:rsid w:val="00097BC4"/>
    <w:rsid w:val="000A01F9"/>
    <w:rsid w:val="000A0C8F"/>
    <w:rsid w:val="000A16C3"/>
    <w:rsid w:val="000A2DAB"/>
    <w:rsid w:val="000A34A8"/>
    <w:rsid w:val="000A681F"/>
    <w:rsid w:val="000A6900"/>
    <w:rsid w:val="000A6B19"/>
    <w:rsid w:val="000A7698"/>
    <w:rsid w:val="000B29E3"/>
    <w:rsid w:val="000B2FC2"/>
    <w:rsid w:val="000B3623"/>
    <w:rsid w:val="000B416F"/>
    <w:rsid w:val="000B4546"/>
    <w:rsid w:val="000B673B"/>
    <w:rsid w:val="000C0992"/>
    <w:rsid w:val="000C2ED1"/>
    <w:rsid w:val="000C42D2"/>
    <w:rsid w:val="000C4D95"/>
    <w:rsid w:val="000C5249"/>
    <w:rsid w:val="000C5E84"/>
    <w:rsid w:val="000C65F1"/>
    <w:rsid w:val="000D036A"/>
    <w:rsid w:val="000D18BE"/>
    <w:rsid w:val="000D4E05"/>
    <w:rsid w:val="000D5475"/>
    <w:rsid w:val="000D55FD"/>
    <w:rsid w:val="000E0598"/>
    <w:rsid w:val="000E1B24"/>
    <w:rsid w:val="000E239F"/>
    <w:rsid w:val="000E2E5F"/>
    <w:rsid w:val="000E3406"/>
    <w:rsid w:val="000E5F36"/>
    <w:rsid w:val="000E6A17"/>
    <w:rsid w:val="000E77E5"/>
    <w:rsid w:val="000F170F"/>
    <w:rsid w:val="000F1F16"/>
    <w:rsid w:val="000F248D"/>
    <w:rsid w:val="000F2658"/>
    <w:rsid w:val="000F3926"/>
    <w:rsid w:val="000F5A39"/>
    <w:rsid w:val="000F5A5F"/>
    <w:rsid w:val="001002F2"/>
    <w:rsid w:val="00100557"/>
    <w:rsid w:val="00100B72"/>
    <w:rsid w:val="0010125D"/>
    <w:rsid w:val="001014FF"/>
    <w:rsid w:val="00101B98"/>
    <w:rsid w:val="00104D66"/>
    <w:rsid w:val="0010560D"/>
    <w:rsid w:val="00105B6B"/>
    <w:rsid w:val="00107497"/>
    <w:rsid w:val="00110D13"/>
    <w:rsid w:val="00110D62"/>
    <w:rsid w:val="001129A1"/>
    <w:rsid w:val="001152A3"/>
    <w:rsid w:val="00115DC1"/>
    <w:rsid w:val="00122649"/>
    <w:rsid w:val="00123673"/>
    <w:rsid w:val="001244CC"/>
    <w:rsid w:val="0012535B"/>
    <w:rsid w:val="00126FD2"/>
    <w:rsid w:val="0013011E"/>
    <w:rsid w:val="00130492"/>
    <w:rsid w:val="001320B0"/>
    <w:rsid w:val="0013226C"/>
    <w:rsid w:val="0013300C"/>
    <w:rsid w:val="00133937"/>
    <w:rsid w:val="00134798"/>
    <w:rsid w:val="0013578E"/>
    <w:rsid w:val="0013664E"/>
    <w:rsid w:val="001370E0"/>
    <w:rsid w:val="0014185C"/>
    <w:rsid w:val="00141914"/>
    <w:rsid w:val="0014225E"/>
    <w:rsid w:val="001425CC"/>
    <w:rsid w:val="00144B9A"/>
    <w:rsid w:val="0014547A"/>
    <w:rsid w:val="0014616B"/>
    <w:rsid w:val="0014710E"/>
    <w:rsid w:val="0015012D"/>
    <w:rsid w:val="001514D1"/>
    <w:rsid w:val="00151D47"/>
    <w:rsid w:val="00151DAE"/>
    <w:rsid w:val="0015240F"/>
    <w:rsid w:val="00152F76"/>
    <w:rsid w:val="00153FBA"/>
    <w:rsid w:val="0015426D"/>
    <w:rsid w:val="00156F9C"/>
    <w:rsid w:val="00160250"/>
    <w:rsid w:val="00160551"/>
    <w:rsid w:val="00161307"/>
    <w:rsid w:val="00163FB8"/>
    <w:rsid w:val="00166ABA"/>
    <w:rsid w:val="00170498"/>
    <w:rsid w:val="001707B1"/>
    <w:rsid w:val="00170CB8"/>
    <w:rsid w:val="001752A9"/>
    <w:rsid w:val="00177812"/>
    <w:rsid w:val="001806B2"/>
    <w:rsid w:val="001814C1"/>
    <w:rsid w:val="001827F6"/>
    <w:rsid w:val="0018445A"/>
    <w:rsid w:val="00186F0A"/>
    <w:rsid w:val="001926B9"/>
    <w:rsid w:val="00194020"/>
    <w:rsid w:val="0019442C"/>
    <w:rsid w:val="001948F1"/>
    <w:rsid w:val="00195DCC"/>
    <w:rsid w:val="001966B8"/>
    <w:rsid w:val="00196F59"/>
    <w:rsid w:val="001A0284"/>
    <w:rsid w:val="001A0CA3"/>
    <w:rsid w:val="001A48F4"/>
    <w:rsid w:val="001A6579"/>
    <w:rsid w:val="001A7442"/>
    <w:rsid w:val="001A7A0F"/>
    <w:rsid w:val="001B1415"/>
    <w:rsid w:val="001B3393"/>
    <w:rsid w:val="001C02BA"/>
    <w:rsid w:val="001C0B3B"/>
    <w:rsid w:val="001C3532"/>
    <w:rsid w:val="001C5444"/>
    <w:rsid w:val="001C628A"/>
    <w:rsid w:val="001C6A57"/>
    <w:rsid w:val="001D0C7D"/>
    <w:rsid w:val="001D112E"/>
    <w:rsid w:val="001D210A"/>
    <w:rsid w:val="001D46AA"/>
    <w:rsid w:val="001E020C"/>
    <w:rsid w:val="001E083A"/>
    <w:rsid w:val="001E257A"/>
    <w:rsid w:val="001E2580"/>
    <w:rsid w:val="001E60E9"/>
    <w:rsid w:val="001E776A"/>
    <w:rsid w:val="001F0E3E"/>
    <w:rsid w:val="001F1094"/>
    <w:rsid w:val="001F4821"/>
    <w:rsid w:val="001F4CDB"/>
    <w:rsid w:val="001F775A"/>
    <w:rsid w:val="00200EBE"/>
    <w:rsid w:val="00201B46"/>
    <w:rsid w:val="002053CF"/>
    <w:rsid w:val="002055CF"/>
    <w:rsid w:val="00205755"/>
    <w:rsid w:val="002059A7"/>
    <w:rsid w:val="00207FB4"/>
    <w:rsid w:val="00210A09"/>
    <w:rsid w:val="00211B17"/>
    <w:rsid w:val="00213E14"/>
    <w:rsid w:val="0021488E"/>
    <w:rsid w:val="0021665E"/>
    <w:rsid w:val="002169B3"/>
    <w:rsid w:val="0022283F"/>
    <w:rsid w:val="00222C13"/>
    <w:rsid w:val="002254A9"/>
    <w:rsid w:val="00232205"/>
    <w:rsid w:val="00232690"/>
    <w:rsid w:val="0023290B"/>
    <w:rsid w:val="00233CA3"/>
    <w:rsid w:val="00233EEB"/>
    <w:rsid w:val="00234A64"/>
    <w:rsid w:val="002352B0"/>
    <w:rsid w:val="002360DB"/>
    <w:rsid w:val="00236444"/>
    <w:rsid w:val="00236E81"/>
    <w:rsid w:val="00244B59"/>
    <w:rsid w:val="00246DD9"/>
    <w:rsid w:val="00247C6E"/>
    <w:rsid w:val="00247E2C"/>
    <w:rsid w:val="002500C9"/>
    <w:rsid w:val="002503EC"/>
    <w:rsid w:val="00252E30"/>
    <w:rsid w:val="00253C68"/>
    <w:rsid w:val="0025458C"/>
    <w:rsid w:val="00254BAB"/>
    <w:rsid w:val="0025538E"/>
    <w:rsid w:val="00255BFE"/>
    <w:rsid w:val="00255FB8"/>
    <w:rsid w:val="00256BDF"/>
    <w:rsid w:val="002572BF"/>
    <w:rsid w:val="00261854"/>
    <w:rsid w:val="00262396"/>
    <w:rsid w:val="00262ADF"/>
    <w:rsid w:val="00265536"/>
    <w:rsid w:val="002656AC"/>
    <w:rsid w:val="00265FF0"/>
    <w:rsid w:val="00270704"/>
    <w:rsid w:val="002709BF"/>
    <w:rsid w:val="00271F75"/>
    <w:rsid w:val="002736D7"/>
    <w:rsid w:val="00275016"/>
    <w:rsid w:val="0027527A"/>
    <w:rsid w:val="00275EC5"/>
    <w:rsid w:val="002769C4"/>
    <w:rsid w:val="002776C9"/>
    <w:rsid w:val="00280ACB"/>
    <w:rsid w:val="0028109D"/>
    <w:rsid w:val="00282136"/>
    <w:rsid w:val="00282879"/>
    <w:rsid w:val="00283281"/>
    <w:rsid w:val="00283960"/>
    <w:rsid w:val="00283DEA"/>
    <w:rsid w:val="00283EFD"/>
    <w:rsid w:val="00283F2E"/>
    <w:rsid w:val="0028607E"/>
    <w:rsid w:val="00287D1A"/>
    <w:rsid w:val="002911B5"/>
    <w:rsid w:val="00291435"/>
    <w:rsid w:val="0029493C"/>
    <w:rsid w:val="002977C3"/>
    <w:rsid w:val="002A0AB1"/>
    <w:rsid w:val="002A3141"/>
    <w:rsid w:val="002A32CB"/>
    <w:rsid w:val="002A69CC"/>
    <w:rsid w:val="002A72A9"/>
    <w:rsid w:val="002B03A0"/>
    <w:rsid w:val="002B1848"/>
    <w:rsid w:val="002B20A4"/>
    <w:rsid w:val="002B324F"/>
    <w:rsid w:val="002B4204"/>
    <w:rsid w:val="002B646A"/>
    <w:rsid w:val="002B696D"/>
    <w:rsid w:val="002C2056"/>
    <w:rsid w:val="002C3516"/>
    <w:rsid w:val="002C3683"/>
    <w:rsid w:val="002C53F3"/>
    <w:rsid w:val="002D07D3"/>
    <w:rsid w:val="002D12F2"/>
    <w:rsid w:val="002D20F2"/>
    <w:rsid w:val="002D22D4"/>
    <w:rsid w:val="002D3E1A"/>
    <w:rsid w:val="002D4DB2"/>
    <w:rsid w:val="002D4F32"/>
    <w:rsid w:val="002D5B2C"/>
    <w:rsid w:val="002D6C53"/>
    <w:rsid w:val="002E08F7"/>
    <w:rsid w:val="002E4391"/>
    <w:rsid w:val="002E6649"/>
    <w:rsid w:val="002E6F96"/>
    <w:rsid w:val="002E75CC"/>
    <w:rsid w:val="002F5595"/>
    <w:rsid w:val="002F5741"/>
    <w:rsid w:val="002F6001"/>
    <w:rsid w:val="002F7051"/>
    <w:rsid w:val="002F742C"/>
    <w:rsid w:val="003007E3"/>
    <w:rsid w:val="003018B9"/>
    <w:rsid w:val="0030299A"/>
    <w:rsid w:val="00303AB8"/>
    <w:rsid w:val="00304C93"/>
    <w:rsid w:val="0030535B"/>
    <w:rsid w:val="003055D9"/>
    <w:rsid w:val="00306D65"/>
    <w:rsid w:val="00306EC6"/>
    <w:rsid w:val="00310982"/>
    <w:rsid w:val="00310A97"/>
    <w:rsid w:val="003112F9"/>
    <w:rsid w:val="003122CB"/>
    <w:rsid w:val="003145B4"/>
    <w:rsid w:val="0031580E"/>
    <w:rsid w:val="00316FAF"/>
    <w:rsid w:val="00320FB1"/>
    <w:rsid w:val="0032119D"/>
    <w:rsid w:val="003217B9"/>
    <w:rsid w:val="00321AB5"/>
    <w:rsid w:val="0032224B"/>
    <w:rsid w:val="003224C3"/>
    <w:rsid w:val="00322B60"/>
    <w:rsid w:val="00322BAE"/>
    <w:rsid w:val="003238DE"/>
    <w:rsid w:val="00323949"/>
    <w:rsid w:val="00323E48"/>
    <w:rsid w:val="00326B7A"/>
    <w:rsid w:val="0032750F"/>
    <w:rsid w:val="00327589"/>
    <w:rsid w:val="00327B28"/>
    <w:rsid w:val="00332776"/>
    <w:rsid w:val="00333310"/>
    <w:rsid w:val="00334F6A"/>
    <w:rsid w:val="00336CCE"/>
    <w:rsid w:val="0034110C"/>
    <w:rsid w:val="003417D4"/>
    <w:rsid w:val="00341E62"/>
    <w:rsid w:val="00342AC8"/>
    <w:rsid w:val="00343302"/>
    <w:rsid w:val="00344EC2"/>
    <w:rsid w:val="00345814"/>
    <w:rsid w:val="00345FCD"/>
    <w:rsid w:val="003474B4"/>
    <w:rsid w:val="00347F29"/>
    <w:rsid w:val="0035016F"/>
    <w:rsid w:val="003526A1"/>
    <w:rsid w:val="00352822"/>
    <w:rsid w:val="00352E5D"/>
    <w:rsid w:val="00353668"/>
    <w:rsid w:val="003537E5"/>
    <w:rsid w:val="00353F21"/>
    <w:rsid w:val="00354108"/>
    <w:rsid w:val="00354A1B"/>
    <w:rsid w:val="003574B3"/>
    <w:rsid w:val="0036222D"/>
    <w:rsid w:val="00364431"/>
    <w:rsid w:val="00364A83"/>
    <w:rsid w:val="00366BC5"/>
    <w:rsid w:val="0037076F"/>
    <w:rsid w:val="00373AAC"/>
    <w:rsid w:val="00373F2B"/>
    <w:rsid w:val="0037477C"/>
    <w:rsid w:val="0037590D"/>
    <w:rsid w:val="00382EC8"/>
    <w:rsid w:val="003831DD"/>
    <w:rsid w:val="003846B3"/>
    <w:rsid w:val="003867E7"/>
    <w:rsid w:val="00387775"/>
    <w:rsid w:val="00387983"/>
    <w:rsid w:val="00390E79"/>
    <w:rsid w:val="00393FD5"/>
    <w:rsid w:val="0039412A"/>
    <w:rsid w:val="00395E12"/>
    <w:rsid w:val="00396239"/>
    <w:rsid w:val="003979DE"/>
    <w:rsid w:val="003A0720"/>
    <w:rsid w:val="003A0D0D"/>
    <w:rsid w:val="003A1535"/>
    <w:rsid w:val="003A2072"/>
    <w:rsid w:val="003A371A"/>
    <w:rsid w:val="003A73A2"/>
    <w:rsid w:val="003A7621"/>
    <w:rsid w:val="003B0A2C"/>
    <w:rsid w:val="003B11E0"/>
    <w:rsid w:val="003B1228"/>
    <w:rsid w:val="003B4550"/>
    <w:rsid w:val="003B59D4"/>
    <w:rsid w:val="003B6650"/>
    <w:rsid w:val="003B6703"/>
    <w:rsid w:val="003B7865"/>
    <w:rsid w:val="003C0FA8"/>
    <w:rsid w:val="003C10A6"/>
    <w:rsid w:val="003C2397"/>
    <w:rsid w:val="003C2AA2"/>
    <w:rsid w:val="003C2D7E"/>
    <w:rsid w:val="003C4E68"/>
    <w:rsid w:val="003D0179"/>
    <w:rsid w:val="003D22E8"/>
    <w:rsid w:val="003D2A18"/>
    <w:rsid w:val="003D4804"/>
    <w:rsid w:val="003D58BD"/>
    <w:rsid w:val="003E112D"/>
    <w:rsid w:val="003E1585"/>
    <w:rsid w:val="003E18BB"/>
    <w:rsid w:val="003E1FB4"/>
    <w:rsid w:val="003E2283"/>
    <w:rsid w:val="003E2617"/>
    <w:rsid w:val="003E280D"/>
    <w:rsid w:val="003E41FD"/>
    <w:rsid w:val="003E5256"/>
    <w:rsid w:val="003F0FA7"/>
    <w:rsid w:val="003F346A"/>
    <w:rsid w:val="003F5D97"/>
    <w:rsid w:val="003F7522"/>
    <w:rsid w:val="00401386"/>
    <w:rsid w:val="00401BB8"/>
    <w:rsid w:val="00404783"/>
    <w:rsid w:val="00405CB8"/>
    <w:rsid w:val="004100AF"/>
    <w:rsid w:val="004108A6"/>
    <w:rsid w:val="00410975"/>
    <w:rsid w:val="004118C4"/>
    <w:rsid w:val="00413386"/>
    <w:rsid w:val="004135D1"/>
    <w:rsid w:val="004146CB"/>
    <w:rsid w:val="004149FA"/>
    <w:rsid w:val="00415A20"/>
    <w:rsid w:val="00416928"/>
    <w:rsid w:val="00420201"/>
    <w:rsid w:val="00421655"/>
    <w:rsid w:val="00421EAA"/>
    <w:rsid w:val="00424A67"/>
    <w:rsid w:val="00426215"/>
    <w:rsid w:val="004266A5"/>
    <w:rsid w:val="0042673B"/>
    <w:rsid w:val="0043076E"/>
    <w:rsid w:val="00431494"/>
    <w:rsid w:val="00431D5C"/>
    <w:rsid w:val="00440F74"/>
    <w:rsid w:val="00445E91"/>
    <w:rsid w:val="00451845"/>
    <w:rsid w:val="00455D27"/>
    <w:rsid w:val="00456259"/>
    <w:rsid w:val="0045697B"/>
    <w:rsid w:val="004573F2"/>
    <w:rsid w:val="00457AEE"/>
    <w:rsid w:val="00461253"/>
    <w:rsid w:val="0046161C"/>
    <w:rsid w:val="00462BF4"/>
    <w:rsid w:val="004633FF"/>
    <w:rsid w:val="0046503B"/>
    <w:rsid w:val="004651BE"/>
    <w:rsid w:val="00466181"/>
    <w:rsid w:val="00466CDF"/>
    <w:rsid w:val="004675F0"/>
    <w:rsid w:val="00472159"/>
    <w:rsid w:val="00472FA0"/>
    <w:rsid w:val="00474065"/>
    <w:rsid w:val="00477AE6"/>
    <w:rsid w:val="00477D71"/>
    <w:rsid w:val="00477DBF"/>
    <w:rsid w:val="00482680"/>
    <w:rsid w:val="00482797"/>
    <w:rsid w:val="00483A85"/>
    <w:rsid w:val="0048492D"/>
    <w:rsid w:val="004858F5"/>
    <w:rsid w:val="00487FAA"/>
    <w:rsid w:val="004903A7"/>
    <w:rsid w:val="00490F03"/>
    <w:rsid w:val="00496750"/>
    <w:rsid w:val="00496C5D"/>
    <w:rsid w:val="00497088"/>
    <w:rsid w:val="0049797F"/>
    <w:rsid w:val="004A2102"/>
    <w:rsid w:val="004A267F"/>
    <w:rsid w:val="004A2814"/>
    <w:rsid w:val="004A2E58"/>
    <w:rsid w:val="004A366D"/>
    <w:rsid w:val="004A6659"/>
    <w:rsid w:val="004A6DD9"/>
    <w:rsid w:val="004B0826"/>
    <w:rsid w:val="004B1D8B"/>
    <w:rsid w:val="004B28A5"/>
    <w:rsid w:val="004B466F"/>
    <w:rsid w:val="004B6C6F"/>
    <w:rsid w:val="004B7356"/>
    <w:rsid w:val="004B7739"/>
    <w:rsid w:val="004C0622"/>
    <w:rsid w:val="004C1136"/>
    <w:rsid w:val="004C12EE"/>
    <w:rsid w:val="004C1F3A"/>
    <w:rsid w:val="004C1FB2"/>
    <w:rsid w:val="004C2105"/>
    <w:rsid w:val="004C254C"/>
    <w:rsid w:val="004C4BC6"/>
    <w:rsid w:val="004C6813"/>
    <w:rsid w:val="004C68E9"/>
    <w:rsid w:val="004D08EA"/>
    <w:rsid w:val="004D31C4"/>
    <w:rsid w:val="004D3A08"/>
    <w:rsid w:val="004D4B30"/>
    <w:rsid w:val="004D6BEE"/>
    <w:rsid w:val="004D7417"/>
    <w:rsid w:val="004E2886"/>
    <w:rsid w:val="004E420D"/>
    <w:rsid w:val="004E4B2B"/>
    <w:rsid w:val="004E4E2F"/>
    <w:rsid w:val="004E5494"/>
    <w:rsid w:val="004E6755"/>
    <w:rsid w:val="004F1F1A"/>
    <w:rsid w:val="004F2E15"/>
    <w:rsid w:val="004F359A"/>
    <w:rsid w:val="004F497B"/>
    <w:rsid w:val="004F4CE8"/>
    <w:rsid w:val="004F4D59"/>
    <w:rsid w:val="004F563D"/>
    <w:rsid w:val="004F5852"/>
    <w:rsid w:val="004F73D0"/>
    <w:rsid w:val="004F7E4A"/>
    <w:rsid w:val="004F7EA5"/>
    <w:rsid w:val="005002E2"/>
    <w:rsid w:val="005042C2"/>
    <w:rsid w:val="005054EE"/>
    <w:rsid w:val="00510163"/>
    <w:rsid w:val="0051081B"/>
    <w:rsid w:val="00511464"/>
    <w:rsid w:val="005119E6"/>
    <w:rsid w:val="00512228"/>
    <w:rsid w:val="005136F1"/>
    <w:rsid w:val="00513FB5"/>
    <w:rsid w:val="00514F5B"/>
    <w:rsid w:val="0051588D"/>
    <w:rsid w:val="0051672C"/>
    <w:rsid w:val="00516B12"/>
    <w:rsid w:val="00516CA9"/>
    <w:rsid w:val="00517FAD"/>
    <w:rsid w:val="00522ED4"/>
    <w:rsid w:val="0052327B"/>
    <w:rsid w:val="00525E69"/>
    <w:rsid w:val="005270DE"/>
    <w:rsid w:val="00527A9E"/>
    <w:rsid w:val="00527E52"/>
    <w:rsid w:val="005308EB"/>
    <w:rsid w:val="0054372F"/>
    <w:rsid w:val="0054651A"/>
    <w:rsid w:val="005515AC"/>
    <w:rsid w:val="0055247B"/>
    <w:rsid w:val="00552606"/>
    <w:rsid w:val="0055442A"/>
    <w:rsid w:val="00556CE9"/>
    <w:rsid w:val="005600EC"/>
    <w:rsid w:val="00560D4E"/>
    <w:rsid w:val="00562BC1"/>
    <w:rsid w:val="00564C14"/>
    <w:rsid w:val="005659D2"/>
    <w:rsid w:val="00571CD7"/>
    <w:rsid w:val="00571E2F"/>
    <w:rsid w:val="00571EE6"/>
    <w:rsid w:val="00573186"/>
    <w:rsid w:val="00575124"/>
    <w:rsid w:val="00576106"/>
    <w:rsid w:val="0057773C"/>
    <w:rsid w:val="00581EDB"/>
    <w:rsid w:val="00582202"/>
    <w:rsid w:val="00583E25"/>
    <w:rsid w:val="00584CB1"/>
    <w:rsid w:val="005853CF"/>
    <w:rsid w:val="00585466"/>
    <w:rsid w:val="005869D3"/>
    <w:rsid w:val="005879D0"/>
    <w:rsid w:val="00587A8E"/>
    <w:rsid w:val="005901A0"/>
    <w:rsid w:val="0059043F"/>
    <w:rsid w:val="00593C13"/>
    <w:rsid w:val="00594CEA"/>
    <w:rsid w:val="00595DE5"/>
    <w:rsid w:val="00596C4F"/>
    <w:rsid w:val="005977F6"/>
    <w:rsid w:val="005A718C"/>
    <w:rsid w:val="005A71F9"/>
    <w:rsid w:val="005A7D96"/>
    <w:rsid w:val="005B0201"/>
    <w:rsid w:val="005B268F"/>
    <w:rsid w:val="005B4A7D"/>
    <w:rsid w:val="005B78B1"/>
    <w:rsid w:val="005B7E30"/>
    <w:rsid w:val="005C13E1"/>
    <w:rsid w:val="005C187D"/>
    <w:rsid w:val="005C21F4"/>
    <w:rsid w:val="005C2910"/>
    <w:rsid w:val="005C39B4"/>
    <w:rsid w:val="005C7170"/>
    <w:rsid w:val="005D0A61"/>
    <w:rsid w:val="005D0BEA"/>
    <w:rsid w:val="005D165E"/>
    <w:rsid w:val="005D1D76"/>
    <w:rsid w:val="005D2754"/>
    <w:rsid w:val="005D530A"/>
    <w:rsid w:val="005D5474"/>
    <w:rsid w:val="005D6783"/>
    <w:rsid w:val="005D7B1B"/>
    <w:rsid w:val="005D7F7F"/>
    <w:rsid w:val="005E03F3"/>
    <w:rsid w:val="005E44CA"/>
    <w:rsid w:val="005E60C9"/>
    <w:rsid w:val="005E6880"/>
    <w:rsid w:val="005E716E"/>
    <w:rsid w:val="005E794E"/>
    <w:rsid w:val="005F0FCA"/>
    <w:rsid w:val="005F22B5"/>
    <w:rsid w:val="005F3C77"/>
    <w:rsid w:val="005F3D2B"/>
    <w:rsid w:val="005F4C66"/>
    <w:rsid w:val="005F4EE1"/>
    <w:rsid w:val="005F6F26"/>
    <w:rsid w:val="006045BD"/>
    <w:rsid w:val="00604E0C"/>
    <w:rsid w:val="00605CA1"/>
    <w:rsid w:val="00606E79"/>
    <w:rsid w:val="0060711B"/>
    <w:rsid w:val="00610E01"/>
    <w:rsid w:val="0061256E"/>
    <w:rsid w:val="006129FB"/>
    <w:rsid w:val="00612FA2"/>
    <w:rsid w:val="00613ACE"/>
    <w:rsid w:val="00613F73"/>
    <w:rsid w:val="00614F14"/>
    <w:rsid w:val="00615622"/>
    <w:rsid w:val="00616B7B"/>
    <w:rsid w:val="006174BA"/>
    <w:rsid w:val="006202BF"/>
    <w:rsid w:val="00620397"/>
    <w:rsid w:val="0062134A"/>
    <w:rsid w:val="006221F3"/>
    <w:rsid w:val="00622289"/>
    <w:rsid w:val="00622384"/>
    <w:rsid w:val="0062265A"/>
    <w:rsid w:val="006227F6"/>
    <w:rsid w:val="0062495A"/>
    <w:rsid w:val="00625D65"/>
    <w:rsid w:val="0062693E"/>
    <w:rsid w:val="00626D5A"/>
    <w:rsid w:val="00633241"/>
    <w:rsid w:val="0063766B"/>
    <w:rsid w:val="00637945"/>
    <w:rsid w:val="0064016B"/>
    <w:rsid w:val="00641C84"/>
    <w:rsid w:val="006424E4"/>
    <w:rsid w:val="006439BD"/>
    <w:rsid w:val="006460EF"/>
    <w:rsid w:val="00646CE0"/>
    <w:rsid w:val="00646D62"/>
    <w:rsid w:val="006476E1"/>
    <w:rsid w:val="00647784"/>
    <w:rsid w:val="0065015E"/>
    <w:rsid w:val="006501F4"/>
    <w:rsid w:val="006515E7"/>
    <w:rsid w:val="0065174E"/>
    <w:rsid w:val="0065243B"/>
    <w:rsid w:val="00653E4A"/>
    <w:rsid w:val="006604DF"/>
    <w:rsid w:val="00660CB6"/>
    <w:rsid w:val="0066239A"/>
    <w:rsid w:val="00662CA1"/>
    <w:rsid w:val="00662CE9"/>
    <w:rsid w:val="006637CA"/>
    <w:rsid w:val="006637D6"/>
    <w:rsid w:val="006641CC"/>
    <w:rsid w:val="00666BF6"/>
    <w:rsid w:val="006714C1"/>
    <w:rsid w:val="00671529"/>
    <w:rsid w:val="006726F1"/>
    <w:rsid w:val="0067280A"/>
    <w:rsid w:val="0067415D"/>
    <w:rsid w:val="0067463B"/>
    <w:rsid w:val="00676254"/>
    <w:rsid w:val="006774FC"/>
    <w:rsid w:val="00677672"/>
    <w:rsid w:val="00677BE9"/>
    <w:rsid w:val="0068102E"/>
    <w:rsid w:val="00685D45"/>
    <w:rsid w:val="00687721"/>
    <w:rsid w:val="0069022F"/>
    <w:rsid w:val="00690855"/>
    <w:rsid w:val="00691744"/>
    <w:rsid w:val="00691FF9"/>
    <w:rsid w:val="00692CC8"/>
    <w:rsid w:val="00696F04"/>
    <w:rsid w:val="006A1698"/>
    <w:rsid w:val="006A2B14"/>
    <w:rsid w:val="006A2D54"/>
    <w:rsid w:val="006A530D"/>
    <w:rsid w:val="006A5F52"/>
    <w:rsid w:val="006B058D"/>
    <w:rsid w:val="006B0870"/>
    <w:rsid w:val="006B42F2"/>
    <w:rsid w:val="006B4315"/>
    <w:rsid w:val="006B588A"/>
    <w:rsid w:val="006B5902"/>
    <w:rsid w:val="006C0AF7"/>
    <w:rsid w:val="006C46A4"/>
    <w:rsid w:val="006C6254"/>
    <w:rsid w:val="006C7DFB"/>
    <w:rsid w:val="006D3F93"/>
    <w:rsid w:val="006D4D13"/>
    <w:rsid w:val="006D764B"/>
    <w:rsid w:val="006E0AD1"/>
    <w:rsid w:val="006E2E16"/>
    <w:rsid w:val="006E3BE4"/>
    <w:rsid w:val="006E5052"/>
    <w:rsid w:val="006E65C1"/>
    <w:rsid w:val="006E7B43"/>
    <w:rsid w:val="006F1EF5"/>
    <w:rsid w:val="006F21D3"/>
    <w:rsid w:val="006F4821"/>
    <w:rsid w:val="006F5ABC"/>
    <w:rsid w:val="006F6843"/>
    <w:rsid w:val="007024AF"/>
    <w:rsid w:val="007034A6"/>
    <w:rsid w:val="007041E0"/>
    <w:rsid w:val="007046FE"/>
    <w:rsid w:val="0070489D"/>
    <w:rsid w:val="007066C1"/>
    <w:rsid w:val="00706F26"/>
    <w:rsid w:val="00707160"/>
    <w:rsid w:val="00711C6B"/>
    <w:rsid w:val="007127B4"/>
    <w:rsid w:val="0071318C"/>
    <w:rsid w:val="00713C6C"/>
    <w:rsid w:val="00716B32"/>
    <w:rsid w:val="00716CED"/>
    <w:rsid w:val="00717170"/>
    <w:rsid w:val="007177D7"/>
    <w:rsid w:val="00717CF7"/>
    <w:rsid w:val="007200A1"/>
    <w:rsid w:val="00720DD3"/>
    <w:rsid w:val="00722DE9"/>
    <w:rsid w:val="0072318B"/>
    <w:rsid w:val="007268F9"/>
    <w:rsid w:val="00726B52"/>
    <w:rsid w:val="0073053D"/>
    <w:rsid w:val="007318B6"/>
    <w:rsid w:val="00732896"/>
    <w:rsid w:val="00735C21"/>
    <w:rsid w:val="00736D5C"/>
    <w:rsid w:val="00740050"/>
    <w:rsid w:val="007408C1"/>
    <w:rsid w:val="007418E2"/>
    <w:rsid w:val="00741A8B"/>
    <w:rsid w:val="00745498"/>
    <w:rsid w:val="00746BBC"/>
    <w:rsid w:val="00746D8C"/>
    <w:rsid w:val="00750282"/>
    <w:rsid w:val="00753AF6"/>
    <w:rsid w:val="00757137"/>
    <w:rsid w:val="00760A11"/>
    <w:rsid w:val="007632A5"/>
    <w:rsid w:val="007635BE"/>
    <w:rsid w:val="00763629"/>
    <w:rsid w:val="00763DAD"/>
    <w:rsid w:val="00764440"/>
    <w:rsid w:val="0076502F"/>
    <w:rsid w:val="0076613F"/>
    <w:rsid w:val="0076695D"/>
    <w:rsid w:val="007679E6"/>
    <w:rsid w:val="007703A7"/>
    <w:rsid w:val="0077101B"/>
    <w:rsid w:val="00771868"/>
    <w:rsid w:val="00771F0F"/>
    <w:rsid w:val="00772D2B"/>
    <w:rsid w:val="007739E9"/>
    <w:rsid w:val="007742CA"/>
    <w:rsid w:val="00777C64"/>
    <w:rsid w:val="0078118B"/>
    <w:rsid w:val="00781AC9"/>
    <w:rsid w:val="00781FD1"/>
    <w:rsid w:val="00782FE6"/>
    <w:rsid w:val="0078405F"/>
    <w:rsid w:val="0078486B"/>
    <w:rsid w:val="00792F03"/>
    <w:rsid w:val="007952B4"/>
    <w:rsid w:val="0079611F"/>
    <w:rsid w:val="00797CE0"/>
    <w:rsid w:val="007A3693"/>
    <w:rsid w:val="007A54E6"/>
    <w:rsid w:val="007A633E"/>
    <w:rsid w:val="007A64EA"/>
    <w:rsid w:val="007A7C0A"/>
    <w:rsid w:val="007B114E"/>
    <w:rsid w:val="007B1A93"/>
    <w:rsid w:val="007B2CD3"/>
    <w:rsid w:val="007B2F96"/>
    <w:rsid w:val="007B3D53"/>
    <w:rsid w:val="007B4EBC"/>
    <w:rsid w:val="007B4F43"/>
    <w:rsid w:val="007B5622"/>
    <w:rsid w:val="007B58F4"/>
    <w:rsid w:val="007B789B"/>
    <w:rsid w:val="007B7D75"/>
    <w:rsid w:val="007B7E1D"/>
    <w:rsid w:val="007C1837"/>
    <w:rsid w:val="007C1B0D"/>
    <w:rsid w:val="007C30E3"/>
    <w:rsid w:val="007C417D"/>
    <w:rsid w:val="007C4180"/>
    <w:rsid w:val="007C4CF7"/>
    <w:rsid w:val="007C52B0"/>
    <w:rsid w:val="007C6033"/>
    <w:rsid w:val="007D2074"/>
    <w:rsid w:val="007D27AB"/>
    <w:rsid w:val="007D3564"/>
    <w:rsid w:val="007D41B8"/>
    <w:rsid w:val="007D59FB"/>
    <w:rsid w:val="007D685F"/>
    <w:rsid w:val="007E136C"/>
    <w:rsid w:val="007E2A6F"/>
    <w:rsid w:val="007E33C4"/>
    <w:rsid w:val="007E3E9E"/>
    <w:rsid w:val="007E42F3"/>
    <w:rsid w:val="007E47DF"/>
    <w:rsid w:val="007E4B82"/>
    <w:rsid w:val="007F257D"/>
    <w:rsid w:val="007F26C7"/>
    <w:rsid w:val="007F43EC"/>
    <w:rsid w:val="007F4FEC"/>
    <w:rsid w:val="007F6C8E"/>
    <w:rsid w:val="0080113F"/>
    <w:rsid w:val="0080156F"/>
    <w:rsid w:val="00801723"/>
    <w:rsid w:val="00803315"/>
    <w:rsid w:val="00803343"/>
    <w:rsid w:val="008036F2"/>
    <w:rsid w:val="00805BC2"/>
    <w:rsid w:val="008069E5"/>
    <w:rsid w:val="00806C04"/>
    <w:rsid w:val="00807E58"/>
    <w:rsid w:val="0081157E"/>
    <w:rsid w:val="00811F70"/>
    <w:rsid w:val="008147C8"/>
    <w:rsid w:val="00814CF4"/>
    <w:rsid w:val="0081575B"/>
    <w:rsid w:val="00815DB2"/>
    <w:rsid w:val="00815FAE"/>
    <w:rsid w:val="0081753A"/>
    <w:rsid w:val="00817E77"/>
    <w:rsid w:val="00817E95"/>
    <w:rsid w:val="00821780"/>
    <w:rsid w:val="00821C4C"/>
    <w:rsid w:val="008221F7"/>
    <w:rsid w:val="00825419"/>
    <w:rsid w:val="0082551C"/>
    <w:rsid w:val="0082589A"/>
    <w:rsid w:val="00825E8C"/>
    <w:rsid w:val="00827591"/>
    <w:rsid w:val="008311A8"/>
    <w:rsid w:val="00831FF9"/>
    <w:rsid w:val="00832A80"/>
    <w:rsid w:val="00833243"/>
    <w:rsid w:val="008338D3"/>
    <w:rsid w:val="008340D6"/>
    <w:rsid w:val="00834B26"/>
    <w:rsid w:val="008350DD"/>
    <w:rsid w:val="0083580A"/>
    <w:rsid w:val="00835F99"/>
    <w:rsid w:val="00836359"/>
    <w:rsid w:val="008379BF"/>
    <w:rsid w:val="008412E8"/>
    <w:rsid w:val="0084230E"/>
    <w:rsid w:val="00842A33"/>
    <w:rsid w:val="008432DB"/>
    <w:rsid w:val="00843C07"/>
    <w:rsid w:val="00845BE8"/>
    <w:rsid w:val="00847021"/>
    <w:rsid w:val="00847725"/>
    <w:rsid w:val="00851039"/>
    <w:rsid w:val="00851A9F"/>
    <w:rsid w:val="00854677"/>
    <w:rsid w:val="00857D23"/>
    <w:rsid w:val="00860CE7"/>
    <w:rsid w:val="00860FD0"/>
    <w:rsid w:val="00863AE7"/>
    <w:rsid w:val="00864A1D"/>
    <w:rsid w:val="00866A50"/>
    <w:rsid w:val="00870187"/>
    <w:rsid w:val="00870701"/>
    <w:rsid w:val="008710D7"/>
    <w:rsid w:val="00871785"/>
    <w:rsid w:val="0087287B"/>
    <w:rsid w:val="00874690"/>
    <w:rsid w:val="008753FD"/>
    <w:rsid w:val="008759CA"/>
    <w:rsid w:val="00876829"/>
    <w:rsid w:val="00876BC5"/>
    <w:rsid w:val="00880A59"/>
    <w:rsid w:val="00881545"/>
    <w:rsid w:val="008825F5"/>
    <w:rsid w:val="0088272F"/>
    <w:rsid w:val="00882D17"/>
    <w:rsid w:val="00883965"/>
    <w:rsid w:val="00883B6B"/>
    <w:rsid w:val="00883D49"/>
    <w:rsid w:val="008841D2"/>
    <w:rsid w:val="00884F94"/>
    <w:rsid w:val="008851D8"/>
    <w:rsid w:val="008855EC"/>
    <w:rsid w:val="00885DD1"/>
    <w:rsid w:val="008871D0"/>
    <w:rsid w:val="008874A3"/>
    <w:rsid w:val="008924FA"/>
    <w:rsid w:val="00893053"/>
    <w:rsid w:val="00893132"/>
    <w:rsid w:val="00893AF5"/>
    <w:rsid w:val="008952A2"/>
    <w:rsid w:val="00896440"/>
    <w:rsid w:val="008A0200"/>
    <w:rsid w:val="008A3EF4"/>
    <w:rsid w:val="008A452A"/>
    <w:rsid w:val="008A4EF7"/>
    <w:rsid w:val="008A558D"/>
    <w:rsid w:val="008A73B5"/>
    <w:rsid w:val="008B24F2"/>
    <w:rsid w:val="008B339F"/>
    <w:rsid w:val="008B6083"/>
    <w:rsid w:val="008B7010"/>
    <w:rsid w:val="008B73F0"/>
    <w:rsid w:val="008B7770"/>
    <w:rsid w:val="008B7E61"/>
    <w:rsid w:val="008C035F"/>
    <w:rsid w:val="008C165E"/>
    <w:rsid w:val="008C2774"/>
    <w:rsid w:val="008C528B"/>
    <w:rsid w:val="008C5DF2"/>
    <w:rsid w:val="008C75E4"/>
    <w:rsid w:val="008C7FE7"/>
    <w:rsid w:val="008D021E"/>
    <w:rsid w:val="008D0C11"/>
    <w:rsid w:val="008D142F"/>
    <w:rsid w:val="008D1D03"/>
    <w:rsid w:val="008D36DF"/>
    <w:rsid w:val="008D4982"/>
    <w:rsid w:val="008D58BB"/>
    <w:rsid w:val="008D5B2A"/>
    <w:rsid w:val="008E0B11"/>
    <w:rsid w:val="008E1209"/>
    <w:rsid w:val="008E3767"/>
    <w:rsid w:val="008E4F58"/>
    <w:rsid w:val="008F0880"/>
    <w:rsid w:val="008F351C"/>
    <w:rsid w:val="008F42BA"/>
    <w:rsid w:val="008F4575"/>
    <w:rsid w:val="008F464A"/>
    <w:rsid w:val="008F4B7F"/>
    <w:rsid w:val="008F5AE6"/>
    <w:rsid w:val="008F662F"/>
    <w:rsid w:val="008F693E"/>
    <w:rsid w:val="0090316F"/>
    <w:rsid w:val="009037D8"/>
    <w:rsid w:val="00904CA9"/>
    <w:rsid w:val="00904D71"/>
    <w:rsid w:val="009056EF"/>
    <w:rsid w:val="00905CEC"/>
    <w:rsid w:val="00911F3B"/>
    <w:rsid w:val="00911FCA"/>
    <w:rsid w:val="0091231D"/>
    <w:rsid w:val="00912ACF"/>
    <w:rsid w:val="00912F81"/>
    <w:rsid w:val="00915415"/>
    <w:rsid w:val="009162A1"/>
    <w:rsid w:val="00916DCB"/>
    <w:rsid w:val="0091703A"/>
    <w:rsid w:val="009171EC"/>
    <w:rsid w:val="00917BB5"/>
    <w:rsid w:val="00917DAD"/>
    <w:rsid w:val="00921F72"/>
    <w:rsid w:val="00922867"/>
    <w:rsid w:val="0092379F"/>
    <w:rsid w:val="009241A0"/>
    <w:rsid w:val="00924845"/>
    <w:rsid w:val="00927086"/>
    <w:rsid w:val="009303B7"/>
    <w:rsid w:val="00932426"/>
    <w:rsid w:val="00932A20"/>
    <w:rsid w:val="00934C17"/>
    <w:rsid w:val="00934DED"/>
    <w:rsid w:val="009355A6"/>
    <w:rsid w:val="0093658E"/>
    <w:rsid w:val="00936C52"/>
    <w:rsid w:val="00936DDA"/>
    <w:rsid w:val="00940DEE"/>
    <w:rsid w:val="009411B4"/>
    <w:rsid w:val="00945D11"/>
    <w:rsid w:val="00946F1D"/>
    <w:rsid w:val="009470BC"/>
    <w:rsid w:val="00947818"/>
    <w:rsid w:val="00951CE6"/>
    <w:rsid w:val="00954443"/>
    <w:rsid w:val="009544BE"/>
    <w:rsid w:val="00957201"/>
    <w:rsid w:val="00960002"/>
    <w:rsid w:val="00960F3C"/>
    <w:rsid w:val="00960FFD"/>
    <w:rsid w:val="009618F4"/>
    <w:rsid w:val="00963F84"/>
    <w:rsid w:val="0096539D"/>
    <w:rsid w:val="009668B8"/>
    <w:rsid w:val="009705B3"/>
    <w:rsid w:val="00971333"/>
    <w:rsid w:val="00971B25"/>
    <w:rsid w:val="00971F38"/>
    <w:rsid w:val="00974E68"/>
    <w:rsid w:val="00976938"/>
    <w:rsid w:val="00976D93"/>
    <w:rsid w:val="00980A2C"/>
    <w:rsid w:val="00980D4D"/>
    <w:rsid w:val="00980E47"/>
    <w:rsid w:val="00984F47"/>
    <w:rsid w:val="00984FEE"/>
    <w:rsid w:val="00985812"/>
    <w:rsid w:val="00985C18"/>
    <w:rsid w:val="0098645D"/>
    <w:rsid w:val="009865A2"/>
    <w:rsid w:val="00986F0D"/>
    <w:rsid w:val="0099003F"/>
    <w:rsid w:val="0099017A"/>
    <w:rsid w:val="009907D9"/>
    <w:rsid w:val="00991FB1"/>
    <w:rsid w:val="009931BA"/>
    <w:rsid w:val="009946CB"/>
    <w:rsid w:val="009965AB"/>
    <w:rsid w:val="009966DF"/>
    <w:rsid w:val="00996B96"/>
    <w:rsid w:val="009A091A"/>
    <w:rsid w:val="009A1B65"/>
    <w:rsid w:val="009A1C4B"/>
    <w:rsid w:val="009A1D01"/>
    <w:rsid w:val="009A3FFD"/>
    <w:rsid w:val="009A4610"/>
    <w:rsid w:val="009A7485"/>
    <w:rsid w:val="009B1527"/>
    <w:rsid w:val="009B3B1C"/>
    <w:rsid w:val="009B4F3E"/>
    <w:rsid w:val="009B606D"/>
    <w:rsid w:val="009C04F0"/>
    <w:rsid w:val="009C0782"/>
    <w:rsid w:val="009C2019"/>
    <w:rsid w:val="009C2846"/>
    <w:rsid w:val="009C3C4E"/>
    <w:rsid w:val="009C4CCD"/>
    <w:rsid w:val="009C71B6"/>
    <w:rsid w:val="009C7CBB"/>
    <w:rsid w:val="009D0139"/>
    <w:rsid w:val="009D0884"/>
    <w:rsid w:val="009D135F"/>
    <w:rsid w:val="009D1798"/>
    <w:rsid w:val="009D3CA5"/>
    <w:rsid w:val="009D5EC3"/>
    <w:rsid w:val="009D6B93"/>
    <w:rsid w:val="009D717D"/>
    <w:rsid w:val="009E01FD"/>
    <w:rsid w:val="009E03EB"/>
    <w:rsid w:val="009E0B5E"/>
    <w:rsid w:val="009E1285"/>
    <w:rsid w:val="009E1D49"/>
    <w:rsid w:val="009E2515"/>
    <w:rsid w:val="009E3119"/>
    <w:rsid w:val="009E3C48"/>
    <w:rsid w:val="009F30F0"/>
    <w:rsid w:val="009F3BA2"/>
    <w:rsid w:val="009F501F"/>
    <w:rsid w:val="009F5865"/>
    <w:rsid w:val="009F5CDC"/>
    <w:rsid w:val="009F733C"/>
    <w:rsid w:val="009F7FF6"/>
    <w:rsid w:val="00A002D3"/>
    <w:rsid w:val="00A01F95"/>
    <w:rsid w:val="00A03D9E"/>
    <w:rsid w:val="00A03FFD"/>
    <w:rsid w:val="00A040A2"/>
    <w:rsid w:val="00A0443B"/>
    <w:rsid w:val="00A072D7"/>
    <w:rsid w:val="00A07370"/>
    <w:rsid w:val="00A07F63"/>
    <w:rsid w:val="00A11272"/>
    <w:rsid w:val="00A12440"/>
    <w:rsid w:val="00A13E95"/>
    <w:rsid w:val="00A14C1C"/>
    <w:rsid w:val="00A157B1"/>
    <w:rsid w:val="00A1601B"/>
    <w:rsid w:val="00A17368"/>
    <w:rsid w:val="00A2136F"/>
    <w:rsid w:val="00A218B3"/>
    <w:rsid w:val="00A2241A"/>
    <w:rsid w:val="00A236AB"/>
    <w:rsid w:val="00A237E8"/>
    <w:rsid w:val="00A2641E"/>
    <w:rsid w:val="00A27162"/>
    <w:rsid w:val="00A27E44"/>
    <w:rsid w:val="00A32E1B"/>
    <w:rsid w:val="00A35F38"/>
    <w:rsid w:val="00A36644"/>
    <w:rsid w:val="00A37832"/>
    <w:rsid w:val="00A405B7"/>
    <w:rsid w:val="00A40924"/>
    <w:rsid w:val="00A41848"/>
    <w:rsid w:val="00A41B3D"/>
    <w:rsid w:val="00A43177"/>
    <w:rsid w:val="00A439DD"/>
    <w:rsid w:val="00A44DEE"/>
    <w:rsid w:val="00A45166"/>
    <w:rsid w:val="00A45D7A"/>
    <w:rsid w:val="00A467ED"/>
    <w:rsid w:val="00A51F18"/>
    <w:rsid w:val="00A537FC"/>
    <w:rsid w:val="00A53877"/>
    <w:rsid w:val="00A5506C"/>
    <w:rsid w:val="00A56F43"/>
    <w:rsid w:val="00A61E6F"/>
    <w:rsid w:val="00A62530"/>
    <w:rsid w:val="00A62B9D"/>
    <w:rsid w:val="00A6379D"/>
    <w:rsid w:val="00A708BE"/>
    <w:rsid w:val="00A712F0"/>
    <w:rsid w:val="00A7138F"/>
    <w:rsid w:val="00A7151F"/>
    <w:rsid w:val="00A7437C"/>
    <w:rsid w:val="00A757D6"/>
    <w:rsid w:val="00A75A97"/>
    <w:rsid w:val="00A76A49"/>
    <w:rsid w:val="00A76C72"/>
    <w:rsid w:val="00A775CF"/>
    <w:rsid w:val="00A779F6"/>
    <w:rsid w:val="00A81134"/>
    <w:rsid w:val="00A81209"/>
    <w:rsid w:val="00A81A5F"/>
    <w:rsid w:val="00A81C62"/>
    <w:rsid w:val="00A820BB"/>
    <w:rsid w:val="00A875B7"/>
    <w:rsid w:val="00A950EA"/>
    <w:rsid w:val="00A95C6D"/>
    <w:rsid w:val="00A95CD8"/>
    <w:rsid w:val="00A960B4"/>
    <w:rsid w:val="00A96701"/>
    <w:rsid w:val="00A96C5C"/>
    <w:rsid w:val="00A96D99"/>
    <w:rsid w:val="00A96F04"/>
    <w:rsid w:val="00AA0E57"/>
    <w:rsid w:val="00AA20F7"/>
    <w:rsid w:val="00AA2719"/>
    <w:rsid w:val="00AA298B"/>
    <w:rsid w:val="00AA3EA4"/>
    <w:rsid w:val="00AA3EA5"/>
    <w:rsid w:val="00AA4011"/>
    <w:rsid w:val="00AA48F9"/>
    <w:rsid w:val="00AA4F71"/>
    <w:rsid w:val="00AA5801"/>
    <w:rsid w:val="00AA5F15"/>
    <w:rsid w:val="00AA6668"/>
    <w:rsid w:val="00AB2057"/>
    <w:rsid w:val="00AB2092"/>
    <w:rsid w:val="00AB278C"/>
    <w:rsid w:val="00AB3566"/>
    <w:rsid w:val="00AB46FB"/>
    <w:rsid w:val="00AB5EAA"/>
    <w:rsid w:val="00AB794B"/>
    <w:rsid w:val="00AB7A34"/>
    <w:rsid w:val="00AB7E53"/>
    <w:rsid w:val="00AC0D04"/>
    <w:rsid w:val="00AC122D"/>
    <w:rsid w:val="00AC2B66"/>
    <w:rsid w:val="00AC4273"/>
    <w:rsid w:val="00AC434C"/>
    <w:rsid w:val="00AC48B1"/>
    <w:rsid w:val="00AC6749"/>
    <w:rsid w:val="00AC70A1"/>
    <w:rsid w:val="00AD0E8B"/>
    <w:rsid w:val="00AD1A9C"/>
    <w:rsid w:val="00AD2C94"/>
    <w:rsid w:val="00AD5851"/>
    <w:rsid w:val="00AD7E41"/>
    <w:rsid w:val="00AE06C7"/>
    <w:rsid w:val="00AE0976"/>
    <w:rsid w:val="00AE0F0B"/>
    <w:rsid w:val="00AE0F86"/>
    <w:rsid w:val="00AE10B4"/>
    <w:rsid w:val="00AE4FBF"/>
    <w:rsid w:val="00AE5764"/>
    <w:rsid w:val="00AE7730"/>
    <w:rsid w:val="00AF4D76"/>
    <w:rsid w:val="00AF5DE1"/>
    <w:rsid w:val="00AF667A"/>
    <w:rsid w:val="00AF714B"/>
    <w:rsid w:val="00AF7A87"/>
    <w:rsid w:val="00B018E9"/>
    <w:rsid w:val="00B02A39"/>
    <w:rsid w:val="00B02F24"/>
    <w:rsid w:val="00B03C0A"/>
    <w:rsid w:val="00B06045"/>
    <w:rsid w:val="00B07BB8"/>
    <w:rsid w:val="00B10691"/>
    <w:rsid w:val="00B12214"/>
    <w:rsid w:val="00B13776"/>
    <w:rsid w:val="00B14B80"/>
    <w:rsid w:val="00B167F4"/>
    <w:rsid w:val="00B206DD"/>
    <w:rsid w:val="00B21A94"/>
    <w:rsid w:val="00B226AB"/>
    <w:rsid w:val="00B234DC"/>
    <w:rsid w:val="00B31CF5"/>
    <w:rsid w:val="00B337B0"/>
    <w:rsid w:val="00B33D2A"/>
    <w:rsid w:val="00B3573B"/>
    <w:rsid w:val="00B4003D"/>
    <w:rsid w:val="00B40BAB"/>
    <w:rsid w:val="00B40C1B"/>
    <w:rsid w:val="00B41C26"/>
    <w:rsid w:val="00B43D42"/>
    <w:rsid w:val="00B446F9"/>
    <w:rsid w:val="00B4492A"/>
    <w:rsid w:val="00B466DB"/>
    <w:rsid w:val="00B47FAD"/>
    <w:rsid w:val="00B513FE"/>
    <w:rsid w:val="00B52EF4"/>
    <w:rsid w:val="00B53D6C"/>
    <w:rsid w:val="00B5588A"/>
    <w:rsid w:val="00B55E72"/>
    <w:rsid w:val="00B612A4"/>
    <w:rsid w:val="00B626D9"/>
    <w:rsid w:val="00B62BCF"/>
    <w:rsid w:val="00B62E0B"/>
    <w:rsid w:val="00B63826"/>
    <w:rsid w:val="00B659CA"/>
    <w:rsid w:val="00B663F4"/>
    <w:rsid w:val="00B67AFD"/>
    <w:rsid w:val="00B70F83"/>
    <w:rsid w:val="00B7139D"/>
    <w:rsid w:val="00B71BC6"/>
    <w:rsid w:val="00B72DD5"/>
    <w:rsid w:val="00B734CA"/>
    <w:rsid w:val="00B73E8E"/>
    <w:rsid w:val="00B753AC"/>
    <w:rsid w:val="00B7772A"/>
    <w:rsid w:val="00B777AD"/>
    <w:rsid w:val="00B8066C"/>
    <w:rsid w:val="00B80DE0"/>
    <w:rsid w:val="00B81ECE"/>
    <w:rsid w:val="00B82DCB"/>
    <w:rsid w:val="00B84092"/>
    <w:rsid w:val="00B840F5"/>
    <w:rsid w:val="00B8494E"/>
    <w:rsid w:val="00B90633"/>
    <w:rsid w:val="00B90CA5"/>
    <w:rsid w:val="00B92D32"/>
    <w:rsid w:val="00B930E8"/>
    <w:rsid w:val="00B93FFC"/>
    <w:rsid w:val="00B9559E"/>
    <w:rsid w:val="00B95853"/>
    <w:rsid w:val="00B96908"/>
    <w:rsid w:val="00B96C6F"/>
    <w:rsid w:val="00B97319"/>
    <w:rsid w:val="00BA0B10"/>
    <w:rsid w:val="00BA18FA"/>
    <w:rsid w:val="00BA3539"/>
    <w:rsid w:val="00BA60EB"/>
    <w:rsid w:val="00BA78B1"/>
    <w:rsid w:val="00BB0231"/>
    <w:rsid w:val="00BB0266"/>
    <w:rsid w:val="00BB0581"/>
    <w:rsid w:val="00BB2383"/>
    <w:rsid w:val="00BB30BD"/>
    <w:rsid w:val="00BB3C1D"/>
    <w:rsid w:val="00BB3D1F"/>
    <w:rsid w:val="00BB3DB3"/>
    <w:rsid w:val="00BB4704"/>
    <w:rsid w:val="00BB69E8"/>
    <w:rsid w:val="00BB7078"/>
    <w:rsid w:val="00BB70DB"/>
    <w:rsid w:val="00BC375D"/>
    <w:rsid w:val="00BC42F9"/>
    <w:rsid w:val="00BC490E"/>
    <w:rsid w:val="00BC4E8F"/>
    <w:rsid w:val="00BD0184"/>
    <w:rsid w:val="00BD0D09"/>
    <w:rsid w:val="00BD18C9"/>
    <w:rsid w:val="00BD29D9"/>
    <w:rsid w:val="00BD4154"/>
    <w:rsid w:val="00BD534D"/>
    <w:rsid w:val="00BD55DA"/>
    <w:rsid w:val="00BD5F04"/>
    <w:rsid w:val="00BD7CBA"/>
    <w:rsid w:val="00BE1E39"/>
    <w:rsid w:val="00BE4007"/>
    <w:rsid w:val="00BE7D5C"/>
    <w:rsid w:val="00BF171C"/>
    <w:rsid w:val="00BF30E7"/>
    <w:rsid w:val="00BF3220"/>
    <w:rsid w:val="00BF4314"/>
    <w:rsid w:val="00BF4C8D"/>
    <w:rsid w:val="00BF66EA"/>
    <w:rsid w:val="00C03015"/>
    <w:rsid w:val="00C0358D"/>
    <w:rsid w:val="00C037B4"/>
    <w:rsid w:val="00C06098"/>
    <w:rsid w:val="00C06C9C"/>
    <w:rsid w:val="00C115EC"/>
    <w:rsid w:val="00C1403F"/>
    <w:rsid w:val="00C140FD"/>
    <w:rsid w:val="00C16E69"/>
    <w:rsid w:val="00C177C3"/>
    <w:rsid w:val="00C17E19"/>
    <w:rsid w:val="00C204FE"/>
    <w:rsid w:val="00C20C1B"/>
    <w:rsid w:val="00C22036"/>
    <w:rsid w:val="00C264B0"/>
    <w:rsid w:val="00C3030C"/>
    <w:rsid w:val="00C30B0F"/>
    <w:rsid w:val="00C313E8"/>
    <w:rsid w:val="00C316B1"/>
    <w:rsid w:val="00C32B51"/>
    <w:rsid w:val="00C34B0B"/>
    <w:rsid w:val="00C35A27"/>
    <w:rsid w:val="00C401A7"/>
    <w:rsid w:val="00C4128B"/>
    <w:rsid w:val="00C437BB"/>
    <w:rsid w:val="00C45940"/>
    <w:rsid w:val="00C47B2E"/>
    <w:rsid w:val="00C51C12"/>
    <w:rsid w:val="00C53CDE"/>
    <w:rsid w:val="00C54843"/>
    <w:rsid w:val="00C55212"/>
    <w:rsid w:val="00C55C33"/>
    <w:rsid w:val="00C57629"/>
    <w:rsid w:val="00C57F0E"/>
    <w:rsid w:val="00C61ADF"/>
    <w:rsid w:val="00C63D92"/>
    <w:rsid w:val="00C64C44"/>
    <w:rsid w:val="00C707D9"/>
    <w:rsid w:val="00C7082C"/>
    <w:rsid w:val="00C733C1"/>
    <w:rsid w:val="00C75A8D"/>
    <w:rsid w:val="00C776F2"/>
    <w:rsid w:val="00C777B3"/>
    <w:rsid w:val="00C80296"/>
    <w:rsid w:val="00C81CCE"/>
    <w:rsid w:val="00C8303F"/>
    <w:rsid w:val="00C87CE7"/>
    <w:rsid w:val="00C87DA5"/>
    <w:rsid w:val="00C87ECF"/>
    <w:rsid w:val="00C91105"/>
    <w:rsid w:val="00C9240B"/>
    <w:rsid w:val="00C93286"/>
    <w:rsid w:val="00C93630"/>
    <w:rsid w:val="00C94778"/>
    <w:rsid w:val="00C94D8B"/>
    <w:rsid w:val="00C95496"/>
    <w:rsid w:val="00C97A6B"/>
    <w:rsid w:val="00C97D79"/>
    <w:rsid w:val="00CA0B1F"/>
    <w:rsid w:val="00CA0F85"/>
    <w:rsid w:val="00CA1352"/>
    <w:rsid w:val="00CA268A"/>
    <w:rsid w:val="00CA27E0"/>
    <w:rsid w:val="00CA4323"/>
    <w:rsid w:val="00CA5730"/>
    <w:rsid w:val="00CA5CDC"/>
    <w:rsid w:val="00CB0DB1"/>
    <w:rsid w:val="00CB3213"/>
    <w:rsid w:val="00CB3CAC"/>
    <w:rsid w:val="00CB4AE1"/>
    <w:rsid w:val="00CB50CB"/>
    <w:rsid w:val="00CB5776"/>
    <w:rsid w:val="00CB5EFE"/>
    <w:rsid w:val="00CB729C"/>
    <w:rsid w:val="00CC1246"/>
    <w:rsid w:val="00CC1825"/>
    <w:rsid w:val="00CC2340"/>
    <w:rsid w:val="00CC2BA9"/>
    <w:rsid w:val="00CC2D2F"/>
    <w:rsid w:val="00CC2D7D"/>
    <w:rsid w:val="00CC4FC2"/>
    <w:rsid w:val="00CC54A9"/>
    <w:rsid w:val="00CC7E41"/>
    <w:rsid w:val="00CD3B99"/>
    <w:rsid w:val="00CE0013"/>
    <w:rsid w:val="00CE07F1"/>
    <w:rsid w:val="00CE150F"/>
    <w:rsid w:val="00CE412A"/>
    <w:rsid w:val="00CF1DA9"/>
    <w:rsid w:val="00CF1E0F"/>
    <w:rsid w:val="00CF43A0"/>
    <w:rsid w:val="00CF5A5F"/>
    <w:rsid w:val="00CF73B7"/>
    <w:rsid w:val="00CF7C8A"/>
    <w:rsid w:val="00D02CC5"/>
    <w:rsid w:val="00D031DD"/>
    <w:rsid w:val="00D0446D"/>
    <w:rsid w:val="00D06049"/>
    <w:rsid w:val="00D063EE"/>
    <w:rsid w:val="00D06A04"/>
    <w:rsid w:val="00D0752F"/>
    <w:rsid w:val="00D106EC"/>
    <w:rsid w:val="00D10A6F"/>
    <w:rsid w:val="00D1292B"/>
    <w:rsid w:val="00D132B6"/>
    <w:rsid w:val="00D141A4"/>
    <w:rsid w:val="00D149E8"/>
    <w:rsid w:val="00D16FB2"/>
    <w:rsid w:val="00D16FE6"/>
    <w:rsid w:val="00D17E85"/>
    <w:rsid w:val="00D204A8"/>
    <w:rsid w:val="00D206E5"/>
    <w:rsid w:val="00D20BA9"/>
    <w:rsid w:val="00D20DB8"/>
    <w:rsid w:val="00D2123D"/>
    <w:rsid w:val="00D216A4"/>
    <w:rsid w:val="00D23EB8"/>
    <w:rsid w:val="00D2410C"/>
    <w:rsid w:val="00D243FB"/>
    <w:rsid w:val="00D247B5"/>
    <w:rsid w:val="00D2514B"/>
    <w:rsid w:val="00D26852"/>
    <w:rsid w:val="00D2711A"/>
    <w:rsid w:val="00D30D75"/>
    <w:rsid w:val="00D319F8"/>
    <w:rsid w:val="00D33836"/>
    <w:rsid w:val="00D34FA0"/>
    <w:rsid w:val="00D35014"/>
    <w:rsid w:val="00D35E9C"/>
    <w:rsid w:val="00D36DE7"/>
    <w:rsid w:val="00D371E3"/>
    <w:rsid w:val="00D40F70"/>
    <w:rsid w:val="00D42100"/>
    <w:rsid w:val="00D4229D"/>
    <w:rsid w:val="00D43DC0"/>
    <w:rsid w:val="00D4439F"/>
    <w:rsid w:val="00D45898"/>
    <w:rsid w:val="00D46D5E"/>
    <w:rsid w:val="00D5052E"/>
    <w:rsid w:val="00D5171F"/>
    <w:rsid w:val="00D51EE9"/>
    <w:rsid w:val="00D5293C"/>
    <w:rsid w:val="00D53B5C"/>
    <w:rsid w:val="00D54120"/>
    <w:rsid w:val="00D5525A"/>
    <w:rsid w:val="00D56CE7"/>
    <w:rsid w:val="00D571A3"/>
    <w:rsid w:val="00D57612"/>
    <w:rsid w:val="00D579F3"/>
    <w:rsid w:val="00D63751"/>
    <w:rsid w:val="00D63CD2"/>
    <w:rsid w:val="00D648E1"/>
    <w:rsid w:val="00D651F0"/>
    <w:rsid w:val="00D65777"/>
    <w:rsid w:val="00D65A65"/>
    <w:rsid w:val="00D6703F"/>
    <w:rsid w:val="00D728A5"/>
    <w:rsid w:val="00D73959"/>
    <w:rsid w:val="00D73F0C"/>
    <w:rsid w:val="00D760A0"/>
    <w:rsid w:val="00D765DB"/>
    <w:rsid w:val="00D76CF7"/>
    <w:rsid w:val="00D7719E"/>
    <w:rsid w:val="00D77326"/>
    <w:rsid w:val="00D773F7"/>
    <w:rsid w:val="00D7764E"/>
    <w:rsid w:val="00D77B67"/>
    <w:rsid w:val="00D8097A"/>
    <w:rsid w:val="00D80E49"/>
    <w:rsid w:val="00D82E62"/>
    <w:rsid w:val="00D86F4F"/>
    <w:rsid w:val="00D87D3F"/>
    <w:rsid w:val="00D87DC2"/>
    <w:rsid w:val="00D9047C"/>
    <w:rsid w:val="00D909E0"/>
    <w:rsid w:val="00D90EB9"/>
    <w:rsid w:val="00D9105C"/>
    <w:rsid w:val="00D918AF"/>
    <w:rsid w:val="00D91DBE"/>
    <w:rsid w:val="00D93887"/>
    <w:rsid w:val="00D94409"/>
    <w:rsid w:val="00D94B05"/>
    <w:rsid w:val="00DA23A7"/>
    <w:rsid w:val="00DA240C"/>
    <w:rsid w:val="00DA4D71"/>
    <w:rsid w:val="00DA532C"/>
    <w:rsid w:val="00DA66C8"/>
    <w:rsid w:val="00DA7DDA"/>
    <w:rsid w:val="00DB27B9"/>
    <w:rsid w:val="00DB366A"/>
    <w:rsid w:val="00DB4E06"/>
    <w:rsid w:val="00DB4EC6"/>
    <w:rsid w:val="00DB4F22"/>
    <w:rsid w:val="00DB507A"/>
    <w:rsid w:val="00DB6A2A"/>
    <w:rsid w:val="00DC2909"/>
    <w:rsid w:val="00DC2A5F"/>
    <w:rsid w:val="00DC4889"/>
    <w:rsid w:val="00DC4D60"/>
    <w:rsid w:val="00DC5FD7"/>
    <w:rsid w:val="00DC7379"/>
    <w:rsid w:val="00DC76C6"/>
    <w:rsid w:val="00DC7F4E"/>
    <w:rsid w:val="00DD368B"/>
    <w:rsid w:val="00DD527F"/>
    <w:rsid w:val="00DD6083"/>
    <w:rsid w:val="00DD792F"/>
    <w:rsid w:val="00DE08E6"/>
    <w:rsid w:val="00DE3FE5"/>
    <w:rsid w:val="00DE58B1"/>
    <w:rsid w:val="00DE738A"/>
    <w:rsid w:val="00DF2284"/>
    <w:rsid w:val="00DF3ACF"/>
    <w:rsid w:val="00E00BDF"/>
    <w:rsid w:val="00E00F6C"/>
    <w:rsid w:val="00E010F4"/>
    <w:rsid w:val="00E02C2B"/>
    <w:rsid w:val="00E06734"/>
    <w:rsid w:val="00E06CC1"/>
    <w:rsid w:val="00E12022"/>
    <w:rsid w:val="00E12303"/>
    <w:rsid w:val="00E1314A"/>
    <w:rsid w:val="00E139AD"/>
    <w:rsid w:val="00E21018"/>
    <w:rsid w:val="00E2141C"/>
    <w:rsid w:val="00E21790"/>
    <w:rsid w:val="00E21C27"/>
    <w:rsid w:val="00E22BFD"/>
    <w:rsid w:val="00E24A03"/>
    <w:rsid w:val="00E26BCF"/>
    <w:rsid w:val="00E26D78"/>
    <w:rsid w:val="00E31527"/>
    <w:rsid w:val="00E34319"/>
    <w:rsid w:val="00E355FF"/>
    <w:rsid w:val="00E357B4"/>
    <w:rsid w:val="00E358DB"/>
    <w:rsid w:val="00E36BD9"/>
    <w:rsid w:val="00E37147"/>
    <w:rsid w:val="00E37FDA"/>
    <w:rsid w:val="00E408B6"/>
    <w:rsid w:val="00E41A8A"/>
    <w:rsid w:val="00E41B3F"/>
    <w:rsid w:val="00E42C9C"/>
    <w:rsid w:val="00E43D45"/>
    <w:rsid w:val="00E4486C"/>
    <w:rsid w:val="00E4519F"/>
    <w:rsid w:val="00E451BC"/>
    <w:rsid w:val="00E46835"/>
    <w:rsid w:val="00E468CE"/>
    <w:rsid w:val="00E46D40"/>
    <w:rsid w:val="00E47125"/>
    <w:rsid w:val="00E51777"/>
    <w:rsid w:val="00E52109"/>
    <w:rsid w:val="00E52D8A"/>
    <w:rsid w:val="00E53134"/>
    <w:rsid w:val="00E53598"/>
    <w:rsid w:val="00E53D39"/>
    <w:rsid w:val="00E53FE4"/>
    <w:rsid w:val="00E5456E"/>
    <w:rsid w:val="00E54759"/>
    <w:rsid w:val="00E54B90"/>
    <w:rsid w:val="00E54D89"/>
    <w:rsid w:val="00E54D8D"/>
    <w:rsid w:val="00E563AA"/>
    <w:rsid w:val="00E5661F"/>
    <w:rsid w:val="00E56D88"/>
    <w:rsid w:val="00E574F0"/>
    <w:rsid w:val="00E647E9"/>
    <w:rsid w:val="00E648B8"/>
    <w:rsid w:val="00E673E9"/>
    <w:rsid w:val="00E7470E"/>
    <w:rsid w:val="00E75317"/>
    <w:rsid w:val="00E76A00"/>
    <w:rsid w:val="00E76FA8"/>
    <w:rsid w:val="00E82DBE"/>
    <w:rsid w:val="00E832C2"/>
    <w:rsid w:val="00E84C90"/>
    <w:rsid w:val="00E86826"/>
    <w:rsid w:val="00E87903"/>
    <w:rsid w:val="00E90790"/>
    <w:rsid w:val="00E91467"/>
    <w:rsid w:val="00E92582"/>
    <w:rsid w:val="00E9499E"/>
    <w:rsid w:val="00EA0DD9"/>
    <w:rsid w:val="00EA1D51"/>
    <w:rsid w:val="00EA4197"/>
    <w:rsid w:val="00EA423B"/>
    <w:rsid w:val="00EA7D18"/>
    <w:rsid w:val="00EB077F"/>
    <w:rsid w:val="00EB0A40"/>
    <w:rsid w:val="00EB1495"/>
    <w:rsid w:val="00EB1B31"/>
    <w:rsid w:val="00EB1D30"/>
    <w:rsid w:val="00EB1FDB"/>
    <w:rsid w:val="00EB30E7"/>
    <w:rsid w:val="00EB321D"/>
    <w:rsid w:val="00EB43CF"/>
    <w:rsid w:val="00EB6FCC"/>
    <w:rsid w:val="00EC0CE6"/>
    <w:rsid w:val="00EC0D7C"/>
    <w:rsid w:val="00EC13D9"/>
    <w:rsid w:val="00EC2AD0"/>
    <w:rsid w:val="00EC41CB"/>
    <w:rsid w:val="00EC7C1D"/>
    <w:rsid w:val="00ED085B"/>
    <w:rsid w:val="00ED0EAC"/>
    <w:rsid w:val="00ED4B95"/>
    <w:rsid w:val="00ED5825"/>
    <w:rsid w:val="00ED6C48"/>
    <w:rsid w:val="00ED793E"/>
    <w:rsid w:val="00EE3045"/>
    <w:rsid w:val="00EE3BA6"/>
    <w:rsid w:val="00EE3EDC"/>
    <w:rsid w:val="00EE46EA"/>
    <w:rsid w:val="00EE58B5"/>
    <w:rsid w:val="00EE5F0F"/>
    <w:rsid w:val="00EE6EB6"/>
    <w:rsid w:val="00EF10AD"/>
    <w:rsid w:val="00EF6C73"/>
    <w:rsid w:val="00EF6DAC"/>
    <w:rsid w:val="00EF7F22"/>
    <w:rsid w:val="00F02969"/>
    <w:rsid w:val="00F02CB0"/>
    <w:rsid w:val="00F03B3B"/>
    <w:rsid w:val="00F03E7C"/>
    <w:rsid w:val="00F03F1D"/>
    <w:rsid w:val="00F03F58"/>
    <w:rsid w:val="00F04F17"/>
    <w:rsid w:val="00F051D8"/>
    <w:rsid w:val="00F0605C"/>
    <w:rsid w:val="00F10D98"/>
    <w:rsid w:val="00F1155F"/>
    <w:rsid w:val="00F11F64"/>
    <w:rsid w:val="00F123F0"/>
    <w:rsid w:val="00F13774"/>
    <w:rsid w:val="00F13D63"/>
    <w:rsid w:val="00F14AA0"/>
    <w:rsid w:val="00F15539"/>
    <w:rsid w:val="00F15EAB"/>
    <w:rsid w:val="00F16EAA"/>
    <w:rsid w:val="00F16FD6"/>
    <w:rsid w:val="00F1778C"/>
    <w:rsid w:val="00F17829"/>
    <w:rsid w:val="00F2152C"/>
    <w:rsid w:val="00F2211A"/>
    <w:rsid w:val="00F23D82"/>
    <w:rsid w:val="00F24E4C"/>
    <w:rsid w:val="00F310AE"/>
    <w:rsid w:val="00F32131"/>
    <w:rsid w:val="00F3269A"/>
    <w:rsid w:val="00F32847"/>
    <w:rsid w:val="00F32F35"/>
    <w:rsid w:val="00F33535"/>
    <w:rsid w:val="00F33FED"/>
    <w:rsid w:val="00F42F40"/>
    <w:rsid w:val="00F43536"/>
    <w:rsid w:val="00F43630"/>
    <w:rsid w:val="00F44368"/>
    <w:rsid w:val="00F466DA"/>
    <w:rsid w:val="00F46E52"/>
    <w:rsid w:val="00F47029"/>
    <w:rsid w:val="00F5037F"/>
    <w:rsid w:val="00F5094B"/>
    <w:rsid w:val="00F518D7"/>
    <w:rsid w:val="00F5223B"/>
    <w:rsid w:val="00F55414"/>
    <w:rsid w:val="00F564B4"/>
    <w:rsid w:val="00F56B65"/>
    <w:rsid w:val="00F56C8E"/>
    <w:rsid w:val="00F570D3"/>
    <w:rsid w:val="00F5758D"/>
    <w:rsid w:val="00F57F04"/>
    <w:rsid w:val="00F61B39"/>
    <w:rsid w:val="00F6299A"/>
    <w:rsid w:val="00F648E5"/>
    <w:rsid w:val="00F64AE6"/>
    <w:rsid w:val="00F65F5D"/>
    <w:rsid w:val="00F70C94"/>
    <w:rsid w:val="00F71074"/>
    <w:rsid w:val="00F734CA"/>
    <w:rsid w:val="00F75235"/>
    <w:rsid w:val="00F75C96"/>
    <w:rsid w:val="00F75F0C"/>
    <w:rsid w:val="00F76A20"/>
    <w:rsid w:val="00F76CB0"/>
    <w:rsid w:val="00F8386C"/>
    <w:rsid w:val="00F842BE"/>
    <w:rsid w:val="00F84ABC"/>
    <w:rsid w:val="00F8630A"/>
    <w:rsid w:val="00F86361"/>
    <w:rsid w:val="00F86A3A"/>
    <w:rsid w:val="00F87720"/>
    <w:rsid w:val="00F9143B"/>
    <w:rsid w:val="00F92C48"/>
    <w:rsid w:val="00F93080"/>
    <w:rsid w:val="00F94F61"/>
    <w:rsid w:val="00F9598E"/>
    <w:rsid w:val="00F959EE"/>
    <w:rsid w:val="00F96130"/>
    <w:rsid w:val="00F9641C"/>
    <w:rsid w:val="00F964B3"/>
    <w:rsid w:val="00F96FD4"/>
    <w:rsid w:val="00F9725D"/>
    <w:rsid w:val="00FA1AD5"/>
    <w:rsid w:val="00FA247C"/>
    <w:rsid w:val="00FA3417"/>
    <w:rsid w:val="00FA42DA"/>
    <w:rsid w:val="00FA5CEF"/>
    <w:rsid w:val="00FB04E1"/>
    <w:rsid w:val="00FB1995"/>
    <w:rsid w:val="00FB1C39"/>
    <w:rsid w:val="00FC2AF3"/>
    <w:rsid w:val="00FC4913"/>
    <w:rsid w:val="00FC4C8E"/>
    <w:rsid w:val="00FC5D3C"/>
    <w:rsid w:val="00FC7B76"/>
    <w:rsid w:val="00FD197A"/>
    <w:rsid w:val="00FD1ECE"/>
    <w:rsid w:val="00FD24EF"/>
    <w:rsid w:val="00FD3787"/>
    <w:rsid w:val="00FD5AFE"/>
    <w:rsid w:val="00FD7681"/>
    <w:rsid w:val="00FE06EE"/>
    <w:rsid w:val="00FE0F30"/>
    <w:rsid w:val="00FE2AC5"/>
    <w:rsid w:val="00FE3F2F"/>
    <w:rsid w:val="00FE534C"/>
    <w:rsid w:val="00FE6910"/>
    <w:rsid w:val="00FE692A"/>
    <w:rsid w:val="00FE7176"/>
    <w:rsid w:val="00FF05B9"/>
    <w:rsid w:val="00FF29B6"/>
    <w:rsid w:val="00FF377B"/>
    <w:rsid w:val="00FF4B0D"/>
    <w:rsid w:val="00FF5260"/>
    <w:rsid w:val="00FF53D1"/>
    <w:rsid w:val="00FF5E63"/>
    <w:rsid w:val="00FF699B"/>
    <w:rsid w:val="00FF73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2"/>
    </o:shapelayout>
  </w:shapeDefaults>
  <w:decimalSymbol w:val="."/>
  <w:listSeparator w:val=","/>
  <w14:docId w14:val="3AA00802"/>
  <w15:docId w15:val="{F41E210B-9B16-4A25-9037-5874B595A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4BE"/>
  </w:style>
  <w:style w:type="paragraph" w:styleId="Heading1">
    <w:name w:val="heading 1"/>
    <w:aliases w:val="Table_G"/>
    <w:basedOn w:val="SingleTxtG"/>
    <w:next w:val="SingleTxtG"/>
    <w:link w:val="Heading1Char"/>
    <w:qFormat/>
    <w:rsid w:val="004A2814"/>
    <w:pPr>
      <w:spacing w:after="0" w:line="240" w:lineRule="auto"/>
      <w:ind w:right="0"/>
      <w:jc w:val="left"/>
      <w:outlineLvl w:val="0"/>
    </w:pPr>
  </w:style>
  <w:style w:type="paragraph" w:styleId="Heading2">
    <w:name w:val="heading 2"/>
    <w:basedOn w:val="Normal"/>
    <w:next w:val="Normal"/>
    <w:link w:val="Heading2Char"/>
    <w:semiHidden/>
    <w:rsid w:val="004A2814"/>
    <w:pPr>
      <w:spacing w:line="240" w:lineRule="auto"/>
      <w:outlineLvl w:val="1"/>
    </w:pPr>
  </w:style>
  <w:style w:type="paragraph" w:styleId="Heading3">
    <w:name w:val="heading 3"/>
    <w:basedOn w:val="Normal"/>
    <w:next w:val="Normal"/>
    <w:link w:val="Heading3Char"/>
    <w:semiHidden/>
    <w:rsid w:val="004A2814"/>
    <w:pPr>
      <w:spacing w:line="240" w:lineRule="auto"/>
      <w:outlineLvl w:val="2"/>
    </w:pPr>
  </w:style>
  <w:style w:type="paragraph" w:styleId="Heading4">
    <w:name w:val="heading 4"/>
    <w:basedOn w:val="Normal"/>
    <w:next w:val="Normal"/>
    <w:link w:val="Heading4Char"/>
    <w:semiHidden/>
    <w:rsid w:val="004A2814"/>
    <w:pPr>
      <w:spacing w:line="240" w:lineRule="auto"/>
      <w:outlineLvl w:val="3"/>
    </w:pPr>
  </w:style>
  <w:style w:type="paragraph" w:styleId="Heading5">
    <w:name w:val="heading 5"/>
    <w:basedOn w:val="Normal"/>
    <w:next w:val="Normal"/>
    <w:link w:val="Heading5Char"/>
    <w:semiHidden/>
    <w:rsid w:val="004A2814"/>
    <w:pPr>
      <w:spacing w:line="240" w:lineRule="auto"/>
      <w:outlineLvl w:val="4"/>
    </w:pPr>
  </w:style>
  <w:style w:type="paragraph" w:styleId="Heading6">
    <w:name w:val="heading 6"/>
    <w:basedOn w:val="Normal"/>
    <w:next w:val="Normal"/>
    <w:link w:val="Heading6Char"/>
    <w:semiHidden/>
    <w:rsid w:val="004A2814"/>
    <w:pPr>
      <w:spacing w:line="240" w:lineRule="auto"/>
      <w:outlineLvl w:val="5"/>
    </w:pPr>
  </w:style>
  <w:style w:type="paragraph" w:styleId="Heading7">
    <w:name w:val="heading 7"/>
    <w:basedOn w:val="Normal"/>
    <w:next w:val="Normal"/>
    <w:link w:val="Heading7Char"/>
    <w:semiHidden/>
    <w:rsid w:val="004A2814"/>
    <w:pPr>
      <w:spacing w:line="240" w:lineRule="auto"/>
      <w:outlineLvl w:val="6"/>
    </w:pPr>
  </w:style>
  <w:style w:type="paragraph" w:styleId="Heading8">
    <w:name w:val="heading 8"/>
    <w:basedOn w:val="Normal"/>
    <w:next w:val="Normal"/>
    <w:link w:val="Heading8Char"/>
    <w:semiHidden/>
    <w:rsid w:val="004A2814"/>
    <w:pPr>
      <w:spacing w:line="240" w:lineRule="auto"/>
      <w:outlineLvl w:val="7"/>
    </w:pPr>
  </w:style>
  <w:style w:type="paragraph" w:styleId="Heading9">
    <w:name w:val="heading 9"/>
    <w:basedOn w:val="Normal"/>
    <w:next w:val="Normal"/>
    <w:link w:val="Heading9Char"/>
    <w:semiHidden/>
    <w:rsid w:val="004A28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uiPriority w:val="99"/>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uiPriority w:val="99"/>
    <w:qFormat/>
    <w:rsid w:val="004A2814"/>
    <w:pPr>
      <w:spacing w:line="240" w:lineRule="auto"/>
    </w:pPr>
    <w:rPr>
      <w:sz w:val="16"/>
    </w:rPr>
  </w:style>
  <w:style w:type="character" w:customStyle="1" w:styleId="FooterChar">
    <w:name w:val="Footer Char"/>
    <w:aliases w:val="3_G Char"/>
    <w:basedOn w:val="DefaultParagraphFont"/>
    <w:link w:val="Footer"/>
    <w:uiPriority w:val="99"/>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4A2814"/>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4A2814"/>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link w:val="H23GChar"/>
    <w:qFormat/>
    <w:rsid w:val="004A2814"/>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uiPriority w:val="99"/>
    <w:qFormat/>
    <w:rsid w:val="004A2814"/>
    <w:pPr>
      <w:tabs>
        <w:tab w:val="left" w:pos="1701"/>
        <w:tab w:val="left" w:pos="2268"/>
        <w:tab w:val="left" w:pos="2835"/>
      </w:tabs>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NoG">
    <w:name w:val="_ParNo_G"/>
    <w:basedOn w:val="Normal"/>
    <w:qFormat/>
    <w:rsid w:val="00FA42DA"/>
    <w:pPr>
      <w:numPr>
        <w:numId w:val="13"/>
      </w:numPr>
      <w:tabs>
        <w:tab w:val="left" w:pos="1701"/>
        <w:tab w:val="left" w:pos="2268"/>
        <w:tab w:val="left" w:pos="2835"/>
      </w:tabs>
      <w:spacing w:after="120"/>
      <w:ind w:right="1134"/>
      <w:jc w:val="both"/>
    </w:pPr>
    <w:rPr>
      <w:rFonts w:eastAsia="Times New Roman"/>
    </w:r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
    <w:basedOn w:val="Normal"/>
    <w:link w:val="FootnoteTextChar"/>
    <w:qFormat/>
    <w:rsid w:val="004A281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DC7379"/>
    <w:rPr>
      <w:sz w:val="18"/>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Footnote Reference/"/>
    <w:qFormat/>
    <w:rsid w:val="004A2814"/>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3B4550"/>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rsid w:val="004A2814"/>
    <w:rPr>
      <w:rFonts w:ascii="Times New Roman" w:hAnsi="Times New Roman"/>
      <w:b/>
      <w:sz w:val="18"/>
    </w:rPr>
  </w:style>
  <w:style w:type="paragraph" w:styleId="BalloonText">
    <w:name w:val="Balloon Text"/>
    <w:basedOn w:val="Normal"/>
    <w:link w:val="BalloonTextChar"/>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52109"/>
    <w:rPr>
      <w:rFonts w:ascii="Tahoma" w:eastAsia="Times New Roman" w:hAnsi="Tahoma" w:cs="Tahoma"/>
      <w:sz w:val="16"/>
      <w:szCs w:val="16"/>
      <w:lang w:eastAsia="en-US"/>
    </w:rPr>
  </w:style>
  <w:style w:type="character" w:styleId="Hyperlink">
    <w:name w:val="Hyperlink"/>
    <w:basedOn w:val="DefaultParagraphFont"/>
    <w:uiPriority w:val="99"/>
    <w:rsid w:val="00EC0CE6"/>
    <w:rPr>
      <w:color w:val="0000FF"/>
      <w:u w:val="none"/>
    </w:rPr>
  </w:style>
  <w:style w:type="character" w:styleId="FollowedHyperlink">
    <w:name w:val="FollowedHyperlink"/>
    <w:basedOn w:val="DefaultParagraphFont"/>
    <w:rsid w:val="00EC0CE6"/>
    <w:rPr>
      <w:color w:val="0000FF"/>
      <w:u w:val="none"/>
    </w:rPr>
  </w:style>
  <w:style w:type="table" w:styleId="TableGrid">
    <w:name w:val="Table Grid"/>
    <w:basedOn w:val="TableNormal"/>
    <w:uiPriority w:val="39"/>
    <w:rsid w:val="004A2814"/>
    <w:pPr>
      <w:suppressAutoHyphens/>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uiPriority w:val="99"/>
    <w:qFormat/>
    <w:rsid w:val="00F10D98"/>
  </w:style>
  <w:style w:type="character" w:customStyle="1" w:styleId="H1GChar">
    <w:name w:val="_ H_1_G Char"/>
    <w:link w:val="H1G"/>
    <w:rsid w:val="00F10D98"/>
    <w:rPr>
      <w:b/>
      <w:sz w:val="24"/>
    </w:rPr>
  </w:style>
  <w:style w:type="paragraph" w:styleId="BodyText3">
    <w:name w:val="Body Text 3"/>
    <w:basedOn w:val="Normal"/>
    <w:link w:val="BodyText3Char"/>
    <w:uiPriority w:val="99"/>
    <w:semiHidden/>
    <w:unhideWhenUsed/>
    <w:rsid w:val="00F10D98"/>
    <w:pPr>
      <w:widowControl w:val="0"/>
      <w:tabs>
        <w:tab w:val="left" w:pos="900"/>
        <w:tab w:val="left" w:pos="1134"/>
        <w:tab w:val="left" w:pos="1701"/>
        <w:tab w:val="left" w:pos="2268"/>
        <w:tab w:val="left" w:pos="2835"/>
        <w:tab w:val="left" w:pos="3402"/>
      </w:tabs>
      <w:autoSpaceDE w:val="0"/>
      <w:autoSpaceDN w:val="0"/>
      <w:adjustRightInd w:val="0"/>
      <w:spacing w:line="240" w:lineRule="auto"/>
      <w:jc w:val="both"/>
    </w:pPr>
    <w:rPr>
      <w:rFonts w:eastAsia="Times New Roman"/>
      <w:color w:val="000000"/>
      <w:sz w:val="22"/>
      <w:lang w:eastAsia="fr-FR"/>
    </w:rPr>
  </w:style>
  <w:style w:type="character" w:customStyle="1" w:styleId="BodyText3Char">
    <w:name w:val="Body Text 3 Char"/>
    <w:basedOn w:val="DefaultParagraphFont"/>
    <w:link w:val="BodyText3"/>
    <w:uiPriority w:val="99"/>
    <w:semiHidden/>
    <w:rsid w:val="00F10D98"/>
    <w:rPr>
      <w:rFonts w:eastAsia="Times New Roman"/>
      <w:color w:val="000000"/>
      <w:sz w:val="22"/>
      <w:lang w:eastAsia="fr-FR"/>
    </w:rPr>
  </w:style>
  <w:style w:type="paragraph" w:styleId="NormalWeb">
    <w:name w:val="Normal (Web)"/>
    <w:basedOn w:val="Normal"/>
    <w:uiPriority w:val="99"/>
    <w:semiHidden/>
    <w:unhideWhenUsed/>
    <w:rsid w:val="00F10D98"/>
    <w:pPr>
      <w:spacing w:before="100" w:beforeAutospacing="1" w:after="100" w:afterAutospacing="1" w:line="240" w:lineRule="auto"/>
    </w:pPr>
    <w:rPr>
      <w:rFonts w:eastAsia="Times New Roman"/>
      <w:sz w:val="24"/>
      <w:szCs w:val="24"/>
      <w:lang w:val="en-US" w:eastAsia="en-US"/>
    </w:rPr>
  </w:style>
  <w:style w:type="paragraph" w:customStyle="1" w:styleId="GHSHeading3">
    <w:name w:val="GHSHeading3"/>
    <w:basedOn w:val="Heading3"/>
    <w:rsid w:val="00F10D98"/>
    <w:pPr>
      <w:keepNext/>
      <w:tabs>
        <w:tab w:val="left" w:pos="1418"/>
      </w:tabs>
      <w:autoSpaceDE w:val="0"/>
      <w:autoSpaceDN w:val="0"/>
      <w:adjustRightInd w:val="0"/>
    </w:pPr>
    <w:rPr>
      <w:rFonts w:eastAsia="Times New Roman"/>
      <w:b/>
      <w:bCs/>
      <w:color w:val="000000"/>
      <w:sz w:val="22"/>
      <w:szCs w:val="22"/>
      <w:lang w:eastAsia="fr-FR"/>
    </w:rPr>
  </w:style>
  <w:style w:type="paragraph" w:customStyle="1" w:styleId="StyleGHSHeading410pt">
    <w:name w:val="Style GHSHeading4 + 10 pt"/>
    <w:basedOn w:val="Normal"/>
    <w:rsid w:val="00F10D98"/>
    <w:pPr>
      <w:keepNext/>
      <w:keepLines/>
      <w:tabs>
        <w:tab w:val="left" w:pos="1418"/>
        <w:tab w:val="left" w:pos="1985"/>
        <w:tab w:val="left" w:pos="2552"/>
        <w:tab w:val="left" w:pos="3119"/>
        <w:tab w:val="left" w:pos="3686"/>
      </w:tabs>
      <w:autoSpaceDE w:val="0"/>
      <w:autoSpaceDN w:val="0"/>
      <w:adjustRightInd w:val="0"/>
      <w:spacing w:after="240" w:line="240" w:lineRule="auto"/>
      <w:jc w:val="both"/>
    </w:pPr>
    <w:rPr>
      <w:rFonts w:eastAsia="Times New Roman"/>
      <w:b/>
      <w:bCs/>
      <w:color w:val="000000"/>
      <w:szCs w:val="22"/>
      <w:lang w:eastAsia="fr-FR"/>
    </w:rPr>
  </w:style>
  <w:style w:type="character" w:customStyle="1" w:styleId="Funotenzeichen2">
    <w:name w:val="Fußnotenzeichen2"/>
    <w:rsid w:val="00F10D98"/>
    <w:rPr>
      <w:vertAlign w:val="superscript"/>
    </w:rPr>
  </w:style>
  <w:style w:type="character" w:customStyle="1" w:styleId="H23GChar">
    <w:name w:val="_ H_2/3_G Char"/>
    <w:link w:val="H23G"/>
    <w:locked/>
    <w:rsid w:val="00F10D98"/>
    <w:rPr>
      <w:b/>
    </w:rPr>
  </w:style>
  <w:style w:type="paragraph" w:styleId="ListParagraph">
    <w:name w:val="List Paragraph"/>
    <w:basedOn w:val="Normal"/>
    <w:link w:val="ListParagraphChar"/>
    <w:uiPriority w:val="34"/>
    <w:qFormat/>
    <w:rsid w:val="00E00BDF"/>
    <w:pPr>
      <w:suppressAutoHyphens/>
      <w:kinsoku w:val="0"/>
      <w:overflowPunct w:val="0"/>
      <w:autoSpaceDE w:val="0"/>
      <w:autoSpaceDN w:val="0"/>
      <w:adjustRightInd w:val="0"/>
      <w:snapToGrid w:val="0"/>
      <w:ind w:left="720"/>
      <w:contextualSpacing/>
    </w:pPr>
  </w:style>
  <w:style w:type="character" w:customStyle="1" w:styleId="HChGChar">
    <w:name w:val="_ H _Ch_G Char"/>
    <w:link w:val="HChG"/>
    <w:locked/>
    <w:rsid w:val="00F56B65"/>
    <w:rPr>
      <w:b/>
      <w:sz w:val="28"/>
    </w:rPr>
  </w:style>
  <w:style w:type="character" w:customStyle="1" w:styleId="StyleBold">
    <w:name w:val="Style Bold"/>
    <w:rsid w:val="00F56B65"/>
    <w:rPr>
      <w:rFonts w:ascii="Times New Roman" w:hAnsi="Times New Roman" w:cs="Times New Roman" w:hint="default"/>
      <w:b/>
      <w:bCs/>
    </w:rPr>
  </w:style>
  <w:style w:type="paragraph" w:styleId="Date">
    <w:name w:val="Date"/>
    <w:basedOn w:val="Normal"/>
    <w:next w:val="Normal"/>
    <w:link w:val="DateChar"/>
    <w:uiPriority w:val="99"/>
    <w:semiHidden/>
    <w:unhideWhenUsed/>
    <w:rsid w:val="00F03E7C"/>
  </w:style>
  <w:style w:type="character" w:customStyle="1" w:styleId="DateChar">
    <w:name w:val="Date Char"/>
    <w:basedOn w:val="DefaultParagraphFont"/>
    <w:link w:val="Date"/>
    <w:uiPriority w:val="99"/>
    <w:semiHidden/>
    <w:rsid w:val="00F03E7C"/>
  </w:style>
  <w:style w:type="character" w:customStyle="1" w:styleId="ListParagraphChar">
    <w:name w:val="List Paragraph Char"/>
    <w:basedOn w:val="DefaultParagraphFont"/>
    <w:link w:val="ListParagraph"/>
    <w:uiPriority w:val="34"/>
    <w:locked/>
    <w:rsid w:val="007F4FEC"/>
  </w:style>
  <w:style w:type="paragraph" w:customStyle="1" w:styleId="Default">
    <w:name w:val="Default"/>
    <w:uiPriority w:val="99"/>
    <w:rsid w:val="007F4FEC"/>
    <w:pPr>
      <w:autoSpaceDE w:val="0"/>
      <w:autoSpaceDN w:val="0"/>
      <w:adjustRightInd w:val="0"/>
      <w:spacing w:line="240" w:lineRule="auto"/>
    </w:pPr>
    <w:rPr>
      <w:rFonts w:eastAsiaTheme="minorHAnsi"/>
      <w:color w:val="000000"/>
      <w:sz w:val="24"/>
      <w:szCs w:val="24"/>
      <w:lang w:eastAsia="en-US"/>
    </w:rPr>
  </w:style>
  <w:style w:type="character" w:customStyle="1" w:styleId="GHStextChar">
    <w:name w:val="GHS_text Char"/>
    <w:link w:val="GHStext"/>
    <w:locked/>
    <w:rsid w:val="007F4FEC"/>
    <w:rPr>
      <w:rFonts w:ascii="SimSun" w:hAnsi="SimSun"/>
      <w:color w:val="000000"/>
      <w:szCs w:val="22"/>
      <w:lang w:val="es-ES" w:eastAsia="en-US"/>
    </w:rPr>
  </w:style>
  <w:style w:type="paragraph" w:customStyle="1" w:styleId="GHStext">
    <w:name w:val="GHS_text"/>
    <w:basedOn w:val="Normal"/>
    <w:link w:val="GHStextChar"/>
    <w:qFormat/>
    <w:rsid w:val="007F4FEC"/>
    <w:pPr>
      <w:snapToGrid w:val="0"/>
      <w:spacing w:after="240" w:line="240" w:lineRule="auto"/>
      <w:jc w:val="both"/>
    </w:pPr>
    <w:rPr>
      <w:rFonts w:ascii="SimSun" w:hAnsi="SimSun"/>
      <w:color w:val="000000"/>
      <w:szCs w:val="22"/>
      <w:lang w:val="es-ES" w:eastAsia="en-US"/>
    </w:rPr>
  </w:style>
  <w:style w:type="paragraph" w:customStyle="1" w:styleId="GHSHeading5">
    <w:name w:val="GHSHeading5"/>
    <w:basedOn w:val="Normal"/>
    <w:rsid w:val="007F4FEC"/>
    <w:pPr>
      <w:keepNext/>
      <w:keepLines/>
      <w:widowControl w:val="0"/>
      <w:tabs>
        <w:tab w:val="left" w:pos="1418"/>
        <w:tab w:val="left" w:pos="1985"/>
        <w:tab w:val="left" w:pos="2552"/>
        <w:tab w:val="left" w:pos="3119"/>
        <w:tab w:val="left" w:pos="3686"/>
      </w:tabs>
      <w:snapToGrid w:val="0"/>
      <w:spacing w:line="240" w:lineRule="auto"/>
      <w:jc w:val="both"/>
    </w:pPr>
    <w:rPr>
      <w:rFonts w:eastAsia="Times New Roman"/>
      <w:color w:val="000000"/>
      <w:sz w:val="22"/>
      <w:szCs w:val="22"/>
      <w:lang w:eastAsia="en-US"/>
    </w:rPr>
  </w:style>
  <w:style w:type="paragraph" w:customStyle="1" w:styleId="GHSSubparas1">
    <w:name w:val="GHS Subparas1"/>
    <w:basedOn w:val="Normal"/>
    <w:uiPriority w:val="99"/>
    <w:semiHidden/>
    <w:qFormat/>
    <w:rsid w:val="007F4FEC"/>
    <w:pPr>
      <w:spacing w:after="240" w:line="240" w:lineRule="auto"/>
      <w:ind w:left="1973" w:hanging="561"/>
      <w:jc w:val="both"/>
    </w:pPr>
    <w:rPr>
      <w:rFonts w:eastAsia="Times New Roman"/>
      <w:bCs/>
      <w:color w:val="000000"/>
      <w:szCs w:val="24"/>
      <w:lang w:eastAsia="en-US"/>
    </w:rPr>
  </w:style>
  <w:style w:type="character" w:customStyle="1" w:styleId="normaltextrun">
    <w:name w:val="normaltextrun"/>
    <w:basedOn w:val="DefaultParagraphFont"/>
    <w:rsid w:val="007F4FEC"/>
  </w:style>
  <w:style w:type="character" w:customStyle="1" w:styleId="spellingerror">
    <w:name w:val="spellingerror"/>
    <w:basedOn w:val="DefaultParagraphFont"/>
    <w:rsid w:val="007F4FEC"/>
  </w:style>
  <w:style w:type="character" w:customStyle="1" w:styleId="eop">
    <w:name w:val="eop"/>
    <w:basedOn w:val="DefaultParagraphFont"/>
    <w:rsid w:val="007F4FEC"/>
  </w:style>
  <w:style w:type="character" w:styleId="CommentReference">
    <w:name w:val="annotation reference"/>
    <w:basedOn w:val="DefaultParagraphFont"/>
    <w:uiPriority w:val="99"/>
    <w:unhideWhenUsed/>
    <w:rsid w:val="001C628A"/>
    <w:rPr>
      <w:sz w:val="16"/>
      <w:szCs w:val="16"/>
    </w:rPr>
  </w:style>
  <w:style w:type="paragraph" w:styleId="CommentText">
    <w:name w:val="annotation text"/>
    <w:basedOn w:val="Normal"/>
    <w:link w:val="CommentTextChar"/>
    <w:uiPriority w:val="99"/>
    <w:unhideWhenUsed/>
    <w:rsid w:val="001C628A"/>
    <w:pPr>
      <w:spacing w:line="240" w:lineRule="auto"/>
    </w:pPr>
  </w:style>
  <w:style w:type="character" w:customStyle="1" w:styleId="CommentTextChar">
    <w:name w:val="Comment Text Char"/>
    <w:basedOn w:val="DefaultParagraphFont"/>
    <w:link w:val="CommentText"/>
    <w:uiPriority w:val="99"/>
    <w:rsid w:val="001C628A"/>
  </w:style>
  <w:style w:type="paragraph" w:styleId="CommentSubject">
    <w:name w:val="annotation subject"/>
    <w:basedOn w:val="CommentText"/>
    <w:next w:val="CommentText"/>
    <w:link w:val="CommentSubjectChar"/>
    <w:uiPriority w:val="99"/>
    <w:semiHidden/>
    <w:unhideWhenUsed/>
    <w:rsid w:val="001C628A"/>
    <w:rPr>
      <w:b/>
      <w:bCs/>
    </w:rPr>
  </w:style>
  <w:style w:type="character" w:customStyle="1" w:styleId="CommentSubjectChar">
    <w:name w:val="Comment Subject Char"/>
    <w:basedOn w:val="CommentTextChar"/>
    <w:link w:val="CommentSubject"/>
    <w:uiPriority w:val="99"/>
    <w:semiHidden/>
    <w:rsid w:val="001C628A"/>
    <w:rPr>
      <w:b/>
      <w:bCs/>
    </w:rPr>
  </w:style>
  <w:style w:type="paragraph" w:customStyle="1" w:styleId="TNR11">
    <w:name w:val="TNR11"/>
    <w:rsid w:val="003C2397"/>
    <w:pPr>
      <w:spacing w:before="240" w:line="240" w:lineRule="auto"/>
      <w:ind w:firstLine="1276"/>
      <w:jc w:val="both"/>
    </w:pPr>
    <w:rPr>
      <w:rFonts w:eastAsia="Times New Roman"/>
      <w:noProof/>
      <w:sz w:val="22"/>
      <w:lang w:eastAsia="en-US"/>
    </w:rPr>
  </w:style>
  <w:style w:type="character" w:customStyle="1" w:styleId="SingleTxtGCar">
    <w:name w:val="_ Single Txt_G Car"/>
    <w:rsid w:val="00F9598E"/>
  </w:style>
  <w:style w:type="character" w:customStyle="1" w:styleId="fontstyle01">
    <w:name w:val="fontstyle01"/>
    <w:basedOn w:val="DefaultParagraphFont"/>
    <w:rsid w:val="00A11272"/>
    <w:rPr>
      <w:rFonts w:ascii="TimesNewRomanPSMT" w:eastAsia="TimesNewRomanPSMT" w:hAnsi="TimesNewRomanPSMT" w:hint="eastAsia"/>
      <w:b w:val="0"/>
      <w:bCs w:val="0"/>
      <w:i w:val="0"/>
      <w:iCs w:val="0"/>
      <w:color w:val="0D0D0D"/>
      <w:sz w:val="20"/>
      <w:szCs w:val="20"/>
    </w:rPr>
  </w:style>
  <w:style w:type="character" w:customStyle="1" w:styleId="id-label">
    <w:name w:val="id-label"/>
    <w:basedOn w:val="DefaultParagraphFont"/>
    <w:rsid w:val="00A07370"/>
  </w:style>
  <w:style w:type="paragraph" w:styleId="Revision">
    <w:name w:val="Revision"/>
    <w:hidden/>
    <w:uiPriority w:val="99"/>
    <w:semiHidden/>
    <w:rsid w:val="00AE06C7"/>
    <w:pPr>
      <w:spacing w:line="240" w:lineRule="auto"/>
    </w:pPr>
  </w:style>
  <w:style w:type="character" w:styleId="PlaceholderText">
    <w:name w:val="Placeholder Text"/>
    <w:basedOn w:val="DefaultParagraphFont"/>
    <w:uiPriority w:val="99"/>
    <w:semiHidden/>
    <w:rsid w:val="000C099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 w:id="1699355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hyperlink" Target="https://tsar.jrc.ec.europa.eu/test-method/tm2004-01" TargetMode="External"/><Relationship Id="rId21" Type="http://schemas.openxmlformats.org/officeDocument/2006/relationships/package" Target="embeddings/Microsoft_Visio_Drawing4.vsdx"/><Relationship Id="rId34" Type="http://schemas.openxmlformats.org/officeDocument/2006/relationships/header" Target="header4.xml"/><Relationship Id="rId42" Type="http://schemas.openxmlformats.org/officeDocument/2006/relationships/package" Target="embeddings/Microsoft_Visio_Drawing8.vsdx"/><Relationship Id="rId47" Type="http://schemas.openxmlformats.org/officeDocument/2006/relationships/header" Target="header7.xml"/><Relationship Id="rId50" Type="http://schemas.openxmlformats.org/officeDocument/2006/relationships/footer" Target="footer9.xml"/><Relationship Id="rId55" Type="http://schemas.openxmlformats.org/officeDocument/2006/relationships/image" Target="media/image13.emf"/><Relationship Id="rId63" Type="http://schemas.openxmlformats.org/officeDocument/2006/relationships/header" Target="header9.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8.emf"/><Relationship Id="rId32" Type="http://schemas.openxmlformats.org/officeDocument/2006/relationships/footer" Target="footer3.xml"/><Relationship Id="rId37" Type="http://schemas.openxmlformats.org/officeDocument/2006/relationships/hyperlink" Target="https://echa.europa.eu/guidance-documents/guidance-on-clp" TargetMode="External"/><Relationship Id="rId40" Type="http://schemas.openxmlformats.org/officeDocument/2006/relationships/hyperlink" Target="https://tsar.jrc.ec.europa.eu/test-method/tm2004-03" TargetMode="External"/><Relationship Id="rId45" Type="http://schemas.openxmlformats.org/officeDocument/2006/relationships/footer" Target="footer6.xml"/><Relationship Id="rId53" Type="http://schemas.openxmlformats.org/officeDocument/2006/relationships/image" Target="media/image12.emf"/><Relationship Id="rId58" Type="http://schemas.openxmlformats.org/officeDocument/2006/relationships/package" Target="embeddings/Microsoft_Visio_Drawing11.vsdx"/><Relationship Id="rId66" Type="http://schemas.openxmlformats.org/officeDocument/2006/relationships/footer" Target="footer11.xml"/><Relationship Id="rId5" Type="http://schemas.openxmlformats.org/officeDocument/2006/relationships/numbering" Target="numbering.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header" Target="header1.xml"/><Relationship Id="rId36" Type="http://schemas.openxmlformats.org/officeDocument/2006/relationships/footer" Target="footer5.xml"/><Relationship Id="rId49" Type="http://schemas.openxmlformats.org/officeDocument/2006/relationships/footer" Target="footer8.xml"/><Relationship Id="rId57" Type="http://schemas.openxmlformats.org/officeDocument/2006/relationships/image" Target="media/image14.emf"/><Relationship Id="rId61" Type="http://schemas.openxmlformats.org/officeDocument/2006/relationships/image" Target="media/image16.emf"/><Relationship Id="rId10" Type="http://schemas.openxmlformats.org/officeDocument/2006/relationships/endnotes" Target="endnotes.xml"/><Relationship Id="rId19" Type="http://schemas.openxmlformats.org/officeDocument/2006/relationships/package" Target="embeddings/Microsoft_Visio_Drawing3.vsdx"/><Relationship Id="rId31" Type="http://schemas.openxmlformats.org/officeDocument/2006/relationships/footer" Target="footer2.xml"/><Relationship Id="rId44" Type="http://schemas.openxmlformats.org/officeDocument/2006/relationships/header" Target="header6.xml"/><Relationship Id="rId52" Type="http://schemas.openxmlformats.org/officeDocument/2006/relationships/hyperlink" Target="https://pubmed.ncbi.nlm.nih.gov/27965148/" TargetMode="External"/><Relationship Id="rId60" Type="http://schemas.openxmlformats.org/officeDocument/2006/relationships/package" Target="embeddings/Microsoft_Visio_Drawing12.vsdx"/><Relationship Id="rId65"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Visio_Drawing7.vsdx"/><Relationship Id="rId30" Type="http://schemas.openxmlformats.org/officeDocument/2006/relationships/footer" Target="footer1.xml"/><Relationship Id="rId35" Type="http://schemas.openxmlformats.org/officeDocument/2006/relationships/footer" Target="footer4.xml"/><Relationship Id="rId43" Type="http://schemas.openxmlformats.org/officeDocument/2006/relationships/header" Target="header5.xml"/><Relationship Id="rId48" Type="http://schemas.openxmlformats.org/officeDocument/2006/relationships/header" Target="header8.xml"/><Relationship Id="rId56" Type="http://schemas.openxmlformats.org/officeDocument/2006/relationships/package" Target="embeddings/Microsoft_Visio_Drawing10.vsdx"/><Relationship Id="rId64"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hyperlink" Target="https://pubmed.ncbi.nlm.nih.gov/25724174/"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header" Target="header3.xml"/><Relationship Id="rId38" Type="http://schemas.openxmlformats.org/officeDocument/2006/relationships/hyperlink" Target="https://ec.europa.eu/jrc/sites/jrcsh/files/esac31_lvet_20090922.pdf" TargetMode="External"/><Relationship Id="rId46" Type="http://schemas.openxmlformats.org/officeDocument/2006/relationships/footer" Target="footer7.xml"/><Relationship Id="rId59" Type="http://schemas.openxmlformats.org/officeDocument/2006/relationships/image" Target="media/image15.emf"/><Relationship Id="rId67" Type="http://schemas.openxmlformats.org/officeDocument/2006/relationships/fontTable" Target="fontTable.xml"/><Relationship Id="rId20" Type="http://schemas.openxmlformats.org/officeDocument/2006/relationships/image" Target="media/image6.emf"/><Relationship Id="rId41" Type="http://schemas.openxmlformats.org/officeDocument/2006/relationships/image" Target="media/image11.emf"/><Relationship Id="rId54" Type="http://schemas.openxmlformats.org/officeDocument/2006/relationships/package" Target="embeddings/Microsoft_Visio_Drawing9.vsdx"/><Relationship Id="rId62" Type="http://schemas.openxmlformats.org/officeDocument/2006/relationships/package" Target="embeddings/Microsoft_Visio_Drawing13.vsdx"/></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couto\United%20Nations\UNOG_DCM-Macros%20-%20UNECE\Templates\ST\SGAC10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518F60-7DA2-420D-843C-E28B2BAD873F}">
  <ds:schemaRefs>
    <ds:schemaRef ds:uri="http://schemas.openxmlformats.org/officeDocument/2006/bibliography"/>
  </ds:schemaRefs>
</ds:datastoreItem>
</file>

<file path=customXml/itemProps2.xml><?xml version="1.0" encoding="utf-8"?>
<ds:datastoreItem xmlns:ds="http://schemas.openxmlformats.org/officeDocument/2006/customXml" ds:itemID="{6F0C699A-3081-464D-8175-18FB791049CF}">
  <ds:schemaRefs>
    <ds:schemaRef ds:uri="http://schemas.microsoft.com/office/2006/documentManagement/types"/>
    <ds:schemaRef ds:uri="4b4a1c0d-4a69-4996-a84a-fc699b9f49de"/>
    <ds:schemaRef ds:uri="http://purl.org/dc/elements/1.1/"/>
    <ds:schemaRef ds:uri="http://schemas.openxmlformats.org/package/2006/metadata/core-properties"/>
    <ds:schemaRef ds:uri="http://schemas.microsoft.com/office/infopath/2007/PartnerControls"/>
    <ds:schemaRef ds:uri="http://purl.org/dc/terms/"/>
    <ds:schemaRef ds:uri="985ec44e-1bab-4c0b-9df0-6ba128686fc9"/>
    <ds:schemaRef ds:uri="http://schemas.microsoft.com/office/2006/metadata/properties"/>
    <ds:schemaRef ds:uri="acccb6d4-dbe5-46d2-b4d3-5733603d8cc6"/>
    <ds:schemaRef ds:uri="http://www.w3.org/XML/1998/namespace"/>
    <ds:schemaRef ds:uri="http://purl.org/dc/dcmitype/"/>
  </ds:schemaRefs>
</ds:datastoreItem>
</file>

<file path=customXml/itemProps3.xml><?xml version="1.0" encoding="utf-8"?>
<ds:datastoreItem xmlns:ds="http://schemas.openxmlformats.org/officeDocument/2006/customXml" ds:itemID="{0E96D6C7-A69F-4CC1-9C48-E5514C6CF912}">
  <ds:schemaRefs>
    <ds:schemaRef ds:uri="http://schemas.microsoft.com/sharepoint/v3/contenttype/forms"/>
  </ds:schemaRefs>
</ds:datastoreItem>
</file>

<file path=customXml/itemProps4.xml><?xml version="1.0" encoding="utf-8"?>
<ds:datastoreItem xmlns:ds="http://schemas.openxmlformats.org/officeDocument/2006/customXml" ds:itemID="{481631F2-DC42-4CE2-A63D-50090958EF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SGAC10_E.dotm</Template>
  <TotalTime>187</TotalTime>
  <Pages>8</Pages>
  <Words>30717</Words>
  <Characters>175090</Characters>
  <Application>Microsoft Office Word</Application>
  <DocSecurity>0</DocSecurity>
  <Lines>1459</Lines>
  <Paragraphs>410</Paragraphs>
  <ScaleCrop>false</ScaleCrop>
  <HeadingPairs>
    <vt:vector size="6" baseType="variant">
      <vt:variant>
        <vt:lpstr>Title</vt:lpstr>
      </vt:variant>
      <vt:variant>
        <vt:i4>1</vt:i4>
      </vt:variant>
      <vt:variant>
        <vt:lpstr>Headings</vt:lpstr>
      </vt:variant>
      <vt:variant>
        <vt:i4>24</vt:i4>
      </vt:variant>
      <vt:variant>
        <vt:lpstr>Titre</vt:lpstr>
      </vt:variant>
      <vt:variant>
        <vt:i4>1</vt:i4>
      </vt:variant>
    </vt:vector>
  </HeadingPairs>
  <TitlesOfParts>
    <vt:vector size="26" baseType="lpstr">
      <vt:lpstr>ST/SG/AC.10/50/Add.3</vt:lpstr>
      <vt:lpstr>        Chapter 1.2</vt:lpstr>
      <vt:lpstr>        Chapter 1.3</vt:lpstr>
      <vt:lpstr>        Chapter 2.1</vt:lpstr>
      <vt:lpstr>        Chapter 2.2</vt:lpstr>
      <vt:lpstr>        Chapter 2.3</vt:lpstr>
      <vt:lpstr>        Chapter 2.4</vt:lpstr>
      <vt:lpstr>        Chapter 2.5</vt:lpstr>
      <vt:lpstr>        Chapter 2.6</vt:lpstr>
      <vt:lpstr>        Chapter 2.7</vt:lpstr>
      <vt:lpstr>        Chapter 2.8</vt:lpstr>
      <vt:lpstr>        Chapter 2.9</vt:lpstr>
      <vt:lpstr>        Chapter 2.10</vt:lpstr>
      <vt:lpstr>        Chapter 2.11</vt:lpstr>
      <vt:lpstr>        Chapter 2.12</vt:lpstr>
      <vt:lpstr>        Chapter 2.13</vt:lpstr>
      <vt:lpstr>        Chapter 2.14</vt:lpstr>
      <vt:lpstr>        Chapter 2.15</vt:lpstr>
      <vt:lpstr>        Chapter 2.16</vt:lpstr>
      <vt:lpstr>        Chapter 2.17</vt:lpstr>
      <vt:lpstr>        Chapter 3.1</vt:lpstr>
      <vt:lpstr>        Chapter 3.2</vt:lpstr>
      <vt:lpstr>        *	References:</vt:lpstr>
      <vt:lpstr>        Chapter 3.3</vt:lpstr>
      <vt:lpstr>    Chapter 3.4</vt:lpstr>
      <vt:lpstr/>
    </vt:vector>
  </TitlesOfParts>
  <Company/>
  <LinksUpToDate>false</LinksUpToDate>
  <CharactersWithSpaces>205397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ST/SG/AC.10/50/Add.3</dc:title>
  <dc:subject/>
  <dc:creator>Rosa Garcia-Couto</dc:creator>
  <cp:keywords/>
  <cp:lastModifiedBy>Rosa Garcia Couto</cp:lastModifiedBy>
  <cp:revision>142</cp:revision>
  <cp:lastPrinted>2023-05-05T10:56:00Z</cp:lastPrinted>
  <dcterms:created xsi:type="dcterms:W3CDTF">2023-02-21T15:04:00Z</dcterms:created>
  <dcterms:modified xsi:type="dcterms:W3CDTF">2023-05-05T10:56:00Z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ies>
</file>