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80236C" w:rsidRPr="00DB58B5" w14:paraId="34A47174" w14:textId="77777777" w:rsidTr="0002432E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8C47F0E" w14:textId="77777777" w:rsidR="0080236C" w:rsidRPr="00DB58B5" w:rsidRDefault="0080236C" w:rsidP="00A42865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54AEDD7" w14:textId="04012354" w:rsidR="0080236C" w:rsidRPr="00DB58B5" w:rsidRDefault="0080236C" w:rsidP="0002432E">
            <w:pPr>
              <w:spacing w:after="80" w:line="300" w:lineRule="exact"/>
              <w:rPr>
                <w:sz w:val="28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66931BF5" w14:textId="0325E36D" w:rsidR="0080236C" w:rsidRPr="00DB58B5" w:rsidRDefault="00A42865" w:rsidP="00A42865">
            <w:pPr>
              <w:jc w:val="right"/>
            </w:pPr>
            <w:r w:rsidRPr="00A42865">
              <w:rPr>
                <w:sz w:val="40"/>
              </w:rPr>
              <w:t>E</w:t>
            </w:r>
            <w:r>
              <w:t>/ECE/TRANS/505/Rev.3/Add.160/Amend.1</w:t>
            </w:r>
          </w:p>
        </w:tc>
      </w:tr>
      <w:tr w:rsidR="0080236C" w:rsidRPr="00DB58B5" w14:paraId="79BC29D4" w14:textId="77777777" w:rsidTr="0002432E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3A134C0" w14:textId="438C9A1D" w:rsidR="0080236C" w:rsidRPr="00DB58B5" w:rsidRDefault="0080236C" w:rsidP="0002432E">
            <w:pPr>
              <w:spacing w:before="12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A7179C5" w14:textId="4755D9AD" w:rsidR="0080236C" w:rsidRPr="00740562" w:rsidRDefault="0080236C" w:rsidP="0002432E">
            <w:pPr>
              <w:spacing w:before="120" w:line="420" w:lineRule="exact"/>
              <w:rPr>
                <w:b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E597A77" w14:textId="7D66545B" w:rsidR="00A42865" w:rsidRPr="00DB58B5" w:rsidRDefault="00A42865" w:rsidP="00A42865">
            <w:pPr>
              <w:spacing w:before="720" w:line="240" w:lineRule="exact"/>
            </w:pPr>
            <w:r>
              <w:t>21 novembre 2022</w:t>
            </w:r>
          </w:p>
        </w:tc>
      </w:tr>
    </w:tbl>
    <w:p w14:paraId="11E5B7D4" w14:textId="6107B421" w:rsidR="00A42865" w:rsidRPr="004179A0" w:rsidRDefault="00A42865" w:rsidP="00A42865">
      <w:pPr>
        <w:pStyle w:val="HCh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4179A0">
        <w:rPr>
          <w:lang w:val="fr-FR"/>
        </w:rPr>
        <w:t>Accord</w:t>
      </w:r>
    </w:p>
    <w:p w14:paraId="34CA05C6" w14:textId="433B8B62" w:rsidR="00A42865" w:rsidRPr="004179A0" w:rsidRDefault="00A42865" w:rsidP="00A42865">
      <w:pPr>
        <w:pStyle w:val="H1G"/>
        <w:rPr>
          <w:lang w:val="fr-FR"/>
        </w:rPr>
      </w:pPr>
      <w:r w:rsidRPr="004179A0">
        <w:rPr>
          <w:lang w:val="fr-FR"/>
        </w:rPr>
        <w:tab/>
      </w:r>
      <w:r w:rsidRPr="004179A0">
        <w:rPr>
          <w:lang w:val="fr-FR"/>
        </w:rPr>
        <w:tab/>
        <w:t>Concernant l</w:t>
      </w:r>
      <w:r>
        <w:rPr>
          <w:lang w:val="fr-FR"/>
        </w:rPr>
        <w:t>’</w:t>
      </w:r>
      <w:r w:rsidRPr="004179A0">
        <w:rPr>
          <w:lang w:val="fr-FR"/>
        </w:rPr>
        <w:t>adoption de Règlements techniques harmonisés de l</w:t>
      </w:r>
      <w:r>
        <w:rPr>
          <w:lang w:val="fr-FR"/>
        </w:rPr>
        <w:t>’</w:t>
      </w:r>
      <w:r w:rsidRPr="004179A0">
        <w:rPr>
          <w:lang w:val="fr-FR"/>
        </w:rPr>
        <w:t>ONU applicables aux véhicules à roues et aux équipements et pièces susceptibles d</w:t>
      </w:r>
      <w:r>
        <w:rPr>
          <w:lang w:val="fr-FR"/>
        </w:rPr>
        <w:t>’</w:t>
      </w:r>
      <w:r w:rsidRPr="004179A0">
        <w:rPr>
          <w:lang w:val="fr-FR"/>
        </w:rPr>
        <w:t>être montés ou utilisés sur les véhicules à roues et les conditions de reconnaissance réciproque des homologations délivrées conformément à ces Règlements</w:t>
      </w:r>
      <w:r w:rsidRPr="00A42865">
        <w:rPr>
          <w:rStyle w:val="Appelnotedebasdep"/>
          <w:b w:val="0"/>
          <w:bCs/>
          <w:sz w:val="20"/>
          <w:vertAlign w:val="baseline"/>
        </w:rPr>
        <w:footnoteReference w:customMarkFollows="1" w:id="2"/>
        <w:t>*</w:t>
      </w:r>
    </w:p>
    <w:p w14:paraId="454C5AE4" w14:textId="602E75B6" w:rsidR="00A42865" w:rsidRPr="004179A0" w:rsidRDefault="00A42865" w:rsidP="00A42865">
      <w:pPr>
        <w:rPr>
          <w:lang w:val="fr-FR"/>
        </w:rPr>
      </w:pPr>
      <w:r w:rsidRPr="004179A0">
        <w:rPr>
          <w:lang w:val="fr-FR"/>
        </w:rPr>
        <w:tab/>
      </w:r>
      <w:r w:rsidRPr="004179A0">
        <w:rPr>
          <w:lang w:val="fr-FR"/>
        </w:rPr>
        <w:tab/>
        <w:t>(Révision 3, comprenant les amendements entrés en vigueur le 14</w:t>
      </w:r>
      <w:r>
        <w:rPr>
          <w:lang w:val="fr-FR"/>
        </w:rPr>
        <w:t> </w:t>
      </w:r>
      <w:r w:rsidRPr="004179A0">
        <w:rPr>
          <w:lang w:val="fr-FR"/>
        </w:rPr>
        <w:t>septembre 2017)</w:t>
      </w:r>
    </w:p>
    <w:p w14:paraId="1D47AE21" w14:textId="77777777" w:rsidR="00A42865" w:rsidRPr="004179A0" w:rsidRDefault="00A42865" w:rsidP="00A42865">
      <w:pPr>
        <w:spacing w:after="240"/>
        <w:jc w:val="center"/>
        <w:rPr>
          <w:b/>
          <w:sz w:val="24"/>
          <w:lang w:val="fr-FR"/>
        </w:rPr>
      </w:pPr>
      <w:r w:rsidRPr="004179A0">
        <w:rPr>
          <w:b/>
          <w:sz w:val="24"/>
          <w:lang w:val="fr-FR"/>
        </w:rPr>
        <w:t>_________</w:t>
      </w:r>
    </w:p>
    <w:p w14:paraId="61EFDE89" w14:textId="2F784FC0" w:rsidR="00A42865" w:rsidRPr="004179A0" w:rsidRDefault="00A42865" w:rsidP="00A42865">
      <w:pPr>
        <w:pStyle w:val="H1G"/>
        <w:rPr>
          <w:lang w:val="fr-FR"/>
        </w:rPr>
      </w:pPr>
      <w:r w:rsidRPr="004179A0">
        <w:rPr>
          <w:lang w:val="fr-FR"/>
        </w:rPr>
        <w:tab/>
      </w:r>
      <w:r w:rsidRPr="004179A0">
        <w:rPr>
          <w:lang w:val="fr-FR"/>
        </w:rPr>
        <w:tab/>
        <w:t xml:space="preserve">Additif 160 </w:t>
      </w:r>
      <w:r>
        <w:rPr>
          <w:lang w:val="fr-FR"/>
        </w:rPr>
        <w:t>−</w:t>
      </w:r>
      <w:r w:rsidRPr="004179A0">
        <w:rPr>
          <w:lang w:val="fr-FR"/>
        </w:rPr>
        <w:t xml:space="preserve"> Règlement ONU n</w:t>
      </w:r>
      <w:r w:rsidRPr="004179A0">
        <w:rPr>
          <w:vertAlign w:val="superscript"/>
          <w:lang w:val="fr-FR"/>
        </w:rPr>
        <w:t>o</w:t>
      </w:r>
      <w:r>
        <w:rPr>
          <w:lang w:val="fr-FR"/>
        </w:rPr>
        <w:t> </w:t>
      </w:r>
      <w:r w:rsidRPr="004179A0">
        <w:rPr>
          <w:lang w:val="fr-FR"/>
        </w:rPr>
        <w:t>161</w:t>
      </w:r>
    </w:p>
    <w:p w14:paraId="4A39109A" w14:textId="3598494D" w:rsidR="00A42865" w:rsidRPr="004179A0" w:rsidRDefault="00A42865" w:rsidP="00A42865">
      <w:pPr>
        <w:pStyle w:val="H1G"/>
        <w:rPr>
          <w:lang w:val="fr-FR"/>
        </w:rPr>
      </w:pPr>
      <w:r w:rsidRPr="004179A0">
        <w:rPr>
          <w:rStyle w:val="normaltextrun"/>
          <w:bCs/>
          <w:shd w:val="clear" w:color="auto" w:fill="FFFFFF"/>
          <w:lang w:val="fr-FR"/>
        </w:rPr>
        <w:tab/>
      </w:r>
      <w:r w:rsidRPr="004179A0">
        <w:rPr>
          <w:rStyle w:val="normaltextrun"/>
          <w:bCs/>
          <w:shd w:val="clear" w:color="auto" w:fill="FFFFFF"/>
          <w:lang w:val="fr-FR"/>
        </w:rPr>
        <w:tab/>
      </w:r>
      <w:r w:rsidRPr="004179A0">
        <w:rPr>
          <w:rStyle w:val="normaltextrun"/>
          <w:bCs/>
          <w:szCs w:val="24"/>
          <w:shd w:val="clear" w:color="auto" w:fill="FFFFFF"/>
          <w:lang w:val="fr-FR"/>
        </w:rPr>
        <w:t>Amendement 1</w:t>
      </w:r>
    </w:p>
    <w:p w14:paraId="0A3EADD4" w14:textId="585A4BC8" w:rsidR="00A42865" w:rsidRPr="00A42865" w:rsidRDefault="00A42865" w:rsidP="00A42865">
      <w:pPr>
        <w:pStyle w:val="SingleTxtG"/>
        <w:rPr>
          <w:spacing w:val="-2"/>
          <w:lang w:val="fr-FR"/>
        </w:rPr>
      </w:pPr>
      <w:r w:rsidRPr="00A42865">
        <w:rPr>
          <w:spacing w:val="-2"/>
          <w:lang w:val="fr-FR" w:eastAsia="en-GB"/>
        </w:rPr>
        <w:t>Complément</w:t>
      </w:r>
      <w:r w:rsidRPr="00A42865">
        <w:rPr>
          <w:spacing w:val="-2"/>
          <w:lang w:val="fr-FR" w:eastAsia="en-GB"/>
        </w:rPr>
        <w:t> </w:t>
      </w:r>
      <w:r w:rsidRPr="00A42865">
        <w:rPr>
          <w:spacing w:val="-2"/>
          <w:lang w:val="fr-FR" w:eastAsia="en-GB"/>
        </w:rPr>
        <w:t xml:space="preserve">1 à la version originale du Règlement </w:t>
      </w:r>
      <w:r>
        <w:rPr>
          <w:spacing w:val="-2"/>
          <w:lang w:val="fr-FR" w:eastAsia="en-GB"/>
        </w:rPr>
        <w:t>−</w:t>
      </w:r>
      <w:r w:rsidRPr="00A42865">
        <w:rPr>
          <w:spacing w:val="-2"/>
          <w:lang w:val="fr-FR" w:eastAsia="en-GB"/>
        </w:rPr>
        <w:t xml:space="preserve"> </w:t>
      </w:r>
      <w:r w:rsidRPr="00A42865">
        <w:rPr>
          <w:spacing w:val="-2"/>
          <w:lang w:val="fr-FR"/>
        </w:rPr>
        <w:t>Date d’entrée en vigueur </w:t>
      </w:r>
      <w:r w:rsidRPr="00A42865">
        <w:rPr>
          <w:spacing w:val="-2"/>
          <w:lang w:val="fr-FR" w:eastAsia="en-GB"/>
        </w:rPr>
        <w:t>: 8</w:t>
      </w:r>
      <w:r>
        <w:rPr>
          <w:spacing w:val="-2"/>
          <w:lang w:val="fr-FR" w:eastAsia="en-GB"/>
        </w:rPr>
        <w:t> </w:t>
      </w:r>
      <w:r w:rsidRPr="00A42865">
        <w:rPr>
          <w:spacing w:val="-2"/>
          <w:lang w:val="fr-FR" w:eastAsia="en-GB"/>
        </w:rPr>
        <w:t>octobre 2022</w:t>
      </w:r>
    </w:p>
    <w:p w14:paraId="219F553D" w14:textId="1B1A1CAA" w:rsidR="00A42865" w:rsidRPr="004179A0" w:rsidRDefault="00A42865" w:rsidP="00A42865">
      <w:pPr>
        <w:pStyle w:val="H1G"/>
        <w:rPr>
          <w:lang w:val="fr-FR"/>
        </w:rPr>
      </w:pPr>
      <w:r w:rsidRPr="004179A0">
        <w:rPr>
          <w:lang w:val="fr-FR"/>
        </w:rPr>
        <w:tab/>
      </w:r>
      <w:r w:rsidRPr="004179A0">
        <w:rPr>
          <w:lang w:val="fr-FR"/>
        </w:rPr>
        <w:tab/>
      </w:r>
      <w:r w:rsidRPr="00247D8D">
        <w:t>Prescriptions uniformes relatives à la protection des véhicules à moteur contre une utilisation non autorisée et à l</w:t>
      </w:r>
      <w:r>
        <w:t>’</w:t>
      </w:r>
      <w:r w:rsidRPr="00247D8D">
        <w:t xml:space="preserve">homologation de leurs dispositifs de protection contre une utilisation non autorisée </w:t>
      </w:r>
      <w:r>
        <w:br/>
      </w:r>
      <w:r w:rsidRPr="00247D8D">
        <w:t>(au moyen d</w:t>
      </w:r>
      <w:r>
        <w:t>’</w:t>
      </w:r>
      <w:r w:rsidRPr="00247D8D">
        <w:t>un système de verrouillage)</w:t>
      </w:r>
    </w:p>
    <w:p w14:paraId="7895D9FA" w14:textId="77777777" w:rsidR="00A42865" w:rsidRPr="004179A0" w:rsidRDefault="00A42865" w:rsidP="00A42865">
      <w:pPr>
        <w:pStyle w:val="SingleTxtG"/>
        <w:rPr>
          <w:lang w:val="fr-FR" w:eastAsia="en-GB"/>
        </w:rPr>
      </w:pPr>
      <w:r w:rsidRPr="00C33BF5">
        <w:rPr>
          <w:lang w:val="fr-FR" w:eastAsia="en-GB"/>
        </w:rPr>
        <w:t>Le présent document est communiqué uniquement à titre d</w:t>
      </w:r>
      <w:r>
        <w:rPr>
          <w:lang w:val="fr-FR" w:eastAsia="en-GB"/>
        </w:rPr>
        <w:t>’</w:t>
      </w:r>
      <w:r w:rsidRPr="00C33BF5">
        <w:rPr>
          <w:lang w:val="fr-FR" w:eastAsia="en-GB"/>
        </w:rPr>
        <w:t>information. Le texte authentique, juridiquement contraignant, est celui du document</w:t>
      </w:r>
      <w:r w:rsidRPr="004179A0">
        <w:rPr>
          <w:lang w:val="fr-FR" w:eastAsia="en-GB"/>
        </w:rPr>
        <w:t xml:space="preserve"> ECE/TRANS/WP.29/2022/27.</w:t>
      </w:r>
    </w:p>
    <w:p w14:paraId="27D83D57" w14:textId="77777777" w:rsidR="00A42865" w:rsidRPr="004179A0" w:rsidRDefault="00A42865" w:rsidP="00A42865">
      <w:pPr>
        <w:jc w:val="center"/>
        <w:rPr>
          <w:b/>
          <w:sz w:val="24"/>
          <w:lang w:val="fr-FR"/>
        </w:rPr>
      </w:pPr>
      <w:r w:rsidRPr="004179A0">
        <w:rPr>
          <w:b/>
          <w:noProof/>
          <w:sz w:val="24"/>
          <w:lang w:val="fr-FR"/>
        </w:rPr>
        <w:drawing>
          <wp:anchor distT="0" distB="137160" distL="114300" distR="114300" simplePos="0" relativeHeight="251659264" behindDoc="0" locked="0" layoutInCell="1" allowOverlap="1" wp14:anchorId="375C78E3" wp14:editId="719669DD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9A0">
        <w:rPr>
          <w:b/>
          <w:sz w:val="24"/>
          <w:lang w:val="fr-FR"/>
        </w:rPr>
        <w:t>_________</w:t>
      </w:r>
    </w:p>
    <w:p w14:paraId="429D9AEF" w14:textId="39E5977D" w:rsidR="00A42865" w:rsidRDefault="00A42865" w:rsidP="00A42865">
      <w:pPr>
        <w:jc w:val="center"/>
        <w:rPr>
          <w:b/>
          <w:sz w:val="24"/>
          <w:lang w:val="fr-FR"/>
        </w:rPr>
      </w:pPr>
      <w:r w:rsidRPr="004179A0">
        <w:rPr>
          <w:b/>
          <w:sz w:val="24"/>
          <w:lang w:val="fr-FR"/>
        </w:rPr>
        <w:t>NATIONS</w:t>
      </w:r>
      <w:r>
        <w:rPr>
          <w:b/>
          <w:sz w:val="24"/>
          <w:lang w:val="fr-FR"/>
        </w:rPr>
        <w:t> </w:t>
      </w:r>
      <w:r w:rsidRPr="004179A0">
        <w:rPr>
          <w:b/>
          <w:sz w:val="24"/>
          <w:lang w:val="fr-FR"/>
        </w:rPr>
        <w:t>UNIES</w:t>
      </w:r>
    </w:p>
    <w:p w14:paraId="7187F165" w14:textId="6E2E77C4" w:rsidR="00A42865" w:rsidRDefault="00A42865" w:rsidP="00A42865">
      <w:pPr>
        <w:rPr>
          <w:b/>
          <w:sz w:val="24"/>
          <w:lang w:val="fr-FR"/>
        </w:rPr>
      </w:pPr>
      <w:r>
        <w:rPr>
          <w:b/>
          <w:sz w:val="24"/>
          <w:lang w:val="fr-FR"/>
        </w:rPr>
        <w:br w:type="page"/>
      </w:r>
    </w:p>
    <w:p w14:paraId="53FD0774" w14:textId="77777777" w:rsidR="00A42865" w:rsidRPr="004179A0" w:rsidRDefault="00A42865" w:rsidP="00A42865">
      <w:pPr>
        <w:pStyle w:val="SingleTxtG"/>
        <w:rPr>
          <w:rFonts w:eastAsia="DengXian"/>
          <w:lang w:val="fr-FR"/>
        </w:rPr>
      </w:pPr>
      <w:r w:rsidRPr="00A42865">
        <w:rPr>
          <w:i/>
          <w:iCs/>
          <w:lang w:val="fr-FR"/>
        </w:rPr>
        <w:lastRenderedPageBreak/>
        <w:t>Paragraphe 2.8</w:t>
      </w:r>
      <w:r w:rsidRPr="004179A0">
        <w:rPr>
          <w:lang w:val="fr-FR"/>
        </w:rPr>
        <w:t>, lire :</w:t>
      </w:r>
    </w:p>
    <w:p w14:paraId="2D13D6B7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lang w:val="fr-FR"/>
        </w:rPr>
      </w:pPr>
      <w:r w:rsidRPr="004179A0">
        <w:rPr>
          <w:lang w:val="fr-FR"/>
        </w:rPr>
        <w:t>« 2.8</w:t>
      </w:r>
      <w:r w:rsidRPr="004179A0">
        <w:rPr>
          <w:lang w:val="fr-FR"/>
        </w:rPr>
        <w:tab/>
        <w:t>Par “</w:t>
      </w:r>
      <w:r w:rsidRPr="004179A0">
        <w:rPr>
          <w:i/>
          <w:iCs/>
          <w:lang w:val="fr-FR"/>
        </w:rPr>
        <w:t>clef</w:t>
      </w:r>
      <w:r w:rsidRPr="004179A0">
        <w:rPr>
          <w:lang w:val="fr-FR"/>
        </w:rPr>
        <w:t>”, on entend toute solution mécanique ou électronique conçue et construite pour faire fonctionner un système de verrouillage, lui-même conçu et construit pour pouvoir être actionné par cette solution mécanique ou électronique. ».</w:t>
      </w:r>
    </w:p>
    <w:p w14:paraId="6D2101B2" w14:textId="77777777" w:rsidR="00A42865" w:rsidRPr="004179A0" w:rsidRDefault="00A42865" w:rsidP="00A42865">
      <w:pPr>
        <w:pStyle w:val="SingleTxtG"/>
        <w:rPr>
          <w:rFonts w:eastAsia="DengXian"/>
          <w:lang w:val="fr-FR"/>
        </w:rPr>
      </w:pPr>
      <w:r w:rsidRPr="004179A0">
        <w:rPr>
          <w:i/>
          <w:iCs/>
          <w:lang w:val="fr-FR"/>
        </w:rPr>
        <w:t>Ajouter les nouveaux paragraphes 2.10 à 2.12</w:t>
      </w:r>
      <w:r w:rsidRPr="004179A0">
        <w:rPr>
          <w:lang w:val="fr-FR"/>
        </w:rPr>
        <w:t>, libellés comme suit :</w:t>
      </w:r>
    </w:p>
    <w:p w14:paraId="264AF3FD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lang w:val="fr-FR"/>
        </w:rPr>
      </w:pPr>
      <w:r w:rsidRPr="004179A0">
        <w:rPr>
          <w:lang w:val="fr-FR"/>
        </w:rPr>
        <w:t>« 2.10</w:t>
      </w:r>
      <w:r w:rsidRPr="004179A0">
        <w:rPr>
          <w:lang w:val="fr-FR"/>
        </w:rPr>
        <w:tab/>
      </w:r>
      <w:r w:rsidRPr="004179A0">
        <w:rPr>
          <w:lang w:val="fr-FR"/>
        </w:rPr>
        <w:tab/>
        <w:t>Par “</w:t>
      </w:r>
      <w:r w:rsidRPr="004179A0">
        <w:rPr>
          <w:i/>
          <w:iCs/>
          <w:lang w:val="fr-FR"/>
        </w:rPr>
        <w:t>utilisateur principal</w:t>
      </w:r>
      <w:r w:rsidRPr="004179A0">
        <w:rPr>
          <w:lang w:val="fr-FR"/>
        </w:rPr>
        <w:t>”, on entend un utilisateur habilité à autoriser des clefs numériques. Il peut y avoir plus d</w:t>
      </w:r>
      <w:r>
        <w:rPr>
          <w:lang w:val="fr-FR"/>
        </w:rPr>
        <w:t>’</w:t>
      </w:r>
      <w:r w:rsidRPr="004179A0">
        <w:rPr>
          <w:lang w:val="fr-FR"/>
        </w:rPr>
        <w:t>un utilisateur principal.</w:t>
      </w:r>
    </w:p>
    <w:p w14:paraId="247F0129" w14:textId="605A51A2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lang w:val="fr-FR"/>
        </w:rPr>
      </w:pPr>
      <w:r w:rsidRPr="004179A0">
        <w:rPr>
          <w:lang w:val="fr-FR"/>
        </w:rPr>
        <w:t>2.11</w:t>
      </w:r>
      <w:r w:rsidRPr="004179A0">
        <w:rPr>
          <w:lang w:val="fr-FR"/>
        </w:rPr>
        <w:tab/>
        <w:t>Par “</w:t>
      </w:r>
      <w:r w:rsidRPr="004179A0">
        <w:rPr>
          <w:i/>
          <w:iCs/>
          <w:lang w:val="fr-FR"/>
        </w:rPr>
        <w:t>clef numérique</w:t>
      </w:r>
      <w:r w:rsidRPr="004179A0">
        <w:rPr>
          <w:lang w:val="fr-FR"/>
        </w:rPr>
        <w:t>”, on entend une clef conçue de manière à être transférée sur plusieurs dispositifs par le ou les utilisateurs principaux au moyen de procédures ad</w:t>
      </w:r>
      <w:r>
        <w:rPr>
          <w:lang w:val="fr-FR"/>
        </w:rPr>
        <w:t> </w:t>
      </w:r>
      <w:r w:rsidRPr="004179A0">
        <w:rPr>
          <w:lang w:val="fr-FR"/>
        </w:rPr>
        <w:t>hoc.</w:t>
      </w:r>
    </w:p>
    <w:p w14:paraId="375C49FA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lang w:val="fr-FR"/>
        </w:rPr>
      </w:pPr>
      <w:r w:rsidRPr="004179A0">
        <w:rPr>
          <w:lang w:val="fr-FR"/>
        </w:rPr>
        <w:t>2.12</w:t>
      </w:r>
      <w:r w:rsidRPr="004179A0">
        <w:rPr>
          <w:lang w:val="fr-FR"/>
        </w:rPr>
        <w:tab/>
        <w:t>Par “</w:t>
      </w:r>
      <w:r w:rsidRPr="004179A0">
        <w:rPr>
          <w:i/>
          <w:iCs/>
          <w:lang w:val="fr-FR"/>
        </w:rPr>
        <w:t>proximité immédiate</w:t>
      </w:r>
      <w:r w:rsidRPr="004179A0">
        <w:rPr>
          <w:lang w:val="fr-FR"/>
        </w:rPr>
        <w:t>”, on entend une distance inférieure à 6 m. ».</w:t>
      </w:r>
    </w:p>
    <w:p w14:paraId="6A8ECB9E" w14:textId="3E7F2C72" w:rsidR="00A42865" w:rsidRPr="004179A0" w:rsidRDefault="00A42865" w:rsidP="00A42865">
      <w:pPr>
        <w:pStyle w:val="SingleTxtG"/>
        <w:rPr>
          <w:rFonts w:eastAsia="DengXian"/>
          <w:lang w:val="fr-FR"/>
        </w:rPr>
      </w:pPr>
      <w:r w:rsidRPr="004179A0">
        <w:rPr>
          <w:i/>
          <w:iCs/>
          <w:lang w:val="fr-FR"/>
        </w:rPr>
        <w:t>Paragraphe</w:t>
      </w:r>
      <w:r>
        <w:rPr>
          <w:i/>
          <w:iCs/>
          <w:lang w:val="fr-FR"/>
        </w:rPr>
        <w:t> </w:t>
      </w:r>
      <w:r w:rsidRPr="004179A0">
        <w:rPr>
          <w:i/>
          <w:iCs/>
          <w:lang w:val="fr-FR"/>
        </w:rPr>
        <w:t>5.1.16</w:t>
      </w:r>
      <w:r w:rsidRPr="004179A0">
        <w:rPr>
          <w:lang w:val="fr-FR"/>
        </w:rPr>
        <w:t>, lire :</w:t>
      </w:r>
    </w:p>
    <w:p w14:paraId="03265766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« 5.1.16</w:t>
      </w:r>
      <w:r w:rsidRPr="004179A0">
        <w:rPr>
          <w:lang w:val="fr-FR"/>
        </w:rPr>
        <w:tab/>
        <w:t>En outre, les clefs numériques doivent satisfaire aux dispositions de l</w:t>
      </w:r>
      <w:r>
        <w:rPr>
          <w:lang w:val="fr-FR"/>
        </w:rPr>
        <w:t>’</w:t>
      </w:r>
      <w:r w:rsidRPr="004179A0">
        <w:rPr>
          <w:lang w:val="fr-FR"/>
        </w:rPr>
        <w:t>annexe 9. ».</w:t>
      </w:r>
    </w:p>
    <w:p w14:paraId="70F3A637" w14:textId="77777777" w:rsidR="00A42865" w:rsidRPr="004179A0" w:rsidRDefault="00A42865" w:rsidP="00A42865">
      <w:pPr>
        <w:pStyle w:val="SingleTxtG"/>
        <w:rPr>
          <w:rFonts w:eastAsia="DengXian"/>
          <w:lang w:val="fr-FR"/>
        </w:rPr>
      </w:pPr>
      <w:r w:rsidRPr="004179A0">
        <w:rPr>
          <w:i/>
          <w:iCs/>
          <w:lang w:val="fr-FR"/>
        </w:rPr>
        <w:t>Annexes </w:t>
      </w:r>
      <w:r w:rsidRPr="004179A0">
        <w:rPr>
          <w:lang w:val="fr-FR"/>
        </w:rPr>
        <w:t>:</w:t>
      </w:r>
    </w:p>
    <w:p w14:paraId="4E3C74BB" w14:textId="2FD8F405" w:rsidR="00A42865" w:rsidRPr="004179A0" w:rsidRDefault="00A42865" w:rsidP="00A42865">
      <w:pPr>
        <w:pStyle w:val="SingleTxtG"/>
        <w:rPr>
          <w:lang w:val="fr-FR"/>
        </w:rPr>
      </w:pPr>
      <w:r w:rsidRPr="004179A0">
        <w:rPr>
          <w:i/>
          <w:iCs/>
          <w:lang w:val="fr-FR"/>
        </w:rPr>
        <w:t xml:space="preserve">Ajouter </w:t>
      </w:r>
      <w:r>
        <w:rPr>
          <w:i/>
          <w:iCs/>
          <w:lang w:val="fr-FR"/>
        </w:rPr>
        <w:t>la</w:t>
      </w:r>
      <w:r w:rsidRPr="004179A0">
        <w:rPr>
          <w:i/>
          <w:iCs/>
          <w:lang w:val="fr-FR"/>
        </w:rPr>
        <w:t xml:space="preserve"> nouvelle annexe 8</w:t>
      </w:r>
      <w:r w:rsidRPr="004179A0">
        <w:rPr>
          <w:lang w:val="fr-FR"/>
        </w:rPr>
        <w:t>, libellée comme suit :</w:t>
      </w:r>
    </w:p>
    <w:p w14:paraId="0057184F" w14:textId="77777777" w:rsidR="00A42865" w:rsidRPr="004179A0" w:rsidRDefault="00A42865" w:rsidP="00A42865">
      <w:pPr>
        <w:pStyle w:val="SingleTxtG"/>
        <w:rPr>
          <w:lang w:val="fr-FR"/>
        </w:rPr>
      </w:pPr>
      <w:r w:rsidRPr="004179A0">
        <w:rPr>
          <w:lang w:val="fr-FR"/>
        </w:rPr>
        <w:t>« Annexe 8 (réservé) ».</w:t>
      </w:r>
    </w:p>
    <w:p w14:paraId="284C312B" w14:textId="31163F28" w:rsidR="00A42865" w:rsidRPr="004179A0" w:rsidRDefault="00A42865" w:rsidP="00A42865">
      <w:pPr>
        <w:pStyle w:val="SingleTxtG"/>
        <w:rPr>
          <w:lang w:val="fr-FR"/>
        </w:rPr>
      </w:pPr>
      <w:r w:rsidRPr="004179A0">
        <w:rPr>
          <w:i/>
          <w:iCs/>
          <w:lang w:val="fr-FR"/>
        </w:rPr>
        <w:t xml:space="preserve">Ajouter </w:t>
      </w:r>
      <w:r>
        <w:rPr>
          <w:i/>
          <w:iCs/>
          <w:lang w:val="fr-FR"/>
        </w:rPr>
        <w:t>la</w:t>
      </w:r>
      <w:r w:rsidRPr="004179A0">
        <w:rPr>
          <w:i/>
          <w:iCs/>
          <w:lang w:val="fr-FR"/>
        </w:rPr>
        <w:t xml:space="preserve"> nouvelle annexe 9</w:t>
      </w:r>
      <w:r w:rsidRPr="004179A0">
        <w:rPr>
          <w:lang w:val="fr-FR"/>
        </w:rPr>
        <w:t>, libellée comme suit :</w:t>
      </w:r>
    </w:p>
    <w:p w14:paraId="0E070762" w14:textId="3D81A51E" w:rsidR="00A42865" w:rsidRPr="004179A0" w:rsidRDefault="00A42865" w:rsidP="00A42865">
      <w:pPr>
        <w:pStyle w:val="SingleTxtG"/>
        <w:rPr>
          <w:lang w:val="fr-FR"/>
        </w:rPr>
      </w:pPr>
      <w:r w:rsidRPr="004179A0">
        <w:rPr>
          <w:lang w:val="fr-FR"/>
        </w:rPr>
        <w:t>« Annexe 9 :</w:t>
      </w:r>
    </w:p>
    <w:p w14:paraId="3EB2E469" w14:textId="77777777" w:rsidR="00A42865" w:rsidRPr="004179A0" w:rsidRDefault="00A42865" w:rsidP="00A42865">
      <w:pPr>
        <w:pStyle w:val="SingleTxtG"/>
        <w:ind w:left="2268"/>
        <w:rPr>
          <w:lang w:val="fr-FR"/>
        </w:rPr>
      </w:pPr>
      <w:r w:rsidRPr="004179A0">
        <w:rPr>
          <w:lang w:val="fr-FR"/>
        </w:rPr>
        <w:t>Dispositions de sécurité pour les clefs numériques</w:t>
      </w:r>
    </w:p>
    <w:p w14:paraId="6FF1779E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bookmarkStart w:id="0" w:name="2_221"/>
      <w:r w:rsidRPr="004179A0">
        <w:rPr>
          <w:lang w:val="fr-FR"/>
        </w:rPr>
        <w:t>1.</w:t>
      </w:r>
      <w:r w:rsidRPr="004179A0">
        <w:rPr>
          <w:lang w:val="fr-FR"/>
        </w:rPr>
        <w:tab/>
        <w:t>Généralités</w:t>
      </w:r>
      <w:bookmarkEnd w:id="0"/>
    </w:p>
    <w:p w14:paraId="1D86E2AF" w14:textId="4399CE1B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/>
        <w:rPr>
          <w:bCs/>
          <w:lang w:val="fr-FR"/>
        </w:rPr>
      </w:pPr>
      <w:r w:rsidRPr="004179A0">
        <w:rPr>
          <w:lang w:val="fr-FR"/>
        </w:rPr>
        <w:t>La présente annexe a pour objet d</w:t>
      </w:r>
      <w:r>
        <w:rPr>
          <w:lang w:val="fr-FR"/>
        </w:rPr>
        <w:t>’</w:t>
      </w:r>
      <w:r w:rsidRPr="004179A0">
        <w:rPr>
          <w:lang w:val="fr-FR"/>
        </w:rPr>
        <w:t>énoncer les prescriptions relatives aux documents à présenter et aux vérifications à effectuer en ce qui concerne les clefs numériques utilisées pour faire fonctionner le dispositif de protection contre une utilisation non autorisée du véhicule.</w:t>
      </w:r>
    </w:p>
    <w:p w14:paraId="5AB317D5" w14:textId="7E84CA54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2.</w:t>
      </w:r>
      <w:r w:rsidRPr="004179A0">
        <w:rPr>
          <w:lang w:val="fr-FR"/>
        </w:rPr>
        <w:tab/>
        <w:t>Définitions</w:t>
      </w:r>
    </w:p>
    <w:p w14:paraId="23A6326D" w14:textId="475307A1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2.1</w:t>
      </w:r>
      <w:r w:rsidRPr="004179A0">
        <w:rPr>
          <w:lang w:val="fr-FR"/>
        </w:rPr>
        <w:tab/>
        <w:t>Par “</w:t>
      </w:r>
      <w:r w:rsidRPr="004179A0">
        <w:rPr>
          <w:i/>
          <w:iCs/>
          <w:lang w:val="fr-FR"/>
        </w:rPr>
        <w:t>procédure d</w:t>
      </w:r>
      <w:r>
        <w:rPr>
          <w:i/>
          <w:iCs/>
          <w:lang w:val="fr-FR"/>
        </w:rPr>
        <w:t>’</w:t>
      </w:r>
      <w:r w:rsidRPr="004179A0">
        <w:rPr>
          <w:i/>
          <w:iCs/>
          <w:lang w:val="fr-FR"/>
        </w:rPr>
        <w:t>autorisation</w:t>
      </w:r>
      <w:r w:rsidRPr="004179A0">
        <w:rPr>
          <w:lang w:val="fr-FR"/>
        </w:rPr>
        <w:t>”, on entend toute méthode visant à fournir la clef numérique pouvant faire fonctionner le dispositif de protection contre une utilisation non autorisée du véhicule.</w:t>
      </w:r>
    </w:p>
    <w:p w14:paraId="39E95697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2.2</w:t>
      </w:r>
      <w:r w:rsidRPr="004179A0">
        <w:rPr>
          <w:lang w:val="fr-FR"/>
        </w:rPr>
        <w:tab/>
        <w:t>Par “</w:t>
      </w:r>
      <w:r w:rsidRPr="004179A0">
        <w:rPr>
          <w:i/>
          <w:iCs/>
          <w:lang w:val="fr-FR"/>
        </w:rPr>
        <w:t>procédure d</w:t>
      </w:r>
      <w:r>
        <w:rPr>
          <w:i/>
          <w:iCs/>
          <w:lang w:val="fr-FR"/>
        </w:rPr>
        <w:t>’</w:t>
      </w:r>
      <w:r w:rsidRPr="004179A0">
        <w:rPr>
          <w:i/>
          <w:iCs/>
          <w:lang w:val="fr-FR"/>
        </w:rPr>
        <w:t>annulation</w:t>
      </w:r>
      <w:r w:rsidRPr="004179A0">
        <w:rPr>
          <w:lang w:val="fr-FR"/>
        </w:rPr>
        <w:t>”, on entend toute méthode visant à empêcher la clef numérique de faire fonctionner le dispositif de protection contre une utilisation non autorisée du véhicule.</w:t>
      </w:r>
    </w:p>
    <w:p w14:paraId="47ABB446" w14:textId="79A3BD53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color w:val="002060"/>
          <w:lang w:val="fr-FR"/>
        </w:rPr>
      </w:pPr>
      <w:r w:rsidRPr="004179A0">
        <w:rPr>
          <w:lang w:val="fr-FR"/>
        </w:rPr>
        <w:t>2.3</w:t>
      </w:r>
      <w:r w:rsidRPr="004179A0">
        <w:rPr>
          <w:lang w:val="fr-FR"/>
        </w:rPr>
        <w:tab/>
        <w:t>Par “</w:t>
      </w:r>
      <w:r w:rsidRPr="004179A0">
        <w:rPr>
          <w:i/>
          <w:iCs/>
          <w:lang w:val="fr-FR"/>
        </w:rPr>
        <w:t>limites de fonctionnement</w:t>
      </w:r>
      <w:r w:rsidRPr="004179A0">
        <w:rPr>
          <w:lang w:val="fr-FR"/>
        </w:rPr>
        <w:t>”, on entend les limites physiques extérieures (par exemple la distance) dans lesquelles la clef numérique peut faire fonctionner le dispositif de protection contre une utilisation non autorisée du</w:t>
      </w:r>
      <w:r>
        <w:rPr>
          <w:lang w:val="fr-FR"/>
        </w:rPr>
        <w:t> </w:t>
      </w:r>
      <w:r w:rsidRPr="004179A0">
        <w:rPr>
          <w:lang w:val="fr-FR"/>
        </w:rPr>
        <w:t>véhicule.</w:t>
      </w:r>
    </w:p>
    <w:p w14:paraId="212FBDF8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3.</w:t>
      </w:r>
      <w:r w:rsidRPr="004179A0">
        <w:rPr>
          <w:lang w:val="fr-FR"/>
        </w:rPr>
        <w:tab/>
        <w:t>Document</w:t>
      </w:r>
      <w:r>
        <w:rPr>
          <w:lang w:val="fr-FR"/>
        </w:rPr>
        <w:t>s</w:t>
      </w:r>
    </w:p>
    <w:p w14:paraId="3F979315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/>
        <w:rPr>
          <w:rFonts w:eastAsia="DengXian"/>
          <w:bCs/>
          <w:lang w:val="fr-FR"/>
        </w:rPr>
      </w:pPr>
      <w:r w:rsidRPr="004179A0">
        <w:rPr>
          <w:lang w:val="fr-FR"/>
        </w:rPr>
        <w:t>Le constructeur du véhicule doit fournir les documents suivants pour l</w:t>
      </w:r>
      <w:r>
        <w:rPr>
          <w:lang w:val="fr-FR"/>
        </w:rPr>
        <w:t>’</w:t>
      </w:r>
      <w:r w:rsidRPr="004179A0">
        <w:rPr>
          <w:lang w:val="fr-FR"/>
        </w:rPr>
        <w:t>homologation de type :</w:t>
      </w:r>
    </w:p>
    <w:p w14:paraId="34F26B1D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3.1</w:t>
      </w:r>
      <w:r w:rsidRPr="004179A0">
        <w:rPr>
          <w:lang w:val="fr-FR"/>
        </w:rPr>
        <w:tab/>
        <w:t>Une description de la procédure d</w:t>
      </w:r>
      <w:r>
        <w:rPr>
          <w:lang w:val="fr-FR"/>
        </w:rPr>
        <w:t>’</w:t>
      </w:r>
      <w:r w:rsidRPr="004179A0">
        <w:rPr>
          <w:lang w:val="fr-FR"/>
        </w:rPr>
        <w:t>autorisation ;</w:t>
      </w:r>
    </w:p>
    <w:p w14:paraId="5304133F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3.2</w:t>
      </w:r>
      <w:r w:rsidRPr="004179A0">
        <w:rPr>
          <w:lang w:val="fr-FR"/>
        </w:rPr>
        <w:tab/>
        <w:t>Une description de la procédure d</w:t>
      </w:r>
      <w:r>
        <w:rPr>
          <w:lang w:val="fr-FR"/>
        </w:rPr>
        <w:t>’</w:t>
      </w:r>
      <w:r w:rsidRPr="004179A0">
        <w:rPr>
          <w:lang w:val="fr-FR"/>
        </w:rPr>
        <w:t>annulation ;</w:t>
      </w:r>
    </w:p>
    <w:p w14:paraId="5E633E50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3.3</w:t>
      </w:r>
      <w:r w:rsidRPr="004179A0">
        <w:rPr>
          <w:lang w:val="fr-FR"/>
        </w:rPr>
        <w:tab/>
        <w:t>Une description des limites de fonctionnement ;</w:t>
      </w:r>
    </w:p>
    <w:p w14:paraId="205A6885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3.4</w:t>
      </w:r>
      <w:r w:rsidRPr="004179A0">
        <w:rPr>
          <w:lang w:val="fr-FR"/>
        </w:rPr>
        <w:tab/>
        <w:t>Une description des mesures de sécurité prévues dans le cadre de la procédure d</w:t>
      </w:r>
      <w:r>
        <w:rPr>
          <w:lang w:val="fr-FR"/>
        </w:rPr>
        <w:t>’</w:t>
      </w:r>
      <w:r w:rsidRPr="004179A0">
        <w:rPr>
          <w:lang w:val="fr-FR"/>
        </w:rPr>
        <w:t>annulation de la clef numérique pour garantir le fonctionnement du véhicule en toute sécurité.</w:t>
      </w:r>
    </w:p>
    <w:p w14:paraId="4768678B" w14:textId="19A30354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lastRenderedPageBreak/>
        <w:t>4.</w:t>
      </w:r>
      <w:r w:rsidRPr="004179A0">
        <w:rPr>
          <w:lang w:val="fr-FR"/>
        </w:rPr>
        <w:tab/>
        <w:t>Prescriptions pour un fonctionnement en toute sécurité</w:t>
      </w:r>
    </w:p>
    <w:p w14:paraId="0B59264D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4.1</w:t>
      </w:r>
      <w:r w:rsidRPr="004179A0">
        <w:rPr>
          <w:lang w:val="fr-FR"/>
        </w:rPr>
        <w:tab/>
        <w:t>Le transfert d</w:t>
      </w:r>
      <w:r>
        <w:rPr>
          <w:lang w:val="fr-FR"/>
        </w:rPr>
        <w:t>’</w:t>
      </w:r>
      <w:r w:rsidRPr="004179A0">
        <w:rPr>
          <w:lang w:val="fr-FR"/>
        </w:rPr>
        <w:t>une clef numérique sur un dispositif ne doit être possible qu</w:t>
      </w:r>
      <w:r>
        <w:rPr>
          <w:lang w:val="fr-FR"/>
        </w:rPr>
        <w:t>’</w:t>
      </w:r>
      <w:r w:rsidRPr="004179A0">
        <w:rPr>
          <w:lang w:val="fr-FR"/>
        </w:rPr>
        <w:t>en suivant la procédure d</w:t>
      </w:r>
      <w:r>
        <w:rPr>
          <w:lang w:val="fr-FR"/>
        </w:rPr>
        <w:t>’</w:t>
      </w:r>
      <w:r w:rsidRPr="004179A0">
        <w:rPr>
          <w:lang w:val="fr-FR"/>
        </w:rPr>
        <w:t>autorisation.</w:t>
      </w:r>
    </w:p>
    <w:p w14:paraId="761F138A" w14:textId="1DC36FD4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4.2</w:t>
      </w:r>
      <w:r w:rsidRPr="004179A0">
        <w:rPr>
          <w:lang w:val="fr-FR"/>
        </w:rPr>
        <w:tab/>
        <w:t>Une procédure d</w:t>
      </w:r>
      <w:r>
        <w:rPr>
          <w:lang w:val="fr-FR"/>
        </w:rPr>
        <w:t>’</w:t>
      </w:r>
      <w:r w:rsidRPr="004179A0">
        <w:rPr>
          <w:lang w:val="fr-FR"/>
        </w:rPr>
        <w:t>annulation doit être prévue.</w:t>
      </w:r>
    </w:p>
    <w:p w14:paraId="213D7E7C" w14:textId="6DA5E856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4.2.1</w:t>
      </w:r>
      <w:r w:rsidRPr="004179A0">
        <w:rPr>
          <w:lang w:val="fr-FR"/>
        </w:rPr>
        <w:tab/>
        <w:t>L</w:t>
      </w:r>
      <w:r>
        <w:rPr>
          <w:lang w:val="fr-FR"/>
        </w:rPr>
        <w:t>’</w:t>
      </w:r>
      <w:r w:rsidRPr="004179A0">
        <w:rPr>
          <w:lang w:val="fr-FR"/>
        </w:rPr>
        <w:t>annulation d</w:t>
      </w:r>
      <w:r>
        <w:rPr>
          <w:lang w:val="fr-FR"/>
        </w:rPr>
        <w:t>’</w:t>
      </w:r>
      <w:r w:rsidRPr="004179A0">
        <w:rPr>
          <w:lang w:val="fr-FR"/>
        </w:rPr>
        <w:t>une clef numérique ne doit pas être un facteur d</w:t>
      </w:r>
      <w:r>
        <w:rPr>
          <w:lang w:val="fr-FR"/>
        </w:rPr>
        <w:t>’</w:t>
      </w:r>
      <w:r w:rsidRPr="004179A0">
        <w:rPr>
          <w:lang w:val="fr-FR"/>
        </w:rPr>
        <w:t>insécurité.</w:t>
      </w:r>
    </w:p>
    <w:p w14:paraId="4F2A1D82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/>
        <w:rPr>
          <w:rFonts w:eastAsia="DengXian"/>
          <w:bCs/>
          <w:lang w:val="fr-FR"/>
        </w:rPr>
      </w:pPr>
      <w:r w:rsidRPr="004179A0">
        <w:rPr>
          <w:lang w:val="fr-FR"/>
        </w:rPr>
        <w:t>Une analyse de réduction des risques s</w:t>
      </w:r>
      <w:r>
        <w:rPr>
          <w:lang w:val="fr-FR"/>
        </w:rPr>
        <w:t>’</w:t>
      </w:r>
      <w:r w:rsidRPr="004179A0">
        <w:rPr>
          <w:lang w:val="fr-FR"/>
        </w:rPr>
        <w:t>appuyant sur une norme de sécurité fonctionnelle telle que la norme ISO 26262 et sur une norme relative à la sécurité de la fonction attendue telle que la norme ISO/PAS 21448, et présentant les risques pour les occupants du véhicule de l</w:t>
      </w:r>
      <w:r>
        <w:rPr>
          <w:lang w:val="fr-FR"/>
        </w:rPr>
        <w:t>’</w:t>
      </w:r>
      <w:r w:rsidRPr="004179A0">
        <w:rPr>
          <w:lang w:val="fr-FR"/>
        </w:rPr>
        <w:t>annulation d</w:t>
      </w:r>
      <w:r>
        <w:rPr>
          <w:lang w:val="fr-FR"/>
        </w:rPr>
        <w:t>’</w:t>
      </w:r>
      <w:r w:rsidRPr="004179A0">
        <w:rPr>
          <w:lang w:val="fr-FR"/>
        </w:rPr>
        <w:t>une clef numérique ainsi que la réduction de ces risques du fait de la mise en œuvre des fonctions ou caractéristiques d</w:t>
      </w:r>
      <w:r>
        <w:rPr>
          <w:lang w:val="fr-FR"/>
        </w:rPr>
        <w:t>’</w:t>
      </w:r>
      <w:r w:rsidRPr="004179A0">
        <w:rPr>
          <w:lang w:val="fr-FR"/>
        </w:rPr>
        <w:t>atténuation des risques recensés, doit être réalisée.</w:t>
      </w:r>
    </w:p>
    <w:p w14:paraId="1DBAE27D" w14:textId="10CF20A8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4.2.2</w:t>
      </w:r>
      <w:r w:rsidRPr="004179A0">
        <w:rPr>
          <w:lang w:val="fr-FR"/>
        </w:rPr>
        <w:tab/>
        <w:t>Le ou les utilisateurs principaux doivent pouvoir connaître le nombre de clefs numériques enregistrées autorisées.</w:t>
      </w:r>
    </w:p>
    <w:p w14:paraId="258F9C38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4.3</w:t>
      </w:r>
      <w:r w:rsidRPr="004179A0">
        <w:rPr>
          <w:lang w:val="fr-FR"/>
        </w:rPr>
        <w:tab/>
        <w:t>Limites de fonctionnement du dispositif de protection contre une utilisation non autorisée :</w:t>
      </w:r>
    </w:p>
    <w:p w14:paraId="1168DCC6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bCs/>
          <w:lang w:val="fr-FR"/>
        </w:rPr>
      </w:pPr>
      <w:r w:rsidRPr="004179A0">
        <w:rPr>
          <w:lang w:val="fr-FR"/>
        </w:rPr>
        <w:t>4.3.1</w:t>
      </w:r>
      <w:r w:rsidRPr="004179A0">
        <w:rPr>
          <w:lang w:val="fr-FR"/>
        </w:rPr>
        <w:tab/>
        <w:t>Le dispositif de protection contre une utilisation non autorisée ne doit pouvoir être déverrouillé que lorsqu</w:t>
      </w:r>
      <w:r>
        <w:rPr>
          <w:lang w:val="fr-FR"/>
        </w:rPr>
        <w:t>’</w:t>
      </w:r>
      <w:r w:rsidRPr="004179A0">
        <w:rPr>
          <w:lang w:val="fr-FR"/>
        </w:rPr>
        <w:t>une clef numérique enregistrée autorisée est détectée à l</w:t>
      </w:r>
      <w:r>
        <w:rPr>
          <w:lang w:val="fr-FR"/>
        </w:rPr>
        <w:t>’</w:t>
      </w:r>
      <w:r w:rsidRPr="004179A0">
        <w:rPr>
          <w:lang w:val="fr-FR"/>
        </w:rPr>
        <w:t>intérieur du véhicule, ou à proximité immédiate de celui-ci.</w:t>
      </w:r>
    </w:p>
    <w:p w14:paraId="7EEA55E4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4.3.2</w:t>
      </w:r>
      <w:r w:rsidRPr="004179A0">
        <w:rPr>
          <w:lang w:val="fr-FR"/>
        </w:rPr>
        <w:tab/>
        <w:t>Les prescriptions du paragraphe 4.3.1 ne s</w:t>
      </w:r>
      <w:r>
        <w:rPr>
          <w:lang w:val="fr-FR"/>
        </w:rPr>
        <w:t>’</w:t>
      </w:r>
      <w:r w:rsidRPr="004179A0">
        <w:rPr>
          <w:lang w:val="fr-FR"/>
        </w:rPr>
        <w:t>appliquent pas pendant une manœuvre télécommandée ou un parcage télécommandé tels que définis dans le Règlement ONU n</w:t>
      </w:r>
      <w:r w:rsidRPr="004179A0">
        <w:rPr>
          <w:vertAlign w:val="superscript"/>
          <w:lang w:val="fr-FR"/>
        </w:rPr>
        <w:t>o</w:t>
      </w:r>
      <w:r w:rsidRPr="00A42865">
        <w:rPr>
          <w:lang w:val="fr-FR"/>
        </w:rPr>
        <w:t> </w:t>
      </w:r>
      <w:r w:rsidRPr="004179A0">
        <w:rPr>
          <w:lang w:val="fr-FR"/>
        </w:rPr>
        <w:t>79.</w:t>
      </w:r>
    </w:p>
    <w:p w14:paraId="7EEE1458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bCs/>
          <w:lang w:val="fr-FR"/>
        </w:rPr>
      </w:pPr>
      <w:r w:rsidRPr="004179A0">
        <w:rPr>
          <w:lang w:val="fr-FR"/>
        </w:rPr>
        <w:t>4.4</w:t>
      </w:r>
      <w:r w:rsidRPr="004179A0">
        <w:rPr>
          <w:lang w:val="fr-FR"/>
        </w:rPr>
        <w:tab/>
        <w:t>Des informations détaillées doivent figurer dans le manuel d</w:t>
      </w:r>
      <w:r>
        <w:rPr>
          <w:lang w:val="fr-FR"/>
        </w:rPr>
        <w:t>’</w:t>
      </w:r>
      <w:r w:rsidRPr="004179A0">
        <w:rPr>
          <w:lang w:val="fr-FR"/>
        </w:rPr>
        <w:t>utilisation du véhicule ou pouvoir être obtenues par tout autre moyen de communication à bord du véhicule ; ces informations doivent comprendre au moins :</w:t>
      </w:r>
    </w:p>
    <w:p w14:paraId="0E8F7260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/>
        <w:rPr>
          <w:rFonts w:eastAsia="DengXian"/>
          <w:bCs/>
          <w:lang w:val="fr-FR"/>
        </w:rPr>
      </w:pPr>
      <w:r w:rsidRPr="004179A0">
        <w:rPr>
          <w:lang w:val="fr-FR"/>
        </w:rPr>
        <w:t>a)</w:t>
      </w:r>
      <w:r w:rsidRPr="004179A0">
        <w:rPr>
          <w:lang w:val="fr-FR"/>
        </w:rPr>
        <w:tab/>
        <w:t>La ou les méthodes d</w:t>
      </w:r>
      <w:r>
        <w:rPr>
          <w:lang w:val="fr-FR"/>
        </w:rPr>
        <w:t>’</w:t>
      </w:r>
      <w:r w:rsidRPr="004179A0">
        <w:rPr>
          <w:lang w:val="fr-FR"/>
        </w:rPr>
        <w:t>autorisation de la clef numérique ;</w:t>
      </w:r>
    </w:p>
    <w:p w14:paraId="302390D6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/>
        <w:rPr>
          <w:rFonts w:eastAsia="DengXian"/>
          <w:bCs/>
          <w:lang w:val="fr-FR"/>
        </w:rPr>
      </w:pPr>
      <w:r w:rsidRPr="004179A0">
        <w:rPr>
          <w:lang w:val="fr-FR"/>
        </w:rPr>
        <w:t>b)</w:t>
      </w:r>
      <w:r w:rsidRPr="004179A0">
        <w:rPr>
          <w:lang w:val="fr-FR"/>
        </w:rPr>
        <w:tab/>
        <w:t>La ou les méthodes d</w:t>
      </w:r>
      <w:r>
        <w:rPr>
          <w:lang w:val="fr-FR"/>
        </w:rPr>
        <w:t>’</w:t>
      </w:r>
      <w:r w:rsidRPr="004179A0">
        <w:rPr>
          <w:lang w:val="fr-FR"/>
        </w:rPr>
        <w:t>annulation de la clef numérique.</w:t>
      </w:r>
    </w:p>
    <w:p w14:paraId="5F7831EA" w14:textId="18062300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5.</w:t>
      </w:r>
      <w:r w:rsidRPr="004179A0">
        <w:rPr>
          <w:lang w:val="fr-FR"/>
        </w:rPr>
        <w:tab/>
        <w:t>L</w:t>
      </w:r>
      <w:r>
        <w:rPr>
          <w:lang w:val="fr-FR"/>
        </w:rPr>
        <w:t>’</w:t>
      </w:r>
      <w:r w:rsidRPr="004179A0">
        <w:rPr>
          <w:lang w:val="fr-FR"/>
        </w:rPr>
        <w:t>efficacité du système ne doit pas être compromise par des cyberattaques, des cybermenaces et des vulnérabilités. L</w:t>
      </w:r>
      <w:r>
        <w:rPr>
          <w:lang w:val="fr-FR"/>
        </w:rPr>
        <w:t>’</w:t>
      </w:r>
      <w:r w:rsidRPr="004179A0">
        <w:rPr>
          <w:lang w:val="fr-FR"/>
        </w:rPr>
        <w:t>efficacité des mesures de sécurité doit être démontrée par le respect du Règlement ONU n</w:t>
      </w:r>
      <w:r w:rsidRPr="004179A0">
        <w:rPr>
          <w:vertAlign w:val="superscript"/>
          <w:lang w:val="fr-FR"/>
        </w:rPr>
        <w:t>o</w:t>
      </w:r>
      <w:r w:rsidRPr="00A42865">
        <w:rPr>
          <w:lang w:val="fr-FR"/>
        </w:rPr>
        <w:t> </w:t>
      </w:r>
      <w:r w:rsidRPr="004179A0">
        <w:rPr>
          <w:lang w:val="fr-FR"/>
        </w:rPr>
        <w:t>155.</w:t>
      </w:r>
    </w:p>
    <w:p w14:paraId="211FC57C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r w:rsidRPr="004179A0">
        <w:rPr>
          <w:lang w:val="fr-FR"/>
        </w:rPr>
        <w:t>6.</w:t>
      </w:r>
      <w:r w:rsidRPr="004179A0">
        <w:rPr>
          <w:lang w:val="fr-FR"/>
        </w:rPr>
        <w:tab/>
        <w:t>Vérification</w:t>
      </w:r>
    </w:p>
    <w:p w14:paraId="5AE7F9F7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/>
        <w:rPr>
          <w:bCs/>
          <w:lang w:val="fr-FR"/>
        </w:rPr>
      </w:pPr>
      <w:r w:rsidRPr="004179A0">
        <w:rPr>
          <w:lang w:val="fr-FR"/>
        </w:rPr>
        <w:t>La vérification du bon fonctionnement de la clef numérique doit être effectuée sur la base de</w:t>
      </w:r>
      <w:r>
        <w:rPr>
          <w:lang w:val="fr-FR"/>
        </w:rPr>
        <w:t>s</w:t>
      </w:r>
      <w:r w:rsidRPr="004179A0">
        <w:rPr>
          <w:lang w:val="fr-FR"/>
        </w:rPr>
        <w:t xml:space="preserve"> document</w:t>
      </w:r>
      <w:r>
        <w:rPr>
          <w:lang w:val="fr-FR"/>
        </w:rPr>
        <w:t>s</w:t>
      </w:r>
      <w:r w:rsidRPr="004179A0">
        <w:rPr>
          <w:lang w:val="fr-FR"/>
        </w:rPr>
        <w:t xml:space="preserve"> fourni</w:t>
      </w:r>
      <w:r>
        <w:rPr>
          <w:lang w:val="fr-FR"/>
        </w:rPr>
        <w:t>s</w:t>
      </w:r>
      <w:r w:rsidRPr="004179A0">
        <w:rPr>
          <w:lang w:val="fr-FR"/>
        </w:rPr>
        <w:t xml:space="preserve"> par le constructeur tel</w:t>
      </w:r>
      <w:r>
        <w:rPr>
          <w:lang w:val="fr-FR"/>
        </w:rPr>
        <w:t>s</w:t>
      </w:r>
      <w:r w:rsidRPr="004179A0">
        <w:rPr>
          <w:lang w:val="fr-FR"/>
        </w:rPr>
        <w:t xml:space="preserve"> que décrit</w:t>
      </w:r>
      <w:r>
        <w:rPr>
          <w:lang w:val="fr-FR"/>
        </w:rPr>
        <w:t>s</w:t>
      </w:r>
      <w:r w:rsidRPr="004179A0">
        <w:rPr>
          <w:lang w:val="fr-FR"/>
        </w:rPr>
        <w:t xml:space="preserve"> au paragraphe 3.</w:t>
      </w:r>
    </w:p>
    <w:p w14:paraId="106D635B" w14:textId="77777777" w:rsidR="00A42865" w:rsidRPr="004179A0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 w:hanging="1134"/>
        <w:rPr>
          <w:rFonts w:eastAsia="DengXian"/>
          <w:bCs/>
          <w:lang w:val="fr-FR"/>
        </w:rPr>
      </w:pPr>
      <w:bookmarkStart w:id="1" w:name="7_841"/>
      <w:r w:rsidRPr="004179A0">
        <w:rPr>
          <w:lang w:val="fr-FR"/>
        </w:rPr>
        <w:t>7.</w:t>
      </w:r>
      <w:r w:rsidRPr="004179A0">
        <w:rPr>
          <w:lang w:val="fr-FR"/>
        </w:rPr>
        <w:tab/>
        <w:t>Compétence des vérificateurs et des évaluateurs</w:t>
      </w:r>
      <w:bookmarkEnd w:id="1"/>
    </w:p>
    <w:p w14:paraId="07B582F5" w14:textId="0998DB1B" w:rsidR="00A42865" w:rsidRDefault="00A42865" w:rsidP="00A42865">
      <w:pPr>
        <w:pStyle w:val="SingleTxtG"/>
        <w:tabs>
          <w:tab w:val="clear" w:pos="1701"/>
          <w:tab w:val="clear" w:pos="2268"/>
          <w:tab w:val="clear" w:pos="2835"/>
        </w:tabs>
        <w:ind w:left="2268"/>
        <w:rPr>
          <w:lang w:val="fr-FR"/>
        </w:rPr>
      </w:pPr>
      <w:r w:rsidRPr="004179A0">
        <w:rPr>
          <w:lang w:val="fr-FR"/>
        </w:rPr>
        <w:t>Les évaluations prévues par la présente annexe ne doivent être effectuées que par des vérificateurs et des évaluateurs possédant les connaissances techniques et administratives nécessaires à cette fin. Ceux-ci doivent notamment être en mesure d</w:t>
      </w:r>
      <w:r>
        <w:rPr>
          <w:lang w:val="fr-FR"/>
        </w:rPr>
        <w:t>’</w:t>
      </w:r>
      <w:r w:rsidRPr="004179A0">
        <w:rPr>
          <w:lang w:val="fr-FR"/>
        </w:rPr>
        <w:t>évaluer le respect des normes ISO 26262-2018 (Véhicules routiers − Sécurité fonctionnelle) et ISO/PAS 21448 (Véhicules routiers − Sécurité de la fonction attendue) et d</w:t>
      </w:r>
      <w:r>
        <w:rPr>
          <w:lang w:val="fr-FR"/>
        </w:rPr>
        <w:t>’</w:t>
      </w:r>
      <w:r w:rsidRPr="004179A0">
        <w:rPr>
          <w:lang w:val="fr-FR"/>
        </w:rPr>
        <w:t>établir le lien nécessaire avec les questions de cybersécurité conformément au Règlement ONU n</w:t>
      </w:r>
      <w:r w:rsidRPr="004179A0">
        <w:rPr>
          <w:vertAlign w:val="superscript"/>
          <w:lang w:val="fr-FR"/>
        </w:rPr>
        <w:t>o</w:t>
      </w:r>
      <w:r w:rsidRPr="00A42865">
        <w:rPr>
          <w:lang w:val="fr-FR"/>
        </w:rPr>
        <w:t> </w:t>
      </w:r>
      <w:r w:rsidRPr="004179A0">
        <w:rPr>
          <w:lang w:val="fr-FR"/>
        </w:rPr>
        <w:t>155 et à la norme ISO/SAE 21434. Cette compétence doit être démontrée par des qualifications appropriées ou des attestations de formations équivalentes. ».</w:t>
      </w:r>
    </w:p>
    <w:p w14:paraId="10CC39C1" w14:textId="752498C8" w:rsidR="00446FE5" w:rsidRPr="00A42865" w:rsidRDefault="00A42865" w:rsidP="00A4286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46FE5" w:rsidRPr="00A42865" w:rsidSect="00A4286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A6D5" w14:textId="77777777" w:rsidR="004560EC" w:rsidRDefault="004560EC" w:rsidP="00F95C08">
      <w:pPr>
        <w:spacing w:line="240" w:lineRule="auto"/>
      </w:pPr>
    </w:p>
  </w:endnote>
  <w:endnote w:type="continuationSeparator" w:id="0">
    <w:p w14:paraId="4AD6A1BA" w14:textId="77777777" w:rsidR="004560EC" w:rsidRPr="00AC3823" w:rsidRDefault="004560EC" w:rsidP="00AC3823">
      <w:pPr>
        <w:pStyle w:val="Pieddepage"/>
      </w:pPr>
    </w:p>
  </w:endnote>
  <w:endnote w:type="continuationNotice" w:id="1">
    <w:p w14:paraId="5C99767A" w14:textId="77777777" w:rsidR="004560EC" w:rsidRDefault="004560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07DD" w14:textId="3A4A3DB8" w:rsidR="00A42865" w:rsidRPr="00A42865" w:rsidRDefault="00A42865" w:rsidP="00A42865">
    <w:pPr>
      <w:pStyle w:val="Pieddepage"/>
      <w:tabs>
        <w:tab w:val="right" w:pos="9638"/>
      </w:tabs>
    </w:pPr>
    <w:r w:rsidRPr="00A42865">
      <w:rPr>
        <w:b/>
        <w:sz w:val="18"/>
      </w:rPr>
      <w:fldChar w:fldCharType="begin"/>
    </w:r>
    <w:r w:rsidRPr="00A42865">
      <w:rPr>
        <w:b/>
        <w:sz w:val="18"/>
      </w:rPr>
      <w:instrText xml:space="preserve"> PAGE  \* MERGEFORMAT </w:instrText>
    </w:r>
    <w:r w:rsidRPr="00A42865">
      <w:rPr>
        <w:b/>
        <w:sz w:val="18"/>
      </w:rPr>
      <w:fldChar w:fldCharType="separate"/>
    </w:r>
    <w:r w:rsidRPr="00A42865">
      <w:rPr>
        <w:b/>
        <w:noProof/>
        <w:sz w:val="18"/>
      </w:rPr>
      <w:t>2</w:t>
    </w:r>
    <w:r w:rsidRPr="00A42865">
      <w:rPr>
        <w:b/>
        <w:sz w:val="18"/>
      </w:rPr>
      <w:fldChar w:fldCharType="end"/>
    </w:r>
    <w:r>
      <w:rPr>
        <w:b/>
        <w:sz w:val="18"/>
      </w:rPr>
      <w:tab/>
    </w:r>
    <w:r>
      <w:t>GE.22-26359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BE1A" w14:textId="3A3967F4" w:rsidR="00A42865" w:rsidRPr="00A42865" w:rsidRDefault="00A42865" w:rsidP="00A42865">
    <w:pPr>
      <w:pStyle w:val="Pieddepage"/>
      <w:tabs>
        <w:tab w:val="right" w:pos="9638"/>
      </w:tabs>
      <w:rPr>
        <w:b/>
        <w:sz w:val="18"/>
      </w:rPr>
    </w:pPr>
    <w:r>
      <w:t>GE.22-26359</w:t>
    </w:r>
    <w:r>
      <w:tab/>
    </w:r>
    <w:r w:rsidRPr="00A42865">
      <w:rPr>
        <w:b/>
        <w:sz w:val="18"/>
      </w:rPr>
      <w:fldChar w:fldCharType="begin"/>
    </w:r>
    <w:r w:rsidRPr="00A42865">
      <w:rPr>
        <w:b/>
        <w:sz w:val="18"/>
      </w:rPr>
      <w:instrText xml:space="preserve"> PAGE  \* MERGEFORMAT </w:instrText>
    </w:r>
    <w:r w:rsidRPr="00A42865">
      <w:rPr>
        <w:b/>
        <w:sz w:val="18"/>
      </w:rPr>
      <w:fldChar w:fldCharType="separate"/>
    </w:r>
    <w:r w:rsidRPr="00A42865">
      <w:rPr>
        <w:b/>
        <w:noProof/>
        <w:sz w:val="18"/>
      </w:rPr>
      <w:t>3</w:t>
    </w:r>
    <w:r w:rsidRPr="00A4286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051C" w14:textId="29B840EF" w:rsidR="0080236C" w:rsidRPr="00A42865" w:rsidRDefault="00A42865" w:rsidP="00A42865">
    <w:pPr>
      <w:pStyle w:val="Pieddepage"/>
      <w:spacing w:before="120"/>
      <w:rPr>
        <w:sz w:val="20"/>
      </w:rPr>
    </w:pPr>
    <w:r>
      <w:rPr>
        <w:sz w:val="20"/>
      </w:rPr>
      <w:t>GE.</w:t>
    </w:r>
    <w:r w:rsidR="0080236C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CA981FD" wp14:editId="3A9AE678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22-26359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12C66FB5" wp14:editId="330B0F74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240123    240123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CF39" w14:textId="77777777" w:rsidR="004560EC" w:rsidRPr="00AC3823" w:rsidRDefault="004560E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187314E" w14:textId="77777777" w:rsidR="004560EC" w:rsidRPr="00AC3823" w:rsidRDefault="004560E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6FD5FD8" w14:textId="77777777" w:rsidR="004560EC" w:rsidRPr="00AC3823" w:rsidRDefault="004560EC">
      <w:pPr>
        <w:spacing w:line="240" w:lineRule="auto"/>
        <w:rPr>
          <w:sz w:val="2"/>
          <w:szCs w:val="2"/>
        </w:rPr>
      </w:pPr>
    </w:p>
  </w:footnote>
  <w:footnote w:id="2">
    <w:p w14:paraId="2D605F86" w14:textId="359638AE" w:rsidR="00A42865" w:rsidRPr="00066921" w:rsidRDefault="00A42865" w:rsidP="00A42865">
      <w:pPr>
        <w:pStyle w:val="Notedebasdepage"/>
        <w:rPr>
          <w:lang w:val="fr-FR"/>
        </w:rPr>
      </w:pPr>
      <w:r>
        <w:rPr>
          <w:rStyle w:val="Appelnotedebasdep"/>
        </w:rPr>
        <w:tab/>
      </w:r>
      <w:r w:rsidRPr="00A42865">
        <w:rPr>
          <w:rStyle w:val="Appelnotedebasdep"/>
          <w:sz w:val="20"/>
          <w:vertAlign w:val="baseline"/>
        </w:rPr>
        <w:t>*</w:t>
      </w:r>
      <w:r>
        <w:rPr>
          <w:rStyle w:val="Appelnotedebasdep"/>
          <w:sz w:val="20"/>
          <w:vertAlign w:val="baseline"/>
        </w:rPr>
        <w:tab/>
      </w:r>
      <w:r w:rsidRPr="00066921">
        <w:rPr>
          <w:lang w:val="fr-FR"/>
        </w:rPr>
        <w:t>Anciens titres de l</w:t>
      </w:r>
      <w:r>
        <w:rPr>
          <w:lang w:val="fr-FR"/>
        </w:rPr>
        <w:t>’</w:t>
      </w:r>
      <w:r w:rsidRPr="00066921">
        <w:rPr>
          <w:lang w:val="fr-FR"/>
        </w:rPr>
        <w:t>Accord</w:t>
      </w:r>
      <w:r>
        <w:rPr>
          <w:lang w:val="fr-FR"/>
        </w:rPr>
        <w:t> </w:t>
      </w:r>
      <w:r w:rsidRPr="00066921">
        <w:rPr>
          <w:lang w:val="fr-FR"/>
        </w:rPr>
        <w:t>:</w:t>
      </w:r>
    </w:p>
    <w:p w14:paraId="653D66BA" w14:textId="29AF0931" w:rsidR="00A42865" w:rsidRPr="00066921" w:rsidRDefault="00A42865" w:rsidP="00A42865">
      <w:pPr>
        <w:pStyle w:val="Notedebasdepage"/>
        <w:rPr>
          <w:lang w:val="fr-FR"/>
        </w:rPr>
      </w:pPr>
      <w:r w:rsidRPr="00066921">
        <w:rPr>
          <w:lang w:val="fr-FR"/>
        </w:rPr>
        <w:tab/>
      </w:r>
      <w:r w:rsidRPr="00066921">
        <w:rPr>
          <w:lang w:val="fr-FR"/>
        </w:rPr>
        <w:tab/>
        <w:t>Accord concernant l</w:t>
      </w:r>
      <w:r>
        <w:rPr>
          <w:lang w:val="fr-FR"/>
        </w:rPr>
        <w:t>’</w:t>
      </w:r>
      <w:r w:rsidRPr="00066921">
        <w:rPr>
          <w:lang w:val="fr-FR"/>
        </w:rPr>
        <w:t>adoption de conditions uniformes d</w:t>
      </w:r>
      <w:r>
        <w:rPr>
          <w:lang w:val="fr-FR"/>
        </w:rPr>
        <w:t>’</w:t>
      </w:r>
      <w:r w:rsidRPr="00066921">
        <w:rPr>
          <w:lang w:val="fr-FR"/>
        </w:rPr>
        <w:t>homologation et la reconnaissance réciproque de l</w:t>
      </w:r>
      <w:r>
        <w:rPr>
          <w:lang w:val="fr-FR"/>
        </w:rPr>
        <w:t>’</w:t>
      </w:r>
      <w:r w:rsidRPr="00066921">
        <w:rPr>
          <w:lang w:val="fr-FR"/>
        </w:rPr>
        <w:t>homologation des équipements et pièces de véhicules à moteur, en date, à Genève, du</w:t>
      </w:r>
      <w:r>
        <w:rPr>
          <w:lang w:val="fr-FR"/>
        </w:rPr>
        <w:t> </w:t>
      </w:r>
      <w:r w:rsidRPr="00066921">
        <w:rPr>
          <w:lang w:val="fr-FR"/>
        </w:rPr>
        <w:t>20</w:t>
      </w:r>
      <w:r>
        <w:rPr>
          <w:lang w:val="fr-FR"/>
        </w:rPr>
        <w:t> </w:t>
      </w:r>
      <w:r w:rsidRPr="00066921">
        <w:rPr>
          <w:lang w:val="fr-FR"/>
        </w:rPr>
        <w:t>mars 1958 (version originale)</w:t>
      </w:r>
      <w:r>
        <w:rPr>
          <w:lang w:val="fr-FR"/>
        </w:rPr>
        <w:t> </w:t>
      </w:r>
      <w:r w:rsidRPr="00066921">
        <w:rPr>
          <w:lang w:val="fr-FR"/>
        </w:rPr>
        <w:t>;</w:t>
      </w:r>
    </w:p>
    <w:p w14:paraId="5E5F0D76" w14:textId="18284D8B" w:rsidR="00A42865" w:rsidRPr="00A42865" w:rsidRDefault="00A42865" w:rsidP="00A42865">
      <w:pPr>
        <w:pStyle w:val="Notedebasdepage"/>
      </w:pPr>
      <w:r w:rsidRPr="00066921">
        <w:rPr>
          <w:lang w:val="fr-FR"/>
        </w:rPr>
        <w:tab/>
      </w:r>
      <w:r w:rsidRPr="00066921">
        <w:rPr>
          <w:lang w:val="fr-FR"/>
        </w:rPr>
        <w:tab/>
        <w:t>Accord concernant l</w:t>
      </w:r>
      <w:r>
        <w:rPr>
          <w:lang w:val="fr-FR"/>
        </w:rPr>
        <w:t>’</w:t>
      </w:r>
      <w:r w:rsidRPr="00066921">
        <w:rPr>
          <w:lang w:val="fr-FR"/>
        </w:rPr>
        <w:t>adoption de prescriptions techniques uniformes applicables aux véhicules à roues, aux équipements et aux pièces susceptibles d</w:t>
      </w:r>
      <w:r>
        <w:rPr>
          <w:lang w:val="fr-FR"/>
        </w:rPr>
        <w:t>’</w:t>
      </w:r>
      <w:r w:rsidRPr="00066921">
        <w:rPr>
          <w:lang w:val="fr-FR"/>
        </w:rPr>
        <w:t>être montés ou utilisés sur un véhicule à roues et les conditions de reconnaissance réciproque des homologations délivrées conformément à ces prescriptions, en date, à Genève, du 5</w:t>
      </w:r>
      <w:r>
        <w:rPr>
          <w:lang w:val="fr-FR"/>
        </w:rPr>
        <w:t> </w:t>
      </w:r>
      <w:r w:rsidRPr="00066921">
        <w:rPr>
          <w:lang w:val="fr-FR"/>
        </w:rPr>
        <w:t>octobre 1995 (Révision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B6DF" w14:textId="6E45C91A" w:rsidR="00A42865" w:rsidRPr="00A42865" w:rsidRDefault="00A42865">
    <w:pPr>
      <w:pStyle w:val="En-tte"/>
    </w:pPr>
    <w:fldSimple w:instr=" TITLE  \* MERGEFORMAT ">
      <w:r>
        <w:t>E/ECE/TRANS/505/Rev.3/Add.160/Amend.1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AD04" w14:textId="4974D00B" w:rsidR="00A42865" w:rsidRPr="00A42865" w:rsidRDefault="00A42865" w:rsidP="00A42865">
    <w:pPr>
      <w:pStyle w:val="En-tte"/>
      <w:jc w:val="right"/>
    </w:pPr>
    <w:fldSimple w:instr=" TITLE  \* MERGEFORMAT ">
      <w:r>
        <w:t>E/ECE/TRANS/505/Rev.3/Add.160/Amend.1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8872EC7E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BF500A38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E7F2E66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EC"/>
    <w:rsid w:val="00017F94"/>
    <w:rsid w:val="00023842"/>
    <w:rsid w:val="0002432E"/>
    <w:rsid w:val="000334F9"/>
    <w:rsid w:val="00073B9D"/>
    <w:rsid w:val="0007796D"/>
    <w:rsid w:val="000B7790"/>
    <w:rsid w:val="00111F2F"/>
    <w:rsid w:val="0014365E"/>
    <w:rsid w:val="00176178"/>
    <w:rsid w:val="001C3868"/>
    <w:rsid w:val="001F525A"/>
    <w:rsid w:val="00223272"/>
    <w:rsid w:val="0024779E"/>
    <w:rsid w:val="002515E3"/>
    <w:rsid w:val="00266ACE"/>
    <w:rsid w:val="002832AC"/>
    <w:rsid w:val="002D7C93"/>
    <w:rsid w:val="003220E7"/>
    <w:rsid w:val="00441C3B"/>
    <w:rsid w:val="00446FE5"/>
    <w:rsid w:val="00452396"/>
    <w:rsid w:val="004560EC"/>
    <w:rsid w:val="004E468C"/>
    <w:rsid w:val="005505B7"/>
    <w:rsid w:val="00573BE5"/>
    <w:rsid w:val="00586ED3"/>
    <w:rsid w:val="00596AA9"/>
    <w:rsid w:val="0071601D"/>
    <w:rsid w:val="007A62E6"/>
    <w:rsid w:val="007C1326"/>
    <w:rsid w:val="0080236C"/>
    <w:rsid w:val="0080684C"/>
    <w:rsid w:val="00871C75"/>
    <w:rsid w:val="008776DC"/>
    <w:rsid w:val="00967489"/>
    <w:rsid w:val="009705C8"/>
    <w:rsid w:val="009C1CF4"/>
    <w:rsid w:val="00A30353"/>
    <w:rsid w:val="00A42865"/>
    <w:rsid w:val="00AA42FA"/>
    <w:rsid w:val="00AC3823"/>
    <w:rsid w:val="00AE323C"/>
    <w:rsid w:val="00AF290F"/>
    <w:rsid w:val="00B00181"/>
    <w:rsid w:val="00B00B0D"/>
    <w:rsid w:val="00B765F7"/>
    <w:rsid w:val="00BA0CA9"/>
    <w:rsid w:val="00C02897"/>
    <w:rsid w:val="00D3439C"/>
    <w:rsid w:val="00D75300"/>
    <w:rsid w:val="00DB1831"/>
    <w:rsid w:val="00DD3BFD"/>
    <w:rsid w:val="00DF6678"/>
    <w:rsid w:val="00EF2E22"/>
    <w:rsid w:val="00F660DF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00864"/>
  <w15:docId w15:val="{F3F91C41-2B14-407C-B929-21801D36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68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1C3868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1C3868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1C3868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1C3868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1C3868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1C3868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1C3868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1C3868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1C3868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1C3868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1C3868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1C3868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1C386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1C386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1C386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1C386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1C3868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1C3868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1C3868"/>
    <w:pPr>
      <w:numPr>
        <w:numId w:val="16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1C3868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1C3868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1C3868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1C3868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1C3868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1C386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1C3868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1C3868"/>
  </w:style>
  <w:style w:type="character" w:customStyle="1" w:styleId="NotedefinCar">
    <w:name w:val="Note de fin Car"/>
    <w:aliases w:val="2_G Car"/>
    <w:basedOn w:val="Policepardfaut"/>
    <w:link w:val="Notedefin"/>
    <w:rsid w:val="001C3868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1C3868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1C386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36C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locked/>
    <w:rsid w:val="00967489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H1GChar">
    <w:name w:val="_ H_1_G Char"/>
    <w:link w:val="H1G"/>
    <w:locked/>
    <w:rsid w:val="00967489"/>
    <w:rPr>
      <w:rFonts w:ascii="Times New Roman" w:eastAsiaTheme="minorHAnsi" w:hAnsi="Times New Roman" w:cs="Times New Roman"/>
      <w:b/>
      <w:sz w:val="24"/>
      <w:szCs w:val="20"/>
      <w:lang w:eastAsia="en-US"/>
    </w:rPr>
  </w:style>
  <w:style w:type="character" w:customStyle="1" w:styleId="normaltextrun">
    <w:name w:val="normaltextrun"/>
    <w:basedOn w:val="Policepardfaut"/>
    <w:rsid w:val="00A42865"/>
  </w:style>
  <w:style w:type="character" w:customStyle="1" w:styleId="eop">
    <w:name w:val="eop"/>
    <w:basedOn w:val="Policepardfaut"/>
    <w:rsid w:val="00A4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E.dotm</Template>
  <TotalTime>2</TotalTime>
  <Pages>3</Pages>
  <Words>944</Words>
  <Characters>5384</Characters>
  <Application>Microsoft Office Word</Application>
  <DocSecurity>0</DocSecurity>
  <Lines>117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E/ECE/TRANS/505/Rev.3/Add.160/Amend.1</dc:title>
  <dc:subject/>
  <dc:creator>Marie DESCHAMPS</dc:creator>
  <cp:keywords/>
  <cp:lastModifiedBy>Marie Deschamps</cp:lastModifiedBy>
  <cp:revision>2</cp:revision>
  <cp:lastPrinted>2014-05-14T10:59:00Z</cp:lastPrinted>
  <dcterms:created xsi:type="dcterms:W3CDTF">2023-01-24T09:05:00Z</dcterms:created>
  <dcterms:modified xsi:type="dcterms:W3CDTF">2023-01-24T09:05:00Z</dcterms:modified>
</cp:coreProperties>
</file>