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A532C" w14:paraId="2E137728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709BBD" w14:textId="77777777" w:rsidR="008A532C" w:rsidRPr="008A532C" w:rsidRDefault="008A532C" w:rsidP="008A532C">
            <w:pPr>
              <w:jc w:val="right"/>
              <w:rPr>
                <w:lang w:val="en-US"/>
              </w:rPr>
            </w:pPr>
            <w:r w:rsidRPr="008A532C">
              <w:rPr>
                <w:sz w:val="40"/>
                <w:lang w:val="en-US"/>
              </w:rPr>
              <w:t>E</w:t>
            </w:r>
            <w:r w:rsidRPr="008A532C">
              <w:rPr>
                <w:lang w:val="en-US"/>
              </w:rPr>
              <w:t>/ECE/324/Rev.2/Add.141/Rev.1/Amend.1−</w:t>
            </w:r>
            <w:r w:rsidRPr="008A532C">
              <w:rPr>
                <w:sz w:val="40"/>
                <w:lang w:val="en-US"/>
              </w:rPr>
              <w:t>E</w:t>
            </w:r>
            <w:r w:rsidRPr="008A532C">
              <w:rPr>
                <w:lang w:val="en-US"/>
              </w:rPr>
              <w:t>/ECE/TRANS/505/Rev.2/Add.141/Rev.1/Amend.1</w:t>
            </w:r>
          </w:p>
        </w:tc>
      </w:tr>
      <w:tr w:rsidR="00421A10" w:rsidRPr="00DB58B5" w14:paraId="0040795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CEF6AC" w14:textId="77777777" w:rsidR="00421A10" w:rsidRPr="008A532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DA06B8" w14:textId="77777777" w:rsidR="00421A10" w:rsidRPr="00DB58B5" w:rsidRDefault="008A532C" w:rsidP="00A27C92">
            <w:pPr>
              <w:spacing w:before="480" w:line="240" w:lineRule="exact"/>
            </w:pPr>
            <w:r>
              <w:t>17 novembre 2022</w:t>
            </w:r>
          </w:p>
        </w:tc>
      </w:tr>
    </w:tbl>
    <w:p w14:paraId="447BD6CC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DEC21EE" w14:textId="5915B6CD" w:rsidR="00421A10" w:rsidRPr="00583D68" w:rsidRDefault="0029791D" w:rsidP="0029791D">
      <w:pPr>
        <w:pStyle w:val="H1G"/>
      </w:pPr>
      <w:r>
        <w:tab/>
      </w:r>
      <w:r>
        <w:tab/>
      </w:r>
      <w:r w:rsidR="008A532C" w:rsidRPr="008A532C">
        <w:t xml:space="preserve">Concernant l’adoption de Règlements techniques harmonisés de l’ONU applicables aux véhicules à roues et aux équipements et pièces susceptibles d’être montés ou utilisés sur les véhicules à roues </w:t>
      </w:r>
      <w:r w:rsidR="008A532C">
        <w:br/>
      </w:r>
      <w:r w:rsidR="008A532C" w:rsidRPr="008A532C">
        <w:t>et les conditions de reconnaissance réciproque des homologations délivrées conformément à ces Règlements</w:t>
      </w:r>
      <w:r w:rsidR="00442E31" w:rsidRPr="008A532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6DE9D2C" w14:textId="3030F4E0" w:rsidR="00421A10" w:rsidRPr="00A12483" w:rsidRDefault="008A532C" w:rsidP="0029791D">
      <w:pPr>
        <w:pStyle w:val="SingleTxtG"/>
        <w:jc w:val="left"/>
        <w:rPr>
          <w:b/>
          <w:sz w:val="24"/>
          <w:szCs w:val="24"/>
        </w:rPr>
      </w:pPr>
      <w:r w:rsidRPr="008A532C">
        <w:t>(Révision 3, comprenant les amendements entrés en vigueur le 14 septembre 2017)</w:t>
      </w:r>
    </w:p>
    <w:p w14:paraId="65408889" w14:textId="77777777" w:rsidR="00421A10" w:rsidRPr="006549FF" w:rsidRDefault="0029791D" w:rsidP="0029791D">
      <w:pPr>
        <w:jc w:val="center"/>
      </w:pPr>
      <w:r>
        <w:t>_______________</w:t>
      </w:r>
    </w:p>
    <w:p w14:paraId="77C2CAA8" w14:textId="7720C9E7" w:rsidR="00421A10" w:rsidRPr="006549FF" w:rsidRDefault="0029791D" w:rsidP="0029791D">
      <w:pPr>
        <w:pStyle w:val="HChG"/>
      </w:pPr>
      <w:r>
        <w:tab/>
      </w:r>
      <w:r>
        <w:tab/>
      </w:r>
      <w:r w:rsidR="008A532C" w:rsidRPr="008A532C">
        <w:t xml:space="preserve">Additif 141 </w:t>
      </w:r>
      <w:r w:rsidR="008A532C">
        <w:t>−</w:t>
      </w:r>
      <w:r w:rsidR="008A532C" w:rsidRPr="008A532C">
        <w:t xml:space="preserve"> </w:t>
      </w:r>
      <w:r w:rsidR="008A532C" w:rsidRPr="008A532C">
        <w:rPr>
          <w:lang w:val="fr-FR"/>
        </w:rPr>
        <w:t>Règlement ONU n</w:t>
      </w:r>
      <w:r w:rsidR="008A532C" w:rsidRPr="008A532C">
        <w:rPr>
          <w:vertAlign w:val="superscript"/>
          <w:lang w:val="fr-FR"/>
        </w:rPr>
        <w:t>o</w:t>
      </w:r>
      <w:r w:rsidR="008A532C" w:rsidRPr="008A532C">
        <w:t xml:space="preserve"> 142</w:t>
      </w:r>
    </w:p>
    <w:p w14:paraId="06E57589" w14:textId="418D0714" w:rsidR="00421A10" w:rsidRPr="006549FF" w:rsidRDefault="0029791D" w:rsidP="0029791D">
      <w:pPr>
        <w:pStyle w:val="H1G"/>
      </w:pPr>
      <w:r>
        <w:tab/>
      </w:r>
      <w:r>
        <w:tab/>
      </w:r>
      <w:r w:rsidR="008A532C" w:rsidRPr="008A532C">
        <w:t xml:space="preserve">Révision 1 </w:t>
      </w:r>
      <w:r w:rsidR="008A532C">
        <w:t>−</w:t>
      </w:r>
      <w:r w:rsidR="008A532C" w:rsidRPr="008A532C">
        <w:t xml:space="preserve"> Amendement 1</w:t>
      </w:r>
    </w:p>
    <w:p w14:paraId="2BDACED4" w14:textId="085196C0" w:rsidR="00421A10" w:rsidRPr="004A7E44" w:rsidRDefault="008A532C" w:rsidP="0029791D">
      <w:pPr>
        <w:pStyle w:val="SingleTxtG"/>
        <w:spacing w:after="0"/>
      </w:pPr>
      <w:r w:rsidRPr="008A532C">
        <w:t xml:space="preserve">Complément 1 à la série 01 d’amendements </w:t>
      </w:r>
      <w:r>
        <w:t>−</w:t>
      </w:r>
      <w:r w:rsidRPr="008A532C">
        <w:t xml:space="preserve"> Date d’entrée en vigueur</w:t>
      </w:r>
      <w:r>
        <w:t> </w:t>
      </w:r>
      <w:r w:rsidRPr="008A532C">
        <w:t>: 8 octobre 2022</w:t>
      </w:r>
    </w:p>
    <w:p w14:paraId="43C47239" w14:textId="4D98ECDF" w:rsidR="00421A10" w:rsidRDefault="0029791D" w:rsidP="0029791D">
      <w:pPr>
        <w:pStyle w:val="H1G"/>
      </w:pPr>
      <w:r>
        <w:tab/>
      </w:r>
      <w:r>
        <w:tab/>
      </w:r>
      <w:r w:rsidR="008A532C" w:rsidRPr="008A532C">
        <w:rPr>
          <w:bCs/>
        </w:rPr>
        <w:t xml:space="preserve">Règlement établissant des prescriptions uniformes relatives </w:t>
      </w:r>
      <w:r w:rsidR="008A532C">
        <w:rPr>
          <w:bCs/>
        </w:rPr>
        <w:br/>
      </w:r>
      <w:r w:rsidR="008A532C" w:rsidRPr="008A532C">
        <w:rPr>
          <w:bCs/>
        </w:rPr>
        <w:t xml:space="preserve">à l’homologation des voitures particulières en ce qui concerne </w:t>
      </w:r>
      <w:r w:rsidR="008A532C">
        <w:rPr>
          <w:bCs/>
        </w:rPr>
        <w:br/>
      </w:r>
      <w:r w:rsidR="008A532C" w:rsidRPr="008A532C">
        <w:rPr>
          <w:bCs/>
        </w:rPr>
        <w:t>le montage des pneumatiques</w:t>
      </w:r>
    </w:p>
    <w:p w14:paraId="625ED31D" w14:textId="3B640CF4" w:rsidR="008A532C" w:rsidRDefault="008A532C" w:rsidP="008A532C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</w:r>
      <w:r w:rsidRPr="008A532C">
        <w:rPr>
          <w:lang w:val="fr-FR"/>
        </w:rPr>
        <w:t>Le présent document est communiqué uniquement à titre d’information. Le texte authentique, juridiquement contraignant, est celui du document</w:t>
      </w:r>
      <w:r w:rsidRPr="008A532C">
        <w:t xml:space="preserve"> ECE/TRANS/WP.29/</w:t>
      </w:r>
      <w:r>
        <w:br/>
      </w:r>
      <w:r w:rsidRPr="008A532C">
        <w:t>2022/10.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D5021" wp14:editId="69F7C0DA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7BF79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87965E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5BEB34D" wp14:editId="6FF15BF9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479D7F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D502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31F7BF79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87965E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5BEB34D" wp14:editId="6FF15BF9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479D7F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D5FAA4" w14:textId="03B35ED3" w:rsidR="008A532C" w:rsidRDefault="008A532C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424A8E6C" w14:textId="77777777" w:rsidR="008A532C" w:rsidRPr="00F10229" w:rsidRDefault="008A532C" w:rsidP="008A532C">
      <w:pPr>
        <w:pStyle w:val="SingleTxtG"/>
        <w:rPr>
          <w:b/>
        </w:rPr>
      </w:pPr>
      <w:r w:rsidRPr="007F1C82">
        <w:rPr>
          <w:i/>
          <w:iCs/>
          <w:lang w:val="fr-FR"/>
        </w:rPr>
        <w:lastRenderedPageBreak/>
        <w:t>Paragraphe 10</w:t>
      </w:r>
      <w:r w:rsidRPr="00B90BF3">
        <w:rPr>
          <w:lang w:val="fr-FR"/>
        </w:rPr>
        <w:t>, lire</w:t>
      </w:r>
      <w:r>
        <w:rPr>
          <w:b/>
          <w:lang w:val="fr-FR"/>
        </w:rPr>
        <w:t> </w:t>
      </w:r>
      <w:r w:rsidRPr="00B90BF3">
        <w:rPr>
          <w:lang w:val="fr-FR"/>
        </w:rPr>
        <w:t>:</w:t>
      </w:r>
    </w:p>
    <w:p w14:paraId="41469E40" w14:textId="77777777" w:rsidR="008A532C" w:rsidRPr="00B90BF3" w:rsidRDefault="008A532C" w:rsidP="008A532C">
      <w:pPr>
        <w:pStyle w:val="SingleTxtG"/>
        <w:ind w:left="2268" w:hanging="1134"/>
        <w:rPr>
          <w:b/>
        </w:rPr>
      </w:pPr>
      <w:r w:rsidRPr="00B90BF3">
        <w:rPr>
          <w:lang w:val="fr-FR"/>
        </w:rPr>
        <w:t>« 10.</w:t>
      </w:r>
      <w:r w:rsidRPr="00B90BF3">
        <w:rPr>
          <w:lang w:val="fr-FR"/>
        </w:rPr>
        <w:tab/>
        <w:t>Dispositions transitoires</w:t>
      </w:r>
    </w:p>
    <w:p w14:paraId="4D31CEFF" w14:textId="77777777" w:rsidR="008A532C" w:rsidRPr="00AF7506" w:rsidRDefault="008A532C" w:rsidP="008A532C">
      <w:pPr>
        <w:pStyle w:val="SingleTxtG"/>
        <w:ind w:left="2268" w:hanging="1134"/>
        <w:rPr>
          <w:iCs/>
          <w:lang w:val="fr-FR"/>
        </w:rPr>
      </w:pPr>
      <w:r w:rsidRPr="00AF7506">
        <w:rPr>
          <w:iCs/>
          <w:lang w:val="fr-FR"/>
        </w:rPr>
        <w:t>10.1</w:t>
      </w:r>
      <w:r w:rsidRPr="00AF7506">
        <w:rPr>
          <w:iCs/>
          <w:lang w:val="fr-FR"/>
        </w:rPr>
        <w:tab/>
      </w:r>
      <w:r w:rsidRPr="00AF7506">
        <w:rPr>
          <w:lang w:val="fr-FR"/>
        </w:rPr>
        <w:t>À compter de la date officielle d</w:t>
      </w:r>
      <w:r>
        <w:rPr>
          <w:lang w:val="fr-FR"/>
        </w:rPr>
        <w:t>’</w:t>
      </w:r>
      <w:r w:rsidRPr="00AF7506">
        <w:rPr>
          <w:lang w:val="fr-FR"/>
        </w:rPr>
        <w:t>entrée en vigueur de la série 01 d</w:t>
      </w:r>
      <w:r>
        <w:rPr>
          <w:lang w:val="fr-FR"/>
        </w:rPr>
        <w:t>’</w:t>
      </w:r>
      <w:r w:rsidRPr="00AF7506">
        <w:rPr>
          <w:lang w:val="fr-FR"/>
        </w:rPr>
        <w:t>amendements, aucune Partie contractante appliquant le présent Règlement ne pourra refuser d</w:t>
      </w:r>
      <w:r>
        <w:rPr>
          <w:lang w:val="fr-FR"/>
        </w:rPr>
        <w:t>’</w:t>
      </w:r>
      <w:r w:rsidRPr="00AF7506">
        <w:rPr>
          <w:lang w:val="fr-FR"/>
        </w:rPr>
        <w:t>accorder ou d</w:t>
      </w:r>
      <w:r>
        <w:rPr>
          <w:lang w:val="fr-FR"/>
        </w:rPr>
        <w:t>’</w:t>
      </w:r>
      <w:r w:rsidRPr="00AF7506">
        <w:rPr>
          <w:lang w:val="fr-FR"/>
        </w:rPr>
        <w:t>accepter une homologation de type en vertu dudit Règlement tel que modifié par la série 01 d</w:t>
      </w:r>
      <w:r>
        <w:rPr>
          <w:lang w:val="fr-FR"/>
        </w:rPr>
        <w:t>’</w:t>
      </w:r>
      <w:r w:rsidRPr="00AF7506">
        <w:rPr>
          <w:lang w:val="fr-FR"/>
        </w:rPr>
        <w:t>amendements.</w:t>
      </w:r>
    </w:p>
    <w:p w14:paraId="0ADEED00" w14:textId="77777777" w:rsidR="008A532C" w:rsidRPr="00AF7506" w:rsidRDefault="008A532C" w:rsidP="008A532C">
      <w:pPr>
        <w:pStyle w:val="SingleTxtG"/>
        <w:ind w:left="2268" w:hanging="1134"/>
        <w:rPr>
          <w:iCs/>
          <w:lang w:val="fr-FR"/>
        </w:rPr>
      </w:pPr>
      <w:r w:rsidRPr="00AF7506">
        <w:rPr>
          <w:iCs/>
          <w:lang w:val="fr-FR"/>
        </w:rPr>
        <w:t>10.</w:t>
      </w:r>
      <w:r>
        <w:rPr>
          <w:iCs/>
          <w:lang w:val="fr-FR"/>
        </w:rPr>
        <w:t>2</w:t>
      </w:r>
      <w:r w:rsidRPr="00AF7506">
        <w:rPr>
          <w:iCs/>
          <w:lang w:val="fr-FR"/>
        </w:rPr>
        <w:tab/>
        <w:t>Jusqu</w:t>
      </w:r>
      <w:r>
        <w:rPr>
          <w:iCs/>
          <w:lang w:val="fr-FR"/>
        </w:rPr>
        <w:t>’</w:t>
      </w:r>
      <w:r w:rsidRPr="00AF7506">
        <w:rPr>
          <w:iCs/>
          <w:lang w:val="fr-FR"/>
        </w:rPr>
        <w:t>au 6</w:t>
      </w:r>
      <w:r>
        <w:rPr>
          <w:iCs/>
          <w:lang w:val="fr-FR"/>
        </w:rPr>
        <w:t> </w:t>
      </w:r>
      <w:r w:rsidRPr="00AF7506">
        <w:rPr>
          <w:iCs/>
          <w:lang w:val="fr-FR"/>
        </w:rPr>
        <w:t xml:space="preserve">juillet 2022, </w:t>
      </w:r>
      <w:r w:rsidRPr="00AF7506">
        <w:t>les Parties contractantes appliquant le présent Règlement seront tenues d</w:t>
      </w:r>
      <w:r>
        <w:t>’</w:t>
      </w:r>
      <w:r w:rsidRPr="00AF7506">
        <w:t>accepter les homologations de type établies conformément aux précédentes séries d</w:t>
      </w:r>
      <w:r>
        <w:t>’</w:t>
      </w:r>
      <w:r w:rsidRPr="00AF7506">
        <w:t>amendements, délivrées pour la première fois avant le</w:t>
      </w:r>
      <w:r w:rsidRPr="00AF7506">
        <w:rPr>
          <w:rStyle w:val="Marquedecommentaire"/>
          <w:lang w:val="fr-FR"/>
        </w:rPr>
        <w:t xml:space="preserve"> </w:t>
      </w:r>
      <w:r w:rsidRPr="00AF7506">
        <w:rPr>
          <w:iCs/>
          <w:lang w:val="fr-FR"/>
        </w:rPr>
        <w:t>6</w:t>
      </w:r>
      <w:r>
        <w:rPr>
          <w:iCs/>
          <w:lang w:val="fr-FR"/>
        </w:rPr>
        <w:t> </w:t>
      </w:r>
      <w:r w:rsidRPr="00AF7506">
        <w:rPr>
          <w:iCs/>
          <w:lang w:val="fr-FR"/>
        </w:rPr>
        <w:t>juillet 2022.</w:t>
      </w:r>
    </w:p>
    <w:p w14:paraId="2536BCBE" w14:textId="77777777" w:rsidR="008A532C" w:rsidRPr="00AF7506" w:rsidRDefault="008A532C" w:rsidP="008A532C">
      <w:pPr>
        <w:pStyle w:val="SingleTxtG"/>
        <w:ind w:left="2268" w:hanging="1134"/>
        <w:rPr>
          <w:iCs/>
          <w:lang w:val="fr-FR"/>
        </w:rPr>
      </w:pPr>
      <w:r w:rsidRPr="00AF7506">
        <w:rPr>
          <w:iCs/>
          <w:lang w:val="fr-FR"/>
        </w:rPr>
        <w:t>10</w:t>
      </w:r>
      <w:r>
        <w:rPr>
          <w:iCs/>
          <w:lang w:val="fr-FR"/>
        </w:rPr>
        <w:t>.3</w:t>
      </w:r>
      <w:r w:rsidRPr="00AF7506">
        <w:rPr>
          <w:iCs/>
          <w:lang w:val="fr-FR"/>
        </w:rPr>
        <w:tab/>
      </w:r>
      <w:r w:rsidRPr="00AF7506">
        <w:rPr>
          <w:lang w:val="fr-FR"/>
        </w:rPr>
        <w:t xml:space="preserve">À compter du </w:t>
      </w:r>
      <w:r w:rsidRPr="00AF7506">
        <w:rPr>
          <w:iCs/>
          <w:lang w:val="fr-FR"/>
        </w:rPr>
        <w:t>6</w:t>
      </w:r>
      <w:r>
        <w:rPr>
          <w:iCs/>
          <w:lang w:val="fr-FR"/>
        </w:rPr>
        <w:t> </w:t>
      </w:r>
      <w:r w:rsidRPr="00AF7506">
        <w:rPr>
          <w:iCs/>
          <w:lang w:val="fr-FR"/>
        </w:rPr>
        <w:t xml:space="preserve">juillet 2022, </w:t>
      </w:r>
      <w:r w:rsidRPr="00AF7506">
        <w:t>les Parties contractantes appliquant le présent Règlement ne seront plus tenues d</w:t>
      </w:r>
      <w:r>
        <w:t>’</w:t>
      </w:r>
      <w:r w:rsidRPr="00AF7506">
        <w:t>accepter les homologations de type délivrées en vertu des précédentes séries d</w:t>
      </w:r>
      <w:r>
        <w:t>’</w:t>
      </w:r>
      <w:r w:rsidRPr="00AF7506">
        <w:t>amendements audit Règlement</w:t>
      </w:r>
      <w:r>
        <w:rPr>
          <w:rStyle w:val="Marquedecommentaire"/>
          <w:lang w:val="fr-FR"/>
        </w:rPr>
        <w:t>.</w:t>
      </w:r>
    </w:p>
    <w:p w14:paraId="3FF39127" w14:textId="77777777" w:rsidR="008A532C" w:rsidRPr="00AF7506" w:rsidRDefault="008A532C" w:rsidP="008A532C">
      <w:pPr>
        <w:pStyle w:val="SingleTxtG"/>
        <w:ind w:left="2268" w:hanging="1134"/>
        <w:rPr>
          <w:iCs/>
          <w:lang w:val="fr-FR"/>
        </w:rPr>
      </w:pPr>
      <w:r w:rsidRPr="00AF7506">
        <w:rPr>
          <w:iCs/>
          <w:lang w:val="fr-FR"/>
        </w:rPr>
        <w:t>10.</w:t>
      </w:r>
      <w:r>
        <w:rPr>
          <w:iCs/>
          <w:lang w:val="fr-FR"/>
        </w:rPr>
        <w:t>4</w:t>
      </w:r>
      <w:r w:rsidRPr="00AF7506">
        <w:rPr>
          <w:iCs/>
          <w:lang w:val="fr-FR"/>
        </w:rPr>
        <w:tab/>
      </w:r>
      <w:r w:rsidRPr="00AF7506">
        <w:rPr>
          <w:lang w:val="fr-FR"/>
        </w:rPr>
        <w:t>Nonobstant les dispositions transitoires énoncées ci-dessus, les Parties contractantes qui commenceront à appliquer le présent Règlement après la date d</w:t>
      </w:r>
      <w:r>
        <w:rPr>
          <w:lang w:val="fr-FR"/>
        </w:rPr>
        <w:t>’</w:t>
      </w:r>
      <w:r w:rsidRPr="00AF7506">
        <w:rPr>
          <w:lang w:val="fr-FR"/>
        </w:rPr>
        <w:t>entrée en vigueur de la série d</w:t>
      </w:r>
      <w:r>
        <w:rPr>
          <w:lang w:val="fr-FR"/>
        </w:rPr>
        <w:t>’</w:t>
      </w:r>
      <w:r w:rsidRPr="00AF7506">
        <w:rPr>
          <w:lang w:val="fr-FR"/>
        </w:rPr>
        <w:t>amendements la plus récente ne seront pas tenues de reconnaître les homologations de type délivrées au titre de l</w:t>
      </w:r>
      <w:r>
        <w:rPr>
          <w:lang w:val="fr-FR"/>
        </w:rPr>
        <w:t>’</w:t>
      </w:r>
      <w:r w:rsidRPr="00AF7506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AF7506">
        <w:rPr>
          <w:lang w:val="fr-FR"/>
        </w:rPr>
        <w:t>amendements audit Règlement, leur seule obligation étant de reconnaître les homologations de type délivrées au titre de la série</w:t>
      </w:r>
      <w:r w:rsidRPr="00AF7506">
        <w:rPr>
          <w:iCs/>
          <w:lang w:val="fr-FR"/>
        </w:rPr>
        <w:t xml:space="preserve"> 01 d</w:t>
      </w:r>
      <w:r>
        <w:rPr>
          <w:iCs/>
          <w:lang w:val="fr-FR"/>
        </w:rPr>
        <w:t>’</w:t>
      </w:r>
      <w:r w:rsidRPr="00AF7506">
        <w:rPr>
          <w:iCs/>
          <w:lang w:val="fr-FR"/>
        </w:rPr>
        <w:t>amendements.</w:t>
      </w:r>
    </w:p>
    <w:p w14:paraId="7E144D9F" w14:textId="77777777" w:rsidR="008A532C" w:rsidRPr="00AF7506" w:rsidRDefault="008A532C" w:rsidP="008A532C">
      <w:pPr>
        <w:pStyle w:val="SingleTxtG"/>
        <w:ind w:left="2268" w:hanging="1134"/>
        <w:rPr>
          <w:iCs/>
          <w:lang w:val="fr-FR"/>
        </w:rPr>
      </w:pPr>
      <w:r w:rsidRPr="00AF7506">
        <w:rPr>
          <w:iCs/>
          <w:lang w:val="fr-FR"/>
        </w:rPr>
        <w:t>10.</w:t>
      </w:r>
      <w:r>
        <w:rPr>
          <w:iCs/>
          <w:lang w:val="fr-FR"/>
        </w:rPr>
        <w:t>5</w:t>
      </w:r>
      <w:r w:rsidRPr="00AF7506">
        <w:rPr>
          <w:iCs/>
          <w:lang w:val="fr-FR"/>
        </w:rPr>
        <w:tab/>
        <w:t>Nonobstant les dispositions du paragraphe 10.</w:t>
      </w:r>
      <w:r>
        <w:rPr>
          <w:iCs/>
          <w:lang w:val="fr-FR"/>
        </w:rPr>
        <w:t>3</w:t>
      </w:r>
      <w:r w:rsidRPr="00AF7506">
        <w:rPr>
          <w:iCs/>
          <w:lang w:val="fr-FR"/>
        </w:rPr>
        <w:t xml:space="preserve">, </w:t>
      </w:r>
      <w:r w:rsidRPr="00AF7506">
        <w:rPr>
          <w:lang w:val="fr-FR"/>
        </w:rPr>
        <w:t>les Parties contractantes appliquant le présent Règlement continueront de reconnaître les homologations de type délivrées au titre des précédentes séries d</w:t>
      </w:r>
      <w:r>
        <w:rPr>
          <w:lang w:val="fr-FR"/>
        </w:rPr>
        <w:t>’</w:t>
      </w:r>
      <w:r w:rsidRPr="00AF7506">
        <w:rPr>
          <w:lang w:val="fr-FR"/>
        </w:rPr>
        <w:t>amendements audit Règlement pour les véhicules ou les systèmes pour véhicules non concernés par les modifications apportées par la série</w:t>
      </w:r>
      <w:r w:rsidRPr="00AF7506">
        <w:rPr>
          <w:iCs/>
          <w:lang w:val="fr-FR"/>
        </w:rPr>
        <w:t xml:space="preserve"> 01 d</w:t>
      </w:r>
      <w:r>
        <w:rPr>
          <w:iCs/>
          <w:lang w:val="fr-FR"/>
        </w:rPr>
        <w:t>’</w:t>
      </w:r>
      <w:r w:rsidRPr="00AF7506">
        <w:rPr>
          <w:iCs/>
          <w:lang w:val="fr-FR"/>
        </w:rPr>
        <w:t>amendements.</w:t>
      </w:r>
    </w:p>
    <w:p w14:paraId="6BF2BF66" w14:textId="77777777" w:rsidR="008A532C" w:rsidRDefault="008A532C" w:rsidP="008A532C">
      <w:pPr>
        <w:pStyle w:val="SingleTxtG"/>
        <w:ind w:left="2268" w:hanging="1134"/>
        <w:rPr>
          <w:lang w:val="fr-FR"/>
        </w:rPr>
      </w:pPr>
      <w:r w:rsidRPr="00AF7506">
        <w:rPr>
          <w:iCs/>
          <w:lang w:val="fr-FR"/>
        </w:rPr>
        <w:t>10.</w:t>
      </w:r>
      <w:r>
        <w:rPr>
          <w:iCs/>
          <w:lang w:val="fr-FR"/>
        </w:rPr>
        <w:t>6</w:t>
      </w:r>
      <w:r w:rsidRPr="00AF7506">
        <w:rPr>
          <w:iCs/>
          <w:lang w:val="fr-FR"/>
        </w:rPr>
        <w:tab/>
      </w:r>
      <w:r w:rsidRPr="00AF7506">
        <w:rPr>
          <w:lang w:val="fr-FR"/>
        </w:rPr>
        <w:t>Les Parties contractantes appliquant le présent Règlement pourront accorder des homologations de type en vertu de l</w:t>
      </w:r>
      <w:r>
        <w:rPr>
          <w:lang w:val="fr-FR"/>
        </w:rPr>
        <w:t>’</w:t>
      </w:r>
      <w:r w:rsidRPr="00AF7506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AF7506">
        <w:rPr>
          <w:lang w:val="fr-FR"/>
        </w:rPr>
        <w:t>amendements audit Règlement</w:t>
      </w:r>
      <w:r>
        <w:rPr>
          <w:lang w:val="fr-FR"/>
        </w:rPr>
        <w:t>.</w:t>
      </w:r>
    </w:p>
    <w:p w14:paraId="5AA5A8F5" w14:textId="77777777" w:rsidR="008A532C" w:rsidRPr="00B90BF3" w:rsidRDefault="008A532C" w:rsidP="008A532C">
      <w:pPr>
        <w:pStyle w:val="SingleTxtG"/>
        <w:ind w:left="2268" w:hanging="1134"/>
        <w:rPr>
          <w:bCs/>
          <w:iCs/>
          <w:lang w:val="fr-FR"/>
        </w:rPr>
      </w:pPr>
      <w:r>
        <w:rPr>
          <w:lang w:val="fr-FR"/>
        </w:rPr>
        <w:t>10.7</w:t>
      </w:r>
      <w:r>
        <w:rPr>
          <w:lang w:val="fr-FR"/>
        </w:rPr>
        <w:tab/>
        <w:t>L</w:t>
      </w:r>
      <w:r w:rsidRPr="002808DF">
        <w:rPr>
          <w:lang w:val="fr-FR"/>
        </w:rPr>
        <w:t>es Parties contractantes appliquant le présent Règlement continueront d</w:t>
      </w:r>
      <w:r>
        <w:rPr>
          <w:lang w:val="fr-FR"/>
        </w:rPr>
        <w:t>’accorder des extensions pour les homologations établies conformément à l’une quelconque des précédentes séries d’amendements audit Règlement. ».</w:t>
      </w:r>
    </w:p>
    <w:p w14:paraId="13496733" w14:textId="2850AD5B" w:rsidR="005F0207" w:rsidRPr="008A532C" w:rsidRDefault="008A532C" w:rsidP="008A532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8A532C" w:rsidSect="008A53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C36D" w14:textId="77777777" w:rsidR="001A0FC6" w:rsidRDefault="001A0FC6"/>
  </w:endnote>
  <w:endnote w:type="continuationSeparator" w:id="0">
    <w:p w14:paraId="0A6BF90C" w14:textId="77777777" w:rsidR="001A0FC6" w:rsidRDefault="001A0FC6">
      <w:pPr>
        <w:pStyle w:val="Pieddepage"/>
      </w:pPr>
    </w:p>
  </w:endnote>
  <w:endnote w:type="continuationNotice" w:id="1">
    <w:p w14:paraId="420371A2" w14:textId="77777777" w:rsidR="001A0FC6" w:rsidRPr="00C451B9" w:rsidRDefault="001A0FC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32F2" w14:textId="77777777" w:rsidR="008A532C" w:rsidRPr="008A532C" w:rsidRDefault="008A532C" w:rsidP="008A532C">
    <w:pPr>
      <w:pStyle w:val="Pieddepage"/>
      <w:tabs>
        <w:tab w:val="right" w:pos="9638"/>
      </w:tabs>
    </w:pPr>
    <w:r w:rsidRPr="008A532C">
      <w:rPr>
        <w:b/>
        <w:sz w:val="18"/>
      </w:rPr>
      <w:fldChar w:fldCharType="begin"/>
    </w:r>
    <w:r w:rsidRPr="008A532C">
      <w:rPr>
        <w:b/>
        <w:sz w:val="18"/>
      </w:rPr>
      <w:instrText xml:space="preserve"> PAGE  \* MERGEFORMAT </w:instrText>
    </w:r>
    <w:r w:rsidRPr="008A532C">
      <w:rPr>
        <w:b/>
        <w:sz w:val="18"/>
      </w:rPr>
      <w:fldChar w:fldCharType="separate"/>
    </w:r>
    <w:r w:rsidRPr="008A532C">
      <w:rPr>
        <w:b/>
        <w:noProof/>
        <w:sz w:val="18"/>
      </w:rPr>
      <w:t>2</w:t>
    </w:r>
    <w:r w:rsidRPr="008A532C">
      <w:rPr>
        <w:b/>
        <w:sz w:val="18"/>
      </w:rPr>
      <w:fldChar w:fldCharType="end"/>
    </w:r>
    <w:r>
      <w:rPr>
        <w:b/>
        <w:sz w:val="18"/>
      </w:rPr>
      <w:tab/>
    </w:r>
    <w:r>
      <w:t>GE.22-25944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8488" w14:textId="77777777" w:rsidR="008A532C" w:rsidRPr="008A532C" w:rsidRDefault="008A532C" w:rsidP="008A532C">
    <w:pPr>
      <w:pStyle w:val="Pieddepage"/>
      <w:tabs>
        <w:tab w:val="right" w:pos="9638"/>
      </w:tabs>
      <w:rPr>
        <w:b/>
        <w:sz w:val="18"/>
      </w:rPr>
    </w:pPr>
    <w:r>
      <w:t>GE.22-25944</w:t>
    </w:r>
    <w:r>
      <w:tab/>
    </w:r>
    <w:r w:rsidRPr="008A532C">
      <w:rPr>
        <w:b/>
        <w:sz w:val="18"/>
      </w:rPr>
      <w:fldChar w:fldCharType="begin"/>
    </w:r>
    <w:r w:rsidRPr="008A532C">
      <w:rPr>
        <w:b/>
        <w:sz w:val="18"/>
      </w:rPr>
      <w:instrText xml:space="preserve"> PAGE  \* MERGEFORMAT </w:instrText>
    </w:r>
    <w:r w:rsidRPr="008A532C">
      <w:rPr>
        <w:b/>
        <w:sz w:val="18"/>
      </w:rPr>
      <w:fldChar w:fldCharType="separate"/>
    </w:r>
    <w:r w:rsidRPr="008A532C">
      <w:rPr>
        <w:b/>
        <w:noProof/>
        <w:sz w:val="18"/>
      </w:rPr>
      <w:t>3</w:t>
    </w:r>
    <w:r w:rsidRPr="008A53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ACB1" w14:textId="0DBC39DD" w:rsidR="00467F2C" w:rsidRPr="008A532C" w:rsidRDefault="008A532C" w:rsidP="008A532C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FD2AF9E" wp14:editId="70A802B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22-25944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F6F53C" wp14:editId="4A2AA9B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230123    230123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2156" w14:textId="77777777" w:rsidR="001A0FC6" w:rsidRPr="00D27D5E" w:rsidRDefault="001A0FC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AB52AC" w14:textId="77777777" w:rsidR="001A0FC6" w:rsidRPr="00D171D4" w:rsidRDefault="001A0FC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C8131B7" w14:textId="77777777" w:rsidR="001A0FC6" w:rsidRPr="00C451B9" w:rsidRDefault="001A0FC6" w:rsidP="00C451B9">
      <w:pPr>
        <w:spacing w:line="240" w:lineRule="auto"/>
        <w:rPr>
          <w:sz w:val="2"/>
          <w:szCs w:val="2"/>
        </w:rPr>
      </w:pPr>
    </w:p>
  </w:footnote>
  <w:footnote w:id="2">
    <w:p w14:paraId="61BE47D8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5BD70C4C" w14:textId="77777777" w:rsidR="00591072" w:rsidRPr="00591072" w:rsidRDefault="00591072" w:rsidP="00591072">
      <w:pPr>
        <w:pStyle w:val="Notedebasdepage"/>
      </w:pPr>
      <w:r w:rsidRPr="008A532C">
        <w:tab/>
      </w:r>
      <w:r w:rsidRPr="008A532C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63FFAFDA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30A1BC7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53A2" w14:textId="77777777" w:rsidR="008A532C" w:rsidRPr="008A532C" w:rsidRDefault="008A532C">
    <w:pPr>
      <w:pStyle w:val="En-tte"/>
      <w:rPr>
        <w:lang w:val="en-US"/>
      </w:rPr>
    </w:pPr>
    <w:r>
      <w:fldChar w:fldCharType="begin"/>
    </w:r>
    <w:r w:rsidRPr="008A532C">
      <w:rPr>
        <w:lang w:val="en-US"/>
      </w:rPr>
      <w:instrText xml:space="preserve"> TITLE  \* MERGEFORMAT </w:instrText>
    </w:r>
    <w:r>
      <w:fldChar w:fldCharType="separate"/>
    </w:r>
    <w:r w:rsidRPr="008A532C">
      <w:rPr>
        <w:lang w:val="en-US"/>
      </w:rPr>
      <w:t>E/ECE/324/Rev.2/Add.141/Rev.1/Amend.1</w:t>
    </w:r>
    <w:r>
      <w:fldChar w:fldCharType="end"/>
    </w:r>
    <w:r w:rsidRPr="008A532C">
      <w:rPr>
        <w:lang w:val="en-US"/>
      </w:rPr>
      <w:br/>
    </w:r>
    <w:r>
      <w:fldChar w:fldCharType="begin"/>
    </w:r>
    <w:r w:rsidRPr="008A532C">
      <w:rPr>
        <w:lang w:val="en-US"/>
      </w:rPr>
      <w:instrText xml:space="preserve"> KEYWORDS  \* MERGEFORMAT </w:instrText>
    </w:r>
    <w:r>
      <w:fldChar w:fldCharType="separate"/>
    </w:r>
    <w:r w:rsidRPr="008A532C">
      <w:rPr>
        <w:lang w:val="en-US"/>
      </w:rPr>
      <w:t>E/ECE/TRANS/505/Rev.2/Add.141/Rev.1/Amend.1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71B8" w14:textId="77777777" w:rsidR="008A532C" w:rsidRPr="008A532C" w:rsidRDefault="008A532C" w:rsidP="008A532C">
    <w:pPr>
      <w:pStyle w:val="En-tte"/>
      <w:jc w:val="right"/>
      <w:rPr>
        <w:lang w:val="en-US"/>
      </w:rPr>
    </w:pPr>
    <w:r>
      <w:fldChar w:fldCharType="begin"/>
    </w:r>
    <w:r w:rsidRPr="008A532C">
      <w:rPr>
        <w:lang w:val="en-US"/>
      </w:rPr>
      <w:instrText xml:space="preserve"> TITLE  \* MERGEFORMAT </w:instrText>
    </w:r>
    <w:r>
      <w:fldChar w:fldCharType="separate"/>
    </w:r>
    <w:r w:rsidRPr="008A532C">
      <w:rPr>
        <w:lang w:val="en-US"/>
      </w:rPr>
      <w:t>E/ECE/324/Rev.2/Add.141/Rev.1/Amend.1</w:t>
    </w:r>
    <w:r>
      <w:fldChar w:fldCharType="end"/>
    </w:r>
    <w:r w:rsidRPr="008A532C">
      <w:rPr>
        <w:lang w:val="en-US"/>
      </w:rPr>
      <w:br/>
    </w:r>
    <w:r>
      <w:fldChar w:fldCharType="begin"/>
    </w:r>
    <w:r w:rsidRPr="008A532C">
      <w:rPr>
        <w:lang w:val="en-US"/>
      </w:rPr>
      <w:instrText xml:space="preserve"> KEYWORDS  \* MERGEFORMAT </w:instrText>
    </w:r>
    <w:r>
      <w:fldChar w:fldCharType="separate"/>
    </w:r>
    <w:r w:rsidRPr="008A532C">
      <w:rPr>
        <w:lang w:val="en-US"/>
      </w:rPr>
      <w:t>E/ECE/TRANS/505/Rev.2/Add.141/Rev.1/Amend.1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C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0FC6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A532C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461B7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7CD070"/>
  <w15:docId w15:val="{262C6DBC-573E-4AA8-A442-C8A419FA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styleId="Marquedecommentaire">
    <w:name w:val="annotation reference"/>
    <w:uiPriority w:val="99"/>
    <w:semiHidden/>
    <w:rsid w:val="008A53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410</Words>
  <Characters>2671</Characters>
  <Application>Microsoft Office Word</Application>
  <DocSecurity>0</DocSecurity>
  <Lines>267</Lines>
  <Paragraphs>181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E/ECE/324/Rev.2/Add.141/Rev.1/Amend.1</dc:title>
  <dc:creator>Sandrine CLERE</dc:creator>
  <cp:keywords>E/ECE/TRANS/505/Rev.2/Add.141/Rev.1/Amend.1</cp:keywords>
  <cp:lastModifiedBy>Sandrine Clere</cp:lastModifiedBy>
  <cp:revision>2</cp:revision>
  <cp:lastPrinted>2008-11-04T15:54:00Z</cp:lastPrinted>
  <dcterms:created xsi:type="dcterms:W3CDTF">2023-01-23T08:10:00Z</dcterms:created>
  <dcterms:modified xsi:type="dcterms:W3CDTF">2023-01-23T08:10:00Z</dcterms:modified>
</cp:coreProperties>
</file>