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BA758A" w14:paraId="1DF11463" w14:textId="77777777" w:rsidTr="00A27C92">
        <w:trPr>
          <w:trHeight w:hRule="exact" w:val="851"/>
        </w:trPr>
        <w:tc>
          <w:tcPr>
            <w:tcW w:w="9639" w:type="dxa"/>
            <w:gridSpan w:val="2"/>
            <w:tcBorders>
              <w:bottom w:val="single" w:sz="4" w:space="0" w:color="auto"/>
            </w:tcBorders>
            <w:shd w:val="clear" w:color="auto" w:fill="auto"/>
            <w:vAlign w:val="bottom"/>
          </w:tcPr>
          <w:p w14:paraId="09585CE9" w14:textId="77777777" w:rsidR="00BA758A" w:rsidRPr="00BA758A" w:rsidRDefault="00BA758A" w:rsidP="00BA758A">
            <w:pPr>
              <w:jc w:val="right"/>
              <w:rPr>
                <w:lang w:val="en-US"/>
              </w:rPr>
            </w:pPr>
            <w:r w:rsidRPr="00BA758A">
              <w:rPr>
                <w:sz w:val="40"/>
                <w:lang w:val="en-US"/>
              </w:rPr>
              <w:t>E</w:t>
            </w:r>
            <w:r w:rsidRPr="00BA758A">
              <w:rPr>
                <w:lang w:val="en-US"/>
              </w:rPr>
              <w:t>/ECE/324/Rev.1/Add.85/Rev.3/Amend.4−</w:t>
            </w:r>
            <w:r w:rsidRPr="00BA758A">
              <w:rPr>
                <w:sz w:val="40"/>
                <w:lang w:val="en-US"/>
              </w:rPr>
              <w:t>E</w:t>
            </w:r>
            <w:r w:rsidRPr="00BA758A">
              <w:rPr>
                <w:lang w:val="en-US"/>
              </w:rPr>
              <w:t>/ECE/TRANS/505/Rev.1/Add.85/Rev.3/Amend.4</w:t>
            </w:r>
          </w:p>
        </w:tc>
      </w:tr>
      <w:tr w:rsidR="00421A10" w:rsidRPr="00DB58B5" w14:paraId="4B2E91FC" w14:textId="77777777" w:rsidTr="00A27C92">
        <w:trPr>
          <w:trHeight w:hRule="exact" w:val="2835"/>
        </w:trPr>
        <w:tc>
          <w:tcPr>
            <w:tcW w:w="6804" w:type="dxa"/>
            <w:tcBorders>
              <w:top w:val="single" w:sz="4" w:space="0" w:color="auto"/>
              <w:bottom w:val="single" w:sz="12" w:space="0" w:color="auto"/>
            </w:tcBorders>
            <w:shd w:val="clear" w:color="auto" w:fill="auto"/>
          </w:tcPr>
          <w:p w14:paraId="44A7E737" w14:textId="77777777" w:rsidR="00421A10" w:rsidRPr="00BA758A"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785E0D3B" w14:textId="77777777" w:rsidR="00421A10" w:rsidRPr="00DB58B5" w:rsidRDefault="00BA758A" w:rsidP="00A27C92">
            <w:pPr>
              <w:spacing w:before="480" w:line="240" w:lineRule="exact"/>
            </w:pPr>
            <w:r>
              <w:t>16 septembre 2022</w:t>
            </w:r>
          </w:p>
        </w:tc>
      </w:tr>
    </w:tbl>
    <w:p w14:paraId="79C461A6" w14:textId="77777777" w:rsidR="00BA758A" w:rsidRPr="006549FF" w:rsidRDefault="00BA758A" w:rsidP="00BA758A">
      <w:pPr>
        <w:pStyle w:val="HChG"/>
      </w:pPr>
      <w:r>
        <w:tab/>
      </w:r>
      <w:r>
        <w:tab/>
      </w:r>
      <w:r w:rsidRPr="006549FF">
        <w:t>Accord</w:t>
      </w:r>
    </w:p>
    <w:p w14:paraId="7DE324FF" w14:textId="77777777" w:rsidR="00BA758A" w:rsidRPr="00583D68" w:rsidRDefault="00BA758A" w:rsidP="00BA758A">
      <w:pPr>
        <w:pStyle w:val="H1G"/>
      </w:pPr>
      <w:r>
        <w:tab/>
      </w:r>
      <w:r>
        <w:tab/>
      </w:r>
      <w:r w:rsidRPr="00583D68">
        <w:t xml:space="preserve">Concernant l’adoption </w:t>
      </w:r>
      <w:r w:rsidRPr="00C55178">
        <w:rPr>
          <w:lang w:val="fr-FR"/>
        </w:rPr>
        <w:t xml:space="preserve">de Règlements techniques harmonisés </w:t>
      </w:r>
      <w:r>
        <w:rPr>
          <w:lang w:val="fr-FR"/>
        </w:rPr>
        <w:br/>
      </w:r>
      <w:r w:rsidRPr="00C55178">
        <w:rPr>
          <w:lang w:val="fr-FR"/>
        </w:rPr>
        <w:t>de l</w:t>
      </w:r>
      <w:r>
        <w:rPr>
          <w:lang w:val="fr-FR"/>
        </w:rPr>
        <w:t>’</w:t>
      </w:r>
      <w:r w:rsidRPr="00C55178">
        <w:rPr>
          <w:lang w:val="fr-FR"/>
        </w:rPr>
        <w:t xml:space="preserve">ONU applicables aux véhicules à roues et aux équipements </w:t>
      </w:r>
      <w:r>
        <w:rPr>
          <w:lang w:val="fr-FR"/>
        </w:rPr>
        <w:br/>
      </w:r>
      <w:r w:rsidRPr="00C55178">
        <w:rPr>
          <w:lang w:val="fr-FR"/>
        </w:rPr>
        <w:t>et pièces susceptibles d</w:t>
      </w:r>
      <w:r>
        <w:rPr>
          <w:lang w:val="fr-FR"/>
        </w:rPr>
        <w:t>’</w:t>
      </w:r>
      <w:r w:rsidRPr="00C55178">
        <w:rPr>
          <w:lang w:val="fr-FR"/>
        </w:rPr>
        <w:t xml:space="preserve">être montés ou utilisés sur les véhicules </w:t>
      </w:r>
      <w:r>
        <w:rPr>
          <w:lang w:val="fr-FR"/>
        </w:rPr>
        <w:br/>
      </w:r>
      <w:r w:rsidRPr="00C55178">
        <w:rPr>
          <w:lang w:val="fr-FR"/>
        </w:rPr>
        <w:t>à roues et les conditions de reconnaissance réciproque</w:t>
      </w:r>
      <w:r>
        <w:rPr>
          <w:lang w:val="fr-FR"/>
        </w:rPr>
        <w:t xml:space="preserve"> </w:t>
      </w:r>
      <w:r w:rsidRPr="00C55178">
        <w:rPr>
          <w:lang w:val="fr-FR"/>
        </w:rPr>
        <w:t>des homologations délivrées conformément à ces Règlements</w:t>
      </w:r>
      <w:r w:rsidRPr="00F1452E">
        <w:rPr>
          <w:rStyle w:val="Appelnotedebasdep"/>
          <w:b w:val="0"/>
          <w:bCs/>
          <w:sz w:val="20"/>
          <w:vertAlign w:val="baseline"/>
        </w:rPr>
        <w:footnoteReference w:customMarkFollows="1" w:id="2"/>
        <w:t>*</w:t>
      </w:r>
    </w:p>
    <w:p w14:paraId="0E0F490B" w14:textId="77777777" w:rsidR="00BA758A" w:rsidRPr="00A12483" w:rsidRDefault="00BA758A" w:rsidP="00BA758A">
      <w:pPr>
        <w:pStyle w:val="SingleTxtG"/>
        <w:jc w:val="left"/>
        <w:rPr>
          <w:b/>
          <w:sz w:val="24"/>
          <w:szCs w:val="24"/>
        </w:rPr>
      </w:pPr>
      <w:r w:rsidRPr="006549FF">
        <w:t xml:space="preserve">(Révision </w:t>
      </w:r>
      <w:r w:rsidRPr="00C55178">
        <w:rPr>
          <w:lang w:val="fr-FR"/>
        </w:rPr>
        <w:t>3, comprenant les amendements entrés en vigueur le 14 septembre 2017</w:t>
      </w:r>
      <w:r w:rsidRPr="006549FF">
        <w:t>)</w:t>
      </w:r>
    </w:p>
    <w:p w14:paraId="7B71EEF4" w14:textId="77777777" w:rsidR="00BA758A" w:rsidRPr="006549FF" w:rsidRDefault="00BA758A" w:rsidP="00BA758A">
      <w:pPr>
        <w:jc w:val="center"/>
      </w:pPr>
      <w:r>
        <w:t>_______________</w:t>
      </w:r>
    </w:p>
    <w:p w14:paraId="5CE8FD2D" w14:textId="0B67D854" w:rsidR="00BA758A" w:rsidRPr="006549FF" w:rsidRDefault="00BA758A" w:rsidP="00BA758A">
      <w:pPr>
        <w:pStyle w:val="HChG"/>
      </w:pPr>
      <w:r>
        <w:tab/>
      </w:r>
      <w:r>
        <w:tab/>
      </w:r>
      <w:r w:rsidRPr="006549FF">
        <w:t xml:space="preserve">Additif </w:t>
      </w:r>
      <w:r w:rsidR="00654264">
        <w:t>85</w:t>
      </w:r>
      <w:r>
        <w:t xml:space="preserve"> −</w:t>
      </w:r>
      <w:r w:rsidRPr="006549FF">
        <w:t xml:space="preserve"> Règlement</w:t>
      </w:r>
      <w:r>
        <w:t xml:space="preserve"> ONU </w:t>
      </w:r>
      <w:r w:rsidRPr="00B371BF">
        <w:t>n</w:t>
      </w:r>
      <w:r w:rsidRPr="00B371BF">
        <w:rPr>
          <w:vertAlign w:val="superscript"/>
        </w:rPr>
        <w:t>o</w:t>
      </w:r>
      <w:r>
        <w:t> </w:t>
      </w:r>
      <w:r w:rsidR="00654264">
        <w:t>86</w:t>
      </w:r>
    </w:p>
    <w:p w14:paraId="71458EF9" w14:textId="68F2F953" w:rsidR="00BA758A" w:rsidRPr="006549FF" w:rsidRDefault="00BA758A" w:rsidP="00BA758A">
      <w:pPr>
        <w:pStyle w:val="H1G"/>
      </w:pPr>
      <w:r>
        <w:tab/>
      </w:r>
      <w:r>
        <w:tab/>
      </w:r>
      <w:r w:rsidRPr="006549FF">
        <w:t xml:space="preserve">Révision </w:t>
      </w:r>
      <w:r w:rsidR="00344FD9">
        <w:t>3</w:t>
      </w:r>
      <w:r>
        <w:t xml:space="preserve"> − Amendement </w:t>
      </w:r>
      <w:r w:rsidR="00344FD9">
        <w:t>4</w:t>
      </w:r>
    </w:p>
    <w:p w14:paraId="148AC851" w14:textId="200F7B19" w:rsidR="00BA758A" w:rsidRPr="00C544D4" w:rsidRDefault="007E2BEE" w:rsidP="00BA758A">
      <w:pPr>
        <w:pStyle w:val="SingleTxtG"/>
        <w:spacing w:after="360"/>
        <w:rPr>
          <w:spacing w:val="-2"/>
          <w:lang w:val="fr-FR"/>
        </w:rPr>
      </w:pPr>
      <w:r>
        <w:rPr>
          <w:spacing w:val="-2"/>
          <w:lang w:val="fr-FR"/>
        </w:rPr>
        <w:t>Série 02</w:t>
      </w:r>
      <w:r w:rsidR="00BA758A" w:rsidRPr="00C55178">
        <w:rPr>
          <w:spacing w:val="-2"/>
          <w:lang w:val="fr-FR"/>
        </w:rPr>
        <w:t xml:space="preserve"> d</w:t>
      </w:r>
      <w:r w:rsidR="00BA758A">
        <w:rPr>
          <w:spacing w:val="-2"/>
          <w:lang w:val="fr-FR"/>
        </w:rPr>
        <w:t>’</w:t>
      </w:r>
      <w:r w:rsidR="00BA758A" w:rsidRPr="00C55178">
        <w:rPr>
          <w:spacing w:val="-2"/>
          <w:lang w:val="fr-FR"/>
        </w:rPr>
        <w:t xml:space="preserve">amendements </w:t>
      </w:r>
      <w:r w:rsidR="00BA758A">
        <w:rPr>
          <w:spacing w:val="-2"/>
          <w:lang w:val="fr-FR"/>
        </w:rPr>
        <w:t>−</w:t>
      </w:r>
      <w:r w:rsidR="00BA758A" w:rsidRPr="00C55178">
        <w:rPr>
          <w:spacing w:val="-2"/>
          <w:lang w:val="fr-FR"/>
        </w:rPr>
        <w:t xml:space="preserve"> Date d</w:t>
      </w:r>
      <w:r w:rsidR="00BA758A">
        <w:rPr>
          <w:spacing w:val="-2"/>
          <w:lang w:val="fr-FR"/>
        </w:rPr>
        <w:t>’</w:t>
      </w:r>
      <w:r w:rsidR="00BA758A" w:rsidRPr="00C55178">
        <w:rPr>
          <w:spacing w:val="-2"/>
          <w:lang w:val="fr-FR"/>
        </w:rPr>
        <w:t xml:space="preserve">entrée en vigueur : </w:t>
      </w:r>
      <w:r w:rsidR="00BA758A" w:rsidRPr="00C55178">
        <w:rPr>
          <w:lang w:val="fr-FR"/>
        </w:rPr>
        <w:t>22 juin 2022</w:t>
      </w:r>
    </w:p>
    <w:p w14:paraId="2B338798" w14:textId="1D464147" w:rsidR="00BA758A" w:rsidRPr="00AF4076" w:rsidRDefault="00BA758A" w:rsidP="00BA758A">
      <w:pPr>
        <w:pStyle w:val="H1G"/>
        <w:spacing w:before="480"/>
        <w:rPr>
          <w:lang w:val="fr-FR"/>
        </w:rPr>
      </w:pPr>
      <w:r>
        <w:tab/>
      </w:r>
      <w:r>
        <w:tab/>
      </w:r>
      <w:r w:rsidRPr="007619D3">
        <w:t xml:space="preserve">Prescriptions </w:t>
      </w:r>
      <w:r w:rsidRPr="00AF4076">
        <w:rPr>
          <w:lang w:val="fr-FR" w:eastAsia="fr-FR"/>
        </w:rPr>
        <w:t xml:space="preserve">uniformes </w:t>
      </w:r>
      <w:r w:rsidR="00DB196D">
        <w:rPr>
          <w:rFonts w:eastAsia="Times New Roman"/>
          <w:lang w:val="fr-FR"/>
        </w:rPr>
        <w:t xml:space="preserve">relatives à l’homologation des véhicules </w:t>
      </w:r>
      <w:r w:rsidR="00DB196D">
        <w:rPr>
          <w:rFonts w:eastAsia="Times New Roman"/>
          <w:lang w:val="fr-FR"/>
        </w:rPr>
        <w:br/>
        <w:t xml:space="preserve">agricoles ou forestiers en ce qui concerne l’installation des dispositifs </w:t>
      </w:r>
      <w:r w:rsidR="00922311">
        <w:rPr>
          <w:rFonts w:eastAsia="Times New Roman"/>
          <w:lang w:val="fr-FR"/>
        </w:rPr>
        <w:br/>
      </w:r>
      <w:r w:rsidR="00DB196D">
        <w:rPr>
          <w:rFonts w:eastAsia="Times New Roman"/>
          <w:lang w:val="fr-FR"/>
        </w:rPr>
        <w:t>d’éclairage et de signalisation lumineuse</w:t>
      </w:r>
    </w:p>
    <w:p w14:paraId="31476547" w14:textId="3A523686" w:rsidR="00BA758A" w:rsidRDefault="00BA758A" w:rsidP="00654264">
      <w:pPr>
        <w:pStyle w:val="SingleTxtG"/>
      </w:pPr>
      <w:r w:rsidRPr="00654264">
        <w:t>Le présent document est communiqué uniquement à titre d’information. Le texte authentique, juridiquement contraignant, est celui du document ECE/TRANS/WP.29/2021/</w:t>
      </w:r>
      <w:r w:rsidR="00594BF2">
        <w:t>87</w:t>
      </w:r>
      <w:r w:rsidRPr="00AF4076">
        <w:rPr>
          <w:lang w:val="fr-FR" w:eastAsia="en-GB"/>
        </w:rPr>
        <w:t>.</w:t>
      </w:r>
      <w:r w:rsidR="00442E31">
        <w:rPr>
          <w:noProof/>
          <w:lang w:eastAsia="fr-CH"/>
        </w:rPr>
        <mc:AlternateContent>
          <mc:Choice Requires="wps">
            <w:drawing>
              <wp:anchor distT="0" distB="0" distL="114300" distR="114300" simplePos="0" relativeHeight="251658240" behindDoc="0" locked="0" layoutInCell="1" allowOverlap="1" wp14:anchorId="31C0C42E" wp14:editId="4B32DB52">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4CA47EF7" w14:textId="77777777" w:rsidR="00442E31" w:rsidRPr="0029791D" w:rsidRDefault="00442E31" w:rsidP="00C9521D">
                            <w:pPr>
                              <w:ind w:left="1134" w:right="1134"/>
                              <w:jc w:val="center"/>
                            </w:pPr>
                            <w:r>
                              <w:t>_______________</w:t>
                            </w:r>
                          </w:p>
                          <w:p w14:paraId="5DA7B241" w14:textId="77777777" w:rsidR="00442E31" w:rsidRDefault="00442E31" w:rsidP="00C9521D">
                            <w:pPr>
                              <w:jc w:val="center"/>
                              <w:rPr>
                                <w:b/>
                                <w:bCs/>
                                <w:sz w:val="22"/>
                              </w:rPr>
                            </w:pPr>
                            <w:r>
                              <w:rPr>
                                <w:noProof/>
                                <w:lang w:eastAsia="fr-CH"/>
                              </w:rPr>
                              <w:drawing>
                                <wp:inline distT="0" distB="0" distL="0" distR="0" wp14:anchorId="07657B38" wp14:editId="5B34D4D4">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056E505E"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C42E"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" stroked="f">
                <v:textbox inset="0,0,0,0">
                  <w:txbxContent>
                    <w:p w14:paraId="4CA47EF7" w14:textId="77777777" w:rsidR="00442E31" w:rsidRPr="0029791D" w:rsidRDefault="00442E31" w:rsidP="00C9521D">
                      <w:pPr>
                        <w:ind w:left="1134" w:right="1134"/>
                        <w:jc w:val="center"/>
                      </w:pPr>
                      <w:r>
                        <w:t>_______________</w:t>
                      </w:r>
                    </w:p>
                    <w:p w14:paraId="5DA7B241" w14:textId="77777777" w:rsidR="00442E31" w:rsidRDefault="00442E31" w:rsidP="00C9521D">
                      <w:pPr>
                        <w:jc w:val="center"/>
                        <w:rPr>
                          <w:b/>
                          <w:bCs/>
                          <w:sz w:val="22"/>
                        </w:rPr>
                      </w:pPr>
                      <w:r>
                        <w:rPr>
                          <w:noProof/>
                          <w:lang w:eastAsia="fr-CH"/>
                        </w:rPr>
                        <w:drawing>
                          <wp:inline distT="0" distB="0" distL="0" distR="0" wp14:anchorId="07657B38" wp14:editId="5B34D4D4">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056E505E"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p>
    <w:p w14:paraId="1B0534A1" w14:textId="166E34B1" w:rsidR="00DB196D" w:rsidRDefault="00DB196D">
      <w:pPr>
        <w:suppressAutoHyphens w:val="0"/>
        <w:kinsoku/>
        <w:overflowPunct/>
        <w:autoSpaceDE/>
        <w:autoSpaceDN/>
        <w:adjustRightInd/>
        <w:snapToGrid/>
        <w:spacing w:line="240" w:lineRule="auto"/>
      </w:pPr>
      <w:r>
        <w:br w:type="page"/>
      </w:r>
    </w:p>
    <w:p w14:paraId="2CFEA1EA" w14:textId="77777777" w:rsidR="00DB196D" w:rsidRPr="006916E4" w:rsidRDefault="00DB196D" w:rsidP="00DB196D">
      <w:pPr>
        <w:pStyle w:val="SingleTxtG"/>
        <w:keepNext/>
        <w:rPr>
          <w:b/>
          <w:lang w:val="fr-FR"/>
        </w:rPr>
      </w:pPr>
      <w:r w:rsidRPr="006916E4">
        <w:rPr>
          <w:i/>
          <w:iCs/>
          <w:lang w:val="fr-FR"/>
        </w:rPr>
        <w:lastRenderedPageBreak/>
        <w:t>Paragraphe 5.1.1</w:t>
      </w:r>
      <w:r w:rsidRPr="006916E4">
        <w:rPr>
          <w:lang w:val="fr-FR"/>
        </w:rPr>
        <w:t>, lire :</w:t>
      </w:r>
    </w:p>
    <w:p w14:paraId="3F9654E4" w14:textId="43A760F8" w:rsidR="00DB196D" w:rsidRPr="006916E4" w:rsidRDefault="00DB196D" w:rsidP="00DB196D">
      <w:pPr>
        <w:pStyle w:val="SingleTxtG"/>
        <w:ind w:left="2268" w:hanging="1134"/>
        <w:rPr>
          <w:lang w:val="fr-FR"/>
        </w:rPr>
      </w:pPr>
      <w:r w:rsidRPr="006916E4">
        <w:rPr>
          <w:lang w:val="fr-FR"/>
        </w:rPr>
        <w:t>« 5.1.1</w:t>
      </w:r>
      <w:r w:rsidRPr="006916E4">
        <w:rPr>
          <w:lang w:val="fr-FR"/>
        </w:rPr>
        <w:tab/>
      </w:r>
      <w:r w:rsidRPr="00922311">
        <w:rPr>
          <w:spacing w:val="-2"/>
          <w:lang w:val="fr-FR"/>
        </w:rPr>
        <w:t>Les véhicules doivent être équipés du socle fixe recommandé dans la norme ISO 1724:2003 (Véhicules routiers − Connecteurs pour liaisons électriques entre véhicules tracteurs et véhicules tractés − Connecteur à 7 contacts de type 12 N (normal) pour les véhicules à tension nominale de 12 V), ou dans la norme ISO 1185:2003 (Véhicules routiers − Connecteurs pour liaisons électriques entre véhicules tracteurs et véhicules tractés − Connecteur à 7 contacts de type 24 N (normal) pour les véhicules à tension nominale de 24 V), ou dans les deux normes à la fois lorsqu’ils sont pourvus d’un socle permettant de raccorder des véhicules tractés ou des machines montées. Le</w:t>
      </w:r>
      <w:r w:rsidR="00922311" w:rsidRPr="00922311">
        <w:rPr>
          <w:spacing w:val="-2"/>
          <w:lang w:val="fr-FR"/>
        </w:rPr>
        <w:t> </w:t>
      </w:r>
      <w:r w:rsidRPr="00922311">
        <w:rPr>
          <w:spacing w:val="-2"/>
          <w:lang w:val="fr-FR"/>
        </w:rPr>
        <w:t>connecteur à 13 contacts décrit dans la norme ISO 11446-1:2012 (Véhicules routiers − Connecteurs pour liaisons électriques entre véhicules tracteurs et véhicules tractés − Partie 1 : Connecteurs à 13 contacts pour véhicules à tension d’alimentation nominale de 12 V non destinés à traverser des gués) ou dans la norme ISO 11446-2:2012 (Véhicules routiers − Connecteurs pour liaisons électriques entre véhicules tracteurs et véhicules tractés − Partie 2 : Connecteurs à 13 contacts pour véhicules à tension d’alimentation nominale de 12 V destinés à traverser des gués) peut également être utilisé. En outre, le connecteur à 7 contacts décrit dans la norme ISO 3732:2003 (Véhicules routiers − Connecteurs pour liaisons électriques entre véhicules tracteurs et véhicules tractés − Connecteur à 7 contacts de type 12 S (supplémentaire) pour les véhicules à tension nominale de 12 V) peut être installé. ».</w:t>
      </w:r>
    </w:p>
    <w:p w14:paraId="0543823A" w14:textId="77777777" w:rsidR="00DB196D" w:rsidRPr="006916E4" w:rsidRDefault="00DB196D" w:rsidP="00DB196D">
      <w:pPr>
        <w:pStyle w:val="SingleTxtG"/>
        <w:keepNext/>
        <w:rPr>
          <w:lang w:val="fr-FR"/>
        </w:rPr>
      </w:pPr>
      <w:r w:rsidRPr="006916E4">
        <w:rPr>
          <w:i/>
          <w:lang w:val="fr-FR"/>
        </w:rPr>
        <w:t>Paragraphe 5.6</w:t>
      </w:r>
      <w:r w:rsidRPr="006916E4">
        <w:rPr>
          <w:lang w:val="fr-FR"/>
        </w:rPr>
        <w:t>, lire :</w:t>
      </w:r>
    </w:p>
    <w:p w14:paraId="09E7A4EB" w14:textId="77777777" w:rsidR="00DB196D" w:rsidRPr="006916E4" w:rsidRDefault="00DB196D" w:rsidP="00DB196D">
      <w:pPr>
        <w:pStyle w:val="SingleTxtG"/>
        <w:ind w:left="2268" w:hanging="1134"/>
        <w:rPr>
          <w:lang w:val="fr-FR"/>
        </w:rPr>
      </w:pPr>
      <w:r w:rsidRPr="006916E4">
        <w:rPr>
          <w:lang w:val="fr-FR"/>
        </w:rPr>
        <w:t>« 5.6</w:t>
      </w:r>
      <w:r w:rsidRPr="006916E4">
        <w:rPr>
          <w:lang w:val="fr-FR"/>
        </w:rPr>
        <w:tab/>
        <w:t>Sur les véhicules dont la forme extérieure est asymétrique, les dispositions des paragraphes 5.5.1 et 5.5.2 doivent être respectées dans la mesure du possible. ».</w:t>
      </w:r>
    </w:p>
    <w:p w14:paraId="16AE878B" w14:textId="77777777" w:rsidR="00DB196D" w:rsidRPr="006916E4" w:rsidRDefault="00DB196D" w:rsidP="00DB196D">
      <w:pPr>
        <w:pStyle w:val="SingleTxtG"/>
        <w:keepNext/>
        <w:rPr>
          <w:lang w:val="fr-FR"/>
        </w:rPr>
      </w:pPr>
      <w:r w:rsidRPr="006916E4">
        <w:rPr>
          <w:i/>
          <w:lang w:val="fr-FR"/>
        </w:rPr>
        <w:t>Paragraphe 5.11</w:t>
      </w:r>
      <w:r w:rsidRPr="006916E4">
        <w:rPr>
          <w:lang w:val="fr-FR"/>
        </w:rPr>
        <w:t>, lire :</w:t>
      </w:r>
    </w:p>
    <w:p w14:paraId="40928D81" w14:textId="77777777" w:rsidR="00DB196D" w:rsidRPr="006916E4" w:rsidRDefault="00DB196D" w:rsidP="00DB196D">
      <w:pPr>
        <w:pStyle w:val="SingleTxtG"/>
        <w:ind w:left="2268" w:hanging="1134"/>
        <w:rPr>
          <w:lang w:val="fr-FR"/>
        </w:rPr>
      </w:pPr>
      <w:r w:rsidRPr="006916E4">
        <w:rPr>
          <w:lang w:val="fr-FR"/>
        </w:rPr>
        <w:t>« 5.11</w:t>
      </w:r>
      <w:r w:rsidRPr="006916E4">
        <w:rPr>
          <w:lang w:val="fr-FR"/>
        </w:rPr>
        <w:tab/>
        <w:t>Les branchements électriques doivent être tels que les feux de position avant et arrière, les feux de gabarit (le cas échéant), les feux de position latéraux (le cas échéant) et le dispositif d</w:t>
      </w:r>
      <w:r>
        <w:rPr>
          <w:lang w:val="fr-FR"/>
        </w:rPr>
        <w:t>’</w:t>
      </w:r>
      <w:r w:rsidRPr="006916E4">
        <w:rPr>
          <w:lang w:val="fr-FR"/>
        </w:rPr>
        <w:t>éclairage de la plaque d</w:t>
      </w:r>
      <w:r>
        <w:rPr>
          <w:lang w:val="fr-FR"/>
        </w:rPr>
        <w:t>’</w:t>
      </w:r>
      <w:r w:rsidRPr="006916E4">
        <w:rPr>
          <w:lang w:val="fr-FR"/>
        </w:rPr>
        <w:t>immatriculation arrière ne puissent être allumés et éteints que simultanément.</w:t>
      </w:r>
    </w:p>
    <w:p w14:paraId="514B5592" w14:textId="77777777" w:rsidR="00DB196D" w:rsidRPr="006916E4" w:rsidRDefault="00DB196D" w:rsidP="00DB196D">
      <w:pPr>
        <w:pStyle w:val="SingleTxtG"/>
        <w:keepNext/>
        <w:keepLines/>
        <w:ind w:left="2268"/>
        <w:rPr>
          <w:lang w:val="fr-FR"/>
        </w:rPr>
      </w:pPr>
      <w:r w:rsidRPr="006916E4">
        <w:rPr>
          <w:lang w:val="fr-FR"/>
        </w:rPr>
        <w:tab/>
        <w:t>Cette condition ne s</w:t>
      </w:r>
      <w:r>
        <w:rPr>
          <w:lang w:val="fr-FR"/>
        </w:rPr>
        <w:t>’</w:t>
      </w:r>
      <w:r w:rsidRPr="006916E4">
        <w:rPr>
          <w:lang w:val="fr-FR"/>
        </w:rPr>
        <w:t>applique pas :</w:t>
      </w:r>
    </w:p>
    <w:p w14:paraId="521E955C" w14:textId="77777777" w:rsidR="00DB196D" w:rsidRPr="006916E4" w:rsidRDefault="00DB196D" w:rsidP="00DB196D">
      <w:pPr>
        <w:pStyle w:val="SingleTxtG"/>
        <w:ind w:left="2268" w:hanging="1134"/>
        <w:rPr>
          <w:bCs/>
          <w:lang w:val="fr-FR"/>
        </w:rPr>
      </w:pPr>
      <w:r w:rsidRPr="006916E4">
        <w:rPr>
          <w:lang w:val="fr-FR"/>
        </w:rPr>
        <w:t>5.11.1</w:t>
      </w:r>
      <w:r w:rsidRPr="006916E4">
        <w:rPr>
          <w:lang w:val="fr-FR"/>
        </w:rPr>
        <w:tab/>
        <w:t>Lorsque les feux de position avant et arrière, ainsi que les feux de position latéraux s</w:t>
      </w:r>
      <w:r>
        <w:rPr>
          <w:lang w:val="fr-FR"/>
        </w:rPr>
        <w:t>’</w:t>
      </w:r>
      <w:r w:rsidRPr="006916E4">
        <w:rPr>
          <w:lang w:val="fr-FR"/>
        </w:rPr>
        <w:t xml:space="preserve">ils sont combinés ou mutuellement incorporés avec les premiers, utilisés comme feux de stationnement, sont allumés ; </w:t>
      </w:r>
      <w:r w:rsidRPr="006916E4">
        <w:rPr>
          <w:bCs/>
          <w:lang w:val="fr-FR"/>
        </w:rPr>
        <w:t>ou</w:t>
      </w:r>
    </w:p>
    <w:p w14:paraId="7A54C3A9" w14:textId="77777777" w:rsidR="00DB196D" w:rsidRPr="006916E4" w:rsidRDefault="00DB196D" w:rsidP="00DB196D">
      <w:pPr>
        <w:pStyle w:val="SingleTxtG"/>
        <w:ind w:left="2268" w:hanging="1134"/>
        <w:rPr>
          <w:bCs/>
          <w:lang w:val="fr-FR"/>
        </w:rPr>
      </w:pPr>
      <w:r w:rsidRPr="006916E4">
        <w:rPr>
          <w:bCs/>
          <w:lang w:val="fr-FR"/>
        </w:rPr>
        <w:t>5.11.2</w:t>
      </w:r>
      <w:r w:rsidRPr="006916E4">
        <w:rPr>
          <w:bCs/>
          <w:lang w:val="fr-FR"/>
        </w:rPr>
        <w:tab/>
        <w:t>Lorsque les feux de position latéraux clignotent en même temps que les indicateurs de direction ;</w:t>
      </w:r>
    </w:p>
    <w:p w14:paraId="20E3110C" w14:textId="77777777" w:rsidR="00DB196D" w:rsidRPr="006916E4" w:rsidRDefault="00DB196D" w:rsidP="00DB196D">
      <w:pPr>
        <w:pStyle w:val="SingleTxtG"/>
        <w:ind w:left="2268" w:hanging="1134"/>
        <w:rPr>
          <w:i/>
          <w:lang w:val="fr-FR"/>
        </w:rPr>
      </w:pPr>
      <w:r w:rsidRPr="006916E4">
        <w:rPr>
          <w:lang w:val="fr-FR"/>
        </w:rPr>
        <w:t>5.11.3</w:t>
      </w:r>
      <w:r w:rsidRPr="006916E4">
        <w:rPr>
          <w:lang w:val="fr-FR"/>
        </w:rPr>
        <w:tab/>
        <w:t>Aux feux de position avant quand leur fonction est remplie par d</w:t>
      </w:r>
      <w:r>
        <w:rPr>
          <w:lang w:val="fr-FR"/>
        </w:rPr>
        <w:t>’</w:t>
      </w:r>
      <w:r w:rsidRPr="006916E4">
        <w:rPr>
          <w:lang w:val="fr-FR"/>
        </w:rPr>
        <w:t>autres feux conformément aux dispositions du paragraphe 5.12.1 ci-après. ».</w:t>
      </w:r>
    </w:p>
    <w:p w14:paraId="4211CD81" w14:textId="77777777" w:rsidR="00DB196D" w:rsidRPr="006916E4" w:rsidRDefault="00DB196D" w:rsidP="00DB196D">
      <w:pPr>
        <w:pStyle w:val="SingleTxtG"/>
        <w:keepNext/>
        <w:keepLines/>
        <w:rPr>
          <w:lang w:val="fr-FR"/>
        </w:rPr>
      </w:pPr>
      <w:r w:rsidRPr="006916E4">
        <w:rPr>
          <w:i/>
          <w:lang w:val="fr-FR"/>
        </w:rPr>
        <w:t>Paragraphe 6.2.4.2.1</w:t>
      </w:r>
      <w:r w:rsidRPr="006916E4">
        <w:rPr>
          <w:lang w:val="fr-FR"/>
        </w:rPr>
        <w:t>, lire :</w:t>
      </w:r>
    </w:p>
    <w:p w14:paraId="4005A707" w14:textId="2852C6FC" w:rsidR="00DB196D" w:rsidRPr="006916E4" w:rsidRDefault="00DB196D" w:rsidP="00DB196D">
      <w:pPr>
        <w:pStyle w:val="SingleTxtG"/>
        <w:ind w:left="2268" w:hanging="1134"/>
        <w:rPr>
          <w:i/>
          <w:lang w:val="fr-FR"/>
        </w:rPr>
      </w:pPr>
      <w:r w:rsidRPr="006916E4">
        <w:rPr>
          <w:lang w:val="fr-FR"/>
        </w:rPr>
        <w:t>« 6.2.4.2.1</w:t>
      </w:r>
      <w:r w:rsidRPr="006916E4">
        <w:rPr>
          <w:lang w:val="fr-FR"/>
        </w:rPr>
        <w:tab/>
      </w:r>
      <w:r w:rsidRPr="006916E4">
        <w:rPr>
          <w:lang w:val="fr-FR"/>
        </w:rPr>
        <w:tab/>
        <w:t xml:space="preserve">Au minimum à 500 mm ; </w:t>
      </w:r>
      <w:bookmarkStart w:id="0" w:name="_Hlk531608018"/>
      <w:r w:rsidRPr="006916E4">
        <w:rPr>
          <w:lang w:val="fr-FR"/>
        </w:rPr>
        <w:t xml:space="preserve">cette valeur peut être ramenée à 350 mm pour les véhicules dont la largeur maximale </w:t>
      </w:r>
      <w:r w:rsidRPr="006916E4">
        <w:rPr>
          <w:bCs/>
          <w:lang w:val="fr-FR"/>
        </w:rPr>
        <w:t>hors tout</w:t>
      </w:r>
      <w:r w:rsidRPr="006916E4">
        <w:rPr>
          <w:lang w:val="fr-FR"/>
        </w:rPr>
        <w:t xml:space="preserve"> </w:t>
      </w:r>
      <w:bookmarkEnd w:id="0"/>
      <w:r w:rsidRPr="006916E4">
        <w:rPr>
          <w:lang w:val="fr-FR"/>
        </w:rPr>
        <w:t>ne dépasse pas 1</w:t>
      </w:r>
      <w:r w:rsidR="008B22BF">
        <w:rPr>
          <w:lang w:val="fr-FR"/>
        </w:rPr>
        <w:t> </w:t>
      </w:r>
      <w:r w:rsidRPr="006916E4">
        <w:rPr>
          <w:lang w:val="fr-FR"/>
        </w:rPr>
        <w:t>300</w:t>
      </w:r>
      <w:r w:rsidR="008B22BF">
        <w:rPr>
          <w:lang w:val="fr-FR"/>
        </w:rPr>
        <w:t> </w:t>
      </w:r>
      <w:proofErr w:type="spellStart"/>
      <w:r w:rsidRPr="006916E4">
        <w:rPr>
          <w:lang w:val="fr-FR"/>
        </w:rPr>
        <w:t>mm.</w:t>
      </w:r>
      <w:proofErr w:type="spellEnd"/>
      <w:r w:rsidRPr="006916E4">
        <w:rPr>
          <w:lang w:val="fr-FR"/>
        </w:rPr>
        <w:t> ».</w:t>
      </w:r>
    </w:p>
    <w:p w14:paraId="33E5973A" w14:textId="77777777" w:rsidR="00DB196D" w:rsidRPr="006916E4" w:rsidRDefault="00DB196D" w:rsidP="00DB196D">
      <w:pPr>
        <w:pStyle w:val="SingleTxtG"/>
        <w:keepNext/>
        <w:keepLines/>
        <w:rPr>
          <w:lang w:val="fr-FR"/>
        </w:rPr>
      </w:pPr>
      <w:r w:rsidRPr="006916E4">
        <w:rPr>
          <w:i/>
          <w:lang w:val="fr-FR"/>
        </w:rPr>
        <w:t>Paragraphe 6.2.4.2.4</w:t>
      </w:r>
      <w:r w:rsidRPr="006916E4">
        <w:rPr>
          <w:lang w:val="fr-FR"/>
        </w:rPr>
        <w:t>,</w:t>
      </w:r>
      <w:r w:rsidRPr="006916E4">
        <w:rPr>
          <w:i/>
          <w:lang w:val="fr-FR"/>
        </w:rPr>
        <w:t xml:space="preserve"> </w:t>
      </w:r>
      <w:r w:rsidRPr="006916E4">
        <w:rPr>
          <w:lang w:val="fr-FR"/>
        </w:rPr>
        <w:t>lire :</w:t>
      </w:r>
    </w:p>
    <w:p w14:paraId="09E76431" w14:textId="0AEF3E7D" w:rsidR="00DB196D" w:rsidRPr="006916E4" w:rsidRDefault="00DB196D" w:rsidP="00DB196D">
      <w:pPr>
        <w:pStyle w:val="SingleTxtG"/>
        <w:ind w:left="2268" w:hanging="1134"/>
        <w:rPr>
          <w:lang w:val="fr-FR"/>
        </w:rPr>
      </w:pPr>
      <w:r w:rsidRPr="006916E4">
        <w:rPr>
          <w:lang w:val="fr-FR"/>
        </w:rPr>
        <w:t>« 6.2.4.2.4</w:t>
      </w:r>
      <w:r w:rsidRPr="006916E4">
        <w:rPr>
          <w:lang w:val="fr-FR"/>
        </w:rPr>
        <w:tab/>
      </w:r>
      <w:r w:rsidRPr="006916E4">
        <w:rPr>
          <w:lang w:val="fr-FR"/>
        </w:rPr>
        <w:tab/>
        <w:t>Sur les véhicules équipés pour le montage d</w:t>
      </w:r>
      <w:r>
        <w:rPr>
          <w:lang w:val="fr-FR"/>
        </w:rPr>
        <w:t>’</w:t>
      </w:r>
      <w:r w:rsidRPr="006916E4">
        <w:rPr>
          <w:lang w:val="fr-FR"/>
        </w:rPr>
        <w:t>outils portés frontaux, deux feux de croisement en plus des feux mentionnés au paragraphe</w:t>
      </w:r>
      <w:r w:rsidR="008B22BF">
        <w:rPr>
          <w:lang w:val="fr-FR"/>
        </w:rPr>
        <w:t> </w:t>
      </w:r>
      <w:r w:rsidRPr="006916E4">
        <w:rPr>
          <w:lang w:val="fr-FR"/>
        </w:rPr>
        <w:t xml:space="preserve">6.2.2 peuvent être installés à une hauteur ne dépassant pas </w:t>
      </w:r>
      <w:r w:rsidRPr="006916E4">
        <w:rPr>
          <w:bCs/>
          <w:lang w:val="fr-FR"/>
        </w:rPr>
        <w:t>4</w:t>
      </w:r>
      <w:r w:rsidR="008B22BF">
        <w:rPr>
          <w:bCs/>
          <w:lang w:val="fr-FR"/>
        </w:rPr>
        <w:t> </w:t>
      </w:r>
      <w:r w:rsidRPr="006916E4">
        <w:rPr>
          <w:bCs/>
          <w:lang w:val="fr-FR"/>
        </w:rPr>
        <w:t>000</w:t>
      </w:r>
      <w:r w:rsidR="008B22BF">
        <w:rPr>
          <w:b/>
          <w:lang w:val="fr-FR"/>
        </w:rPr>
        <w:t> </w:t>
      </w:r>
      <w:r w:rsidRPr="006916E4">
        <w:rPr>
          <w:lang w:val="fr-FR"/>
        </w:rPr>
        <w:t>mm si les branchements électriques sont conçus de telle manière que deux paires de feux de croisement ne puissent être allumées en même temps. ».</w:t>
      </w:r>
    </w:p>
    <w:p w14:paraId="0CFB504B" w14:textId="77777777" w:rsidR="00DB196D" w:rsidRPr="006916E4" w:rsidRDefault="00DB196D" w:rsidP="00DB196D">
      <w:pPr>
        <w:pStyle w:val="SingleTxtG"/>
        <w:keepNext/>
        <w:keepLines/>
        <w:rPr>
          <w:lang w:val="fr-FR"/>
        </w:rPr>
      </w:pPr>
      <w:r w:rsidRPr="006916E4">
        <w:rPr>
          <w:i/>
          <w:lang w:val="fr-FR"/>
        </w:rPr>
        <w:lastRenderedPageBreak/>
        <w:t>Paragraphe 6.5.1</w:t>
      </w:r>
      <w:r w:rsidRPr="006916E4">
        <w:rPr>
          <w:lang w:val="fr-FR"/>
        </w:rPr>
        <w:t>, lire :</w:t>
      </w:r>
    </w:p>
    <w:p w14:paraId="20441255" w14:textId="092BE12F" w:rsidR="00DB196D" w:rsidRPr="006916E4" w:rsidRDefault="00DB196D" w:rsidP="00B02805">
      <w:pPr>
        <w:pStyle w:val="SingleTxtG"/>
        <w:keepNext/>
        <w:keepLines/>
        <w:tabs>
          <w:tab w:val="left" w:pos="2268"/>
        </w:tabs>
        <w:ind w:left="4536" w:hanging="3402"/>
        <w:rPr>
          <w:i/>
          <w:lang w:val="fr-FR"/>
        </w:rPr>
      </w:pPr>
      <w:r w:rsidRPr="006916E4">
        <w:rPr>
          <w:lang w:val="fr-FR"/>
        </w:rPr>
        <w:t>« 6.5.1</w:t>
      </w:r>
      <w:r w:rsidRPr="006916E4">
        <w:rPr>
          <w:lang w:val="fr-FR"/>
        </w:rPr>
        <w:tab/>
        <w:t>Présence :</w:t>
      </w:r>
      <w:r w:rsidRPr="006916E4">
        <w:rPr>
          <w:lang w:val="fr-FR"/>
        </w:rPr>
        <w:tab/>
        <w:t>Obligatoire. Ils sont divisés en catégories (1, 1a, 1b, 2a, 2b, 5 et 6) dont l</w:t>
      </w:r>
      <w:r>
        <w:rPr>
          <w:lang w:val="fr-FR"/>
        </w:rPr>
        <w:t>’</w:t>
      </w:r>
      <w:r w:rsidRPr="006916E4">
        <w:rPr>
          <w:lang w:val="fr-FR"/>
        </w:rPr>
        <w:t>assemblage sur un même tracteur constitue un schéma de montage (A à D).</w:t>
      </w:r>
    </w:p>
    <w:p w14:paraId="6E800C7C" w14:textId="59EACFFF" w:rsidR="00DB196D" w:rsidRPr="006916E4" w:rsidRDefault="00DB196D" w:rsidP="00B02805">
      <w:pPr>
        <w:pStyle w:val="SingleTxtG"/>
        <w:ind w:left="4536"/>
        <w:rPr>
          <w:lang w:val="fr-FR"/>
        </w:rPr>
      </w:pPr>
      <w:r w:rsidRPr="006916E4">
        <w:rPr>
          <w:lang w:val="fr-FR"/>
        </w:rPr>
        <w:tab/>
        <w:t>Le</w:t>
      </w:r>
      <w:r w:rsidRPr="006916E4">
        <w:rPr>
          <w:strike/>
          <w:lang w:val="fr-FR"/>
        </w:rPr>
        <w:t>s</w:t>
      </w:r>
      <w:r w:rsidRPr="006916E4">
        <w:rPr>
          <w:lang w:val="fr-FR"/>
        </w:rPr>
        <w:t xml:space="preserve"> schéma</w:t>
      </w:r>
      <w:r w:rsidRPr="006916E4">
        <w:rPr>
          <w:strike/>
          <w:lang w:val="fr-FR"/>
        </w:rPr>
        <w:t>s</w:t>
      </w:r>
      <w:r w:rsidRPr="006916E4">
        <w:rPr>
          <w:lang w:val="fr-FR"/>
        </w:rPr>
        <w:t xml:space="preserve"> A ne doit</w:t>
      </w:r>
      <w:r w:rsidRPr="006916E4">
        <w:rPr>
          <w:b/>
          <w:bCs/>
          <w:lang w:val="fr-FR"/>
        </w:rPr>
        <w:t xml:space="preserve"> </w:t>
      </w:r>
      <w:r w:rsidRPr="006916E4">
        <w:rPr>
          <w:lang w:val="fr-FR"/>
        </w:rPr>
        <w:t>être admis que pour les véhicules de la catégorie T dont la longueur hors tout ne dépasse pas 4</w:t>
      </w:r>
      <w:r w:rsidR="00AD574F">
        <w:rPr>
          <w:lang w:val="fr-FR"/>
        </w:rPr>
        <w:t> </w:t>
      </w:r>
      <w:r w:rsidRPr="006916E4">
        <w:rPr>
          <w:lang w:val="fr-FR"/>
        </w:rPr>
        <w:t>600</w:t>
      </w:r>
      <w:r w:rsidR="00AD574F">
        <w:rPr>
          <w:lang w:val="fr-FR"/>
        </w:rPr>
        <w:t> </w:t>
      </w:r>
      <w:r w:rsidRPr="006916E4">
        <w:rPr>
          <w:lang w:val="fr-FR"/>
        </w:rPr>
        <w:t>mm et à condition que la distance entre les bords extérieurs des plages éclairantes ne dépasse pas 1,60 m.</w:t>
      </w:r>
    </w:p>
    <w:p w14:paraId="416BE76F" w14:textId="77777777" w:rsidR="00DB196D" w:rsidRPr="006916E4" w:rsidRDefault="00DB196D" w:rsidP="00B02805">
      <w:pPr>
        <w:pStyle w:val="SingleTxtG"/>
        <w:ind w:left="4536"/>
        <w:rPr>
          <w:lang w:val="fr-FR"/>
        </w:rPr>
      </w:pPr>
      <w:r w:rsidRPr="006916E4">
        <w:rPr>
          <w:lang w:val="fr-FR"/>
        </w:rPr>
        <w:tab/>
        <w:t>Les schémas B</w:t>
      </w:r>
      <w:r w:rsidRPr="006916E4">
        <w:rPr>
          <w:bCs/>
          <w:lang w:val="fr-FR"/>
        </w:rPr>
        <w:t>,</w:t>
      </w:r>
      <w:r w:rsidRPr="006916E4">
        <w:rPr>
          <w:lang w:val="fr-FR"/>
        </w:rPr>
        <w:t xml:space="preserve"> C </w:t>
      </w:r>
      <w:r w:rsidRPr="006916E4">
        <w:rPr>
          <w:bCs/>
          <w:lang w:val="fr-FR"/>
        </w:rPr>
        <w:t>et D</w:t>
      </w:r>
      <w:r w:rsidRPr="006916E4">
        <w:rPr>
          <w:lang w:val="fr-FR"/>
        </w:rPr>
        <w:t xml:space="preserve"> s</w:t>
      </w:r>
      <w:r>
        <w:rPr>
          <w:lang w:val="fr-FR"/>
        </w:rPr>
        <w:t>’</w:t>
      </w:r>
      <w:r w:rsidRPr="006916E4">
        <w:rPr>
          <w:lang w:val="fr-FR"/>
        </w:rPr>
        <w:t>applique</w:t>
      </w:r>
      <w:r>
        <w:rPr>
          <w:lang w:val="fr-FR"/>
        </w:rPr>
        <w:t>nt</w:t>
      </w:r>
      <w:r w:rsidRPr="006916E4">
        <w:rPr>
          <w:lang w:val="fr-FR"/>
        </w:rPr>
        <w:t xml:space="preserve"> à tous les véhicules de la catégorie T.</w:t>
      </w:r>
    </w:p>
    <w:p w14:paraId="639A66DD" w14:textId="77777777" w:rsidR="00DB196D" w:rsidRPr="006916E4" w:rsidRDefault="00DB196D" w:rsidP="00B02805">
      <w:pPr>
        <w:pStyle w:val="SingleTxtG"/>
        <w:ind w:left="4536"/>
        <w:rPr>
          <w:lang w:val="fr-FR"/>
        </w:rPr>
      </w:pPr>
      <w:r w:rsidRPr="006916E4">
        <w:rPr>
          <w:lang w:val="fr-FR"/>
        </w:rPr>
        <w:tab/>
        <w:t>Sur les véhicules des catégories R et S, on doit utiliser des feux de catégorie 2a.</w:t>
      </w:r>
    </w:p>
    <w:p w14:paraId="35690873" w14:textId="77777777" w:rsidR="00DB196D" w:rsidRPr="006916E4" w:rsidRDefault="00DB196D" w:rsidP="00B02805">
      <w:pPr>
        <w:pStyle w:val="SingleTxtG"/>
        <w:ind w:left="4536"/>
        <w:rPr>
          <w:lang w:val="fr-FR"/>
        </w:rPr>
      </w:pPr>
      <w:r w:rsidRPr="006916E4">
        <w:rPr>
          <w:lang w:val="fr-FR"/>
        </w:rPr>
        <w:tab/>
        <w:t>Les feux indicateurs de direction supplémentaires sont facultatifs. ».</w:t>
      </w:r>
    </w:p>
    <w:p w14:paraId="1975E74A" w14:textId="77777777" w:rsidR="00DB196D" w:rsidRPr="006916E4" w:rsidRDefault="00DB196D" w:rsidP="00B87D6D">
      <w:pPr>
        <w:pStyle w:val="SingleTxtG"/>
        <w:keepNext/>
        <w:keepLines/>
        <w:spacing w:after="100"/>
        <w:rPr>
          <w:lang w:val="fr-FR"/>
        </w:rPr>
      </w:pPr>
      <w:r w:rsidRPr="006916E4">
        <w:rPr>
          <w:i/>
          <w:lang w:val="fr-FR"/>
        </w:rPr>
        <w:t>Paragraphe 6.5.4.2</w:t>
      </w:r>
      <w:r w:rsidRPr="006916E4">
        <w:rPr>
          <w:lang w:val="fr-FR"/>
        </w:rPr>
        <w:t>, lire :</w:t>
      </w:r>
    </w:p>
    <w:p w14:paraId="5B36CE9C" w14:textId="1EFEA7E0" w:rsidR="00DB196D" w:rsidRPr="006916E4" w:rsidRDefault="00DB196D" w:rsidP="00B87D6D">
      <w:pPr>
        <w:pStyle w:val="SingleTxtG"/>
        <w:keepNext/>
        <w:keepLines/>
        <w:tabs>
          <w:tab w:val="left" w:pos="2268"/>
        </w:tabs>
        <w:spacing w:after="100"/>
        <w:ind w:left="4536" w:hanging="3402"/>
        <w:rPr>
          <w:i/>
          <w:lang w:val="fr-FR"/>
        </w:rPr>
      </w:pPr>
      <w:r w:rsidRPr="006916E4">
        <w:rPr>
          <w:lang w:val="fr-FR"/>
        </w:rPr>
        <w:t>« 6.5.4.2</w:t>
      </w:r>
      <w:r w:rsidRPr="006916E4">
        <w:rPr>
          <w:lang w:val="fr-FR"/>
        </w:rPr>
        <w:tab/>
        <w:t>En hauteur :</w:t>
      </w:r>
      <w:r w:rsidRPr="006916E4">
        <w:rPr>
          <w:lang w:val="fr-FR"/>
        </w:rPr>
        <w:tab/>
      </w:r>
      <w:r w:rsidRPr="006916E4">
        <w:rPr>
          <w:lang w:val="fr-FR"/>
        </w:rPr>
        <w:tab/>
        <w:t>Entre 400 et 2 500 mm au-dessus du sol et, pour les feux indicateurs facultatifs, entre 400 et 4 000 mm au maximum.</w:t>
      </w:r>
    </w:p>
    <w:p w14:paraId="60A11082" w14:textId="77777777" w:rsidR="00DB196D" w:rsidRPr="006916E4" w:rsidRDefault="00DB196D" w:rsidP="00B87D6D">
      <w:pPr>
        <w:pStyle w:val="SingleTxtG"/>
        <w:spacing w:after="100"/>
        <w:ind w:left="4536"/>
        <w:rPr>
          <w:lang w:val="fr-FR"/>
        </w:rPr>
      </w:pPr>
      <w:r w:rsidRPr="006916E4">
        <w:rPr>
          <w:lang w:val="fr-FR"/>
        </w:rPr>
        <w:tab/>
        <w:t xml:space="preserve">Sur les véhicules dont la largeur maximale </w:t>
      </w:r>
      <w:r w:rsidRPr="006916E4">
        <w:rPr>
          <w:bCs/>
          <w:lang w:val="fr-FR"/>
        </w:rPr>
        <w:t>hors tout</w:t>
      </w:r>
      <w:r w:rsidRPr="006916E4">
        <w:rPr>
          <w:b/>
          <w:lang w:val="fr-FR"/>
        </w:rPr>
        <w:t xml:space="preserve"> </w:t>
      </w:r>
      <w:r w:rsidRPr="006916E4">
        <w:rPr>
          <w:lang w:val="fr-FR"/>
        </w:rPr>
        <w:t>ne dépasse pas 1 300 mm, au moins 350 mm au-dessus du sol. ».</w:t>
      </w:r>
    </w:p>
    <w:p w14:paraId="1E034344" w14:textId="77777777" w:rsidR="00DB196D" w:rsidRPr="006916E4" w:rsidRDefault="00DB196D" w:rsidP="00B87D6D">
      <w:pPr>
        <w:pStyle w:val="SingleTxtG"/>
        <w:keepNext/>
        <w:keepLines/>
        <w:spacing w:after="100"/>
        <w:rPr>
          <w:lang w:val="fr-FR"/>
        </w:rPr>
      </w:pPr>
      <w:r w:rsidRPr="006916E4">
        <w:rPr>
          <w:i/>
          <w:lang w:val="fr-FR"/>
        </w:rPr>
        <w:t>Paragraphe 6.5.8</w:t>
      </w:r>
      <w:r w:rsidRPr="006916E4">
        <w:rPr>
          <w:lang w:val="fr-FR"/>
        </w:rPr>
        <w:t>, lire :</w:t>
      </w:r>
    </w:p>
    <w:p w14:paraId="7E383ABA" w14:textId="77777777" w:rsidR="00DB196D" w:rsidRPr="006916E4" w:rsidRDefault="00DB196D" w:rsidP="00B87D6D">
      <w:pPr>
        <w:pStyle w:val="SingleTxtG"/>
        <w:spacing w:after="100"/>
        <w:ind w:left="2268" w:hanging="1134"/>
        <w:rPr>
          <w:lang w:val="fr-FR"/>
        </w:rPr>
      </w:pPr>
      <w:r w:rsidRPr="006916E4">
        <w:rPr>
          <w:lang w:val="fr-FR"/>
        </w:rPr>
        <w:t>« 6.5.8</w:t>
      </w:r>
      <w:r w:rsidRPr="006916E4">
        <w:rPr>
          <w:lang w:val="fr-FR"/>
        </w:rPr>
        <w:tab/>
        <w:t>S</w:t>
      </w:r>
      <w:r>
        <w:rPr>
          <w:lang w:val="fr-FR"/>
        </w:rPr>
        <w:t>’</w:t>
      </w:r>
      <w:r w:rsidRPr="006916E4">
        <w:rPr>
          <w:lang w:val="fr-FR"/>
        </w:rPr>
        <w:t>il est optique, il doit être constitué par un voyant clignotant de couleur verte qui s</w:t>
      </w:r>
      <w:r>
        <w:rPr>
          <w:lang w:val="fr-FR"/>
        </w:rPr>
        <w:t>’</w:t>
      </w:r>
      <w:r w:rsidRPr="006916E4">
        <w:rPr>
          <w:lang w:val="fr-FR"/>
        </w:rPr>
        <w:t>éteint, reste allumé sans clignoter ou change nettement de fréquence en cas de défaut de fonctionnement de l</w:t>
      </w:r>
      <w:r>
        <w:rPr>
          <w:lang w:val="fr-FR"/>
        </w:rPr>
        <w:t>’</w:t>
      </w:r>
      <w:r w:rsidRPr="006916E4">
        <w:rPr>
          <w:lang w:val="fr-FR"/>
        </w:rPr>
        <w:t>un quelconque des feux indicateurs de direction autres que les feux indicateurs répétiteurs latéraux ou les feux de position latéraux lorsqu</w:t>
      </w:r>
      <w:r>
        <w:rPr>
          <w:lang w:val="fr-FR"/>
        </w:rPr>
        <w:t>’</w:t>
      </w:r>
      <w:r w:rsidRPr="006916E4">
        <w:rPr>
          <w:lang w:val="fr-FR"/>
        </w:rPr>
        <w:t>ils clignotent. ».</w:t>
      </w:r>
    </w:p>
    <w:p w14:paraId="4E31E628" w14:textId="77777777" w:rsidR="00DB196D" w:rsidRPr="006916E4" w:rsidRDefault="00DB196D" w:rsidP="00B87D6D">
      <w:pPr>
        <w:pStyle w:val="SingleTxtG"/>
        <w:keepNext/>
        <w:keepLines/>
        <w:spacing w:after="100"/>
        <w:rPr>
          <w:lang w:val="fr-FR"/>
        </w:rPr>
      </w:pPr>
      <w:r w:rsidRPr="006916E4">
        <w:rPr>
          <w:i/>
          <w:lang w:val="fr-FR"/>
        </w:rPr>
        <w:t>Paragraphe 6.7.4.2</w:t>
      </w:r>
      <w:r w:rsidRPr="006916E4">
        <w:rPr>
          <w:lang w:val="fr-FR"/>
        </w:rPr>
        <w:t>, modification sans objet en français.</w:t>
      </w:r>
    </w:p>
    <w:p w14:paraId="6B577EA5" w14:textId="77777777" w:rsidR="00DB196D" w:rsidRPr="006916E4" w:rsidRDefault="00DB196D" w:rsidP="00B87D6D">
      <w:pPr>
        <w:pStyle w:val="SingleTxtG"/>
        <w:keepNext/>
        <w:keepLines/>
        <w:spacing w:after="100"/>
        <w:rPr>
          <w:lang w:val="fr-FR"/>
        </w:rPr>
      </w:pPr>
      <w:r w:rsidRPr="006916E4">
        <w:rPr>
          <w:i/>
          <w:lang w:val="fr-FR"/>
        </w:rPr>
        <w:t>Paragraphe 6.8.1</w:t>
      </w:r>
      <w:r w:rsidRPr="006916E4">
        <w:rPr>
          <w:lang w:val="fr-FR"/>
        </w:rPr>
        <w:t>, lire :</w:t>
      </w:r>
    </w:p>
    <w:p w14:paraId="16A27249" w14:textId="0C87BCFD" w:rsidR="00DB196D" w:rsidRPr="006916E4" w:rsidRDefault="00DB196D" w:rsidP="00B87D6D">
      <w:pPr>
        <w:pStyle w:val="SingleTxtG"/>
        <w:keepNext/>
        <w:keepLines/>
        <w:tabs>
          <w:tab w:val="left" w:pos="2268"/>
        </w:tabs>
        <w:spacing w:after="100"/>
        <w:ind w:left="4536" w:hanging="3402"/>
        <w:rPr>
          <w:i/>
          <w:lang w:val="fr-FR"/>
        </w:rPr>
      </w:pPr>
      <w:r w:rsidRPr="006916E4">
        <w:rPr>
          <w:lang w:val="fr-FR"/>
        </w:rPr>
        <w:t>« 6.8.1</w:t>
      </w:r>
      <w:r w:rsidRPr="006916E4">
        <w:rPr>
          <w:lang w:val="fr-FR"/>
        </w:rPr>
        <w:tab/>
        <w:t>Présence :</w:t>
      </w:r>
      <w:r w:rsidRPr="006916E4">
        <w:rPr>
          <w:lang w:val="fr-FR"/>
        </w:rPr>
        <w:tab/>
        <w:t>Obligatoire sur tous les véhicules de la catégorie T.</w:t>
      </w:r>
    </w:p>
    <w:p w14:paraId="71071530" w14:textId="77777777" w:rsidR="00DB196D" w:rsidRPr="006916E4" w:rsidRDefault="00DB196D" w:rsidP="00B87D6D">
      <w:pPr>
        <w:pStyle w:val="SingleTxtG"/>
        <w:spacing w:after="100"/>
        <w:ind w:left="4536"/>
        <w:rPr>
          <w:lang w:val="fr-FR"/>
        </w:rPr>
      </w:pPr>
      <w:r w:rsidRPr="006916E4">
        <w:rPr>
          <w:lang w:val="fr-FR"/>
        </w:rPr>
        <w:tab/>
        <w:t xml:space="preserve">Obligatoire sur tous les véhicules des catégories R et S dont la largeur </w:t>
      </w:r>
      <w:r w:rsidRPr="006916E4">
        <w:rPr>
          <w:bCs/>
          <w:lang w:val="fr-FR"/>
        </w:rPr>
        <w:t xml:space="preserve">hors tout </w:t>
      </w:r>
      <w:r w:rsidRPr="006916E4">
        <w:rPr>
          <w:lang w:val="fr-FR"/>
        </w:rPr>
        <w:t xml:space="preserve">dépasse 1 600 </w:t>
      </w:r>
      <w:proofErr w:type="spellStart"/>
      <w:r w:rsidRPr="006916E4">
        <w:rPr>
          <w:lang w:val="fr-FR"/>
        </w:rPr>
        <w:t>mm.</w:t>
      </w:r>
      <w:proofErr w:type="spellEnd"/>
    </w:p>
    <w:p w14:paraId="37C4B4E5" w14:textId="77777777" w:rsidR="00DB196D" w:rsidRPr="006916E4" w:rsidRDefault="00DB196D" w:rsidP="00B87D6D">
      <w:pPr>
        <w:pStyle w:val="SingleTxtG"/>
        <w:spacing w:after="100"/>
        <w:ind w:left="4536"/>
        <w:rPr>
          <w:lang w:val="fr-FR"/>
        </w:rPr>
      </w:pPr>
      <w:r w:rsidRPr="006916E4">
        <w:rPr>
          <w:lang w:val="fr-FR"/>
        </w:rPr>
        <w:tab/>
        <w:t>Facultative sur les autres véhicules des catégories R et S.</w:t>
      </w:r>
    </w:p>
    <w:p w14:paraId="105C82BF" w14:textId="77777777" w:rsidR="00DB196D" w:rsidRPr="006916E4" w:rsidRDefault="00DB196D" w:rsidP="00B87D6D">
      <w:pPr>
        <w:pStyle w:val="SingleTxtG"/>
        <w:spacing w:after="100"/>
        <w:ind w:left="4536"/>
        <w:rPr>
          <w:lang w:val="fr-FR"/>
        </w:rPr>
      </w:pPr>
      <w:r w:rsidRPr="006916E4">
        <w:rPr>
          <w:lang w:val="fr-FR"/>
        </w:rPr>
        <w:tab/>
        <w:t>Les feux de position avant sont facultatifs si le véhicule est équipé de feux de gabarit qui satisfont à toutes les prescriptions d</w:t>
      </w:r>
      <w:r>
        <w:rPr>
          <w:lang w:val="fr-FR"/>
        </w:rPr>
        <w:t>’</w:t>
      </w:r>
      <w:r w:rsidRPr="006916E4">
        <w:rPr>
          <w:lang w:val="fr-FR"/>
        </w:rPr>
        <w:t>installation applicables aux feux de position avant. ».</w:t>
      </w:r>
    </w:p>
    <w:p w14:paraId="48108CCA" w14:textId="77777777" w:rsidR="00DB196D" w:rsidRPr="006916E4" w:rsidRDefault="00DB196D" w:rsidP="00B87D6D">
      <w:pPr>
        <w:pStyle w:val="SingleTxtG"/>
        <w:keepNext/>
        <w:keepLines/>
        <w:spacing w:after="100"/>
        <w:rPr>
          <w:lang w:val="fr-FR"/>
        </w:rPr>
      </w:pPr>
      <w:r w:rsidRPr="006916E4">
        <w:rPr>
          <w:i/>
          <w:lang w:val="fr-FR"/>
        </w:rPr>
        <w:t>Paragraphe 6.8.7</w:t>
      </w:r>
      <w:r w:rsidRPr="006916E4">
        <w:rPr>
          <w:lang w:val="fr-FR"/>
        </w:rPr>
        <w:t>, lire :</w:t>
      </w:r>
    </w:p>
    <w:p w14:paraId="3DF5EC16" w14:textId="77777777" w:rsidR="00DB196D" w:rsidRPr="006916E4" w:rsidRDefault="00DB196D" w:rsidP="00B87D6D">
      <w:pPr>
        <w:pStyle w:val="SingleTxtG"/>
        <w:keepNext/>
        <w:keepLines/>
        <w:tabs>
          <w:tab w:val="left" w:pos="2268"/>
        </w:tabs>
        <w:spacing w:after="100"/>
        <w:ind w:left="4536" w:hanging="3402"/>
        <w:rPr>
          <w:i/>
          <w:lang w:val="fr-FR"/>
        </w:rPr>
      </w:pPr>
      <w:r w:rsidRPr="006916E4">
        <w:rPr>
          <w:lang w:val="fr-FR"/>
        </w:rPr>
        <w:t>« 6.8.7</w:t>
      </w:r>
      <w:r w:rsidRPr="006916E4">
        <w:rPr>
          <w:lang w:val="fr-FR"/>
        </w:rPr>
        <w:tab/>
        <w:t>Branchements électriques :</w:t>
      </w:r>
      <w:r w:rsidRPr="006916E4">
        <w:rPr>
          <w:lang w:val="fr-FR"/>
        </w:rPr>
        <w:tab/>
        <w:t>Aucune prescription particulière (voir par. 5.11).</w:t>
      </w:r>
    </w:p>
    <w:p w14:paraId="1E6EE581" w14:textId="77777777" w:rsidR="00DB196D" w:rsidRPr="006916E4" w:rsidRDefault="00DB196D" w:rsidP="00B87D6D">
      <w:pPr>
        <w:pStyle w:val="SingleTxtG"/>
        <w:spacing w:after="100"/>
        <w:ind w:left="4536"/>
        <w:rPr>
          <w:lang w:val="fr-FR"/>
        </w:rPr>
      </w:pPr>
      <w:r w:rsidRPr="006916E4">
        <w:rPr>
          <w:lang w:val="fr-FR"/>
        </w:rPr>
        <w:tab/>
        <w:t>Cependant, si un feu de position avant est mutuellement incorporé avec un feu indicateur de direction, le branchement électrique de ce feu de position avant situé du même côté du véhicule ou de sa partie mutuellement incorporée peut être conçu de façon que le feu reste éteint pendant la totalité de la période d</w:t>
      </w:r>
      <w:r>
        <w:rPr>
          <w:lang w:val="fr-FR"/>
        </w:rPr>
        <w:t>’</w:t>
      </w:r>
      <w:r w:rsidRPr="006916E4">
        <w:rPr>
          <w:lang w:val="fr-FR"/>
        </w:rPr>
        <w:t>activation du feu indicateur de direction (y compris pendant les phases d</w:t>
      </w:r>
      <w:r>
        <w:rPr>
          <w:lang w:val="fr-FR"/>
        </w:rPr>
        <w:t>’</w:t>
      </w:r>
      <w:r w:rsidRPr="006916E4">
        <w:rPr>
          <w:lang w:val="fr-FR"/>
        </w:rPr>
        <w:t>extinction). ».</w:t>
      </w:r>
    </w:p>
    <w:p w14:paraId="1F6753B7" w14:textId="77777777" w:rsidR="00DB196D" w:rsidRPr="006916E4" w:rsidRDefault="00DB196D" w:rsidP="00DB196D">
      <w:pPr>
        <w:pStyle w:val="SingleTxtG"/>
        <w:keepNext/>
        <w:keepLines/>
        <w:rPr>
          <w:lang w:val="fr-FR"/>
        </w:rPr>
      </w:pPr>
      <w:r w:rsidRPr="006916E4">
        <w:rPr>
          <w:i/>
          <w:lang w:val="fr-FR"/>
        </w:rPr>
        <w:lastRenderedPageBreak/>
        <w:t>Paragraphe 6.9.4.2</w:t>
      </w:r>
      <w:r w:rsidRPr="006916E4">
        <w:rPr>
          <w:lang w:val="fr-FR"/>
        </w:rPr>
        <w:t>, lire :</w:t>
      </w:r>
    </w:p>
    <w:p w14:paraId="5A0362C1" w14:textId="77777777" w:rsidR="00DB196D" w:rsidRPr="006916E4" w:rsidRDefault="00DB196D" w:rsidP="00B87D6D">
      <w:pPr>
        <w:pStyle w:val="SingleTxtG"/>
        <w:tabs>
          <w:tab w:val="left" w:pos="2268"/>
        </w:tabs>
        <w:ind w:left="4536" w:hanging="3402"/>
        <w:rPr>
          <w:i/>
          <w:lang w:val="fr-FR"/>
        </w:rPr>
      </w:pPr>
      <w:r w:rsidRPr="006916E4">
        <w:rPr>
          <w:lang w:val="fr-FR"/>
        </w:rPr>
        <w:t>« 6.9.4.2</w:t>
      </w:r>
      <w:r w:rsidRPr="006916E4">
        <w:rPr>
          <w:lang w:val="fr-FR"/>
        </w:rPr>
        <w:tab/>
        <w:t>En hauteur :</w:t>
      </w:r>
      <w:r w:rsidRPr="006916E4">
        <w:rPr>
          <w:lang w:val="fr-FR"/>
        </w:rPr>
        <w:tab/>
      </w:r>
      <w:r w:rsidRPr="006916E4">
        <w:rPr>
          <w:spacing w:val="-3"/>
          <w:lang w:val="fr-FR"/>
        </w:rPr>
        <w:tab/>
        <w:t>Sous réserve des dispositions du paragraphe 6.9.5.1, entre 400 et 2 500 mm au-dessus du sol.</w:t>
      </w:r>
    </w:p>
    <w:p w14:paraId="4EF066B2" w14:textId="77777777" w:rsidR="00DB196D" w:rsidRPr="006916E4" w:rsidRDefault="00DB196D" w:rsidP="00DB196D">
      <w:pPr>
        <w:pStyle w:val="SingleTxtG"/>
        <w:ind w:left="4536"/>
        <w:rPr>
          <w:lang w:val="fr-FR"/>
        </w:rPr>
      </w:pPr>
      <w:r w:rsidRPr="006916E4">
        <w:rPr>
          <w:lang w:val="fr-FR"/>
        </w:rPr>
        <w:tab/>
        <w:t xml:space="preserve">Sur les véhicules dont la largeur maximale </w:t>
      </w:r>
      <w:r w:rsidRPr="006916E4">
        <w:rPr>
          <w:bCs/>
          <w:lang w:val="fr-FR"/>
        </w:rPr>
        <w:t>hors tout</w:t>
      </w:r>
      <w:r w:rsidRPr="006916E4">
        <w:rPr>
          <w:lang w:val="fr-FR"/>
        </w:rPr>
        <w:t xml:space="preserve"> ne dépasse pas 1 300 mm, au moins 250 mm au-dessus du sol. ».</w:t>
      </w:r>
    </w:p>
    <w:p w14:paraId="77A099AC" w14:textId="77777777" w:rsidR="00DB196D" w:rsidRPr="006916E4" w:rsidRDefault="00DB196D" w:rsidP="00DB196D">
      <w:pPr>
        <w:pStyle w:val="SingleTxtG"/>
        <w:keepNext/>
        <w:keepLines/>
        <w:rPr>
          <w:lang w:val="fr-FR"/>
        </w:rPr>
      </w:pPr>
      <w:r w:rsidRPr="006916E4">
        <w:rPr>
          <w:i/>
          <w:lang w:val="fr-FR"/>
        </w:rPr>
        <w:t>Paragraphe 6.11.4.2</w:t>
      </w:r>
      <w:r w:rsidRPr="006916E4">
        <w:rPr>
          <w:lang w:val="fr-FR"/>
        </w:rPr>
        <w:t>, modification sans objet en français.</w:t>
      </w:r>
    </w:p>
    <w:p w14:paraId="6734419C" w14:textId="77777777" w:rsidR="00DB196D" w:rsidRPr="006916E4" w:rsidRDefault="00DB196D" w:rsidP="00DB196D">
      <w:pPr>
        <w:pStyle w:val="SingleTxtG"/>
        <w:keepNext/>
        <w:keepLines/>
        <w:rPr>
          <w:lang w:val="fr-FR"/>
        </w:rPr>
      </w:pPr>
      <w:r w:rsidRPr="006916E4">
        <w:rPr>
          <w:i/>
          <w:lang w:val="fr-FR"/>
        </w:rPr>
        <w:t>Paragraphe 6.12.1</w:t>
      </w:r>
      <w:r w:rsidRPr="006916E4">
        <w:rPr>
          <w:lang w:val="fr-FR"/>
        </w:rPr>
        <w:t>, lire :</w:t>
      </w:r>
    </w:p>
    <w:p w14:paraId="5AC5EDB0" w14:textId="6E6377F1" w:rsidR="00DB196D" w:rsidRPr="006916E4" w:rsidRDefault="00DB196D" w:rsidP="00B87D6D">
      <w:pPr>
        <w:pStyle w:val="SingleTxtG"/>
        <w:tabs>
          <w:tab w:val="left" w:pos="2268"/>
        </w:tabs>
        <w:ind w:left="4536" w:hanging="3402"/>
        <w:rPr>
          <w:lang w:val="fr-FR"/>
        </w:rPr>
      </w:pPr>
      <w:r w:rsidRPr="006916E4">
        <w:rPr>
          <w:lang w:val="fr-FR"/>
        </w:rPr>
        <w:t>« 6.12.1</w:t>
      </w:r>
      <w:r w:rsidRPr="006916E4">
        <w:rPr>
          <w:lang w:val="fr-FR"/>
        </w:rPr>
        <w:tab/>
        <w:t>Présence :</w:t>
      </w:r>
      <w:r w:rsidRPr="006916E4">
        <w:rPr>
          <w:lang w:val="fr-FR"/>
        </w:rPr>
        <w:tab/>
      </w:r>
      <w:r w:rsidRPr="006916E4">
        <w:rPr>
          <w:lang w:val="fr-FR"/>
        </w:rPr>
        <w:tab/>
        <w:t xml:space="preserve">Facultative sur les véhicules dont la largeur </w:t>
      </w:r>
      <w:r w:rsidRPr="006916E4">
        <w:rPr>
          <w:bCs/>
          <w:lang w:val="fr-FR"/>
        </w:rPr>
        <w:t>hors tout</w:t>
      </w:r>
      <w:r w:rsidRPr="006916E4">
        <w:rPr>
          <w:lang w:val="fr-FR"/>
        </w:rPr>
        <w:t xml:space="preserve"> </w:t>
      </w:r>
      <w:r w:rsidRPr="006916E4">
        <w:rPr>
          <w:bCs/>
          <w:lang w:val="fr-FR"/>
        </w:rPr>
        <w:t>dépasse</w:t>
      </w:r>
      <w:r w:rsidRPr="006916E4">
        <w:rPr>
          <w:lang w:val="fr-FR"/>
        </w:rPr>
        <w:t xml:space="preserve"> 1</w:t>
      </w:r>
      <w:r w:rsidR="002D7931">
        <w:rPr>
          <w:lang w:val="fr-FR"/>
        </w:rPr>
        <w:t> </w:t>
      </w:r>
      <w:r w:rsidRPr="006916E4">
        <w:rPr>
          <w:lang w:val="fr-FR"/>
        </w:rPr>
        <w:t>800</w:t>
      </w:r>
      <w:r w:rsidR="002D7931">
        <w:rPr>
          <w:lang w:val="fr-FR"/>
        </w:rPr>
        <w:t> </w:t>
      </w:r>
      <w:proofErr w:type="spellStart"/>
      <w:r w:rsidRPr="006916E4">
        <w:rPr>
          <w:lang w:val="fr-FR"/>
        </w:rPr>
        <w:t>mm</w:t>
      </w:r>
      <w:r w:rsidRPr="006916E4">
        <w:rPr>
          <w:bCs/>
          <w:lang w:val="fr-FR"/>
        </w:rPr>
        <w:t>.</w:t>
      </w:r>
      <w:proofErr w:type="spellEnd"/>
      <w:r w:rsidRPr="006916E4">
        <w:rPr>
          <w:bCs/>
          <w:lang w:val="fr-FR"/>
        </w:rPr>
        <w:t xml:space="preserve"> </w:t>
      </w:r>
      <w:bookmarkStart w:id="1" w:name="_Hlk32316706"/>
      <w:r w:rsidRPr="006916E4">
        <w:rPr>
          <w:bCs/>
          <w:lang w:val="fr-FR"/>
        </w:rPr>
        <w:t>Interdite sur tous les autres véhicules</w:t>
      </w:r>
      <w:bookmarkEnd w:id="1"/>
      <w:r w:rsidRPr="006916E4">
        <w:rPr>
          <w:bCs/>
          <w:lang w:val="fr-FR"/>
        </w:rPr>
        <w:t>.</w:t>
      </w:r>
      <w:r w:rsidRPr="006916E4">
        <w:rPr>
          <w:lang w:val="fr-FR"/>
        </w:rPr>
        <w:t> ».</w:t>
      </w:r>
    </w:p>
    <w:p w14:paraId="763C67FA" w14:textId="77777777" w:rsidR="00DB196D" w:rsidRPr="006916E4" w:rsidRDefault="00DB196D" w:rsidP="00DB196D">
      <w:pPr>
        <w:pStyle w:val="SingleTxtG"/>
        <w:keepNext/>
        <w:keepLines/>
        <w:rPr>
          <w:lang w:val="fr-FR"/>
        </w:rPr>
      </w:pPr>
      <w:r w:rsidRPr="006916E4">
        <w:rPr>
          <w:i/>
          <w:lang w:val="fr-FR"/>
        </w:rPr>
        <w:t>Paragraphe 6.14.1</w:t>
      </w:r>
      <w:r w:rsidRPr="006916E4">
        <w:rPr>
          <w:lang w:val="fr-FR"/>
        </w:rPr>
        <w:t>, lire :</w:t>
      </w:r>
    </w:p>
    <w:p w14:paraId="066DE95F" w14:textId="77777777" w:rsidR="00DB196D" w:rsidRPr="006916E4" w:rsidRDefault="00DB196D" w:rsidP="00B87D6D">
      <w:pPr>
        <w:pStyle w:val="SingleTxtG"/>
        <w:tabs>
          <w:tab w:val="left" w:pos="2268"/>
        </w:tabs>
        <w:ind w:left="4536" w:hanging="3402"/>
        <w:rPr>
          <w:lang w:val="fr-FR"/>
        </w:rPr>
      </w:pPr>
      <w:r w:rsidRPr="006916E4">
        <w:rPr>
          <w:lang w:val="fr-FR"/>
        </w:rPr>
        <w:t>« 6.14.1</w:t>
      </w:r>
      <w:r w:rsidRPr="006916E4">
        <w:rPr>
          <w:lang w:val="fr-FR"/>
        </w:rPr>
        <w:tab/>
        <w:t>Présence :</w:t>
      </w:r>
      <w:r w:rsidRPr="006916E4">
        <w:rPr>
          <w:lang w:val="fr-FR"/>
        </w:rPr>
        <w:tab/>
      </w:r>
      <w:r w:rsidRPr="006916E4">
        <w:rPr>
          <w:lang w:val="fr-FR"/>
        </w:rPr>
        <w:tab/>
        <w:t xml:space="preserve">Obligatoire sur les véhicules de la catégorie T. </w:t>
      </w:r>
      <w:r w:rsidRPr="006916E4">
        <w:rPr>
          <w:bCs/>
          <w:lang w:val="fr-FR"/>
        </w:rPr>
        <w:t>Facultative</w:t>
      </w:r>
      <w:r w:rsidRPr="006916E4">
        <w:rPr>
          <w:lang w:val="fr-FR"/>
        </w:rPr>
        <w:t xml:space="preserve"> sur les véhicules des catégories R et S en plus </w:t>
      </w:r>
      <w:bookmarkStart w:id="2" w:name="_Hlk32480503"/>
      <w:r w:rsidRPr="006916E4">
        <w:rPr>
          <w:lang w:val="fr-FR"/>
        </w:rPr>
        <w:t>des catadioptres prescrits au</w:t>
      </w:r>
      <w:bookmarkEnd w:id="2"/>
      <w:r w:rsidRPr="006916E4">
        <w:rPr>
          <w:lang w:val="fr-FR"/>
        </w:rPr>
        <w:t xml:space="preserve"> paragraphe 6.25. Interdite sur tous les autres véhicules</w:t>
      </w:r>
      <w:r w:rsidRPr="006916E4">
        <w:rPr>
          <w:bCs/>
          <w:lang w:val="fr-FR"/>
        </w:rPr>
        <w:t>.</w:t>
      </w:r>
      <w:r w:rsidRPr="006916E4">
        <w:rPr>
          <w:lang w:val="fr-FR"/>
        </w:rPr>
        <w:t> ».</w:t>
      </w:r>
    </w:p>
    <w:p w14:paraId="419E8541" w14:textId="77777777" w:rsidR="00DB196D" w:rsidRPr="006916E4" w:rsidRDefault="00DB196D" w:rsidP="00DB196D">
      <w:pPr>
        <w:pStyle w:val="SingleTxtG"/>
        <w:keepNext/>
        <w:keepLines/>
        <w:rPr>
          <w:lang w:val="fr-FR"/>
        </w:rPr>
      </w:pPr>
      <w:r w:rsidRPr="006916E4">
        <w:rPr>
          <w:i/>
          <w:lang w:val="fr-FR"/>
        </w:rPr>
        <w:t>Paragraphe 6.14.4.</w:t>
      </w:r>
      <w:r w:rsidRPr="006916E4">
        <w:rPr>
          <w:lang w:val="fr-FR"/>
        </w:rPr>
        <w:t>2, lire :</w:t>
      </w:r>
    </w:p>
    <w:p w14:paraId="796ADABD" w14:textId="77777777" w:rsidR="00DB196D" w:rsidRPr="006916E4" w:rsidRDefault="00DB196D" w:rsidP="00B87D6D">
      <w:pPr>
        <w:pStyle w:val="SingleTxtG"/>
        <w:tabs>
          <w:tab w:val="left" w:pos="2268"/>
        </w:tabs>
        <w:ind w:left="4536" w:hanging="3402"/>
        <w:rPr>
          <w:i/>
          <w:lang w:val="fr-FR"/>
        </w:rPr>
      </w:pPr>
      <w:r w:rsidRPr="006916E4">
        <w:rPr>
          <w:lang w:val="fr-FR"/>
        </w:rPr>
        <w:t>« 6.14.4.2</w:t>
      </w:r>
      <w:r w:rsidRPr="006916E4">
        <w:rPr>
          <w:lang w:val="fr-FR"/>
        </w:rPr>
        <w:tab/>
        <w:t>En hauteur :</w:t>
      </w:r>
      <w:r w:rsidRPr="006916E4">
        <w:rPr>
          <w:lang w:val="fr-FR"/>
        </w:rPr>
        <w:tab/>
      </w:r>
      <w:r w:rsidRPr="006916E4">
        <w:rPr>
          <w:lang w:val="fr-FR"/>
        </w:rPr>
        <w:tab/>
        <w:t xml:space="preserve">Sous réserve des dispositions du paragraphe </w:t>
      </w:r>
      <w:r w:rsidRPr="006916E4">
        <w:rPr>
          <w:lang w:val="fr-FR"/>
        </w:rPr>
        <w:tab/>
        <w:t>6.14.5.1, entre 400 et 900 mm au-dessus du sol.</w:t>
      </w:r>
    </w:p>
    <w:p w14:paraId="1356737B" w14:textId="0FDF130F" w:rsidR="00DB196D" w:rsidRPr="006916E4" w:rsidRDefault="00DB196D" w:rsidP="00DB196D">
      <w:pPr>
        <w:pStyle w:val="SingleTxtG"/>
        <w:ind w:left="4536"/>
        <w:rPr>
          <w:lang w:val="fr-FR"/>
        </w:rPr>
      </w:pPr>
      <w:r w:rsidRPr="006916E4">
        <w:rPr>
          <w:lang w:val="fr-FR"/>
        </w:rPr>
        <w:tab/>
        <w:t xml:space="preserve">Sur les véhicules dont la largeur maximale </w:t>
      </w:r>
      <w:r w:rsidRPr="006916E4">
        <w:rPr>
          <w:bCs/>
          <w:lang w:val="fr-FR"/>
        </w:rPr>
        <w:t>hors tout</w:t>
      </w:r>
      <w:r w:rsidRPr="006916E4">
        <w:rPr>
          <w:b/>
          <w:lang w:val="fr-FR"/>
        </w:rPr>
        <w:t xml:space="preserve"> </w:t>
      </w:r>
      <w:r w:rsidRPr="006916E4">
        <w:rPr>
          <w:lang w:val="fr-FR"/>
        </w:rPr>
        <w:t>ne dépasse pas 1 300</w:t>
      </w:r>
      <w:r w:rsidR="002D7931">
        <w:rPr>
          <w:bCs/>
          <w:lang w:val="fr-FR"/>
        </w:rPr>
        <w:t> </w:t>
      </w:r>
      <w:r w:rsidRPr="006916E4">
        <w:rPr>
          <w:lang w:val="fr-FR"/>
        </w:rPr>
        <w:t>mm, au moins 250 mm au-dessus du sol.</w:t>
      </w:r>
    </w:p>
    <w:p w14:paraId="76990208" w14:textId="3D8200F3" w:rsidR="00DB196D" w:rsidRPr="006916E4" w:rsidRDefault="00DB196D" w:rsidP="00DB196D">
      <w:pPr>
        <w:pStyle w:val="SingleTxtG"/>
        <w:ind w:left="4536"/>
        <w:rPr>
          <w:lang w:val="fr-FR"/>
        </w:rPr>
      </w:pPr>
      <w:r w:rsidRPr="006916E4">
        <w:rPr>
          <w:lang w:val="fr-FR"/>
        </w:rPr>
        <w:tab/>
        <w:t>La hauteur maximale peut toutefois être portée à 1 200</w:t>
      </w:r>
      <w:r w:rsidR="002D7931">
        <w:rPr>
          <w:bCs/>
          <w:lang w:val="fr-FR"/>
        </w:rPr>
        <w:t> </w:t>
      </w:r>
      <w:r w:rsidRPr="006916E4">
        <w:rPr>
          <w:lang w:val="fr-FR"/>
        </w:rPr>
        <w:t>mm s</w:t>
      </w:r>
      <w:r>
        <w:rPr>
          <w:lang w:val="fr-FR"/>
        </w:rPr>
        <w:t>’</w:t>
      </w:r>
      <w:r w:rsidRPr="006916E4">
        <w:rPr>
          <w:lang w:val="fr-FR"/>
        </w:rPr>
        <w:t>il n</w:t>
      </w:r>
      <w:r>
        <w:rPr>
          <w:lang w:val="fr-FR"/>
        </w:rPr>
        <w:t>’</w:t>
      </w:r>
      <w:r w:rsidRPr="006916E4">
        <w:rPr>
          <w:lang w:val="fr-FR"/>
        </w:rPr>
        <w:t>est pas possible de respecter la hauteur de 900 mm sans recourir à des dispositifs de fixation susceptibles d</w:t>
      </w:r>
      <w:r>
        <w:rPr>
          <w:lang w:val="fr-FR"/>
        </w:rPr>
        <w:t>’</w:t>
      </w:r>
      <w:r w:rsidRPr="006916E4">
        <w:rPr>
          <w:lang w:val="fr-FR"/>
        </w:rPr>
        <w:t>être facilement endommagés ou faussés.</w:t>
      </w:r>
    </w:p>
    <w:p w14:paraId="66EFF0A1" w14:textId="7D1AFE8B" w:rsidR="00DB196D" w:rsidRPr="006916E4" w:rsidRDefault="00DB196D" w:rsidP="00DB196D">
      <w:pPr>
        <w:pStyle w:val="SingleTxtG"/>
        <w:ind w:left="4536"/>
        <w:rPr>
          <w:lang w:val="fr-FR"/>
        </w:rPr>
      </w:pPr>
      <w:r w:rsidRPr="006916E4">
        <w:rPr>
          <w:bCs/>
          <w:lang w:val="fr-FR"/>
        </w:rPr>
        <w:tab/>
        <w:t>Lorsque des catadioptres sont installés en plus des catadioptres prescrits au paragraphe</w:t>
      </w:r>
      <w:r w:rsidR="002D7931">
        <w:rPr>
          <w:bCs/>
          <w:lang w:val="fr-FR"/>
        </w:rPr>
        <w:t> </w:t>
      </w:r>
      <w:r w:rsidRPr="006916E4">
        <w:rPr>
          <w:bCs/>
          <w:lang w:val="fr-FR"/>
        </w:rPr>
        <w:t>6.25, ils doivent être situés à une hauteur comprise entre 400 mm et 4</w:t>
      </w:r>
      <w:r w:rsidR="002D7931">
        <w:rPr>
          <w:bCs/>
          <w:lang w:val="fr-FR"/>
        </w:rPr>
        <w:t> </w:t>
      </w:r>
      <w:r w:rsidRPr="006916E4">
        <w:rPr>
          <w:bCs/>
          <w:lang w:val="fr-FR"/>
        </w:rPr>
        <w:t>000</w:t>
      </w:r>
      <w:r w:rsidR="002D7931">
        <w:rPr>
          <w:bCs/>
          <w:lang w:val="fr-FR"/>
        </w:rPr>
        <w:t> </w:t>
      </w:r>
      <w:r w:rsidRPr="006916E4">
        <w:rPr>
          <w:bCs/>
          <w:lang w:val="fr-FR"/>
        </w:rPr>
        <w:t>mm au-dessus du sol.</w:t>
      </w:r>
      <w:r w:rsidRPr="006916E4">
        <w:rPr>
          <w:lang w:val="fr-FR"/>
        </w:rPr>
        <w:t> ».</w:t>
      </w:r>
    </w:p>
    <w:p w14:paraId="1DEF36EB" w14:textId="77777777" w:rsidR="00DB196D" w:rsidRPr="006916E4" w:rsidRDefault="00DB196D" w:rsidP="00DB196D">
      <w:pPr>
        <w:pStyle w:val="SingleTxtG"/>
        <w:keepNext/>
        <w:keepLines/>
        <w:rPr>
          <w:lang w:val="fr-FR"/>
        </w:rPr>
      </w:pPr>
      <w:r w:rsidRPr="006916E4">
        <w:rPr>
          <w:i/>
          <w:lang w:val="fr-FR"/>
        </w:rPr>
        <w:t>Paragraphe 6.14.5.1.1</w:t>
      </w:r>
      <w:r w:rsidRPr="006916E4">
        <w:rPr>
          <w:lang w:val="fr-FR"/>
        </w:rPr>
        <w:t>, modification sans objet en français.</w:t>
      </w:r>
    </w:p>
    <w:p w14:paraId="7D1A9475" w14:textId="77777777" w:rsidR="00DB196D" w:rsidRPr="006916E4" w:rsidRDefault="00DB196D" w:rsidP="00DB196D">
      <w:pPr>
        <w:pStyle w:val="SingleTxtG"/>
        <w:keepNext/>
        <w:keepLines/>
        <w:rPr>
          <w:lang w:val="fr-FR"/>
        </w:rPr>
      </w:pPr>
      <w:r w:rsidRPr="006916E4">
        <w:rPr>
          <w:i/>
          <w:lang w:val="fr-FR"/>
        </w:rPr>
        <w:t>Paragraphe 6.15.1</w:t>
      </w:r>
      <w:r w:rsidRPr="006916E4">
        <w:rPr>
          <w:lang w:val="fr-FR"/>
        </w:rPr>
        <w:t>, lire :</w:t>
      </w:r>
    </w:p>
    <w:p w14:paraId="7FBE4A74" w14:textId="77777777" w:rsidR="00DB196D" w:rsidRPr="006916E4" w:rsidRDefault="00DB196D" w:rsidP="00B87D6D">
      <w:pPr>
        <w:pStyle w:val="SingleTxtG"/>
        <w:tabs>
          <w:tab w:val="left" w:pos="2268"/>
        </w:tabs>
        <w:ind w:left="4536" w:hanging="3402"/>
        <w:rPr>
          <w:lang w:val="fr-FR"/>
        </w:rPr>
      </w:pPr>
      <w:r w:rsidRPr="006916E4">
        <w:rPr>
          <w:lang w:val="fr-FR"/>
        </w:rPr>
        <w:t>« 6.15.1</w:t>
      </w:r>
      <w:r w:rsidRPr="006916E4">
        <w:rPr>
          <w:lang w:val="fr-FR"/>
        </w:rPr>
        <w:tab/>
        <w:t>Présence :</w:t>
      </w:r>
      <w:r w:rsidRPr="006916E4">
        <w:rPr>
          <w:lang w:val="fr-FR"/>
        </w:rPr>
        <w:tab/>
      </w:r>
      <w:r w:rsidRPr="006916E4">
        <w:rPr>
          <w:lang w:val="fr-FR"/>
        </w:rPr>
        <w:tab/>
        <w:t xml:space="preserve">Obligatoire sur tous les véhicules dont la longueur dépasse </w:t>
      </w:r>
      <w:r w:rsidRPr="006916E4">
        <w:rPr>
          <w:bCs/>
          <w:lang w:val="fr-FR"/>
        </w:rPr>
        <w:t>4,6</w:t>
      </w:r>
      <w:r w:rsidRPr="006916E4">
        <w:rPr>
          <w:lang w:val="fr-FR"/>
        </w:rPr>
        <w:t xml:space="preserve"> m. Facultative sur </w:t>
      </w:r>
      <w:r w:rsidRPr="006916E4">
        <w:rPr>
          <w:bCs/>
          <w:lang w:val="fr-FR"/>
        </w:rPr>
        <w:t>tous les autres véhicules</w:t>
      </w:r>
      <w:r w:rsidRPr="006916E4">
        <w:rPr>
          <w:lang w:val="fr-FR"/>
        </w:rPr>
        <w:t>.</w:t>
      </w:r>
    </w:p>
    <w:p w14:paraId="423B5161" w14:textId="348973A9" w:rsidR="00DB196D" w:rsidRPr="006916E4" w:rsidRDefault="00DB196D" w:rsidP="00DB196D">
      <w:pPr>
        <w:pStyle w:val="SingleTxtG"/>
        <w:ind w:left="4536"/>
        <w:rPr>
          <w:lang w:val="fr-FR"/>
        </w:rPr>
      </w:pPr>
      <w:r w:rsidRPr="006916E4">
        <w:rPr>
          <w:b/>
          <w:lang w:val="fr-FR"/>
        </w:rPr>
        <w:tab/>
      </w:r>
      <w:r w:rsidRPr="006916E4">
        <w:rPr>
          <w:bCs/>
          <w:lang w:val="fr-FR"/>
        </w:rPr>
        <w:t>Facultative sur tous les véhicules sur lesquels des marquages à grande visibilité répondant aux prescriptions du paragraphe</w:t>
      </w:r>
      <w:r w:rsidR="00A0421E">
        <w:rPr>
          <w:bCs/>
          <w:lang w:val="fr-FR"/>
        </w:rPr>
        <w:t> </w:t>
      </w:r>
      <w:r w:rsidRPr="006916E4">
        <w:rPr>
          <w:bCs/>
          <w:lang w:val="fr-FR"/>
        </w:rPr>
        <w:t>6.21 sont montés.</w:t>
      </w:r>
      <w:r w:rsidRPr="006916E4">
        <w:rPr>
          <w:lang w:val="fr-FR"/>
        </w:rPr>
        <w:t> ».</w:t>
      </w:r>
    </w:p>
    <w:p w14:paraId="78ADDF36" w14:textId="77777777" w:rsidR="00DB196D" w:rsidRPr="006916E4" w:rsidRDefault="00DB196D" w:rsidP="00DB196D">
      <w:pPr>
        <w:pStyle w:val="SingleTxtG"/>
        <w:keepNext/>
        <w:keepLines/>
        <w:rPr>
          <w:lang w:val="fr-FR"/>
        </w:rPr>
      </w:pPr>
      <w:r w:rsidRPr="006916E4">
        <w:rPr>
          <w:i/>
          <w:lang w:val="fr-FR"/>
        </w:rPr>
        <w:t>Paragraphe 6.15.4.2</w:t>
      </w:r>
      <w:r w:rsidRPr="006916E4">
        <w:rPr>
          <w:lang w:val="fr-FR"/>
        </w:rPr>
        <w:t>, lire :</w:t>
      </w:r>
    </w:p>
    <w:p w14:paraId="415906D0" w14:textId="77777777" w:rsidR="00DB196D" w:rsidRPr="006916E4" w:rsidRDefault="00DB196D" w:rsidP="00B87D6D">
      <w:pPr>
        <w:pStyle w:val="SingleTxtG"/>
        <w:tabs>
          <w:tab w:val="left" w:pos="2268"/>
        </w:tabs>
        <w:ind w:left="4536" w:hanging="3402"/>
        <w:rPr>
          <w:i/>
          <w:lang w:val="fr-FR"/>
        </w:rPr>
      </w:pPr>
      <w:r w:rsidRPr="006916E4">
        <w:rPr>
          <w:lang w:val="fr-FR"/>
        </w:rPr>
        <w:t>« 6.15.4.2</w:t>
      </w:r>
      <w:r w:rsidRPr="006916E4">
        <w:rPr>
          <w:lang w:val="fr-FR"/>
        </w:rPr>
        <w:tab/>
        <w:t>En hauteur :</w:t>
      </w:r>
      <w:r w:rsidRPr="006916E4">
        <w:rPr>
          <w:lang w:val="fr-FR"/>
        </w:rPr>
        <w:tab/>
        <w:t>Entre 400 et 900 mm au-dessus du sol.</w:t>
      </w:r>
    </w:p>
    <w:p w14:paraId="0F673E7F" w14:textId="77777777" w:rsidR="00DB196D" w:rsidRPr="006916E4" w:rsidRDefault="00DB196D" w:rsidP="00DB196D">
      <w:pPr>
        <w:pStyle w:val="SingleTxtG"/>
        <w:ind w:left="4536"/>
        <w:rPr>
          <w:lang w:val="fr-FR"/>
        </w:rPr>
      </w:pPr>
      <w:r w:rsidRPr="006916E4">
        <w:rPr>
          <w:lang w:val="fr-FR"/>
        </w:rPr>
        <w:tab/>
        <w:t xml:space="preserve">La hauteur maximale peut toutefois être portée à </w:t>
      </w:r>
      <w:r w:rsidRPr="006916E4">
        <w:rPr>
          <w:bCs/>
          <w:lang w:val="fr-FR"/>
        </w:rPr>
        <w:t>2 500</w:t>
      </w:r>
      <w:r w:rsidRPr="006916E4">
        <w:rPr>
          <w:b/>
          <w:lang w:val="fr-FR"/>
        </w:rPr>
        <w:t> </w:t>
      </w:r>
      <w:r w:rsidRPr="006916E4">
        <w:rPr>
          <w:lang w:val="fr-FR"/>
        </w:rPr>
        <w:t>mm s</w:t>
      </w:r>
      <w:r>
        <w:rPr>
          <w:lang w:val="fr-FR"/>
        </w:rPr>
        <w:t>’</w:t>
      </w:r>
      <w:r w:rsidRPr="006916E4">
        <w:rPr>
          <w:lang w:val="fr-FR"/>
        </w:rPr>
        <w:t>il n</w:t>
      </w:r>
      <w:r>
        <w:rPr>
          <w:lang w:val="fr-FR"/>
        </w:rPr>
        <w:t>’</w:t>
      </w:r>
      <w:r w:rsidRPr="006916E4">
        <w:rPr>
          <w:lang w:val="fr-FR"/>
        </w:rPr>
        <w:t>est pas possible de respecter la hauteur de 900 mm sans recourir à des dispositifs de fixation susceptibles d</w:t>
      </w:r>
      <w:r>
        <w:rPr>
          <w:lang w:val="fr-FR"/>
        </w:rPr>
        <w:t>’</w:t>
      </w:r>
      <w:r w:rsidRPr="006916E4">
        <w:rPr>
          <w:lang w:val="fr-FR"/>
        </w:rPr>
        <w:t>être facilement endommagés ou faussés. ».</w:t>
      </w:r>
    </w:p>
    <w:p w14:paraId="06D534F4" w14:textId="77777777" w:rsidR="00DB196D" w:rsidRPr="006916E4" w:rsidRDefault="00DB196D" w:rsidP="00DB196D">
      <w:pPr>
        <w:pStyle w:val="SingleTxtG"/>
        <w:keepNext/>
        <w:keepLines/>
        <w:rPr>
          <w:lang w:val="fr-FR"/>
        </w:rPr>
      </w:pPr>
      <w:r w:rsidRPr="006916E4">
        <w:rPr>
          <w:i/>
          <w:lang w:val="fr-FR"/>
        </w:rPr>
        <w:lastRenderedPageBreak/>
        <w:t>Paragraphe 6.15.5</w:t>
      </w:r>
      <w:r w:rsidRPr="006916E4">
        <w:rPr>
          <w:lang w:val="fr-FR"/>
        </w:rPr>
        <w:t>,</w:t>
      </w:r>
      <w:r w:rsidRPr="006916E4">
        <w:rPr>
          <w:i/>
          <w:lang w:val="fr-FR"/>
        </w:rPr>
        <w:t xml:space="preserve"> </w:t>
      </w:r>
      <w:r w:rsidRPr="006916E4">
        <w:rPr>
          <w:lang w:val="fr-FR"/>
        </w:rPr>
        <w:t>lire :</w:t>
      </w:r>
    </w:p>
    <w:p w14:paraId="3C5D2B90" w14:textId="77777777" w:rsidR="00DB196D" w:rsidRPr="006916E4" w:rsidRDefault="00DB196D" w:rsidP="00DB196D">
      <w:pPr>
        <w:pStyle w:val="SingleTxtG"/>
        <w:tabs>
          <w:tab w:val="left" w:pos="2268"/>
          <w:tab w:val="left" w:pos="4536"/>
        </w:tabs>
        <w:ind w:left="4536" w:hanging="3402"/>
        <w:rPr>
          <w:iCs/>
          <w:lang w:val="fr-FR"/>
        </w:rPr>
      </w:pPr>
      <w:r w:rsidRPr="006916E4">
        <w:rPr>
          <w:lang w:val="fr-FR"/>
        </w:rPr>
        <w:t>« </w:t>
      </w:r>
      <w:r w:rsidRPr="006916E4">
        <w:rPr>
          <w:iCs/>
          <w:lang w:val="fr-FR"/>
        </w:rPr>
        <w:t>6.15.5</w:t>
      </w:r>
      <w:r w:rsidRPr="006916E4">
        <w:rPr>
          <w:iCs/>
          <w:lang w:val="fr-FR"/>
        </w:rPr>
        <w:tab/>
        <w:t>Visibilité géométrique :</w:t>
      </w:r>
      <w:r w:rsidRPr="006916E4">
        <w:rPr>
          <w:iCs/>
          <w:lang w:val="fr-FR"/>
        </w:rPr>
        <w:tab/>
      </w:r>
      <w:r w:rsidRPr="006916E4">
        <w:rPr>
          <w:lang w:val="fr-FR"/>
        </w:rPr>
        <w:t>Angles horizontaux : 20° vers l</w:t>
      </w:r>
      <w:r>
        <w:rPr>
          <w:lang w:val="fr-FR"/>
        </w:rPr>
        <w:t>’</w:t>
      </w:r>
      <w:r w:rsidRPr="006916E4">
        <w:rPr>
          <w:lang w:val="fr-FR"/>
        </w:rPr>
        <w:t xml:space="preserve">avant et vers </w:t>
      </w:r>
      <w:r w:rsidRPr="006916E4">
        <w:rPr>
          <w:lang w:val="fr-FR"/>
        </w:rPr>
        <w:tab/>
        <w:t>l</w:t>
      </w:r>
      <w:r>
        <w:rPr>
          <w:lang w:val="fr-FR"/>
        </w:rPr>
        <w:t>’</w:t>
      </w:r>
      <w:r w:rsidRPr="006916E4">
        <w:rPr>
          <w:lang w:val="fr-FR"/>
        </w:rPr>
        <w:t>arrière.</w:t>
      </w:r>
    </w:p>
    <w:p w14:paraId="5D5D129F" w14:textId="77777777" w:rsidR="00DB196D" w:rsidRPr="006916E4" w:rsidRDefault="00DB196D" w:rsidP="00DB196D">
      <w:pPr>
        <w:pStyle w:val="SingleTxtG"/>
        <w:ind w:left="4536"/>
        <w:rPr>
          <w:lang w:val="fr-FR"/>
        </w:rPr>
      </w:pPr>
      <w:r w:rsidRPr="006916E4">
        <w:rPr>
          <w:lang w:val="fr-FR"/>
        </w:rPr>
        <w:tab/>
        <w:t>Angles verticaux : 10° au-dessus et au-dessous de l</w:t>
      </w:r>
      <w:r>
        <w:rPr>
          <w:lang w:val="fr-FR"/>
        </w:rPr>
        <w:t>’</w:t>
      </w:r>
      <w:r w:rsidRPr="006916E4">
        <w:rPr>
          <w:lang w:val="fr-FR"/>
        </w:rPr>
        <w:t>horizontale. L</w:t>
      </w:r>
      <w:r>
        <w:rPr>
          <w:lang w:val="fr-FR"/>
        </w:rPr>
        <w:t>’</w:t>
      </w:r>
      <w:r w:rsidRPr="006916E4">
        <w:rPr>
          <w:lang w:val="fr-FR"/>
        </w:rPr>
        <w:t>angle vertical au-dessous de l</w:t>
      </w:r>
      <w:r>
        <w:rPr>
          <w:lang w:val="fr-FR"/>
        </w:rPr>
        <w:t>’</w:t>
      </w:r>
      <w:r w:rsidRPr="006916E4">
        <w:rPr>
          <w:lang w:val="fr-FR"/>
        </w:rPr>
        <w:t>horizontale peut être abaissé à 5° si la hauteur du catadioptre</w:t>
      </w:r>
      <w:r w:rsidRPr="006916E4">
        <w:rPr>
          <w:bCs/>
          <w:lang w:val="fr-FR"/>
        </w:rPr>
        <w:t xml:space="preserve"> au-dessus du sol</w:t>
      </w:r>
      <w:r w:rsidRPr="006916E4">
        <w:rPr>
          <w:b/>
          <w:lang w:val="fr-FR"/>
        </w:rPr>
        <w:t xml:space="preserve"> </w:t>
      </w:r>
      <w:r w:rsidRPr="006916E4">
        <w:rPr>
          <w:lang w:val="fr-FR"/>
        </w:rPr>
        <w:t>est inférieure à 750 </w:t>
      </w:r>
      <w:proofErr w:type="spellStart"/>
      <w:r w:rsidRPr="006916E4">
        <w:rPr>
          <w:lang w:val="fr-FR"/>
        </w:rPr>
        <w:t>mm.</w:t>
      </w:r>
      <w:proofErr w:type="spellEnd"/>
      <w:r w:rsidRPr="006916E4">
        <w:rPr>
          <w:lang w:val="fr-FR"/>
        </w:rPr>
        <w:t> ».</w:t>
      </w:r>
    </w:p>
    <w:p w14:paraId="56A03966" w14:textId="77777777" w:rsidR="00DB196D" w:rsidRPr="006916E4" w:rsidRDefault="00DB196D" w:rsidP="00DB196D">
      <w:pPr>
        <w:pStyle w:val="SingleTxtG"/>
        <w:keepNext/>
        <w:keepLines/>
        <w:rPr>
          <w:lang w:val="fr-FR"/>
        </w:rPr>
      </w:pPr>
      <w:r w:rsidRPr="006916E4">
        <w:rPr>
          <w:i/>
          <w:lang w:val="fr-FR"/>
        </w:rPr>
        <w:t>Paragraphe 6.15.6</w:t>
      </w:r>
      <w:r w:rsidRPr="006916E4">
        <w:rPr>
          <w:lang w:val="fr-FR"/>
        </w:rPr>
        <w:t>,</w:t>
      </w:r>
      <w:r w:rsidRPr="006916E4">
        <w:rPr>
          <w:i/>
          <w:lang w:val="fr-FR"/>
        </w:rPr>
        <w:t xml:space="preserve"> </w:t>
      </w:r>
      <w:r w:rsidRPr="006916E4">
        <w:rPr>
          <w:lang w:val="fr-FR"/>
        </w:rPr>
        <w:t>lire :</w:t>
      </w:r>
    </w:p>
    <w:p w14:paraId="5BC6DD83" w14:textId="77777777" w:rsidR="00DB196D" w:rsidRPr="006916E4" w:rsidRDefault="00DB196D" w:rsidP="00DB196D">
      <w:pPr>
        <w:pStyle w:val="SingleTxtG"/>
        <w:tabs>
          <w:tab w:val="left" w:pos="2268"/>
          <w:tab w:val="left" w:pos="4536"/>
        </w:tabs>
        <w:ind w:left="4536" w:hanging="3402"/>
        <w:rPr>
          <w:lang w:val="fr-FR"/>
        </w:rPr>
      </w:pPr>
      <w:r w:rsidRPr="006916E4">
        <w:rPr>
          <w:lang w:val="fr-FR"/>
        </w:rPr>
        <w:t>« 6.15.6</w:t>
      </w:r>
      <w:r w:rsidRPr="006916E4">
        <w:rPr>
          <w:lang w:val="fr-FR"/>
        </w:rPr>
        <w:tab/>
        <w:t>Orientation :</w:t>
      </w:r>
      <w:r w:rsidRPr="006916E4">
        <w:rPr>
          <w:lang w:val="fr-FR"/>
        </w:rPr>
        <w:tab/>
      </w:r>
      <w:r w:rsidRPr="006916E4">
        <w:rPr>
          <w:lang w:val="fr-FR"/>
        </w:rPr>
        <w:tab/>
        <w:t xml:space="preserve">Vers le côté. </w:t>
      </w:r>
      <w:r w:rsidRPr="006916E4">
        <w:rPr>
          <w:bCs/>
          <w:lang w:val="fr-FR"/>
        </w:rPr>
        <w:t>Si l</w:t>
      </w:r>
      <w:r>
        <w:rPr>
          <w:bCs/>
          <w:lang w:val="fr-FR"/>
        </w:rPr>
        <w:t>’</w:t>
      </w:r>
      <w:r w:rsidRPr="006916E4">
        <w:rPr>
          <w:bCs/>
          <w:lang w:val="fr-FR"/>
        </w:rPr>
        <w:t>orientation ne change pas, le catadioptre peut pivoter.</w:t>
      </w:r>
      <w:r w:rsidRPr="006916E4">
        <w:rPr>
          <w:lang w:val="fr-FR"/>
        </w:rPr>
        <w:t> ».</w:t>
      </w:r>
    </w:p>
    <w:p w14:paraId="772CD429" w14:textId="77777777" w:rsidR="00DB196D" w:rsidRPr="006916E4" w:rsidRDefault="00DB196D" w:rsidP="00DB196D">
      <w:pPr>
        <w:pStyle w:val="SingleTxtG"/>
        <w:keepNext/>
        <w:keepLines/>
        <w:rPr>
          <w:lang w:val="fr-FR"/>
        </w:rPr>
      </w:pPr>
      <w:r w:rsidRPr="006916E4">
        <w:rPr>
          <w:i/>
          <w:lang w:val="fr-FR"/>
        </w:rPr>
        <w:t>Paragraphe 6.17.1</w:t>
      </w:r>
      <w:r w:rsidRPr="006916E4">
        <w:rPr>
          <w:lang w:val="fr-FR"/>
        </w:rPr>
        <w:t>,</w:t>
      </w:r>
      <w:r w:rsidRPr="006916E4">
        <w:rPr>
          <w:i/>
          <w:lang w:val="fr-FR"/>
        </w:rPr>
        <w:t xml:space="preserve"> </w:t>
      </w:r>
      <w:r w:rsidRPr="006916E4">
        <w:rPr>
          <w:lang w:val="fr-FR"/>
        </w:rPr>
        <w:t>lire :</w:t>
      </w:r>
    </w:p>
    <w:p w14:paraId="0DD4267A" w14:textId="77777777" w:rsidR="00DB196D" w:rsidRPr="006916E4" w:rsidRDefault="00DB196D" w:rsidP="00DB196D">
      <w:pPr>
        <w:pStyle w:val="SingleTxtG"/>
        <w:tabs>
          <w:tab w:val="left" w:pos="2268"/>
        </w:tabs>
        <w:ind w:left="4536" w:hanging="3402"/>
        <w:rPr>
          <w:lang w:val="fr-FR"/>
        </w:rPr>
      </w:pPr>
      <w:r w:rsidRPr="006916E4">
        <w:rPr>
          <w:lang w:val="fr-FR"/>
        </w:rPr>
        <w:t>« 6.17.1</w:t>
      </w:r>
      <w:r w:rsidRPr="006916E4">
        <w:rPr>
          <w:lang w:val="fr-FR"/>
        </w:rPr>
        <w:tab/>
        <w:t>Présence :</w:t>
      </w:r>
      <w:r w:rsidRPr="006916E4">
        <w:rPr>
          <w:lang w:val="fr-FR"/>
        </w:rPr>
        <w:tab/>
      </w:r>
      <w:r w:rsidRPr="006916E4">
        <w:rPr>
          <w:lang w:val="fr-FR"/>
        </w:rPr>
        <w:tab/>
        <w:t>Facultative sur les véhicules de la catégorie T.</w:t>
      </w:r>
    </w:p>
    <w:p w14:paraId="1ED4DA48" w14:textId="77777777" w:rsidR="00DB196D" w:rsidRPr="006916E4" w:rsidRDefault="00DB196D" w:rsidP="00DB196D">
      <w:pPr>
        <w:pStyle w:val="SingleTxtG"/>
        <w:ind w:left="4536"/>
        <w:rPr>
          <w:lang w:val="fr-FR"/>
        </w:rPr>
      </w:pPr>
      <w:r w:rsidRPr="006916E4">
        <w:rPr>
          <w:lang w:val="fr-FR"/>
        </w:rPr>
        <w:tab/>
        <w:t>Obligatoire sur les véhicules des catégories R et S.</w:t>
      </w:r>
    </w:p>
    <w:p w14:paraId="66C6CC54" w14:textId="77777777" w:rsidR="00DB196D" w:rsidRPr="006916E4" w:rsidRDefault="00DB196D" w:rsidP="00DB196D">
      <w:pPr>
        <w:pStyle w:val="SingleTxtG"/>
        <w:ind w:left="4536"/>
        <w:rPr>
          <w:lang w:val="fr-FR"/>
        </w:rPr>
      </w:pPr>
      <w:r w:rsidRPr="006916E4">
        <w:rPr>
          <w:bCs/>
          <w:lang w:val="fr-FR"/>
        </w:rPr>
        <w:tab/>
        <w:t>Facultative sur les véhicules sur lesquels des bandeaux de signalisation conformes aux dispositions du paragraphe 6.26 sont installés.</w:t>
      </w:r>
      <w:r w:rsidRPr="006916E4">
        <w:rPr>
          <w:lang w:val="fr-FR"/>
        </w:rPr>
        <w:t> ».</w:t>
      </w:r>
    </w:p>
    <w:p w14:paraId="739999FD" w14:textId="77777777" w:rsidR="00DB196D" w:rsidRPr="006916E4" w:rsidRDefault="00DB196D" w:rsidP="00DB196D">
      <w:pPr>
        <w:pStyle w:val="SingleTxtG"/>
        <w:keepNext/>
        <w:keepLines/>
        <w:rPr>
          <w:lang w:val="fr-FR"/>
        </w:rPr>
      </w:pPr>
      <w:r w:rsidRPr="006916E4">
        <w:rPr>
          <w:i/>
          <w:lang w:val="fr-FR"/>
        </w:rPr>
        <w:t>Paragraphe 6.17.4.1</w:t>
      </w:r>
      <w:r w:rsidRPr="006916E4">
        <w:rPr>
          <w:lang w:val="fr-FR"/>
        </w:rPr>
        <w:t>,</w:t>
      </w:r>
      <w:r w:rsidRPr="006916E4">
        <w:rPr>
          <w:i/>
          <w:lang w:val="fr-FR"/>
        </w:rPr>
        <w:t xml:space="preserve"> </w:t>
      </w:r>
      <w:r w:rsidRPr="006916E4">
        <w:rPr>
          <w:lang w:val="fr-FR"/>
        </w:rPr>
        <w:t>lire :</w:t>
      </w:r>
    </w:p>
    <w:p w14:paraId="66B57931" w14:textId="77777777" w:rsidR="00DB196D" w:rsidRPr="006916E4" w:rsidRDefault="00DB196D" w:rsidP="00DB196D">
      <w:pPr>
        <w:pStyle w:val="SingleTxtG"/>
        <w:tabs>
          <w:tab w:val="left" w:pos="2268"/>
        </w:tabs>
        <w:ind w:left="4536" w:hanging="3402"/>
        <w:rPr>
          <w:lang w:val="fr-FR"/>
        </w:rPr>
      </w:pPr>
      <w:r w:rsidRPr="006916E4">
        <w:rPr>
          <w:lang w:val="fr-FR"/>
        </w:rPr>
        <w:t>« 6.17.4.1</w:t>
      </w:r>
      <w:r w:rsidRPr="006916E4">
        <w:rPr>
          <w:lang w:val="fr-FR"/>
        </w:rPr>
        <w:tab/>
        <w:t>En largeur :</w:t>
      </w:r>
      <w:r w:rsidRPr="006916E4">
        <w:rPr>
          <w:lang w:val="fr-FR"/>
        </w:rPr>
        <w:tab/>
      </w:r>
      <w:r w:rsidRPr="006916E4">
        <w:rPr>
          <w:lang w:val="fr-FR"/>
        </w:rPr>
        <w:tab/>
        <w:t xml:space="preserve">Le point de la plage éclairante le plus éloigné du </w:t>
      </w:r>
      <w:r w:rsidRPr="006916E4">
        <w:rPr>
          <w:lang w:val="fr-FR"/>
        </w:rPr>
        <w:tab/>
        <w:t xml:space="preserve">plan longitudinal médian du véhicule ne doit pas </w:t>
      </w:r>
      <w:r w:rsidRPr="006916E4">
        <w:rPr>
          <w:lang w:val="fr-FR"/>
        </w:rPr>
        <w:tab/>
        <w:t xml:space="preserve">se trouver à plus de 400 mm </w:t>
      </w:r>
      <w:r w:rsidRPr="006916E4">
        <w:rPr>
          <w:bCs/>
          <w:lang w:val="fr-FR"/>
        </w:rPr>
        <w:t>de l</w:t>
      </w:r>
      <w:r>
        <w:rPr>
          <w:bCs/>
          <w:lang w:val="fr-FR"/>
        </w:rPr>
        <w:t>’</w:t>
      </w:r>
      <w:r w:rsidRPr="006916E4">
        <w:rPr>
          <w:bCs/>
          <w:lang w:val="fr-FR"/>
        </w:rPr>
        <w:t xml:space="preserve">extrémité </w:t>
      </w:r>
      <w:r w:rsidRPr="006916E4">
        <w:rPr>
          <w:bCs/>
          <w:lang w:val="fr-FR"/>
        </w:rPr>
        <w:tab/>
        <w:t>extérieure du véhicule.</w:t>
      </w:r>
      <w:r w:rsidRPr="006916E4">
        <w:rPr>
          <w:lang w:val="fr-FR"/>
        </w:rPr>
        <w:t xml:space="preserve"> </w:t>
      </w:r>
      <w:r w:rsidRPr="006916E4">
        <w:rPr>
          <w:bCs/>
          <w:lang w:val="fr-FR"/>
        </w:rPr>
        <w:t>Sur</w:t>
      </w:r>
      <w:r w:rsidRPr="006916E4">
        <w:rPr>
          <w:lang w:val="fr-FR"/>
        </w:rPr>
        <w:t xml:space="preserve"> les véhicules des catégories R et S</w:t>
      </w:r>
      <w:r w:rsidRPr="006916E4">
        <w:rPr>
          <w:bCs/>
          <w:lang w:val="fr-FR"/>
        </w:rPr>
        <w:t>,</w:t>
      </w:r>
      <w:r w:rsidRPr="006916E4">
        <w:rPr>
          <w:lang w:val="fr-FR"/>
        </w:rPr>
        <w:t xml:space="preserve"> </w:t>
      </w:r>
      <w:r w:rsidRPr="006916E4">
        <w:rPr>
          <w:bCs/>
          <w:lang w:val="fr-FR"/>
        </w:rPr>
        <w:t>cette distance ne doit pas dépasser</w:t>
      </w:r>
      <w:r w:rsidRPr="006916E4">
        <w:rPr>
          <w:lang w:val="fr-FR"/>
        </w:rPr>
        <w:t xml:space="preserve"> 150 </w:t>
      </w:r>
      <w:proofErr w:type="spellStart"/>
      <w:r w:rsidRPr="006916E4">
        <w:rPr>
          <w:lang w:val="fr-FR"/>
        </w:rPr>
        <w:t>mm</w:t>
      </w:r>
      <w:r w:rsidRPr="006916E4">
        <w:rPr>
          <w:bCs/>
          <w:lang w:val="fr-FR"/>
        </w:rPr>
        <w:t>.</w:t>
      </w:r>
      <w:proofErr w:type="spellEnd"/>
    </w:p>
    <w:p w14:paraId="5AF7376C" w14:textId="77777777" w:rsidR="00DB196D" w:rsidRPr="006916E4" w:rsidRDefault="00DB196D" w:rsidP="00DB196D">
      <w:pPr>
        <w:pStyle w:val="SingleTxtG"/>
        <w:ind w:left="4536"/>
        <w:rPr>
          <w:lang w:val="fr-FR"/>
        </w:rPr>
      </w:pPr>
      <w:r w:rsidRPr="006916E4">
        <w:rPr>
          <w:lang w:val="fr-FR"/>
        </w:rPr>
        <w:tab/>
        <w:t>La distance entre les bords intérieurs des deux surfaces apparentes dans la direction des axes de référence ne doit pas être inférieure à 600 </w:t>
      </w:r>
      <w:proofErr w:type="spellStart"/>
      <w:r w:rsidRPr="006916E4">
        <w:rPr>
          <w:lang w:val="fr-FR"/>
        </w:rPr>
        <w:t>mm.</w:t>
      </w:r>
      <w:proofErr w:type="spellEnd"/>
      <w:r w:rsidRPr="006916E4">
        <w:rPr>
          <w:lang w:val="fr-FR"/>
        </w:rPr>
        <w:t xml:space="preserve"> Elle peut être ramenée à 400 mm si la largeur hors tout du véhicule est inférieure à 1 300 </w:t>
      </w:r>
      <w:proofErr w:type="spellStart"/>
      <w:r w:rsidRPr="006916E4">
        <w:rPr>
          <w:lang w:val="fr-FR"/>
        </w:rPr>
        <w:t>mm.</w:t>
      </w:r>
      <w:proofErr w:type="spellEnd"/>
      <w:r w:rsidRPr="006916E4">
        <w:rPr>
          <w:lang w:val="fr-FR"/>
        </w:rPr>
        <w:t> ».</w:t>
      </w:r>
    </w:p>
    <w:p w14:paraId="59161648" w14:textId="77777777" w:rsidR="00DB196D" w:rsidRPr="006916E4" w:rsidRDefault="00DB196D" w:rsidP="00DB196D">
      <w:pPr>
        <w:pStyle w:val="SingleTxtG"/>
        <w:keepNext/>
        <w:keepLines/>
        <w:rPr>
          <w:lang w:val="fr-FR"/>
        </w:rPr>
      </w:pPr>
      <w:r w:rsidRPr="006916E4">
        <w:rPr>
          <w:i/>
          <w:lang w:val="fr-FR"/>
        </w:rPr>
        <w:t>Paragraphe 6.17.4.2</w:t>
      </w:r>
      <w:r w:rsidRPr="006916E4">
        <w:rPr>
          <w:lang w:val="fr-FR"/>
        </w:rPr>
        <w:t>,</w:t>
      </w:r>
      <w:r w:rsidRPr="006916E4">
        <w:rPr>
          <w:i/>
          <w:lang w:val="fr-FR"/>
        </w:rPr>
        <w:t xml:space="preserve"> </w:t>
      </w:r>
      <w:r w:rsidRPr="006916E4">
        <w:rPr>
          <w:lang w:val="fr-FR"/>
        </w:rPr>
        <w:t>modification sans objet en français.</w:t>
      </w:r>
    </w:p>
    <w:p w14:paraId="3F619F26" w14:textId="77777777" w:rsidR="00DB196D" w:rsidRPr="006916E4" w:rsidRDefault="00DB196D" w:rsidP="00DB196D">
      <w:pPr>
        <w:pStyle w:val="SingleTxtG"/>
        <w:keepNext/>
        <w:keepLines/>
        <w:rPr>
          <w:lang w:val="fr-FR"/>
        </w:rPr>
      </w:pPr>
      <w:r w:rsidRPr="006916E4">
        <w:rPr>
          <w:i/>
          <w:lang w:val="fr-FR"/>
        </w:rPr>
        <w:t>Paragraphe 6.18.1</w:t>
      </w:r>
      <w:r w:rsidRPr="006916E4">
        <w:rPr>
          <w:lang w:val="fr-FR"/>
        </w:rPr>
        <w:t>,</w:t>
      </w:r>
      <w:r w:rsidRPr="006916E4">
        <w:rPr>
          <w:i/>
          <w:lang w:val="fr-FR"/>
        </w:rPr>
        <w:t xml:space="preserve"> </w:t>
      </w:r>
      <w:r w:rsidRPr="006916E4">
        <w:rPr>
          <w:lang w:val="fr-FR"/>
        </w:rPr>
        <w:t>lire :</w:t>
      </w:r>
    </w:p>
    <w:p w14:paraId="1F234A3A" w14:textId="77777777" w:rsidR="00DB196D" w:rsidRPr="006916E4" w:rsidRDefault="00DB196D" w:rsidP="00DB196D">
      <w:pPr>
        <w:pStyle w:val="SingleTxtG"/>
        <w:tabs>
          <w:tab w:val="left" w:pos="2268"/>
        </w:tabs>
        <w:ind w:left="4536" w:hanging="3402"/>
        <w:rPr>
          <w:lang w:val="fr-FR"/>
        </w:rPr>
      </w:pPr>
      <w:r w:rsidRPr="006916E4">
        <w:rPr>
          <w:lang w:val="fr-FR"/>
        </w:rPr>
        <w:t>« 6.18.1</w:t>
      </w:r>
      <w:r w:rsidRPr="006916E4">
        <w:rPr>
          <w:lang w:val="fr-FR"/>
        </w:rPr>
        <w:tab/>
        <w:t>Présence :</w:t>
      </w:r>
      <w:r w:rsidRPr="006916E4">
        <w:rPr>
          <w:lang w:val="fr-FR"/>
        </w:rPr>
        <w:tab/>
      </w:r>
      <w:r w:rsidRPr="006916E4">
        <w:rPr>
          <w:lang w:val="fr-FR"/>
        </w:rPr>
        <w:tab/>
        <w:t xml:space="preserve">Obligatoire sur tous les véhicules de </w:t>
      </w:r>
      <w:r w:rsidRPr="006916E4">
        <w:rPr>
          <w:bCs/>
          <w:lang w:val="fr-FR"/>
        </w:rPr>
        <w:t>la</w:t>
      </w:r>
      <w:r w:rsidRPr="006916E4">
        <w:rPr>
          <w:lang w:val="fr-FR"/>
        </w:rPr>
        <w:t xml:space="preserve"> </w:t>
      </w:r>
      <w:r w:rsidRPr="006916E4">
        <w:rPr>
          <w:lang w:val="fr-FR"/>
        </w:rPr>
        <w:tab/>
        <w:t xml:space="preserve">catégorie T dont la longueur dépasse </w:t>
      </w:r>
      <w:r w:rsidRPr="006916E4">
        <w:rPr>
          <w:bCs/>
          <w:lang w:val="fr-FR"/>
        </w:rPr>
        <w:t>4,6</w:t>
      </w:r>
      <w:r w:rsidRPr="006916E4">
        <w:rPr>
          <w:lang w:val="fr-FR"/>
        </w:rPr>
        <w:t xml:space="preserve"> m. </w:t>
      </w:r>
      <w:r w:rsidRPr="006916E4">
        <w:rPr>
          <w:bCs/>
          <w:lang w:val="fr-FR"/>
        </w:rPr>
        <w:t xml:space="preserve">Obligatoire sur tous les véhicules de la </w:t>
      </w:r>
      <w:r w:rsidRPr="006916E4">
        <w:rPr>
          <w:bCs/>
          <w:lang w:val="fr-FR"/>
        </w:rPr>
        <w:tab/>
        <w:t xml:space="preserve">catégorie R dont la somme des charges par </w:t>
      </w:r>
      <w:r w:rsidRPr="006916E4">
        <w:rPr>
          <w:bCs/>
          <w:lang w:val="fr-FR"/>
        </w:rPr>
        <w:tab/>
        <w:t xml:space="preserve">essieu dépasse 3,5 t et dont la longueur </w:t>
      </w:r>
      <w:r w:rsidRPr="006916E4">
        <w:rPr>
          <w:bCs/>
          <w:lang w:val="fr-FR"/>
        </w:rPr>
        <w:tab/>
        <w:t xml:space="preserve">dépasse 4,6 m. Facultative sur tous les autres </w:t>
      </w:r>
      <w:r w:rsidRPr="006916E4">
        <w:rPr>
          <w:bCs/>
          <w:lang w:val="fr-FR"/>
        </w:rPr>
        <w:tab/>
        <w:t>véhi</w:t>
      </w:r>
      <w:r w:rsidRPr="006916E4">
        <w:rPr>
          <w:lang w:val="fr-FR"/>
        </w:rPr>
        <w:t>cules. ».</w:t>
      </w:r>
    </w:p>
    <w:p w14:paraId="27E3493F" w14:textId="77777777" w:rsidR="00DB196D" w:rsidRPr="006916E4" w:rsidRDefault="00DB196D" w:rsidP="00DB196D">
      <w:pPr>
        <w:pStyle w:val="SingleTxtG"/>
        <w:keepNext/>
        <w:keepLines/>
        <w:rPr>
          <w:lang w:val="fr-FR"/>
        </w:rPr>
      </w:pPr>
      <w:r w:rsidRPr="006916E4">
        <w:rPr>
          <w:i/>
          <w:lang w:val="fr-FR"/>
        </w:rPr>
        <w:t>Paragraphe 6.18.4.3</w:t>
      </w:r>
      <w:r w:rsidRPr="006916E4">
        <w:rPr>
          <w:lang w:val="fr-FR"/>
        </w:rPr>
        <w:t>,</w:t>
      </w:r>
      <w:r w:rsidRPr="006916E4">
        <w:rPr>
          <w:i/>
          <w:lang w:val="fr-FR"/>
        </w:rPr>
        <w:t xml:space="preserve"> </w:t>
      </w:r>
      <w:r w:rsidRPr="006916E4">
        <w:rPr>
          <w:lang w:val="fr-FR"/>
        </w:rPr>
        <w:t>lire :</w:t>
      </w:r>
    </w:p>
    <w:p w14:paraId="557DB5E0" w14:textId="77777777" w:rsidR="00DB196D" w:rsidRPr="006916E4" w:rsidRDefault="00DB196D" w:rsidP="00DB196D">
      <w:pPr>
        <w:pStyle w:val="SingleTxtG"/>
        <w:tabs>
          <w:tab w:val="left" w:pos="2268"/>
        </w:tabs>
        <w:ind w:left="4536" w:hanging="3402"/>
        <w:rPr>
          <w:lang w:val="fr-FR"/>
        </w:rPr>
      </w:pPr>
      <w:r w:rsidRPr="006916E4">
        <w:rPr>
          <w:lang w:val="fr-FR"/>
        </w:rPr>
        <w:t>« 6.18.4.3</w:t>
      </w:r>
      <w:r w:rsidRPr="006916E4">
        <w:rPr>
          <w:lang w:val="fr-FR"/>
        </w:rPr>
        <w:tab/>
      </w:r>
      <w:bookmarkStart w:id="3" w:name="_Hlk531681299"/>
      <w:r w:rsidRPr="006916E4">
        <w:rPr>
          <w:lang w:val="fr-FR"/>
        </w:rPr>
        <w:t>En longueur :</w:t>
      </w:r>
      <w:r w:rsidRPr="006916E4">
        <w:rPr>
          <w:lang w:val="fr-FR"/>
        </w:rPr>
        <w:tab/>
      </w:r>
      <w:r w:rsidRPr="006916E4">
        <w:rPr>
          <w:lang w:val="fr-FR"/>
        </w:rPr>
        <w:tab/>
        <w:t xml:space="preserve">Au moins un feu de position latéral dans le tiers </w:t>
      </w:r>
      <w:r w:rsidRPr="006916E4">
        <w:rPr>
          <w:lang w:val="fr-FR"/>
        </w:rPr>
        <w:tab/>
        <w:t xml:space="preserve">médian du véhicule, le feu de position latéral le </w:t>
      </w:r>
      <w:r w:rsidRPr="006916E4">
        <w:rPr>
          <w:lang w:val="fr-FR"/>
        </w:rPr>
        <w:tab/>
        <w:t xml:space="preserve">plus en avant se trouvant au plus à 3 m de </w:t>
      </w:r>
      <w:r w:rsidRPr="006916E4">
        <w:rPr>
          <w:lang w:val="fr-FR"/>
        </w:rPr>
        <w:tab/>
        <w:t>l</w:t>
      </w:r>
      <w:r>
        <w:rPr>
          <w:lang w:val="fr-FR"/>
        </w:rPr>
        <w:t>’</w:t>
      </w:r>
      <w:r w:rsidRPr="006916E4">
        <w:rPr>
          <w:lang w:val="fr-FR"/>
        </w:rPr>
        <w:t xml:space="preserve">avant. Deux feux de position latéraux ne </w:t>
      </w:r>
      <w:r w:rsidRPr="006916E4">
        <w:rPr>
          <w:lang w:val="fr-FR"/>
        </w:rPr>
        <w:tab/>
        <w:t>peuvent être distants de plus de 3 m. Cette distance peut être portée à 4 m si la structure, la conception ou l</w:t>
      </w:r>
      <w:r>
        <w:rPr>
          <w:lang w:val="fr-FR"/>
        </w:rPr>
        <w:t>’</w:t>
      </w:r>
      <w:r w:rsidRPr="006916E4">
        <w:rPr>
          <w:lang w:val="fr-FR"/>
        </w:rPr>
        <w:t>utilisation du véhicule l</w:t>
      </w:r>
      <w:r>
        <w:rPr>
          <w:lang w:val="fr-FR"/>
        </w:rPr>
        <w:t>’</w:t>
      </w:r>
      <w:r w:rsidRPr="006916E4">
        <w:rPr>
          <w:lang w:val="fr-FR"/>
        </w:rPr>
        <w:t>exigent.</w:t>
      </w:r>
    </w:p>
    <w:p w14:paraId="52B730DC" w14:textId="77777777" w:rsidR="00DB196D" w:rsidRPr="006916E4" w:rsidRDefault="00DB196D" w:rsidP="00DB196D">
      <w:pPr>
        <w:pStyle w:val="SingleTxtG"/>
        <w:ind w:left="4536"/>
        <w:rPr>
          <w:lang w:val="fr-FR"/>
        </w:rPr>
      </w:pPr>
      <w:r w:rsidRPr="006916E4">
        <w:rPr>
          <w:lang w:val="fr-FR"/>
        </w:rPr>
        <w:tab/>
        <w:t>Le feu de position latéral le plus en arrière ne doit pas être à plus de 1 m de l</w:t>
      </w:r>
      <w:r>
        <w:rPr>
          <w:lang w:val="fr-FR"/>
        </w:rPr>
        <w:t>’</w:t>
      </w:r>
      <w:r w:rsidRPr="006916E4">
        <w:rPr>
          <w:lang w:val="fr-FR"/>
        </w:rPr>
        <w:t>arrière du véhicule.</w:t>
      </w:r>
    </w:p>
    <w:p w14:paraId="58DA43A2" w14:textId="77777777" w:rsidR="00DB196D" w:rsidRPr="006916E4" w:rsidRDefault="00DB196D" w:rsidP="00612F62">
      <w:pPr>
        <w:pStyle w:val="SingleTxtG"/>
        <w:keepLines/>
        <w:ind w:left="4536"/>
        <w:rPr>
          <w:bCs/>
          <w:lang w:val="fr-FR"/>
        </w:rPr>
      </w:pPr>
      <w:r w:rsidRPr="006916E4">
        <w:rPr>
          <w:lang w:val="fr-FR"/>
        </w:rPr>
        <w:lastRenderedPageBreak/>
        <w:tab/>
        <w:t xml:space="preserve">Toutefois, en ce qui concerne les véhicules dont la longueur </w:t>
      </w:r>
      <w:r w:rsidRPr="006916E4">
        <w:rPr>
          <w:bCs/>
          <w:lang w:val="fr-FR"/>
        </w:rPr>
        <w:t>hors tout</w:t>
      </w:r>
      <w:r w:rsidRPr="006916E4">
        <w:rPr>
          <w:lang w:val="fr-FR"/>
        </w:rPr>
        <w:t xml:space="preserve"> ne dépasse pas 6 m et les châssis-cabines, il suffit de prévoir un feu de position latéral dans le premier tiers ou dans le dernier tiers de la longueur. </w:t>
      </w:r>
      <w:r w:rsidRPr="006916E4">
        <w:rPr>
          <w:bCs/>
          <w:lang w:val="fr-FR"/>
        </w:rPr>
        <w:t>Pour les tracteurs, un feu de position latéral dans le tiers médian du véhicule suffit aussi.</w:t>
      </w:r>
      <w:bookmarkEnd w:id="3"/>
    </w:p>
    <w:p w14:paraId="48618447" w14:textId="77777777" w:rsidR="00DB196D" w:rsidRPr="006916E4" w:rsidRDefault="00DB196D" w:rsidP="00DB196D">
      <w:pPr>
        <w:pStyle w:val="SingleTxtG"/>
        <w:ind w:left="4536"/>
        <w:rPr>
          <w:lang w:val="fr-FR"/>
        </w:rPr>
      </w:pPr>
      <w:bookmarkStart w:id="4" w:name="_Hlk531681455"/>
      <w:r w:rsidRPr="006916E4">
        <w:rPr>
          <w:bCs/>
          <w:lang w:val="fr-FR"/>
        </w:rPr>
        <w:tab/>
        <w:t>Le feu de position latéral peut partager la surface de sortie de la lumière du catadioptre latéral.</w:t>
      </w:r>
      <w:bookmarkEnd w:id="4"/>
      <w:r w:rsidRPr="006916E4">
        <w:rPr>
          <w:lang w:val="fr-FR"/>
        </w:rPr>
        <w:t> ».</w:t>
      </w:r>
    </w:p>
    <w:p w14:paraId="601C7D3F" w14:textId="77777777" w:rsidR="00DB196D" w:rsidRPr="006916E4" w:rsidRDefault="00DB196D" w:rsidP="00DB196D">
      <w:pPr>
        <w:pStyle w:val="SingleTxtG"/>
        <w:keepNext/>
        <w:keepLines/>
        <w:rPr>
          <w:lang w:val="fr-FR"/>
        </w:rPr>
      </w:pPr>
      <w:r w:rsidRPr="006916E4">
        <w:rPr>
          <w:i/>
          <w:lang w:val="fr-FR"/>
        </w:rPr>
        <w:t>Paragraphe 6.18.7</w:t>
      </w:r>
      <w:r w:rsidRPr="006916E4">
        <w:rPr>
          <w:lang w:val="fr-FR"/>
        </w:rPr>
        <w:t>,</w:t>
      </w:r>
      <w:r w:rsidRPr="006916E4">
        <w:rPr>
          <w:i/>
          <w:lang w:val="fr-FR"/>
        </w:rPr>
        <w:t xml:space="preserve"> </w:t>
      </w:r>
      <w:r w:rsidRPr="006916E4">
        <w:rPr>
          <w:lang w:val="fr-FR"/>
        </w:rPr>
        <w:t>lire :</w:t>
      </w:r>
    </w:p>
    <w:p w14:paraId="3FFDB17A" w14:textId="47531737" w:rsidR="00DB196D" w:rsidRPr="006916E4" w:rsidRDefault="00DB196D" w:rsidP="00DB196D">
      <w:pPr>
        <w:pStyle w:val="SingleTxtG"/>
        <w:tabs>
          <w:tab w:val="left" w:pos="2268"/>
        </w:tabs>
        <w:ind w:left="4536" w:hanging="3402"/>
        <w:rPr>
          <w:lang w:val="fr-FR"/>
        </w:rPr>
      </w:pPr>
      <w:r w:rsidRPr="006916E4">
        <w:rPr>
          <w:lang w:val="fr-FR"/>
        </w:rPr>
        <w:t>« 6.18.7</w:t>
      </w:r>
      <w:r w:rsidRPr="006916E4">
        <w:rPr>
          <w:lang w:val="fr-FR"/>
        </w:rPr>
        <w:tab/>
        <w:t>Branchements électriques :</w:t>
      </w:r>
      <w:r w:rsidRPr="006916E4">
        <w:rPr>
          <w:lang w:val="fr-FR"/>
        </w:rPr>
        <w:tab/>
      </w:r>
      <w:r w:rsidRPr="006916E4">
        <w:rPr>
          <w:lang w:val="fr-FR"/>
        </w:rPr>
        <w:tab/>
        <w:t>À l</w:t>
      </w:r>
      <w:r>
        <w:rPr>
          <w:lang w:val="fr-FR"/>
        </w:rPr>
        <w:t>’</w:t>
      </w:r>
      <w:r w:rsidRPr="006916E4">
        <w:rPr>
          <w:lang w:val="fr-FR"/>
        </w:rPr>
        <w:t>exception des situations décrites dans le paragraphe</w:t>
      </w:r>
      <w:r w:rsidR="00A334DB">
        <w:rPr>
          <w:lang w:val="fr-FR"/>
        </w:rPr>
        <w:t> </w:t>
      </w:r>
      <w:r w:rsidRPr="006916E4">
        <w:rPr>
          <w:lang w:val="fr-FR"/>
        </w:rPr>
        <w:t>5.11, sur les véhicules de catégorie</w:t>
      </w:r>
      <w:r w:rsidR="00A334DB">
        <w:rPr>
          <w:lang w:val="fr-FR"/>
        </w:rPr>
        <w:t> </w:t>
      </w:r>
      <w:r w:rsidRPr="006916E4">
        <w:rPr>
          <w:lang w:val="fr-FR"/>
        </w:rPr>
        <w:t>T, sur lesquels il est obligatoire d</w:t>
      </w:r>
      <w:r>
        <w:rPr>
          <w:lang w:val="fr-FR"/>
        </w:rPr>
        <w:t>’</w:t>
      </w:r>
      <w:r w:rsidRPr="006916E4">
        <w:rPr>
          <w:lang w:val="fr-FR"/>
        </w:rPr>
        <w:t>installer des feux de position latéraux, ces derniers peuvent être montés de façon à clignoter, à condition qu</w:t>
      </w:r>
      <w:r>
        <w:rPr>
          <w:lang w:val="fr-FR"/>
        </w:rPr>
        <w:t>’</w:t>
      </w:r>
      <w:r w:rsidRPr="006916E4">
        <w:rPr>
          <w:lang w:val="fr-FR"/>
        </w:rPr>
        <w:t>ils clignotent en phase avec les feux indicateurs de direction situés du même côté du véhicule et à la même fréquence qu</w:t>
      </w:r>
      <w:r>
        <w:rPr>
          <w:lang w:val="fr-FR"/>
        </w:rPr>
        <w:t>’</w:t>
      </w:r>
      <w:r w:rsidRPr="006916E4">
        <w:rPr>
          <w:lang w:val="fr-FR"/>
        </w:rPr>
        <w:t>eux. ».</w:t>
      </w:r>
    </w:p>
    <w:p w14:paraId="028E7C20" w14:textId="77777777" w:rsidR="00DB196D" w:rsidRPr="006916E4" w:rsidRDefault="00DB196D" w:rsidP="00DB196D">
      <w:pPr>
        <w:pStyle w:val="SingleTxtG"/>
        <w:keepNext/>
        <w:keepLines/>
        <w:rPr>
          <w:lang w:val="fr-FR"/>
        </w:rPr>
      </w:pPr>
      <w:r w:rsidRPr="006916E4">
        <w:rPr>
          <w:i/>
          <w:lang w:val="fr-FR"/>
        </w:rPr>
        <w:t>Paragraphe 6.25.4.2</w:t>
      </w:r>
      <w:r w:rsidRPr="006916E4">
        <w:rPr>
          <w:lang w:val="fr-FR"/>
        </w:rPr>
        <w:t>,</w:t>
      </w:r>
      <w:r w:rsidRPr="006916E4">
        <w:rPr>
          <w:i/>
          <w:lang w:val="fr-FR"/>
        </w:rPr>
        <w:t xml:space="preserve"> </w:t>
      </w:r>
      <w:r w:rsidRPr="006916E4">
        <w:rPr>
          <w:lang w:val="fr-FR"/>
        </w:rPr>
        <w:t>lire :</w:t>
      </w:r>
    </w:p>
    <w:p w14:paraId="2F3C9332" w14:textId="60FBB034" w:rsidR="00DB196D" w:rsidRPr="006916E4" w:rsidRDefault="00DB196D" w:rsidP="00DB196D">
      <w:pPr>
        <w:pStyle w:val="SingleTxtG"/>
        <w:tabs>
          <w:tab w:val="left" w:pos="2268"/>
        </w:tabs>
        <w:ind w:left="4536" w:hanging="3402"/>
        <w:rPr>
          <w:lang w:val="fr-FR"/>
        </w:rPr>
      </w:pPr>
      <w:r w:rsidRPr="006916E4">
        <w:rPr>
          <w:lang w:val="fr-FR"/>
        </w:rPr>
        <w:t>« 6.25.4.2</w:t>
      </w:r>
      <w:r w:rsidRPr="006916E4">
        <w:rPr>
          <w:lang w:val="fr-FR"/>
        </w:rPr>
        <w:tab/>
        <w:t>En hauteur :</w:t>
      </w:r>
      <w:r w:rsidRPr="006916E4">
        <w:rPr>
          <w:lang w:val="fr-FR"/>
        </w:rPr>
        <w:tab/>
        <w:t>Sous réserve des dispositions du paragraphe 6.25.5.1, entre 400 et 1</w:t>
      </w:r>
      <w:r w:rsidR="00C01899">
        <w:rPr>
          <w:lang w:val="fr-FR"/>
        </w:rPr>
        <w:t> </w:t>
      </w:r>
      <w:r w:rsidRPr="006916E4">
        <w:rPr>
          <w:lang w:val="fr-FR"/>
        </w:rPr>
        <w:t>500</w:t>
      </w:r>
      <w:r w:rsidR="00C01899">
        <w:rPr>
          <w:lang w:val="fr-FR"/>
        </w:rPr>
        <w:t> </w:t>
      </w:r>
      <w:r w:rsidRPr="006916E4">
        <w:rPr>
          <w:lang w:val="fr-FR"/>
        </w:rPr>
        <w:t>mm au</w:t>
      </w:r>
      <w:r w:rsidRPr="006916E4">
        <w:rPr>
          <w:lang w:val="fr-FR"/>
        </w:rPr>
        <w:noBreakHyphen/>
        <w:t>dessus du sol.</w:t>
      </w:r>
    </w:p>
    <w:p w14:paraId="41E7A827" w14:textId="184B0B92" w:rsidR="00DB196D" w:rsidRPr="006916E4" w:rsidRDefault="00DB196D" w:rsidP="00DB196D">
      <w:pPr>
        <w:pStyle w:val="SingleTxtG"/>
        <w:ind w:left="4536"/>
        <w:rPr>
          <w:lang w:val="fr-FR"/>
        </w:rPr>
      </w:pPr>
      <w:r w:rsidRPr="006916E4">
        <w:rPr>
          <w:lang w:val="fr-FR"/>
        </w:rPr>
        <w:tab/>
        <w:t xml:space="preserve">Sur les véhicules dont la largeur maximale </w:t>
      </w:r>
      <w:r w:rsidRPr="006916E4">
        <w:rPr>
          <w:bCs/>
          <w:lang w:val="fr-FR"/>
        </w:rPr>
        <w:t>hors tout</w:t>
      </w:r>
      <w:r w:rsidRPr="006916E4">
        <w:rPr>
          <w:lang w:val="fr-FR"/>
        </w:rPr>
        <w:t xml:space="preserve"> ne dépasse pas 1</w:t>
      </w:r>
      <w:r w:rsidR="00C01899">
        <w:rPr>
          <w:lang w:val="fr-FR"/>
        </w:rPr>
        <w:t> </w:t>
      </w:r>
      <w:r w:rsidRPr="006916E4">
        <w:rPr>
          <w:lang w:val="fr-FR"/>
        </w:rPr>
        <w:t>300</w:t>
      </w:r>
      <w:r w:rsidR="00C01899">
        <w:rPr>
          <w:lang w:val="fr-FR"/>
        </w:rPr>
        <w:t> </w:t>
      </w:r>
      <w:r w:rsidRPr="006916E4">
        <w:rPr>
          <w:lang w:val="fr-FR"/>
        </w:rPr>
        <w:t>mm, au minimum 250 mm au-dessus du sol. ».</w:t>
      </w:r>
    </w:p>
    <w:p w14:paraId="6F2AB97B" w14:textId="77777777" w:rsidR="00DB196D" w:rsidRPr="006916E4" w:rsidRDefault="00DB196D" w:rsidP="00DB196D">
      <w:pPr>
        <w:pStyle w:val="SingleTxtG"/>
        <w:keepNext/>
        <w:keepLines/>
        <w:rPr>
          <w:lang w:val="fr-FR"/>
        </w:rPr>
      </w:pPr>
      <w:r w:rsidRPr="006916E4">
        <w:rPr>
          <w:i/>
          <w:lang w:val="fr-FR"/>
        </w:rPr>
        <w:t>Paragraphe 6.26.1</w:t>
      </w:r>
      <w:r w:rsidRPr="006916E4">
        <w:rPr>
          <w:lang w:val="fr-FR"/>
        </w:rPr>
        <w:t>,</w:t>
      </w:r>
      <w:r w:rsidRPr="006916E4">
        <w:rPr>
          <w:i/>
          <w:lang w:val="fr-FR"/>
        </w:rPr>
        <w:t xml:space="preserve"> </w:t>
      </w:r>
      <w:r w:rsidRPr="006916E4">
        <w:rPr>
          <w:lang w:val="fr-FR"/>
        </w:rPr>
        <w:t>lire :</w:t>
      </w:r>
    </w:p>
    <w:p w14:paraId="551A914D" w14:textId="12D6F039" w:rsidR="00DB196D" w:rsidRPr="006916E4" w:rsidRDefault="00DB196D" w:rsidP="00DB196D">
      <w:pPr>
        <w:pStyle w:val="SingleTxtG"/>
        <w:tabs>
          <w:tab w:val="left" w:pos="2268"/>
        </w:tabs>
        <w:ind w:left="4536" w:hanging="3402"/>
        <w:rPr>
          <w:bCs/>
          <w:lang w:val="fr-FR"/>
        </w:rPr>
      </w:pPr>
      <w:r w:rsidRPr="006916E4">
        <w:rPr>
          <w:lang w:val="fr-FR"/>
        </w:rPr>
        <w:t>« 6.26.1</w:t>
      </w:r>
      <w:r w:rsidRPr="006916E4">
        <w:rPr>
          <w:lang w:val="fr-FR"/>
        </w:rPr>
        <w:tab/>
        <w:t>Présence :</w:t>
      </w:r>
      <w:r w:rsidRPr="006916E4">
        <w:rPr>
          <w:lang w:val="fr-FR"/>
        </w:rPr>
        <w:tab/>
      </w:r>
      <w:bookmarkStart w:id="5" w:name="_Hlk32334411"/>
      <w:r w:rsidRPr="006916E4">
        <w:rPr>
          <w:bCs/>
          <w:lang w:val="fr-FR"/>
        </w:rPr>
        <w:t>Marquage</w:t>
      </w:r>
      <w:bookmarkEnd w:id="5"/>
      <w:r w:rsidRPr="006916E4">
        <w:rPr>
          <w:bCs/>
          <w:lang w:val="fr-FR"/>
        </w:rPr>
        <w:t xml:space="preserve"> </w:t>
      </w:r>
      <w:bookmarkStart w:id="6" w:name="_Hlk32334421"/>
      <w:bookmarkStart w:id="7" w:name="_Hlk32480696"/>
      <w:r w:rsidRPr="006916E4">
        <w:rPr>
          <w:bCs/>
          <w:lang w:val="fr-FR"/>
        </w:rPr>
        <w:t>avec des bandeaux de la classe</w:t>
      </w:r>
      <w:r w:rsidR="00C01899">
        <w:rPr>
          <w:bCs/>
          <w:lang w:val="fr-FR"/>
        </w:rPr>
        <w:t> </w:t>
      </w:r>
      <w:r w:rsidRPr="006916E4">
        <w:rPr>
          <w:bCs/>
          <w:lang w:val="fr-FR"/>
        </w:rPr>
        <w:t>5 ou de la classe</w:t>
      </w:r>
      <w:r w:rsidR="00C01899">
        <w:rPr>
          <w:bCs/>
          <w:lang w:val="fr-FR"/>
        </w:rPr>
        <w:t> </w:t>
      </w:r>
      <w:r w:rsidRPr="006916E4">
        <w:rPr>
          <w:bCs/>
          <w:lang w:val="fr-FR"/>
        </w:rPr>
        <w:t>F</w:t>
      </w:r>
      <w:bookmarkEnd w:id="6"/>
      <w:bookmarkEnd w:id="7"/>
      <w:r w:rsidRPr="006916E4">
        <w:rPr>
          <w:bCs/>
          <w:lang w:val="fr-FR"/>
        </w:rPr>
        <w:t xml:space="preserve"> obligatoire sur les véhicules dont la largeur hors tout dépasse 2 550 </w:t>
      </w:r>
      <w:proofErr w:type="spellStart"/>
      <w:r w:rsidRPr="006916E4">
        <w:rPr>
          <w:bCs/>
          <w:lang w:val="fr-FR"/>
        </w:rPr>
        <w:t>mm.</w:t>
      </w:r>
      <w:proofErr w:type="spellEnd"/>
    </w:p>
    <w:p w14:paraId="77452D48" w14:textId="77777777" w:rsidR="00DB196D" w:rsidRPr="006916E4" w:rsidRDefault="00DB196D" w:rsidP="00DB196D">
      <w:pPr>
        <w:pStyle w:val="SingleTxtG"/>
        <w:ind w:left="4536"/>
        <w:rPr>
          <w:lang w:val="fr-FR"/>
        </w:rPr>
      </w:pPr>
      <w:r w:rsidRPr="006916E4">
        <w:rPr>
          <w:lang w:val="fr-FR"/>
        </w:rPr>
        <w:tab/>
        <w:t xml:space="preserve">Facultative sur les véhicules dont la largeur </w:t>
      </w:r>
      <w:r w:rsidRPr="006916E4">
        <w:rPr>
          <w:bCs/>
          <w:lang w:val="fr-FR"/>
        </w:rPr>
        <w:t>hors tout</w:t>
      </w:r>
      <w:r w:rsidRPr="006916E4">
        <w:rPr>
          <w:lang w:val="fr-FR"/>
        </w:rPr>
        <w:t xml:space="preserve"> ne dépasse pas 2 550 </w:t>
      </w:r>
      <w:proofErr w:type="spellStart"/>
      <w:r w:rsidRPr="006916E4">
        <w:rPr>
          <w:lang w:val="fr-FR"/>
        </w:rPr>
        <w:t>mm.</w:t>
      </w:r>
      <w:proofErr w:type="spellEnd"/>
      <w:r w:rsidRPr="006916E4">
        <w:rPr>
          <w:lang w:val="fr-FR"/>
        </w:rPr>
        <w:t> ».</w:t>
      </w:r>
    </w:p>
    <w:p w14:paraId="33E71C17" w14:textId="77777777" w:rsidR="00DB196D" w:rsidRPr="006916E4" w:rsidRDefault="00DB196D" w:rsidP="00DB196D">
      <w:pPr>
        <w:pStyle w:val="SingleTxtG"/>
        <w:keepNext/>
        <w:keepLines/>
        <w:rPr>
          <w:lang w:val="fr-FR"/>
        </w:rPr>
      </w:pPr>
      <w:r w:rsidRPr="006916E4">
        <w:rPr>
          <w:i/>
          <w:lang w:val="fr-FR"/>
        </w:rPr>
        <w:t>Paragraphe 6.26.3</w:t>
      </w:r>
      <w:r w:rsidRPr="006916E4">
        <w:rPr>
          <w:lang w:val="fr-FR"/>
        </w:rPr>
        <w:t>,</w:t>
      </w:r>
      <w:r w:rsidRPr="006916E4">
        <w:rPr>
          <w:i/>
          <w:lang w:val="fr-FR"/>
        </w:rPr>
        <w:t xml:space="preserve"> </w:t>
      </w:r>
      <w:r w:rsidRPr="006916E4">
        <w:rPr>
          <w:lang w:val="fr-FR"/>
        </w:rPr>
        <w:t>lire :</w:t>
      </w:r>
    </w:p>
    <w:p w14:paraId="442D7ECA" w14:textId="72F4B768" w:rsidR="00DB196D" w:rsidRPr="006916E4" w:rsidRDefault="00DB196D" w:rsidP="00DB196D">
      <w:pPr>
        <w:pStyle w:val="SingleTxtG"/>
        <w:tabs>
          <w:tab w:val="left" w:pos="2268"/>
        </w:tabs>
        <w:ind w:left="4536" w:hanging="3402"/>
        <w:rPr>
          <w:lang w:val="fr-FR"/>
        </w:rPr>
      </w:pPr>
      <w:r w:rsidRPr="006916E4">
        <w:rPr>
          <w:lang w:val="fr-FR"/>
        </w:rPr>
        <w:t>« 6.26.3</w:t>
      </w:r>
      <w:r w:rsidRPr="006916E4">
        <w:rPr>
          <w:lang w:val="fr-FR"/>
        </w:rPr>
        <w:tab/>
        <w:t>Orientation :</w:t>
      </w:r>
      <w:r w:rsidRPr="006916E4">
        <w:rPr>
          <w:lang w:val="fr-FR"/>
        </w:rPr>
        <w:tab/>
      </w:r>
      <w:r w:rsidRPr="006916E4">
        <w:rPr>
          <w:bCs/>
          <w:lang w:val="fr-FR"/>
        </w:rPr>
        <w:t>Marquage avec des bandeaux de la classe</w:t>
      </w:r>
      <w:r w:rsidR="00C01899">
        <w:rPr>
          <w:bCs/>
          <w:lang w:val="fr-FR"/>
        </w:rPr>
        <w:t> </w:t>
      </w:r>
      <w:r w:rsidRPr="006916E4">
        <w:rPr>
          <w:bCs/>
          <w:lang w:val="fr-FR"/>
        </w:rPr>
        <w:t>5 ou de la classe</w:t>
      </w:r>
      <w:r w:rsidR="00C01899">
        <w:rPr>
          <w:bCs/>
          <w:lang w:val="fr-FR"/>
        </w:rPr>
        <w:t> </w:t>
      </w:r>
      <w:r w:rsidRPr="006916E4">
        <w:rPr>
          <w:bCs/>
          <w:lang w:val="fr-FR"/>
        </w:rPr>
        <w:t>F conformément aux prescription</w:t>
      </w:r>
      <w:r w:rsidRPr="006916E4">
        <w:rPr>
          <w:lang w:val="fr-FR"/>
        </w:rPr>
        <w:t>s de l</w:t>
      </w:r>
      <w:r>
        <w:rPr>
          <w:lang w:val="fr-FR"/>
        </w:rPr>
        <w:t>’</w:t>
      </w:r>
      <w:r w:rsidRPr="006916E4">
        <w:rPr>
          <w:lang w:val="fr-FR"/>
        </w:rPr>
        <w:t>annexe</w:t>
      </w:r>
      <w:r w:rsidR="00C01899">
        <w:rPr>
          <w:bCs/>
          <w:lang w:val="fr-FR"/>
        </w:rPr>
        <w:t> </w:t>
      </w:r>
      <w:r w:rsidRPr="006916E4">
        <w:rPr>
          <w:lang w:val="fr-FR"/>
        </w:rPr>
        <w:t>6. ».</w:t>
      </w:r>
    </w:p>
    <w:p w14:paraId="2065DC75" w14:textId="77777777" w:rsidR="00DB196D" w:rsidRPr="006916E4" w:rsidRDefault="00DB196D" w:rsidP="00DB196D">
      <w:pPr>
        <w:keepNext/>
        <w:tabs>
          <w:tab w:val="left" w:pos="-1242"/>
          <w:tab w:val="left" w:pos="-720"/>
        </w:tabs>
        <w:kinsoku/>
        <w:overflowPunct/>
        <w:autoSpaceDE/>
        <w:autoSpaceDN/>
        <w:adjustRightInd/>
        <w:snapToGrid/>
        <w:spacing w:before="120" w:after="120"/>
        <w:ind w:left="1134" w:right="1134"/>
        <w:jc w:val="both"/>
        <w:rPr>
          <w:rFonts w:eastAsia="Times New Roman"/>
          <w:i/>
          <w:lang w:val="fr-FR"/>
        </w:rPr>
      </w:pPr>
      <w:r w:rsidRPr="006916E4">
        <w:rPr>
          <w:rFonts w:eastAsia="Times New Roman"/>
          <w:i/>
          <w:lang w:val="fr-FR"/>
        </w:rPr>
        <w:t>Paragraphe 12</w:t>
      </w:r>
      <w:r w:rsidRPr="006916E4">
        <w:rPr>
          <w:rFonts w:eastAsia="Times New Roman"/>
          <w:iCs/>
          <w:lang w:val="fr-FR"/>
        </w:rPr>
        <w:t>, lire :</w:t>
      </w:r>
    </w:p>
    <w:p w14:paraId="7EC73C82" w14:textId="1E0C2187" w:rsidR="00DB196D" w:rsidRPr="006916E4" w:rsidRDefault="00DB196D" w:rsidP="00FC78B6">
      <w:pPr>
        <w:keepNext/>
        <w:kinsoku/>
        <w:overflowPunct/>
        <w:autoSpaceDE/>
        <w:autoSpaceDN/>
        <w:adjustRightInd/>
        <w:snapToGrid/>
        <w:spacing w:after="120"/>
        <w:ind w:left="2268" w:right="1134" w:hanging="1134"/>
        <w:outlineLvl w:val="0"/>
        <w:rPr>
          <w:rFonts w:eastAsia="Times New Roman"/>
          <w:lang w:val="fr-FR"/>
        </w:rPr>
      </w:pPr>
      <w:r w:rsidRPr="006916E4">
        <w:rPr>
          <w:rFonts w:eastAsia="Times New Roman"/>
          <w:lang w:val="fr-FR"/>
        </w:rPr>
        <w:t>« 12.1</w:t>
      </w:r>
      <w:r w:rsidRPr="006916E4">
        <w:rPr>
          <w:rFonts w:eastAsia="Times New Roman"/>
          <w:lang w:val="fr-FR"/>
        </w:rPr>
        <w:tab/>
        <w:t>Pour la série 01 d</w:t>
      </w:r>
      <w:r>
        <w:rPr>
          <w:rFonts w:eastAsia="Times New Roman"/>
          <w:lang w:val="fr-FR"/>
        </w:rPr>
        <w:t>’</w:t>
      </w:r>
      <w:r w:rsidRPr="006916E4">
        <w:rPr>
          <w:rFonts w:eastAsia="Times New Roman"/>
          <w:lang w:val="fr-FR"/>
        </w:rPr>
        <w:t>amendements</w:t>
      </w:r>
    </w:p>
    <w:p w14:paraId="3C69366C" w14:textId="0198F876"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12.1.1</w:t>
      </w:r>
      <w:r w:rsidRPr="006916E4">
        <w:rPr>
          <w:rFonts w:eastAsia="Times New Roman"/>
          <w:lang w:val="fr-FR"/>
        </w:rPr>
        <w:tab/>
      </w:r>
      <w:bookmarkStart w:id="8" w:name="_Hlk64396676"/>
      <w:r w:rsidRPr="006916E4">
        <w:rPr>
          <w:lang w:val="fr-FR"/>
        </w:rPr>
        <w:t>À compter de la date officielle d</w:t>
      </w:r>
      <w:r>
        <w:rPr>
          <w:lang w:val="fr-FR"/>
        </w:rPr>
        <w:t>’</w:t>
      </w:r>
      <w:r w:rsidRPr="006916E4">
        <w:rPr>
          <w:lang w:val="fr-FR"/>
        </w:rPr>
        <w:t>entrée en vigueur de la série 01 d</w:t>
      </w:r>
      <w:r>
        <w:rPr>
          <w:lang w:val="fr-FR"/>
        </w:rPr>
        <w:t>’</w:t>
      </w:r>
      <w:r w:rsidRPr="006916E4">
        <w:rPr>
          <w:lang w:val="fr-FR"/>
        </w:rPr>
        <w:t>amendements, aucune Partie contractante appliquant le présent Règlement ne pourra refuser d</w:t>
      </w:r>
      <w:r>
        <w:rPr>
          <w:lang w:val="fr-FR"/>
        </w:rPr>
        <w:t>’</w:t>
      </w:r>
      <w:r w:rsidRPr="006916E4">
        <w:rPr>
          <w:lang w:val="fr-FR"/>
        </w:rPr>
        <w:t>accorder ou d</w:t>
      </w:r>
      <w:r>
        <w:rPr>
          <w:lang w:val="fr-FR"/>
        </w:rPr>
        <w:t>’</w:t>
      </w:r>
      <w:r w:rsidRPr="006916E4">
        <w:rPr>
          <w:lang w:val="fr-FR"/>
        </w:rPr>
        <w:t>accepter une homologation de type en vertu dudit Règlement tel que modifié par ladite série</w:t>
      </w:r>
      <w:r w:rsidR="004F2C5C">
        <w:rPr>
          <w:lang w:val="fr-FR"/>
        </w:rPr>
        <w:t> ;</w:t>
      </w:r>
    </w:p>
    <w:p w14:paraId="2B5995FE" w14:textId="406D0835"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12.1.2</w:t>
      </w:r>
      <w:r w:rsidRPr="006916E4">
        <w:rPr>
          <w:rFonts w:eastAsia="Times New Roman"/>
          <w:lang w:val="fr-FR"/>
        </w:rPr>
        <w:tab/>
      </w:r>
      <w:r w:rsidRPr="006916E4">
        <w:rPr>
          <w:lang w:val="fr-FR"/>
        </w:rPr>
        <w:t>Passé un délai de 24 mois après la date d</w:t>
      </w:r>
      <w:r>
        <w:rPr>
          <w:lang w:val="fr-FR"/>
        </w:rPr>
        <w:t>’</w:t>
      </w:r>
      <w:r w:rsidRPr="006916E4">
        <w:rPr>
          <w:lang w:val="fr-FR"/>
        </w:rPr>
        <w:t>entrée en vigueur de la série</w:t>
      </w:r>
      <w:r w:rsidR="00FC78B6">
        <w:rPr>
          <w:lang w:val="fr-FR"/>
        </w:rPr>
        <w:t> </w:t>
      </w:r>
      <w:r w:rsidRPr="006916E4">
        <w:rPr>
          <w:lang w:val="fr-FR"/>
        </w:rPr>
        <w:t>01 d</w:t>
      </w:r>
      <w:r>
        <w:rPr>
          <w:lang w:val="fr-FR"/>
        </w:rPr>
        <w:t>’</w:t>
      </w:r>
      <w:r w:rsidRPr="006916E4">
        <w:rPr>
          <w:lang w:val="fr-FR"/>
        </w:rPr>
        <w:t>amendements, les Parties contractantes appliquant le présent Règlement ne pourront accorder d</w:t>
      </w:r>
      <w:r>
        <w:rPr>
          <w:lang w:val="fr-FR"/>
        </w:rPr>
        <w:t>’</w:t>
      </w:r>
      <w:r w:rsidRPr="006916E4">
        <w:rPr>
          <w:lang w:val="fr-FR"/>
        </w:rPr>
        <w:t>homologation de type que si le type de véhicule à homologuer satisfait aux prescriptions dudit Règlement tel que modifié par ladite série</w:t>
      </w:r>
      <w:r w:rsidR="004F2C5C">
        <w:rPr>
          <w:lang w:val="fr-FR"/>
        </w:rPr>
        <w:t> ;</w:t>
      </w:r>
    </w:p>
    <w:p w14:paraId="26DBF310" w14:textId="7EAC1F45"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12.1.3</w:t>
      </w:r>
      <w:r w:rsidRPr="006916E4">
        <w:rPr>
          <w:rFonts w:eastAsia="Times New Roman"/>
          <w:lang w:val="fr-FR"/>
        </w:rPr>
        <w:tab/>
      </w:r>
      <w:r w:rsidRPr="006916E4">
        <w:rPr>
          <w:lang w:val="fr-FR"/>
        </w:rPr>
        <w:t>Les Parties contractantes appliquant le présent Règlement ne pourront refuser d</w:t>
      </w:r>
      <w:r>
        <w:rPr>
          <w:lang w:val="fr-FR"/>
        </w:rPr>
        <w:t>’</w:t>
      </w:r>
      <w:r w:rsidRPr="006916E4">
        <w:rPr>
          <w:lang w:val="fr-FR"/>
        </w:rPr>
        <w:t>accorder des extensions pour les homologations de types existants délivrées en vertu de la précédente série d</w:t>
      </w:r>
      <w:r>
        <w:rPr>
          <w:lang w:val="fr-FR"/>
        </w:rPr>
        <w:t>’</w:t>
      </w:r>
      <w:r w:rsidRPr="006916E4">
        <w:rPr>
          <w:lang w:val="fr-FR"/>
        </w:rPr>
        <w:t>amendements audit Règlement</w:t>
      </w:r>
      <w:r w:rsidR="004F2C5C">
        <w:rPr>
          <w:lang w:val="fr-FR"/>
        </w:rPr>
        <w:t> ;</w:t>
      </w:r>
    </w:p>
    <w:p w14:paraId="5F0872B8" w14:textId="351E3FD0" w:rsidR="00DB196D" w:rsidRPr="006916E4" w:rsidRDefault="00DB196D" w:rsidP="00FC78B6">
      <w:pPr>
        <w:keepLines/>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lastRenderedPageBreak/>
        <w:t>12.1.4</w:t>
      </w:r>
      <w:r w:rsidRPr="006916E4">
        <w:rPr>
          <w:rFonts w:eastAsia="Times New Roman"/>
          <w:lang w:val="fr-FR"/>
        </w:rPr>
        <w:tab/>
      </w:r>
      <w:r w:rsidRPr="006916E4">
        <w:rPr>
          <w:lang w:val="fr-FR"/>
        </w:rPr>
        <w:t>Pendant les 24 mois suivant la date d</w:t>
      </w:r>
      <w:r>
        <w:rPr>
          <w:lang w:val="fr-FR"/>
        </w:rPr>
        <w:t>’</w:t>
      </w:r>
      <w:r w:rsidRPr="006916E4">
        <w:rPr>
          <w:lang w:val="fr-FR"/>
        </w:rPr>
        <w:t>entrée en vigueur de la série</w:t>
      </w:r>
      <w:r w:rsidR="00FC78B6">
        <w:rPr>
          <w:lang w:val="fr-FR"/>
        </w:rPr>
        <w:t> </w:t>
      </w:r>
      <w:r w:rsidRPr="006916E4">
        <w:rPr>
          <w:lang w:val="fr-FR"/>
        </w:rPr>
        <w:t>01 d</w:t>
      </w:r>
      <w:r>
        <w:rPr>
          <w:lang w:val="fr-FR"/>
        </w:rPr>
        <w:t>’</w:t>
      </w:r>
      <w:r w:rsidRPr="006916E4">
        <w:rPr>
          <w:lang w:val="fr-FR"/>
        </w:rPr>
        <w:t>amendements au présent Règlement, aucune Partie contractante appliquant ledit Règlement ne pourra refuser l</w:t>
      </w:r>
      <w:r>
        <w:rPr>
          <w:lang w:val="fr-FR"/>
        </w:rPr>
        <w:t>’</w:t>
      </w:r>
      <w:r w:rsidRPr="006916E4">
        <w:rPr>
          <w:lang w:val="fr-FR"/>
        </w:rPr>
        <w:t>homologation nationale ou régionale d</w:t>
      </w:r>
      <w:r>
        <w:rPr>
          <w:lang w:val="fr-FR"/>
        </w:rPr>
        <w:t>’</w:t>
      </w:r>
      <w:r w:rsidRPr="006916E4">
        <w:rPr>
          <w:lang w:val="fr-FR"/>
        </w:rPr>
        <w:t>un type de véhicule homologué en vertu de la précédente série d</w:t>
      </w:r>
      <w:r>
        <w:rPr>
          <w:lang w:val="fr-FR"/>
        </w:rPr>
        <w:t>’</w:t>
      </w:r>
      <w:r w:rsidRPr="006916E4">
        <w:rPr>
          <w:lang w:val="fr-FR"/>
        </w:rPr>
        <w:t>amendements au Règlement</w:t>
      </w:r>
      <w:r w:rsidR="004F2C5C">
        <w:rPr>
          <w:lang w:val="fr-FR"/>
        </w:rPr>
        <w:t> ;</w:t>
      </w:r>
    </w:p>
    <w:p w14:paraId="6225E8BD" w14:textId="2A96E487"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12.1.5</w:t>
      </w:r>
      <w:r w:rsidRPr="006916E4">
        <w:rPr>
          <w:rFonts w:eastAsia="Times New Roman"/>
          <w:lang w:val="fr-FR"/>
        </w:rPr>
        <w:tab/>
      </w:r>
      <w:r w:rsidRPr="006916E4">
        <w:rPr>
          <w:lang w:val="fr-FR"/>
        </w:rPr>
        <w:t>Passé un délai de 24 mois après la date d</w:t>
      </w:r>
      <w:r>
        <w:rPr>
          <w:lang w:val="fr-FR"/>
        </w:rPr>
        <w:t>’</w:t>
      </w:r>
      <w:r w:rsidRPr="006916E4">
        <w:rPr>
          <w:lang w:val="fr-FR"/>
        </w:rPr>
        <w:t>entrée en vigueur de la série</w:t>
      </w:r>
      <w:r w:rsidR="00FC78B6">
        <w:rPr>
          <w:lang w:val="fr-FR"/>
        </w:rPr>
        <w:t> </w:t>
      </w:r>
      <w:r w:rsidRPr="006916E4">
        <w:rPr>
          <w:lang w:val="fr-FR"/>
        </w:rPr>
        <w:t>01 d</w:t>
      </w:r>
      <w:r>
        <w:rPr>
          <w:lang w:val="fr-FR"/>
        </w:rPr>
        <w:t>’</w:t>
      </w:r>
      <w:r w:rsidRPr="006916E4">
        <w:rPr>
          <w:lang w:val="fr-FR"/>
        </w:rPr>
        <w:t>amendements au présent Règlement, les Parties contractantes appliquant ledit Règlement ne seront plus tenues d</w:t>
      </w:r>
      <w:r>
        <w:rPr>
          <w:lang w:val="fr-FR"/>
        </w:rPr>
        <w:t>’</w:t>
      </w:r>
      <w:r w:rsidRPr="006916E4">
        <w:rPr>
          <w:lang w:val="fr-FR"/>
        </w:rPr>
        <w:t>accepter, aux fins d</w:t>
      </w:r>
      <w:r>
        <w:rPr>
          <w:lang w:val="fr-FR"/>
        </w:rPr>
        <w:t>’</w:t>
      </w:r>
      <w:r w:rsidRPr="006916E4">
        <w:rPr>
          <w:lang w:val="fr-FR"/>
        </w:rPr>
        <w:t>une homologation de type nationale ou régionale, un type de véhicule homologué en vertu de la précédente série d</w:t>
      </w:r>
      <w:r>
        <w:rPr>
          <w:lang w:val="fr-FR"/>
        </w:rPr>
        <w:t>’</w:t>
      </w:r>
      <w:r w:rsidRPr="006916E4">
        <w:rPr>
          <w:lang w:val="fr-FR"/>
        </w:rPr>
        <w:t>amendements au Règlement</w:t>
      </w:r>
      <w:r w:rsidR="004F2C5C">
        <w:rPr>
          <w:lang w:val="fr-FR"/>
        </w:rPr>
        <w:t> ;</w:t>
      </w:r>
    </w:p>
    <w:p w14:paraId="635E8A14" w14:textId="5EBEA6AE" w:rsidR="00DB196D" w:rsidRPr="006916E4" w:rsidRDefault="00DB196D" w:rsidP="00DB196D">
      <w:pPr>
        <w:kinsoku/>
        <w:overflowPunct/>
        <w:autoSpaceDE/>
        <w:autoSpaceDN/>
        <w:adjustRightInd/>
        <w:snapToGrid/>
        <w:spacing w:after="120"/>
        <w:ind w:left="2268" w:right="1134" w:hanging="1134"/>
        <w:jc w:val="both"/>
        <w:outlineLvl w:val="0"/>
        <w:rPr>
          <w:rFonts w:eastAsia="MS PGothic"/>
          <w:iCs/>
          <w:lang w:val="fr-FR"/>
        </w:rPr>
      </w:pPr>
      <w:r w:rsidRPr="006916E4">
        <w:rPr>
          <w:rFonts w:eastAsia="Times New Roman"/>
          <w:lang w:val="fr-FR"/>
        </w:rPr>
        <w:t>12.1.6</w:t>
      </w:r>
      <w:r w:rsidRPr="006916E4">
        <w:rPr>
          <w:rFonts w:eastAsia="Times New Roman"/>
          <w:lang w:val="fr-FR"/>
        </w:rPr>
        <w:tab/>
      </w:r>
      <w:r w:rsidRPr="006916E4">
        <w:rPr>
          <w:lang w:val="fr-FR"/>
        </w:rPr>
        <w:t>Nonobstant les dispositions transitoires ci-dessus, les Parties contractantes pour lesquelles le présent Règlement entre en vigueur à une date ultérieure par rapport à la série</w:t>
      </w:r>
      <w:r w:rsidR="00FC78B6">
        <w:rPr>
          <w:lang w:val="fr-FR"/>
        </w:rPr>
        <w:t> </w:t>
      </w:r>
      <w:r w:rsidRPr="006916E4">
        <w:rPr>
          <w:lang w:val="fr-FR"/>
        </w:rPr>
        <w:t>01 d</w:t>
      </w:r>
      <w:r>
        <w:rPr>
          <w:lang w:val="fr-FR"/>
        </w:rPr>
        <w:t>’</w:t>
      </w:r>
      <w:r w:rsidRPr="006916E4">
        <w:rPr>
          <w:lang w:val="fr-FR"/>
        </w:rPr>
        <w:t>amendements ne sont tenues d</w:t>
      </w:r>
      <w:r>
        <w:rPr>
          <w:lang w:val="fr-FR"/>
        </w:rPr>
        <w:t>’</w:t>
      </w:r>
      <w:r w:rsidRPr="006916E4">
        <w:rPr>
          <w:lang w:val="fr-FR"/>
        </w:rPr>
        <w:t>accepter que les homologations de type accordées en vertu de ladite série.</w:t>
      </w:r>
    </w:p>
    <w:bookmarkEnd w:id="8"/>
    <w:p w14:paraId="3CE3FEED" w14:textId="3F7C5DED" w:rsidR="00DB196D" w:rsidRPr="006916E4" w:rsidRDefault="00DB196D" w:rsidP="00FC78B6">
      <w:pPr>
        <w:keepNext/>
        <w:kinsoku/>
        <w:overflowPunct/>
        <w:autoSpaceDE/>
        <w:autoSpaceDN/>
        <w:adjustRightInd/>
        <w:snapToGrid/>
        <w:spacing w:after="120"/>
        <w:ind w:left="2268" w:right="1134" w:hanging="1134"/>
        <w:outlineLvl w:val="0"/>
        <w:rPr>
          <w:rFonts w:eastAsia="Times New Roman"/>
          <w:lang w:val="fr-FR"/>
        </w:rPr>
      </w:pPr>
      <w:r w:rsidRPr="006916E4">
        <w:rPr>
          <w:rFonts w:eastAsia="Times New Roman"/>
          <w:lang w:val="fr-FR"/>
        </w:rPr>
        <w:t>12.2</w:t>
      </w:r>
      <w:r w:rsidRPr="006916E4">
        <w:rPr>
          <w:rFonts w:eastAsia="Times New Roman"/>
          <w:lang w:val="fr-FR"/>
        </w:rPr>
        <w:tab/>
        <w:t>Pour la série 02 d</w:t>
      </w:r>
      <w:r>
        <w:rPr>
          <w:rFonts w:eastAsia="Times New Roman"/>
          <w:lang w:val="fr-FR"/>
        </w:rPr>
        <w:t>’</w:t>
      </w:r>
      <w:r w:rsidRPr="006916E4">
        <w:rPr>
          <w:rFonts w:eastAsia="Times New Roman"/>
          <w:lang w:val="fr-FR"/>
        </w:rPr>
        <w:t>amendements</w:t>
      </w:r>
    </w:p>
    <w:p w14:paraId="11B7A5E3" w14:textId="354ACA98"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12.2.1</w:t>
      </w:r>
      <w:r w:rsidRPr="006916E4">
        <w:rPr>
          <w:rFonts w:eastAsia="Times New Roman"/>
          <w:lang w:val="fr-FR"/>
        </w:rPr>
        <w:tab/>
        <w:t>À compter de la date officielle d</w:t>
      </w:r>
      <w:r>
        <w:rPr>
          <w:rFonts w:eastAsia="Times New Roman"/>
          <w:lang w:val="fr-FR"/>
        </w:rPr>
        <w:t>’</w:t>
      </w:r>
      <w:r w:rsidRPr="006916E4">
        <w:rPr>
          <w:rFonts w:eastAsia="Times New Roman"/>
          <w:lang w:val="fr-FR"/>
        </w:rPr>
        <w:t>entrée en vigueur de la série</w:t>
      </w:r>
      <w:r w:rsidR="004F2C5C">
        <w:rPr>
          <w:rFonts w:eastAsia="Times New Roman"/>
          <w:lang w:val="fr-FR"/>
        </w:rPr>
        <w:t> </w:t>
      </w:r>
      <w:r w:rsidRPr="006916E4">
        <w:rPr>
          <w:rFonts w:eastAsia="Times New Roman"/>
          <w:lang w:val="fr-FR"/>
        </w:rPr>
        <w:t>02 d</w:t>
      </w:r>
      <w:r>
        <w:rPr>
          <w:rFonts w:eastAsia="Times New Roman"/>
          <w:lang w:val="fr-FR"/>
        </w:rPr>
        <w:t>’</w:t>
      </w:r>
      <w:r w:rsidRPr="006916E4">
        <w:rPr>
          <w:rFonts w:eastAsia="Times New Roman"/>
          <w:lang w:val="fr-FR"/>
        </w:rPr>
        <w:t>amendements, aucune Partie contractante appliquant le présent Règlement ne pourra refuser d</w:t>
      </w:r>
      <w:r>
        <w:rPr>
          <w:rFonts w:eastAsia="Times New Roman"/>
          <w:lang w:val="fr-FR"/>
        </w:rPr>
        <w:t>’</w:t>
      </w:r>
      <w:r w:rsidRPr="006916E4">
        <w:rPr>
          <w:rFonts w:eastAsia="Times New Roman"/>
          <w:lang w:val="fr-FR"/>
        </w:rPr>
        <w:t>accorder ou d</w:t>
      </w:r>
      <w:r>
        <w:rPr>
          <w:rFonts w:eastAsia="Times New Roman"/>
          <w:lang w:val="fr-FR"/>
        </w:rPr>
        <w:t>’</w:t>
      </w:r>
      <w:r w:rsidRPr="006916E4">
        <w:rPr>
          <w:rFonts w:eastAsia="Times New Roman"/>
          <w:lang w:val="fr-FR"/>
        </w:rPr>
        <w:t>accepter une homologation de type en vertu dudit Règlement tel que modifié par ladite série</w:t>
      </w:r>
      <w:r w:rsidR="004F2C5C">
        <w:rPr>
          <w:rFonts w:eastAsia="Times New Roman"/>
          <w:lang w:val="fr-FR"/>
        </w:rPr>
        <w:t> ;</w:t>
      </w:r>
    </w:p>
    <w:p w14:paraId="4D63BC7F" w14:textId="00C22E06"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12.2.2</w:t>
      </w:r>
      <w:r w:rsidRPr="006916E4">
        <w:rPr>
          <w:rFonts w:eastAsia="Times New Roman"/>
          <w:lang w:val="fr-FR"/>
        </w:rPr>
        <w:tab/>
        <w:t>À compter du 1</w:t>
      </w:r>
      <w:r w:rsidRPr="006916E4">
        <w:rPr>
          <w:rFonts w:eastAsia="Times New Roman"/>
          <w:vertAlign w:val="superscript"/>
          <w:lang w:val="fr-FR"/>
        </w:rPr>
        <w:t>er</w:t>
      </w:r>
      <w:r w:rsidRPr="006916E4">
        <w:rPr>
          <w:rFonts w:eastAsia="Times New Roman"/>
          <w:lang w:val="fr-FR"/>
        </w:rPr>
        <w:t> janvier 2023, les Parties contractantes appliquant le présent Règlement ne seront plus tenues d</w:t>
      </w:r>
      <w:r>
        <w:rPr>
          <w:rFonts w:eastAsia="Times New Roman"/>
          <w:lang w:val="fr-FR"/>
        </w:rPr>
        <w:t>’</w:t>
      </w:r>
      <w:r w:rsidRPr="006916E4">
        <w:rPr>
          <w:rFonts w:eastAsia="Times New Roman"/>
          <w:lang w:val="fr-FR"/>
        </w:rPr>
        <w:t>accepter les homologations de type établies en vertu de la série</w:t>
      </w:r>
      <w:r w:rsidR="004F2C5C">
        <w:rPr>
          <w:rFonts w:eastAsia="Times New Roman"/>
          <w:lang w:val="fr-FR"/>
        </w:rPr>
        <w:t> </w:t>
      </w:r>
      <w:r w:rsidRPr="006916E4">
        <w:rPr>
          <w:rFonts w:eastAsia="Times New Roman"/>
          <w:lang w:val="fr-FR"/>
        </w:rPr>
        <w:t>01 d</w:t>
      </w:r>
      <w:r>
        <w:rPr>
          <w:rFonts w:eastAsia="Times New Roman"/>
          <w:lang w:val="fr-FR"/>
        </w:rPr>
        <w:t>’</w:t>
      </w:r>
      <w:r w:rsidRPr="006916E4">
        <w:rPr>
          <w:rFonts w:eastAsia="Times New Roman"/>
          <w:lang w:val="fr-FR"/>
        </w:rPr>
        <w:t>amendements</w:t>
      </w:r>
      <w:r>
        <w:rPr>
          <w:rFonts w:eastAsia="Times New Roman"/>
          <w:lang w:val="fr-FR"/>
        </w:rPr>
        <w:t>,</w:t>
      </w:r>
      <w:r w:rsidRPr="006916E4">
        <w:rPr>
          <w:rFonts w:eastAsia="Times New Roman"/>
          <w:lang w:val="fr-FR"/>
        </w:rPr>
        <w:t xml:space="preserve"> délivrées pour la première fois après le 1</w:t>
      </w:r>
      <w:r w:rsidRPr="006916E4">
        <w:rPr>
          <w:rFonts w:eastAsia="Times New Roman"/>
          <w:vertAlign w:val="superscript"/>
          <w:lang w:val="fr-FR"/>
        </w:rPr>
        <w:t>er</w:t>
      </w:r>
      <w:r w:rsidRPr="006916E4">
        <w:rPr>
          <w:rFonts w:eastAsia="Times New Roman"/>
          <w:lang w:val="fr-FR"/>
        </w:rPr>
        <w:t> janvier 2023</w:t>
      </w:r>
      <w:r w:rsidR="004F2C5C">
        <w:rPr>
          <w:rFonts w:eastAsia="Times New Roman"/>
          <w:lang w:val="fr-FR"/>
        </w:rPr>
        <w:t> ;</w:t>
      </w:r>
    </w:p>
    <w:p w14:paraId="06433579" w14:textId="1D6286FD"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12.2.3</w:t>
      </w:r>
      <w:r w:rsidRPr="006916E4">
        <w:rPr>
          <w:rFonts w:eastAsia="Times New Roman"/>
          <w:lang w:val="fr-FR"/>
        </w:rPr>
        <w:tab/>
        <w:t>Jusqu</w:t>
      </w:r>
      <w:r>
        <w:rPr>
          <w:rFonts w:eastAsia="Times New Roman"/>
          <w:lang w:val="fr-FR"/>
        </w:rPr>
        <w:t>’</w:t>
      </w:r>
      <w:r w:rsidRPr="006916E4">
        <w:rPr>
          <w:rFonts w:eastAsia="Times New Roman"/>
          <w:lang w:val="fr-FR"/>
        </w:rPr>
        <w:t>au 1</w:t>
      </w:r>
      <w:r w:rsidRPr="006916E4">
        <w:rPr>
          <w:rFonts w:eastAsia="Times New Roman"/>
          <w:vertAlign w:val="superscript"/>
          <w:lang w:val="fr-FR"/>
        </w:rPr>
        <w:t>er</w:t>
      </w:r>
      <w:r w:rsidRPr="006916E4">
        <w:rPr>
          <w:rFonts w:eastAsia="Times New Roman"/>
          <w:lang w:val="fr-FR"/>
        </w:rPr>
        <w:t> janvier 2025, les Parties contractantes appliquant le présent Règlement seront tenues d</w:t>
      </w:r>
      <w:r>
        <w:rPr>
          <w:rFonts w:eastAsia="Times New Roman"/>
          <w:lang w:val="fr-FR"/>
        </w:rPr>
        <w:t>’</w:t>
      </w:r>
      <w:r w:rsidRPr="006916E4">
        <w:rPr>
          <w:rFonts w:eastAsia="Times New Roman"/>
          <w:lang w:val="fr-FR"/>
        </w:rPr>
        <w:t>accepter les homologations de type établies en vertu de la série</w:t>
      </w:r>
      <w:r w:rsidR="004F2C5C">
        <w:rPr>
          <w:rFonts w:eastAsia="Times New Roman"/>
          <w:lang w:val="fr-FR"/>
        </w:rPr>
        <w:t> </w:t>
      </w:r>
      <w:r w:rsidRPr="006916E4">
        <w:rPr>
          <w:rFonts w:eastAsia="Times New Roman"/>
          <w:lang w:val="fr-FR"/>
        </w:rPr>
        <w:t>01 d</w:t>
      </w:r>
      <w:r>
        <w:rPr>
          <w:rFonts w:eastAsia="Times New Roman"/>
          <w:lang w:val="fr-FR"/>
        </w:rPr>
        <w:t>’</w:t>
      </w:r>
      <w:r w:rsidRPr="006916E4">
        <w:rPr>
          <w:rFonts w:eastAsia="Times New Roman"/>
          <w:lang w:val="fr-FR"/>
        </w:rPr>
        <w:t>amendements</w:t>
      </w:r>
      <w:r>
        <w:rPr>
          <w:rFonts w:eastAsia="Times New Roman"/>
          <w:lang w:val="fr-FR"/>
        </w:rPr>
        <w:t>,</w:t>
      </w:r>
      <w:r w:rsidRPr="006916E4">
        <w:rPr>
          <w:rFonts w:eastAsia="Times New Roman"/>
          <w:lang w:val="fr-FR"/>
        </w:rPr>
        <w:t xml:space="preserve"> délivrées pour la première fois avant le 1</w:t>
      </w:r>
      <w:r w:rsidRPr="006916E4">
        <w:rPr>
          <w:rFonts w:eastAsia="Times New Roman"/>
          <w:vertAlign w:val="superscript"/>
          <w:lang w:val="fr-FR"/>
        </w:rPr>
        <w:t>er</w:t>
      </w:r>
      <w:r w:rsidRPr="006916E4">
        <w:rPr>
          <w:rFonts w:eastAsia="Times New Roman"/>
          <w:lang w:val="fr-FR"/>
        </w:rPr>
        <w:t> janvier 2023</w:t>
      </w:r>
      <w:r w:rsidR="004F2C5C">
        <w:rPr>
          <w:rFonts w:eastAsia="Times New Roman"/>
          <w:lang w:val="fr-FR"/>
        </w:rPr>
        <w:t> ;</w:t>
      </w:r>
    </w:p>
    <w:p w14:paraId="5B67148F" w14:textId="31B5BEAC"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12.2.4</w:t>
      </w:r>
      <w:r w:rsidRPr="006916E4">
        <w:rPr>
          <w:rFonts w:eastAsia="Times New Roman"/>
          <w:lang w:val="fr-FR"/>
        </w:rPr>
        <w:tab/>
        <w:t>À compter du 1</w:t>
      </w:r>
      <w:r w:rsidRPr="006916E4">
        <w:rPr>
          <w:rFonts w:eastAsia="Times New Roman"/>
          <w:vertAlign w:val="superscript"/>
          <w:lang w:val="fr-FR"/>
        </w:rPr>
        <w:t>er</w:t>
      </w:r>
      <w:r w:rsidRPr="006916E4">
        <w:rPr>
          <w:rFonts w:eastAsia="Times New Roman"/>
          <w:lang w:val="fr-FR"/>
        </w:rPr>
        <w:t> janvier 2025, les Parties contractantes appliquant le présent Règlement ne seront plus tenues d</w:t>
      </w:r>
      <w:r>
        <w:rPr>
          <w:rFonts w:eastAsia="Times New Roman"/>
          <w:lang w:val="fr-FR"/>
        </w:rPr>
        <w:t>’</w:t>
      </w:r>
      <w:r w:rsidRPr="006916E4">
        <w:rPr>
          <w:rFonts w:eastAsia="Times New Roman"/>
          <w:lang w:val="fr-FR"/>
        </w:rPr>
        <w:t>accepter les homologations de type établies en vertu de la série</w:t>
      </w:r>
      <w:r w:rsidR="004F2C5C">
        <w:rPr>
          <w:rFonts w:eastAsia="Times New Roman"/>
          <w:lang w:val="fr-FR"/>
        </w:rPr>
        <w:t> </w:t>
      </w:r>
      <w:r w:rsidRPr="006916E4">
        <w:rPr>
          <w:rFonts w:eastAsia="Times New Roman"/>
          <w:lang w:val="fr-FR"/>
        </w:rPr>
        <w:t>01 d</w:t>
      </w:r>
      <w:r>
        <w:rPr>
          <w:rFonts w:eastAsia="Times New Roman"/>
          <w:lang w:val="fr-FR"/>
        </w:rPr>
        <w:t>’</w:t>
      </w:r>
      <w:r w:rsidRPr="006916E4">
        <w:rPr>
          <w:rFonts w:eastAsia="Times New Roman"/>
          <w:lang w:val="fr-FR"/>
        </w:rPr>
        <w:t>amendements audit Règlement</w:t>
      </w:r>
      <w:r w:rsidR="004F2C5C">
        <w:rPr>
          <w:rFonts w:eastAsia="Times New Roman"/>
          <w:lang w:val="fr-FR"/>
        </w:rPr>
        <w:t> ;</w:t>
      </w:r>
    </w:p>
    <w:p w14:paraId="1C8C953B" w14:textId="5884B597"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12.2.5</w:t>
      </w:r>
      <w:r w:rsidRPr="006916E4">
        <w:rPr>
          <w:rFonts w:eastAsia="Times New Roman"/>
          <w:lang w:val="fr-FR"/>
        </w:rPr>
        <w:tab/>
        <w:t>Nonobstant les dispositions transitoires ci-dessus, les Parties contractantes pour lesquelles le présent Règlement entre en vigueur à une date ultérieure par rapport à la série 02 d</w:t>
      </w:r>
      <w:r>
        <w:rPr>
          <w:rFonts w:eastAsia="Times New Roman"/>
          <w:lang w:val="fr-FR"/>
        </w:rPr>
        <w:t>’</w:t>
      </w:r>
      <w:r w:rsidRPr="006916E4">
        <w:rPr>
          <w:rFonts w:eastAsia="Times New Roman"/>
          <w:lang w:val="fr-FR"/>
        </w:rPr>
        <w:t>amendements ne sont tenues d</w:t>
      </w:r>
      <w:r>
        <w:rPr>
          <w:rFonts w:eastAsia="Times New Roman"/>
          <w:lang w:val="fr-FR"/>
        </w:rPr>
        <w:t>’</w:t>
      </w:r>
      <w:r w:rsidRPr="006916E4">
        <w:rPr>
          <w:rFonts w:eastAsia="Times New Roman"/>
          <w:lang w:val="fr-FR"/>
        </w:rPr>
        <w:t>accepter que les homologations de type accordées en vertu de ladite série</w:t>
      </w:r>
      <w:r w:rsidR="004F2C5C">
        <w:rPr>
          <w:rFonts w:eastAsia="Times New Roman"/>
          <w:lang w:val="fr-FR"/>
        </w:rPr>
        <w:t> ;</w:t>
      </w:r>
    </w:p>
    <w:p w14:paraId="5845C5C2" w14:textId="462A4D7C"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12.2.6</w:t>
      </w:r>
      <w:r w:rsidRPr="006916E4">
        <w:rPr>
          <w:rFonts w:eastAsia="Times New Roman"/>
          <w:lang w:val="fr-FR"/>
        </w:rPr>
        <w:tab/>
        <w:t>Les Parties contractantes appliquant le présent Règlement peuvent accorder des homologations de type en vertu de l</w:t>
      </w:r>
      <w:r>
        <w:rPr>
          <w:rFonts w:eastAsia="Times New Roman"/>
          <w:lang w:val="fr-FR"/>
        </w:rPr>
        <w:t>’</w:t>
      </w:r>
      <w:r w:rsidRPr="006916E4">
        <w:rPr>
          <w:rFonts w:eastAsia="Times New Roman"/>
          <w:lang w:val="fr-FR"/>
        </w:rPr>
        <w:t>une quelconque des précédentes séries d</w:t>
      </w:r>
      <w:r>
        <w:rPr>
          <w:rFonts w:eastAsia="Times New Roman"/>
          <w:lang w:val="fr-FR"/>
        </w:rPr>
        <w:t>’</w:t>
      </w:r>
      <w:r w:rsidRPr="006916E4">
        <w:rPr>
          <w:rFonts w:eastAsia="Times New Roman"/>
          <w:lang w:val="fr-FR"/>
        </w:rPr>
        <w:t>amendements audit Règlement</w:t>
      </w:r>
      <w:r w:rsidR="004F2C5C">
        <w:rPr>
          <w:rFonts w:eastAsia="Times New Roman"/>
          <w:lang w:val="fr-FR"/>
        </w:rPr>
        <w:t> ;</w:t>
      </w:r>
    </w:p>
    <w:p w14:paraId="07C08EB4" w14:textId="77777777" w:rsidR="00DB196D" w:rsidRPr="006916E4" w:rsidRDefault="00DB196D" w:rsidP="00DB196D">
      <w:pPr>
        <w:kinsoku/>
        <w:overflowPunct/>
        <w:autoSpaceDE/>
        <w:autoSpaceDN/>
        <w:adjustRightInd/>
        <w:snapToGrid/>
        <w:spacing w:after="120"/>
        <w:ind w:left="2268" w:right="1134" w:hanging="1134"/>
        <w:jc w:val="both"/>
        <w:outlineLvl w:val="0"/>
        <w:rPr>
          <w:rFonts w:eastAsia="Times New Roman"/>
          <w:lang w:val="fr-FR"/>
        </w:rPr>
      </w:pPr>
      <w:r w:rsidRPr="006916E4">
        <w:rPr>
          <w:rFonts w:eastAsia="Times New Roman"/>
          <w:lang w:val="fr-FR"/>
        </w:rPr>
        <w:t>12.2.7</w:t>
      </w:r>
      <w:r w:rsidRPr="006916E4">
        <w:rPr>
          <w:rFonts w:eastAsia="Times New Roman"/>
          <w:lang w:val="fr-FR"/>
        </w:rPr>
        <w:tab/>
        <w:t>Les Parties contractantes appliquant le présent Règlement doivent continuer d</w:t>
      </w:r>
      <w:r>
        <w:rPr>
          <w:rFonts w:eastAsia="Times New Roman"/>
          <w:lang w:val="fr-FR"/>
        </w:rPr>
        <w:t>’</w:t>
      </w:r>
      <w:r w:rsidRPr="006916E4">
        <w:rPr>
          <w:rFonts w:eastAsia="Times New Roman"/>
          <w:lang w:val="fr-FR"/>
        </w:rPr>
        <w:t>accorder des extensions pour les homologations déjà délivrées en vertu de l</w:t>
      </w:r>
      <w:r>
        <w:rPr>
          <w:rFonts w:eastAsia="Times New Roman"/>
          <w:lang w:val="fr-FR"/>
        </w:rPr>
        <w:t>’</w:t>
      </w:r>
      <w:r w:rsidRPr="006916E4">
        <w:rPr>
          <w:rFonts w:eastAsia="Times New Roman"/>
          <w:lang w:val="fr-FR"/>
        </w:rPr>
        <w:t>une quelconque des précédentes séries d</w:t>
      </w:r>
      <w:r>
        <w:rPr>
          <w:rFonts w:eastAsia="Times New Roman"/>
          <w:lang w:val="fr-FR"/>
        </w:rPr>
        <w:t>’</w:t>
      </w:r>
      <w:r w:rsidRPr="006916E4">
        <w:rPr>
          <w:rFonts w:eastAsia="Times New Roman"/>
          <w:lang w:val="fr-FR"/>
        </w:rPr>
        <w:t>amendements audit Règlement. ».</w:t>
      </w:r>
    </w:p>
    <w:p w14:paraId="012F4019" w14:textId="77777777" w:rsidR="00DB196D" w:rsidRPr="006916E4" w:rsidRDefault="00DB196D" w:rsidP="00DB196D">
      <w:pPr>
        <w:keepNext/>
        <w:kinsoku/>
        <w:overflowPunct/>
        <w:autoSpaceDE/>
        <w:autoSpaceDN/>
        <w:adjustRightInd/>
        <w:snapToGrid/>
        <w:spacing w:after="120"/>
        <w:ind w:left="2268" w:right="1134" w:hanging="1134"/>
        <w:jc w:val="both"/>
        <w:outlineLvl w:val="0"/>
        <w:rPr>
          <w:i/>
          <w:lang w:val="fr-FR"/>
        </w:rPr>
      </w:pPr>
      <w:r w:rsidRPr="006916E4">
        <w:rPr>
          <w:i/>
          <w:lang w:val="fr-FR"/>
        </w:rPr>
        <w:lastRenderedPageBreak/>
        <w:t>Annexe 6</w:t>
      </w:r>
      <w:r w:rsidRPr="006916E4">
        <w:rPr>
          <w:iCs/>
          <w:lang w:val="fr-FR"/>
        </w:rPr>
        <w:t>,</w:t>
      </w:r>
    </w:p>
    <w:p w14:paraId="0CBAB51C" w14:textId="77777777" w:rsidR="00DB196D" w:rsidRPr="006916E4" w:rsidRDefault="00DB196D" w:rsidP="00DB196D">
      <w:pPr>
        <w:pStyle w:val="SingleTxtG"/>
        <w:keepNext/>
        <w:keepLines/>
        <w:rPr>
          <w:lang w:val="fr-FR"/>
        </w:rPr>
      </w:pPr>
      <w:r w:rsidRPr="006916E4">
        <w:rPr>
          <w:i/>
          <w:lang w:val="fr-FR"/>
        </w:rPr>
        <w:t>Paragraphe 1.1</w:t>
      </w:r>
      <w:r w:rsidRPr="006916E4">
        <w:rPr>
          <w:lang w:val="fr-FR"/>
        </w:rPr>
        <w:t>,</w:t>
      </w:r>
      <w:r w:rsidRPr="006916E4">
        <w:rPr>
          <w:i/>
          <w:lang w:val="fr-FR"/>
        </w:rPr>
        <w:t xml:space="preserve"> </w:t>
      </w:r>
      <w:r w:rsidRPr="006916E4">
        <w:rPr>
          <w:lang w:val="fr-FR"/>
        </w:rPr>
        <w:t>lire :</w:t>
      </w:r>
    </w:p>
    <w:p w14:paraId="71C2A539" w14:textId="60034F58" w:rsidR="00DB196D" w:rsidRPr="006916E4" w:rsidRDefault="00DB196D" w:rsidP="00DB196D">
      <w:pPr>
        <w:pStyle w:val="SingleTxtG"/>
        <w:keepNext/>
        <w:ind w:left="2268" w:hanging="1134"/>
        <w:rPr>
          <w:lang w:val="fr-FR"/>
        </w:rPr>
      </w:pPr>
      <w:r w:rsidRPr="006916E4">
        <w:rPr>
          <w:lang w:val="fr-FR"/>
        </w:rPr>
        <w:t>« 1.1</w:t>
      </w:r>
      <w:r w:rsidRPr="006916E4">
        <w:rPr>
          <w:lang w:val="fr-FR"/>
        </w:rPr>
        <w:tab/>
      </w:r>
      <w:r w:rsidRPr="006916E4">
        <w:rPr>
          <w:lang w:val="fr-FR"/>
        </w:rPr>
        <w:tab/>
        <w:t>Les bandeaux de signalisation doivent avoir les dimensions suivantes :</w:t>
      </w:r>
    </w:p>
    <w:p w14:paraId="430B538C" w14:textId="630B1AC9" w:rsidR="00DB196D" w:rsidRPr="006916E4" w:rsidRDefault="00DB196D" w:rsidP="007F5955">
      <w:pPr>
        <w:pStyle w:val="Titre1"/>
        <w:spacing w:after="120"/>
        <w:rPr>
          <w:lang w:val="fr-FR"/>
        </w:rPr>
      </w:pPr>
      <w:r w:rsidRPr="006916E4">
        <w:rPr>
          <w:lang w:val="fr-FR"/>
        </w:rPr>
        <w:t>Figure 1</w:t>
      </w:r>
      <w:r w:rsidR="007F5955">
        <w:rPr>
          <w:lang w:val="fr-FR"/>
        </w:rPr>
        <w:br/>
      </w:r>
      <w:r w:rsidRPr="007F5955">
        <w:rPr>
          <w:b/>
          <w:bCs/>
          <w:lang w:val="fr-FR"/>
        </w:rPr>
        <w:t>Surface de référence normalisée</w:t>
      </w:r>
    </w:p>
    <w:p w14:paraId="24910704" w14:textId="77777777" w:rsidR="00DB196D" w:rsidRPr="006916E4" w:rsidRDefault="00DB196D" w:rsidP="00DB196D">
      <w:pPr>
        <w:pStyle w:val="SingleTxtG"/>
        <w:rPr>
          <w:lang w:val="fr-FR"/>
        </w:rPr>
      </w:pPr>
      <w:r w:rsidRPr="006916E4">
        <w:rPr>
          <w:noProof/>
          <w:lang w:val="fr-FR"/>
        </w:rPr>
        <w:drawing>
          <wp:inline distT="0" distB="0" distL="0" distR="0" wp14:anchorId="5B36045D" wp14:editId="42524C03">
            <wp:extent cx="4680000" cy="1731600"/>
            <wp:effectExtent l="0" t="0" r="0" b="0"/>
            <wp:docPr id="6"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0" cy="1731600"/>
                    </a:xfrm>
                    <a:prstGeom prst="rect">
                      <a:avLst/>
                    </a:prstGeom>
                    <a:noFill/>
                    <a:ln>
                      <a:noFill/>
                    </a:ln>
                  </pic:spPr>
                </pic:pic>
              </a:graphicData>
            </a:graphic>
          </wp:inline>
        </w:drawing>
      </w:r>
    </w:p>
    <w:p w14:paraId="6A92C8E8" w14:textId="352EFA5F" w:rsidR="00DB196D" w:rsidRPr="006916E4" w:rsidRDefault="00DB196D" w:rsidP="00E45DF8">
      <w:pPr>
        <w:pStyle w:val="Titre1"/>
        <w:spacing w:after="120"/>
        <w:rPr>
          <w:b/>
          <w:lang w:val="fr-FR"/>
        </w:rPr>
      </w:pPr>
      <w:r w:rsidRPr="006916E4">
        <w:rPr>
          <w:lang w:val="fr-FR"/>
        </w:rPr>
        <w:t>Figure 2</w:t>
      </w:r>
      <w:r w:rsidR="00E45DF8">
        <w:rPr>
          <w:lang w:val="fr-FR"/>
        </w:rPr>
        <w:br/>
      </w:r>
      <w:r w:rsidRPr="006916E4">
        <w:rPr>
          <w:b/>
          <w:lang w:val="fr-FR"/>
        </w:rPr>
        <w:t>Bandeau de signalisation (le type A est montré à titre d</w:t>
      </w:r>
      <w:r>
        <w:rPr>
          <w:b/>
          <w:lang w:val="fr-FR"/>
        </w:rPr>
        <w:t>’</w:t>
      </w:r>
      <w:r w:rsidRPr="006916E4">
        <w:rPr>
          <w:b/>
          <w:lang w:val="fr-FR"/>
        </w:rPr>
        <w:t>exemple)</w:t>
      </w:r>
    </w:p>
    <w:p w14:paraId="1C324CB7" w14:textId="77777777" w:rsidR="00DB196D" w:rsidRPr="006916E4" w:rsidRDefault="00DB196D" w:rsidP="00DB196D">
      <w:pPr>
        <w:pStyle w:val="SingleTxtG"/>
        <w:spacing w:after="240"/>
        <w:rPr>
          <w:lang w:val="fr-FR"/>
        </w:rPr>
      </w:pPr>
      <w:r w:rsidRPr="006916E4">
        <w:rPr>
          <w:noProof/>
          <w:lang w:val="fr-FR"/>
        </w:rPr>
        <w:drawing>
          <wp:inline distT="0" distB="0" distL="0" distR="0" wp14:anchorId="6A3ADBF7" wp14:editId="6F157A81">
            <wp:extent cx="4680000" cy="2084400"/>
            <wp:effectExtent l="0" t="0" r="0" b="0"/>
            <wp:docPr id="63" name="Grafik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0" cy="2084400"/>
                    </a:xfrm>
                    <a:prstGeom prst="rect">
                      <a:avLst/>
                    </a:prstGeom>
                    <a:noFill/>
                    <a:ln>
                      <a:noFill/>
                    </a:ln>
                  </pic:spPr>
                </pic:pic>
              </a:graphicData>
            </a:graphic>
          </wp:inline>
        </w:drawing>
      </w:r>
    </w:p>
    <w:p w14:paraId="6B67E497" w14:textId="3134F2E2" w:rsidR="00DB196D" w:rsidRPr="006916E4" w:rsidRDefault="00DB196D" w:rsidP="0000597A">
      <w:pPr>
        <w:pStyle w:val="Titre1"/>
        <w:spacing w:after="120"/>
        <w:rPr>
          <w:b/>
          <w:bCs/>
          <w:lang w:val="fr-FR"/>
        </w:rPr>
      </w:pPr>
      <w:r w:rsidRPr="006916E4">
        <w:rPr>
          <w:lang w:val="fr-FR"/>
        </w:rPr>
        <w:t>Tableau 1</w:t>
      </w:r>
      <w:r w:rsidR="0000597A">
        <w:rPr>
          <w:lang w:val="fr-FR"/>
        </w:rPr>
        <w:br/>
      </w:r>
      <w:r w:rsidRPr="006916E4">
        <w:rPr>
          <w:b/>
          <w:bCs/>
          <w:lang w:val="fr-FR"/>
        </w:rPr>
        <w:t xml:space="preserve">Dimensions </w:t>
      </w:r>
      <w:r w:rsidR="0000597A">
        <w:rPr>
          <w:b/>
          <w:bCs/>
          <w:lang w:val="fr-FR"/>
        </w:rPr>
        <w:t>(</w:t>
      </w:r>
      <w:r w:rsidRPr="006916E4">
        <w:rPr>
          <w:b/>
          <w:bCs/>
          <w:lang w:val="fr-FR"/>
        </w:rPr>
        <w:t>en mm</w:t>
      </w:r>
      <w:r w:rsidR="0000597A">
        <w:rPr>
          <w:b/>
          <w:bCs/>
          <w:lang w:val="fr-FR"/>
        </w:rPr>
        <w:t>)</w:t>
      </w:r>
    </w:p>
    <w:tbl>
      <w:tblPr>
        <w:tblW w:w="7370" w:type="dxa"/>
        <w:tblInd w:w="1134" w:type="dxa"/>
        <w:tblLayout w:type="fixed"/>
        <w:tblCellMar>
          <w:left w:w="0" w:type="dxa"/>
          <w:right w:w="0" w:type="dxa"/>
        </w:tblCellMar>
        <w:tblLook w:val="01E0" w:firstRow="1" w:lastRow="1" w:firstColumn="1" w:lastColumn="1" w:noHBand="0" w:noVBand="0"/>
      </w:tblPr>
      <w:tblGrid>
        <w:gridCol w:w="2409"/>
        <w:gridCol w:w="1559"/>
        <w:gridCol w:w="1409"/>
        <w:gridCol w:w="1993"/>
      </w:tblGrid>
      <w:tr w:rsidR="00DB196D" w:rsidRPr="006916E4" w14:paraId="0196F030" w14:textId="77777777" w:rsidTr="008D340C">
        <w:trPr>
          <w:tblHeader/>
        </w:trPr>
        <w:tc>
          <w:tcPr>
            <w:tcW w:w="2409" w:type="dxa"/>
            <w:tcBorders>
              <w:top w:val="single" w:sz="4" w:space="0" w:color="auto"/>
              <w:left w:val="single" w:sz="4" w:space="0" w:color="auto"/>
              <w:bottom w:val="single" w:sz="12" w:space="0" w:color="auto"/>
              <w:right w:val="single" w:sz="4" w:space="0" w:color="auto"/>
            </w:tcBorders>
            <w:shd w:val="clear" w:color="auto" w:fill="auto"/>
            <w:vAlign w:val="bottom"/>
          </w:tcPr>
          <w:p w14:paraId="0BB9640D" w14:textId="77777777" w:rsidR="00DB196D" w:rsidRPr="006916E4" w:rsidRDefault="00DB196D" w:rsidP="008D340C">
            <w:pPr>
              <w:spacing w:before="80" w:after="80" w:line="200" w:lineRule="exact"/>
              <w:ind w:left="57" w:right="57"/>
              <w:rPr>
                <w:i/>
                <w:sz w:val="16"/>
                <w:lang w:val="fr-FR"/>
              </w:rPr>
            </w:pPr>
            <w:r w:rsidRPr="006916E4">
              <w:rPr>
                <w:i/>
                <w:sz w:val="16"/>
                <w:lang w:val="fr-FR"/>
              </w:rPr>
              <w:t>Bandeau de signalisation</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bottom"/>
          </w:tcPr>
          <w:p w14:paraId="62400F7A" w14:textId="77777777" w:rsidR="00DB196D" w:rsidRPr="006916E4" w:rsidRDefault="00DB196D" w:rsidP="008D340C">
            <w:pPr>
              <w:spacing w:before="80" w:after="80" w:line="200" w:lineRule="exact"/>
              <w:ind w:left="57" w:right="57"/>
              <w:jc w:val="center"/>
              <w:rPr>
                <w:i/>
                <w:sz w:val="16"/>
                <w:lang w:val="fr-FR"/>
              </w:rPr>
            </w:pPr>
            <w:proofErr w:type="spellStart"/>
            <w:r w:rsidRPr="006916E4">
              <w:rPr>
                <w:i/>
                <w:sz w:val="16"/>
                <w:lang w:val="fr-FR"/>
              </w:rPr>
              <w:t>a</w:t>
            </w:r>
            <w:proofErr w:type="spellEnd"/>
            <w:r w:rsidRPr="006916E4">
              <w:rPr>
                <w:i/>
                <w:sz w:val="16"/>
                <w:lang w:val="fr-FR"/>
              </w:rPr>
              <w:t xml:space="preserve"> [en mm]</w:t>
            </w:r>
          </w:p>
        </w:tc>
        <w:tc>
          <w:tcPr>
            <w:tcW w:w="1409" w:type="dxa"/>
            <w:tcBorders>
              <w:top w:val="single" w:sz="4" w:space="0" w:color="auto"/>
              <w:left w:val="single" w:sz="4" w:space="0" w:color="auto"/>
              <w:bottom w:val="single" w:sz="12" w:space="0" w:color="auto"/>
              <w:right w:val="single" w:sz="4" w:space="0" w:color="auto"/>
            </w:tcBorders>
            <w:shd w:val="clear" w:color="auto" w:fill="auto"/>
            <w:vAlign w:val="bottom"/>
          </w:tcPr>
          <w:p w14:paraId="4E9EA378" w14:textId="77777777" w:rsidR="00DB196D" w:rsidRPr="006916E4" w:rsidRDefault="00DB196D" w:rsidP="008D340C">
            <w:pPr>
              <w:spacing w:before="80" w:after="80" w:line="200" w:lineRule="exact"/>
              <w:ind w:left="57" w:right="57"/>
              <w:jc w:val="center"/>
              <w:rPr>
                <w:i/>
                <w:sz w:val="16"/>
                <w:lang w:val="fr-FR"/>
              </w:rPr>
            </w:pPr>
            <w:r w:rsidRPr="006916E4">
              <w:rPr>
                <w:i/>
                <w:sz w:val="16"/>
                <w:lang w:val="fr-FR"/>
              </w:rPr>
              <w:t>b [en mm]</w:t>
            </w:r>
          </w:p>
        </w:tc>
        <w:tc>
          <w:tcPr>
            <w:tcW w:w="1993" w:type="dxa"/>
            <w:tcBorders>
              <w:top w:val="single" w:sz="4" w:space="0" w:color="auto"/>
              <w:left w:val="single" w:sz="4" w:space="0" w:color="auto"/>
              <w:bottom w:val="single" w:sz="12" w:space="0" w:color="auto"/>
              <w:right w:val="single" w:sz="4" w:space="0" w:color="auto"/>
            </w:tcBorders>
            <w:shd w:val="clear" w:color="auto" w:fill="auto"/>
            <w:vAlign w:val="bottom"/>
          </w:tcPr>
          <w:p w14:paraId="36F21EDE" w14:textId="77777777" w:rsidR="00DB196D" w:rsidRPr="006916E4" w:rsidRDefault="00DB196D" w:rsidP="008D340C">
            <w:pPr>
              <w:spacing w:before="80" w:after="80" w:line="200" w:lineRule="exact"/>
              <w:ind w:left="57" w:right="57"/>
              <w:jc w:val="center"/>
              <w:rPr>
                <w:i/>
                <w:sz w:val="16"/>
                <w:lang w:val="fr-FR"/>
              </w:rPr>
            </w:pPr>
            <w:r w:rsidRPr="006916E4">
              <w:rPr>
                <w:i/>
                <w:sz w:val="16"/>
                <w:lang w:val="fr-FR"/>
              </w:rPr>
              <w:t>Surface [en cm²]</w:t>
            </w:r>
          </w:p>
        </w:tc>
      </w:tr>
      <w:tr w:rsidR="00DB196D" w:rsidRPr="006916E4" w14:paraId="02649357" w14:textId="77777777" w:rsidTr="008D340C">
        <w:tc>
          <w:tcPr>
            <w:tcW w:w="2409" w:type="dxa"/>
            <w:tcBorders>
              <w:top w:val="single" w:sz="12" w:space="0" w:color="auto"/>
              <w:left w:val="single" w:sz="4" w:space="0" w:color="auto"/>
              <w:bottom w:val="single" w:sz="4" w:space="0" w:color="auto"/>
              <w:right w:val="single" w:sz="4" w:space="0" w:color="auto"/>
            </w:tcBorders>
            <w:shd w:val="clear" w:color="auto" w:fill="auto"/>
          </w:tcPr>
          <w:p w14:paraId="16890422" w14:textId="77777777" w:rsidR="00DB196D" w:rsidRPr="006916E4" w:rsidRDefault="00DB196D" w:rsidP="008D340C">
            <w:pPr>
              <w:spacing w:before="40" w:after="120"/>
              <w:ind w:left="57" w:right="57"/>
              <w:rPr>
                <w:sz w:val="18"/>
                <w:szCs w:val="18"/>
                <w:lang w:val="fr-FR"/>
              </w:rPr>
            </w:pPr>
            <w:r w:rsidRPr="006916E4">
              <w:rPr>
                <w:sz w:val="18"/>
                <w:szCs w:val="18"/>
                <w:lang w:val="fr-FR"/>
              </w:rPr>
              <w:t>Type A</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bottom"/>
          </w:tcPr>
          <w:p w14:paraId="217043A7" w14:textId="77777777"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423 </w:t>
            </w:r>
            <w:r w:rsidRPr="006916E4">
              <w:rPr>
                <w:sz w:val="18"/>
                <w:szCs w:val="18"/>
                <w:lang w:val="fr-FR"/>
              </w:rPr>
              <w:sym w:font="Symbol" w:char="F0B1"/>
            </w:r>
            <w:r w:rsidRPr="006916E4">
              <w:rPr>
                <w:sz w:val="18"/>
                <w:szCs w:val="18"/>
                <w:lang w:val="fr-FR"/>
              </w:rPr>
              <w:t xml:space="preserve"> 5</w:t>
            </w:r>
          </w:p>
        </w:tc>
        <w:tc>
          <w:tcPr>
            <w:tcW w:w="1409" w:type="dxa"/>
            <w:tcBorders>
              <w:top w:val="single" w:sz="12" w:space="0" w:color="auto"/>
              <w:left w:val="single" w:sz="4" w:space="0" w:color="auto"/>
              <w:bottom w:val="single" w:sz="4" w:space="0" w:color="auto"/>
              <w:right w:val="single" w:sz="4" w:space="0" w:color="auto"/>
            </w:tcBorders>
            <w:shd w:val="clear" w:color="auto" w:fill="auto"/>
            <w:vAlign w:val="bottom"/>
          </w:tcPr>
          <w:p w14:paraId="6AE01E97" w14:textId="77777777"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423 </w:t>
            </w:r>
            <w:r w:rsidRPr="006916E4">
              <w:rPr>
                <w:sz w:val="18"/>
                <w:szCs w:val="18"/>
                <w:lang w:val="fr-FR"/>
              </w:rPr>
              <w:sym w:font="Symbol" w:char="F0B1"/>
            </w:r>
            <w:r w:rsidRPr="006916E4">
              <w:rPr>
                <w:sz w:val="18"/>
                <w:szCs w:val="18"/>
                <w:lang w:val="fr-FR"/>
              </w:rPr>
              <w:t xml:space="preserve"> 5</w:t>
            </w:r>
          </w:p>
        </w:tc>
        <w:tc>
          <w:tcPr>
            <w:tcW w:w="1993" w:type="dxa"/>
            <w:tcBorders>
              <w:top w:val="single" w:sz="12" w:space="0" w:color="auto"/>
              <w:left w:val="single" w:sz="4" w:space="0" w:color="auto"/>
              <w:bottom w:val="single" w:sz="4" w:space="0" w:color="auto"/>
              <w:right w:val="single" w:sz="4" w:space="0" w:color="auto"/>
            </w:tcBorders>
            <w:shd w:val="clear" w:color="auto" w:fill="auto"/>
          </w:tcPr>
          <w:p w14:paraId="330282E6" w14:textId="77777777" w:rsidR="00DB196D" w:rsidRPr="006916E4" w:rsidRDefault="00DB196D" w:rsidP="008D340C">
            <w:pPr>
              <w:spacing w:before="40" w:after="120"/>
              <w:ind w:left="57" w:right="57"/>
              <w:jc w:val="center"/>
              <w:rPr>
                <w:sz w:val="18"/>
                <w:szCs w:val="18"/>
                <w:lang w:val="fr-FR"/>
              </w:rPr>
            </w:pPr>
            <w:r w:rsidRPr="006916E4">
              <w:rPr>
                <w:b/>
                <w:sz w:val="18"/>
                <w:szCs w:val="18"/>
                <w:lang w:val="fr-FR"/>
              </w:rPr>
              <w:t>≥</w:t>
            </w:r>
            <w:r w:rsidRPr="006916E4">
              <w:rPr>
                <w:sz w:val="18"/>
                <w:szCs w:val="18"/>
                <w:lang w:val="fr-FR"/>
              </w:rPr>
              <w:t>1 790</w:t>
            </w:r>
          </w:p>
        </w:tc>
      </w:tr>
      <w:tr w:rsidR="00DB196D" w:rsidRPr="006916E4" w14:paraId="073DDE07" w14:textId="77777777" w:rsidTr="008D340C">
        <w:tc>
          <w:tcPr>
            <w:tcW w:w="2409" w:type="dxa"/>
            <w:tcBorders>
              <w:top w:val="single" w:sz="4" w:space="0" w:color="auto"/>
              <w:left w:val="single" w:sz="4" w:space="0" w:color="auto"/>
              <w:bottom w:val="single" w:sz="4" w:space="0" w:color="auto"/>
              <w:right w:val="single" w:sz="4" w:space="0" w:color="auto"/>
            </w:tcBorders>
            <w:shd w:val="clear" w:color="auto" w:fill="auto"/>
          </w:tcPr>
          <w:p w14:paraId="677525A7" w14:textId="77777777" w:rsidR="00DB196D" w:rsidRPr="006916E4" w:rsidRDefault="00DB196D" w:rsidP="008D340C">
            <w:pPr>
              <w:spacing w:before="40" w:after="120"/>
              <w:ind w:left="57" w:right="57"/>
              <w:rPr>
                <w:sz w:val="18"/>
                <w:szCs w:val="18"/>
                <w:lang w:val="fr-FR"/>
              </w:rPr>
            </w:pPr>
            <w:r w:rsidRPr="006916E4">
              <w:rPr>
                <w:sz w:val="18"/>
                <w:szCs w:val="18"/>
                <w:lang w:val="fr-FR"/>
              </w:rPr>
              <w:t>Type 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4326897" w14:textId="77777777"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282 </w:t>
            </w:r>
            <w:r w:rsidRPr="006916E4">
              <w:rPr>
                <w:sz w:val="18"/>
                <w:szCs w:val="18"/>
                <w:lang w:val="fr-FR"/>
              </w:rPr>
              <w:sym w:font="Symbol" w:char="F0B1"/>
            </w:r>
            <w:r w:rsidRPr="006916E4">
              <w:rPr>
                <w:sz w:val="18"/>
                <w:szCs w:val="18"/>
                <w:lang w:val="fr-FR"/>
              </w:rPr>
              <w:t xml:space="preserve"> 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6CE32911" w14:textId="77777777"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282 </w:t>
            </w:r>
            <w:r w:rsidRPr="006916E4">
              <w:rPr>
                <w:sz w:val="18"/>
                <w:szCs w:val="18"/>
                <w:lang w:val="fr-FR"/>
              </w:rPr>
              <w:sym w:font="Symbol" w:char="F0B1"/>
            </w:r>
            <w:r w:rsidRPr="006916E4">
              <w:rPr>
                <w:sz w:val="18"/>
                <w:szCs w:val="18"/>
                <w:lang w:val="fr-FR"/>
              </w:rPr>
              <w:t xml:space="preserve"> 5</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1AB6490" w14:textId="77777777" w:rsidR="00DB196D" w:rsidRPr="006916E4" w:rsidRDefault="00DB196D" w:rsidP="008D340C">
            <w:pPr>
              <w:spacing w:before="40" w:after="120"/>
              <w:ind w:left="57" w:right="57"/>
              <w:jc w:val="center"/>
              <w:rPr>
                <w:sz w:val="18"/>
                <w:szCs w:val="18"/>
                <w:lang w:val="fr-FR"/>
              </w:rPr>
            </w:pPr>
            <w:r w:rsidRPr="006916E4">
              <w:rPr>
                <w:b/>
                <w:sz w:val="18"/>
                <w:szCs w:val="18"/>
                <w:lang w:val="fr-FR"/>
              </w:rPr>
              <w:t>≥</w:t>
            </w:r>
            <w:r w:rsidRPr="006916E4">
              <w:rPr>
                <w:sz w:val="18"/>
                <w:szCs w:val="18"/>
                <w:lang w:val="fr-FR"/>
              </w:rPr>
              <w:t>795</w:t>
            </w:r>
          </w:p>
        </w:tc>
      </w:tr>
      <w:tr w:rsidR="00DB196D" w:rsidRPr="006916E4" w14:paraId="0649ADE5" w14:textId="77777777" w:rsidTr="008D340C">
        <w:tc>
          <w:tcPr>
            <w:tcW w:w="2409" w:type="dxa"/>
            <w:tcBorders>
              <w:top w:val="single" w:sz="4" w:space="0" w:color="auto"/>
              <w:left w:val="single" w:sz="4" w:space="0" w:color="auto"/>
              <w:bottom w:val="single" w:sz="4" w:space="0" w:color="auto"/>
              <w:right w:val="single" w:sz="4" w:space="0" w:color="auto"/>
            </w:tcBorders>
            <w:shd w:val="clear" w:color="auto" w:fill="auto"/>
          </w:tcPr>
          <w:p w14:paraId="7A13A7D2" w14:textId="68C84ACB" w:rsidR="00DB196D" w:rsidRPr="006916E4" w:rsidRDefault="00DB196D" w:rsidP="008D340C">
            <w:pPr>
              <w:spacing w:before="40" w:after="120"/>
              <w:ind w:left="57" w:right="57"/>
              <w:rPr>
                <w:sz w:val="18"/>
                <w:szCs w:val="18"/>
                <w:lang w:val="fr-FR"/>
              </w:rPr>
            </w:pPr>
            <w:r w:rsidRPr="006916E4">
              <w:rPr>
                <w:sz w:val="18"/>
                <w:szCs w:val="18"/>
                <w:lang w:val="fr-FR"/>
              </w:rPr>
              <w:t>Type R1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F956C1" w14:textId="7F2832BC"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282 </w:t>
            </w:r>
            <w:r w:rsidRPr="006916E4">
              <w:rPr>
                <w:sz w:val="18"/>
                <w:szCs w:val="18"/>
                <w:lang w:val="fr-FR"/>
              </w:rPr>
              <w:sym w:font="Symbol" w:char="F0B1"/>
            </w:r>
            <w:r w:rsidRPr="006916E4">
              <w:rPr>
                <w:sz w:val="18"/>
                <w:szCs w:val="18"/>
                <w:lang w:val="fr-FR"/>
              </w:rPr>
              <w:t xml:space="preserve"> 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4C97A19B" w14:textId="442F61D0"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423 </w:t>
            </w:r>
            <w:r w:rsidRPr="006916E4">
              <w:rPr>
                <w:sz w:val="18"/>
                <w:szCs w:val="18"/>
                <w:lang w:val="fr-FR"/>
              </w:rPr>
              <w:sym w:font="Symbol" w:char="F0B1"/>
            </w:r>
            <w:r w:rsidRPr="006916E4">
              <w:rPr>
                <w:sz w:val="18"/>
                <w:szCs w:val="18"/>
                <w:lang w:val="fr-FR"/>
              </w:rPr>
              <w:t xml:space="preserve"> 5</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01F92A5" w14:textId="77777777" w:rsidR="00DB196D" w:rsidRPr="006916E4" w:rsidRDefault="00DB196D" w:rsidP="008D340C">
            <w:pPr>
              <w:spacing w:before="40" w:after="120"/>
              <w:ind w:left="57" w:right="57"/>
              <w:jc w:val="center"/>
              <w:rPr>
                <w:sz w:val="18"/>
                <w:szCs w:val="18"/>
                <w:lang w:val="fr-FR"/>
              </w:rPr>
            </w:pPr>
            <w:r w:rsidRPr="006916E4">
              <w:rPr>
                <w:b/>
                <w:bCs/>
                <w:sz w:val="18"/>
                <w:szCs w:val="18"/>
                <w:lang w:val="fr-FR"/>
              </w:rPr>
              <w:t>≥</w:t>
            </w:r>
            <w:r w:rsidRPr="006916E4">
              <w:rPr>
                <w:sz w:val="18"/>
                <w:szCs w:val="18"/>
                <w:lang w:val="fr-FR"/>
              </w:rPr>
              <w:t>1 193</w:t>
            </w:r>
          </w:p>
        </w:tc>
      </w:tr>
      <w:tr w:rsidR="0000597A" w:rsidRPr="006916E4" w14:paraId="0F9857E4" w14:textId="77777777" w:rsidTr="008D340C">
        <w:tc>
          <w:tcPr>
            <w:tcW w:w="2409" w:type="dxa"/>
            <w:tcBorders>
              <w:top w:val="single" w:sz="4" w:space="0" w:color="auto"/>
              <w:left w:val="single" w:sz="4" w:space="0" w:color="auto"/>
              <w:bottom w:val="single" w:sz="4" w:space="0" w:color="auto"/>
              <w:right w:val="single" w:sz="4" w:space="0" w:color="auto"/>
            </w:tcBorders>
            <w:shd w:val="clear" w:color="auto" w:fill="auto"/>
          </w:tcPr>
          <w:p w14:paraId="7CBE5D8D" w14:textId="5B90D08A" w:rsidR="0000597A" w:rsidRPr="006916E4" w:rsidRDefault="0000597A" w:rsidP="008D340C">
            <w:pPr>
              <w:spacing w:before="40" w:after="120"/>
              <w:ind w:left="57" w:right="57"/>
              <w:rPr>
                <w:sz w:val="18"/>
                <w:szCs w:val="18"/>
                <w:lang w:val="fr-FR"/>
              </w:rPr>
            </w:pPr>
            <w:r w:rsidRPr="006916E4">
              <w:rPr>
                <w:sz w:val="18"/>
                <w:szCs w:val="18"/>
                <w:lang w:val="fr-FR"/>
              </w:rPr>
              <w:t>Type R2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E17E6D4" w14:textId="6F4DE760" w:rsidR="0000597A" w:rsidRPr="006916E4" w:rsidRDefault="0000597A" w:rsidP="008D340C">
            <w:pPr>
              <w:spacing w:before="40" w:after="120"/>
              <w:ind w:left="57" w:right="57"/>
              <w:jc w:val="center"/>
              <w:rPr>
                <w:sz w:val="18"/>
                <w:szCs w:val="18"/>
                <w:lang w:val="fr-FR"/>
              </w:rPr>
            </w:pPr>
            <w:r w:rsidRPr="006916E4">
              <w:rPr>
                <w:sz w:val="18"/>
                <w:szCs w:val="18"/>
                <w:lang w:val="fr-FR"/>
              </w:rPr>
              <w:t xml:space="preserve">423 </w:t>
            </w:r>
            <w:r w:rsidRPr="006916E4">
              <w:rPr>
                <w:sz w:val="18"/>
                <w:szCs w:val="18"/>
                <w:lang w:val="fr-FR"/>
              </w:rPr>
              <w:sym w:font="Symbol" w:char="F0B1"/>
            </w:r>
            <w:r w:rsidRPr="006916E4">
              <w:rPr>
                <w:sz w:val="18"/>
                <w:szCs w:val="18"/>
                <w:lang w:val="fr-FR"/>
              </w:rPr>
              <w:t xml:space="preserve"> 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65FF2F8D" w14:textId="54A954D4" w:rsidR="0000597A" w:rsidRPr="006916E4" w:rsidRDefault="0000597A" w:rsidP="008D340C">
            <w:pPr>
              <w:spacing w:before="40" w:after="120"/>
              <w:ind w:left="57" w:right="57"/>
              <w:jc w:val="center"/>
              <w:rPr>
                <w:sz w:val="18"/>
                <w:szCs w:val="18"/>
                <w:lang w:val="fr-FR"/>
              </w:rPr>
            </w:pPr>
            <w:r w:rsidRPr="006916E4">
              <w:rPr>
                <w:sz w:val="18"/>
                <w:szCs w:val="18"/>
                <w:lang w:val="fr-FR"/>
              </w:rPr>
              <w:t xml:space="preserve">282 </w:t>
            </w:r>
            <w:r w:rsidRPr="006916E4">
              <w:rPr>
                <w:sz w:val="18"/>
                <w:szCs w:val="18"/>
                <w:lang w:val="fr-FR"/>
              </w:rPr>
              <w:sym w:font="Symbol" w:char="F0B1"/>
            </w:r>
            <w:r w:rsidRPr="006916E4">
              <w:rPr>
                <w:sz w:val="18"/>
                <w:szCs w:val="18"/>
                <w:lang w:val="fr-FR"/>
              </w:rPr>
              <w:t xml:space="preserve"> 5</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9D01A94" w14:textId="77777777" w:rsidR="0000597A" w:rsidRPr="006916E4" w:rsidRDefault="0000597A" w:rsidP="008D340C">
            <w:pPr>
              <w:spacing w:before="40" w:after="120"/>
              <w:ind w:left="57" w:right="57"/>
              <w:jc w:val="center"/>
              <w:rPr>
                <w:b/>
                <w:bCs/>
                <w:sz w:val="18"/>
                <w:szCs w:val="18"/>
                <w:lang w:val="fr-FR"/>
              </w:rPr>
            </w:pPr>
          </w:p>
        </w:tc>
      </w:tr>
      <w:tr w:rsidR="00DB196D" w:rsidRPr="006916E4" w14:paraId="1E241796" w14:textId="77777777" w:rsidTr="008D340C">
        <w:tc>
          <w:tcPr>
            <w:tcW w:w="2409" w:type="dxa"/>
            <w:tcBorders>
              <w:top w:val="single" w:sz="4" w:space="0" w:color="auto"/>
              <w:left w:val="single" w:sz="4" w:space="0" w:color="auto"/>
              <w:bottom w:val="single" w:sz="4" w:space="0" w:color="auto"/>
              <w:right w:val="single" w:sz="4" w:space="0" w:color="auto"/>
            </w:tcBorders>
            <w:shd w:val="clear" w:color="auto" w:fill="auto"/>
          </w:tcPr>
          <w:p w14:paraId="5C7EC523" w14:textId="037AB990" w:rsidR="00DB196D" w:rsidRPr="006916E4" w:rsidRDefault="00DB196D" w:rsidP="008D340C">
            <w:pPr>
              <w:spacing w:before="40" w:after="120"/>
              <w:ind w:left="57" w:right="57"/>
              <w:rPr>
                <w:sz w:val="18"/>
                <w:szCs w:val="18"/>
                <w:lang w:val="fr-FR"/>
              </w:rPr>
            </w:pPr>
            <w:r w:rsidRPr="006916E4">
              <w:rPr>
                <w:sz w:val="18"/>
                <w:szCs w:val="18"/>
                <w:lang w:val="fr-FR"/>
              </w:rPr>
              <w:t>Type L1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59717B8" w14:textId="6E09A7E4"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141 </w:t>
            </w:r>
            <w:r w:rsidRPr="006916E4">
              <w:rPr>
                <w:sz w:val="18"/>
                <w:szCs w:val="18"/>
                <w:lang w:val="fr-FR"/>
              </w:rPr>
              <w:sym w:font="Symbol" w:char="F0B1"/>
            </w:r>
            <w:r w:rsidRPr="006916E4">
              <w:rPr>
                <w:sz w:val="18"/>
                <w:szCs w:val="18"/>
                <w:lang w:val="fr-FR"/>
              </w:rPr>
              <w:t xml:space="preserve"> 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6157D7CC" w14:textId="14BB3C6C"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846 </w:t>
            </w:r>
            <w:r w:rsidRPr="006916E4">
              <w:rPr>
                <w:sz w:val="18"/>
                <w:szCs w:val="18"/>
                <w:lang w:val="fr-FR"/>
              </w:rPr>
              <w:sym w:font="Symbol" w:char="F0B1"/>
            </w:r>
            <w:r w:rsidRPr="006916E4">
              <w:rPr>
                <w:sz w:val="18"/>
                <w:szCs w:val="18"/>
                <w:lang w:val="fr-FR"/>
              </w:rPr>
              <w:t xml:space="preserve"> 5</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1FE9198" w14:textId="77777777" w:rsidR="00DB196D" w:rsidRPr="006916E4" w:rsidRDefault="00DB196D" w:rsidP="008D340C">
            <w:pPr>
              <w:spacing w:before="40" w:after="120"/>
              <w:ind w:left="57" w:right="57"/>
              <w:jc w:val="center"/>
              <w:rPr>
                <w:sz w:val="18"/>
                <w:szCs w:val="18"/>
                <w:lang w:val="fr-FR"/>
              </w:rPr>
            </w:pPr>
            <w:r w:rsidRPr="006916E4">
              <w:rPr>
                <w:b/>
                <w:sz w:val="18"/>
                <w:szCs w:val="18"/>
                <w:lang w:val="fr-FR"/>
              </w:rPr>
              <w:t>≥</w:t>
            </w:r>
            <w:r w:rsidRPr="006916E4">
              <w:rPr>
                <w:sz w:val="18"/>
                <w:szCs w:val="18"/>
                <w:lang w:val="fr-FR"/>
              </w:rPr>
              <w:t>1 193</w:t>
            </w:r>
          </w:p>
        </w:tc>
      </w:tr>
      <w:tr w:rsidR="0000597A" w:rsidRPr="006916E4" w14:paraId="062A5E38" w14:textId="77777777" w:rsidTr="008D340C">
        <w:tc>
          <w:tcPr>
            <w:tcW w:w="2409" w:type="dxa"/>
            <w:tcBorders>
              <w:top w:val="single" w:sz="4" w:space="0" w:color="auto"/>
              <w:left w:val="single" w:sz="4" w:space="0" w:color="auto"/>
              <w:bottom w:val="single" w:sz="4" w:space="0" w:color="auto"/>
              <w:right w:val="single" w:sz="4" w:space="0" w:color="auto"/>
            </w:tcBorders>
            <w:shd w:val="clear" w:color="auto" w:fill="auto"/>
          </w:tcPr>
          <w:p w14:paraId="654457E1" w14:textId="4FF9066A" w:rsidR="0000597A" w:rsidRPr="006916E4" w:rsidRDefault="0000597A" w:rsidP="008D340C">
            <w:pPr>
              <w:spacing w:before="40" w:after="120"/>
              <w:ind w:left="57" w:right="57"/>
              <w:rPr>
                <w:sz w:val="18"/>
                <w:szCs w:val="18"/>
                <w:lang w:val="fr-FR"/>
              </w:rPr>
            </w:pPr>
            <w:r w:rsidRPr="006916E4">
              <w:rPr>
                <w:sz w:val="18"/>
                <w:szCs w:val="18"/>
                <w:lang w:val="fr-FR"/>
              </w:rPr>
              <w:t>Type L2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EC459B" w14:textId="72F10786" w:rsidR="0000597A" w:rsidRPr="006916E4" w:rsidRDefault="0000597A" w:rsidP="008D340C">
            <w:pPr>
              <w:spacing w:before="40" w:after="120"/>
              <w:ind w:left="57" w:right="57"/>
              <w:jc w:val="center"/>
              <w:rPr>
                <w:sz w:val="18"/>
                <w:szCs w:val="18"/>
                <w:lang w:val="fr-FR"/>
              </w:rPr>
            </w:pPr>
            <w:r w:rsidRPr="006916E4">
              <w:rPr>
                <w:sz w:val="18"/>
                <w:szCs w:val="18"/>
                <w:lang w:val="fr-FR"/>
              </w:rPr>
              <w:t xml:space="preserve">846 </w:t>
            </w:r>
            <w:r w:rsidRPr="006916E4">
              <w:rPr>
                <w:sz w:val="18"/>
                <w:szCs w:val="18"/>
                <w:lang w:val="fr-FR"/>
              </w:rPr>
              <w:sym w:font="Symbol" w:char="F0B1"/>
            </w:r>
            <w:r w:rsidRPr="006916E4">
              <w:rPr>
                <w:sz w:val="18"/>
                <w:szCs w:val="18"/>
                <w:lang w:val="fr-FR"/>
              </w:rPr>
              <w:t xml:space="preserve"> 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4837103E" w14:textId="18050C72" w:rsidR="0000597A" w:rsidRPr="006916E4" w:rsidRDefault="0000597A" w:rsidP="008D340C">
            <w:pPr>
              <w:spacing w:before="40" w:after="120"/>
              <w:ind w:left="57" w:right="57"/>
              <w:jc w:val="center"/>
              <w:rPr>
                <w:sz w:val="18"/>
                <w:szCs w:val="18"/>
                <w:lang w:val="fr-FR"/>
              </w:rPr>
            </w:pPr>
            <w:r w:rsidRPr="006916E4">
              <w:rPr>
                <w:sz w:val="18"/>
                <w:szCs w:val="18"/>
                <w:lang w:val="fr-FR"/>
              </w:rPr>
              <w:t xml:space="preserve">141 </w:t>
            </w:r>
            <w:r w:rsidRPr="006916E4">
              <w:rPr>
                <w:sz w:val="18"/>
                <w:szCs w:val="18"/>
                <w:lang w:val="fr-FR"/>
              </w:rPr>
              <w:sym w:font="Symbol" w:char="F0B1"/>
            </w:r>
            <w:r w:rsidRPr="006916E4">
              <w:rPr>
                <w:sz w:val="18"/>
                <w:szCs w:val="18"/>
                <w:lang w:val="fr-FR"/>
              </w:rPr>
              <w:t xml:space="preserve"> 5</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376F890" w14:textId="77777777" w:rsidR="0000597A" w:rsidRPr="006916E4" w:rsidRDefault="0000597A" w:rsidP="008D340C">
            <w:pPr>
              <w:spacing w:before="40" w:after="120"/>
              <w:ind w:left="57" w:right="57"/>
              <w:jc w:val="center"/>
              <w:rPr>
                <w:b/>
                <w:sz w:val="18"/>
                <w:szCs w:val="18"/>
                <w:lang w:val="fr-FR"/>
              </w:rPr>
            </w:pPr>
          </w:p>
        </w:tc>
      </w:tr>
      <w:tr w:rsidR="0000597A" w:rsidRPr="006916E4" w14:paraId="2EA1D799" w14:textId="77777777" w:rsidTr="008D340C">
        <w:tc>
          <w:tcPr>
            <w:tcW w:w="2409" w:type="dxa"/>
            <w:tcBorders>
              <w:top w:val="single" w:sz="4" w:space="0" w:color="auto"/>
              <w:left w:val="single" w:sz="4" w:space="0" w:color="auto"/>
              <w:bottom w:val="single" w:sz="4" w:space="0" w:color="auto"/>
              <w:right w:val="single" w:sz="4" w:space="0" w:color="auto"/>
            </w:tcBorders>
            <w:shd w:val="clear" w:color="auto" w:fill="auto"/>
          </w:tcPr>
          <w:p w14:paraId="5B878155" w14:textId="07EF3C87" w:rsidR="0000597A" w:rsidRPr="006916E4" w:rsidRDefault="0000597A" w:rsidP="008D340C">
            <w:pPr>
              <w:spacing w:before="40" w:after="120"/>
              <w:ind w:left="57" w:right="57"/>
              <w:rPr>
                <w:sz w:val="18"/>
                <w:szCs w:val="18"/>
                <w:lang w:val="fr-FR"/>
              </w:rPr>
            </w:pPr>
            <w:r w:rsidRPr="006916E4">
              <w:rPr>
                <w:sz w:val="18"/>
                <w:szCs w:val="18"/>
                <w:lang w:val="fr-FR"/>
              </w:rPr>
              <w:t>Type K1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79773D" w14:textId="6045E775" w:rsidR="0000597A" w:rsidRPr="006916E4" w:rsidRDefault="0000597A" w:rsidP="008D340C">
            <w:pPr>
              <w:spacing w:before="40" w:after="120"/>
              <w:ind w:left="57" w:right="57"/>
              <w:jc w:val="center"/>
              <w:rPr>
                <w:sz w:val="18"/>
                <w:szCs w:val="18"/>
                <w:lang w:val="fr-FR"/>
              </w:rPr>
            </w:pPr>
            <w:r w:rsidRPr="006916E4">
              <w:rPr>
                <w:sz w:val="18"/>
                <w:szCs w:val="18"/>
                <w:lang w:val="fr-FR"/>
              </w:rPr>
              <w:t xml:space="preserve">141 </w:t>
            </w:r>
            <w:r w:rsidRPr="006916E4">
              <w:rPr>
                <w:sz w:val="18"/>
                <w:szCs w:val="18"/>
                <w:lang w:val="fr-FR"/>
              </w:rPr>
              <w:sym w:font="Symbol" w:char="F0B1"/>
            </w:r>
            <w:r w:rsidRPr="006916E4">
              <w:rPr>
                <w:sz w:val="18"/>
                <w:szCs w:val="18"/>
                <w:lang w:val="fr-FR"/>
              </w:rPr>
              <w:t xml:space="preserve"> 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bottom"/>
          </w:tcPr>
          <w:p w14:paraId="66E0456F" w14:textId="3E3CF968" w:rsidR="0000597A" w:rsidRPr="006916E4" w:rsidRDefault="0000597A" w:rsidP="008D340C">
            <w:pPr>
              <w:spacing w:before="40" w:after="120"/>
              <w:ind w:left="57" w:right="57"/>
              <w:jc w:val="center"/>
              <w:rPr>
                <w:sz w:val="18"/>
                <w:szCs w:val="18"/>
                <w:lang w:val="fr-FR"/>
              </w:rPr>
            </w:pPr>
            <w:r w:rsidRPr="006916E4">
              <w:rPr>
                <w:sz w:val="18"/>
                <w:szCs w:val="18"/>
                <w:lang w:val="fr-FR"/>
              </w:rPr>
              <w:t xml:space="preserve">423 </w:t>
            </w:r>
            <w:r w:rsidRPr="006916E4">
              <w:rPr>
                <w:sz w:val="18"/>
                <w:szCs w:val="18"/>
                <w:lang w:val="fr-FR"/>
              </w:rPr>
              <w:sym w:font="Symbol" w:char="F0B1"/>
            </w:r>
            <w:r w:rsidRPr="006916E4">
              <w:rPr>
                <w:sz w:val="18"/>
                <w:szCs w:val="18"/>
                <w:lang w:val="fr-FR"/>
              </w:rPr>
              <w:t xml:space="preserve"> 5</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4D4B147" w14:textId="14528ECD" w:rsidR="0000597A" w:rsidRPr="006916E4" w:rsidRDefault="0000597A" w:rsidP="008D340C">
            <w:pPr>
              <w:spacing w:before="40" w:after="120"/>
              <w:ind w:left="57" w:right="57"/>
              <w:jc w:val="center"/>
              <w:rPr>
                <w:b/>
                <w:sz w:val="18"/>
                <w:szCs w:val="18"/>
                <w:lang w:val="fr-FR"/>
              </w:rPr>
            </w:pPr>
            <w:r w:rsidRPr="006916E4">
              <w:rPr>
                <w:b/>
                <w:sz w:val="18"/>
                <w:szCs w:val="18"/>
                <w:lang w:val="fr-FR"/>
              </w:rPr>
              <w:t>≥</w:t>
            </w:r>
            <w:r w:rsidRPr="006916E4">
              <w:rPr>
                <w:sz w:val="18"/>
                <w:szCs w:val="18"/>
                <w:lang w:val="fr-FR"/>
              </w:rPr>
              <w:t>596</w:t>
            </w:r>
          </w:p>
        </w:tc>
      </w:tr>
      <w:tr w:rsidR="00DB196D" w:rsidRPr="006916E4" w14:paraId="54981659" w14:textId="77777777" w:rsidTr="008D340C">
        <w:tc>
          <w:tcPr>
            <w:tcW w:w="2409" w:type="dxa"/>
            <w:tcBorders>
              <w:top w:val="single" w:sz="4" w:space="0" w:color="auto"/>
              <w:left w:val="single" w:sz="4" w:space="0" w:color="auto"/>
              <w:bottom w:val="single" w:sz="12" w:space="0" w:color="auto"/>
              <w:right w:val="single" w:sz="4" w:space="0" w:color="auto"/>
            </w:tcBorders>
            <w:shd w:val="clear" w:color="auto" w:fill="auto"/>
          </w:tcPr>
          <w:p w14:paraId="2C314A25" w14:textId="77777777" w:rsidR="00DB196D" w:rsidRPr="006916E4" w:rsidRDefault="00DB196D" w:rsidP="008D340C">
            <w:pPr>
              <w:spacing w:before="40" w:after="120"/>
              <w:ind w:left="57" w:right="57"/>
              <w:rPr>
                <w:sz w:val="18"/>
                <w:szCs w:val="18"/>
                <w:lang w:val="fr-FR"/>
              </w:rPr>
            </w:pPr>
            <w:r w:rsidRPr="006916E4">
              <w:rPr>
                <w:sz w:val="18"/>
                <w:szCs w:val="18"/>
                <w:lang w:val="fr-FR"/>
              </w:rPr>
              <w:t>Type K2</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bottom"/>
          </w:tcPr>
          <w:p w14:paraId="746D711D" w14:textId="77777777"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423 </w:t>
            </w:r>
            <w:r w:rsidRPr="006916E4">
              <w:rPr>
                <w:sz w:val="18"/>
                <w:szCs w:val="18"/>
                <w:lang w:val="fr-FR"/>
              </w:rPr>
              <w:sym w:font="Symbol" w:char="F0B1"/>
            </w:r>
            <w:r w:rsidRPr="006916E4">
              <w:rPr>
                <w:sz w:val="18"/>
                <w:szCs w:val="18"/>
                <w:lang w:val="fr-FR"/>
              </w:rPr>
              <w:t xml:space="preserve"> 5</w:t>
            </w:r>
          </w:p>
        </w:tc>
        <w:tc>
          <w:tcPr>
            <w:tcW w:w="1409" w:type="dxa"/>
            <w:tcBorders>
              <w:top w:val="single" w:sz="4" w:space="0" w:color="auto"/>
              <w:left w:val="single" w:sz="4" w:space="0" w:color="auto"/>
              <w:bottom w:val="single" w:sz="12" w:space="0" w:color="auto"/>
              <w:right w:val="single" w:sz="4" w:space="0" w:color="auto"/>
            </w:tcBorders>
            <w:shd w:val="clear" w:color="auto" w:fill="auto"/>
            <w:vAlign w:val="bottom"/>
          </w:tcPr>
          <w:p w14:paraId="098D4DA7" w14:textId="77777777" w:rsidR="00DB196D" w:rsidRPr="006916E4" w:rsidRDefault="00DB196D" w:rsidP="008D340C">
            <w:pPr>
              <w:spacing w:before="40" w:after="120"/>
              <w:ind w:left="57" w:right="57"/>
              <w:jc w:val="center"/>
              <w:rPr>
                <w:sz w:val="18"/>
                <w:szCs w:val="18"/>
                <w:lang w:val="fr-FR"/>
              </w:rPr>
            </w:pPr>
            <w:r w:rsidRPr="006916E4">
              <w:rPr>
                <w:sz w:val="18"/>
                <w:szCs w:val="18"/>
                <w:lang w:val="fr-FR"/>
              </w:rPr>
              <w:t xml:space="preserve">141 </w:t>
            </w:r>
            <w:r w:rsidRPr="006916E4">
              <w:rPr>
                <w:sz w:val="18"/>
                <w:szCs w:val="18"/>
                <w:lang w:val="fr-FR"/>
              </w:rPr>
              <w:sym w:font="Symbol" w:char="F0B1"/>
            </w:r>
            <w:r w:rsidRPr="006916E4">
              <w:rPr>
                <w:sz w:val="18"/>
                <w:szCs w:val="18"/>
                <w:lang w:val="fr-FR"/>
              </w:rPr>
              <w:t xml:space="preserve"> 5</w:t>
            </w:r>
          </w:p>
        </w:tc>
        <w:tc>
          <w:tcPr>
            <w:tcW w:w="1993" w:type="dxa"/>
            <w:tcBorders>
              <w:top w:val="single" w:sz="4" w:space="0" w:color="auto"/>
              <w:left w:val="single" w:sz="4" w:space="0" w:color="auto"/>
              <w:bottom w:val="single" w:sz="12" w:space="0" w:color="auto"/>
              <w:right w:val="single" w:sz="4" w:space="0" w:color="auto"/>
            </w:tcBorders>
            <w:shd w:val="clear" w:color="auto" w:fill="auto"/>
          </w:tcPr>
          <w:p w14:paraId="0CE8A895" w14:textId="5C250C37" w:rsidR="00DB196D" w:rsidRPr="006916E4" w:rsidRDefault="00DB196D" w:rsidP="008D340C">
            <w:pPr>
              <w:spacing w:before="40" w:after="120"/>
              <w:ind w:left="57" w:right="57"/>
              <w:jc w:val="center"/>
              <w:rPr>
                <w:sz w:val="18"/>
                <w:szCs w:val="18"/>
                <w:lang w:val="fr-FR"/>
              </w:rPr>
            </w:pPr>
          </w:p>
        </w:tc>
      </w:tr>
    </w:tbl>
    <w:p w14:paraId="699E3357" w14:textId="77777777" w:rsidR="00DB196D" w:rsidRPr="006916E4" w:rsidRDefault="00DB196D" w:rsidP="00DB196D">
      <w:pPr>
        <w:pStyle w:val="SingleTxtG"/>
        <w:spacing w:before="120"/>
        <w:ind w:left="2268"/>
        <w:rPr>
          <w:lang w:val="fr-FR"/>
        </w:rPr>
      </w:pPr>
      <w:r w:rsidRPr="006916E4">
        <w:rPr>
          <w:lang w:val="fr-FR"/>
        </w:rPr>
        <w:t>Des différences par rapport aux dimensions indiquées sont autorisées, à condition que :</w:t>
      </w:r>
    </w:p>
    <w:p w14:paraId="752476BB" w14:textId="77777777" w:rsidR="00DB196D" w:rsidRPr="006916E4" w:rsidRDefault="00DB196D" w:rsidP="00DB196D">
      <w:pPr>
        <w:pStyle w:val="SingleTxtG"/>
        <w:ind w:left="2835" w:hanging="567"/>
        <w:rPr>
          <w:lang w:val="fr-FR"/>
        </w:rPr>
      </w:pPr>
      <w:r w:rsidRPr="006916E4">
        <w:rPr>
          <w:lang w:val="fr-FR"/>
        </w:rPr>
        <w:t>a)</w:t>
      </w:r>
      <w:r w:rsidRPr="006916E4">
        <w:rPr>
          <w:lang w:val="fr-FR"/>
        </w:rPr>
        <w:tab/>
        <w:t>La surface visible de chaque bandeau soit au moins égale à 4 zones de référence normalisées ; et</w:t>
      </w:r>
    </w:p>
    <w:p w14:paraId="12EBD3E1" w14:textId="77777777" w:rsidR="00DB196D" w:rsidRPr="006916E4" w:rsidRDefault="00DB196D" w:rsidP="00DB196D">
      <w:pPr>
        <w:pStyle w:val="SingleTxtG"/>
        <w:ind w:left="2835" w:hanging="567"/>
        <w:rPr>
          <w:lang w:val="fr-FR"/>
        </w:rPr>
      </w:pPr>
      <w:r w:rsidRPr="006916E4">
        <w:rPr>
          <w:lang w:val="fr-FR"/>
        </w:rPr>
        <w:lastRenderedPageBreak/>
        <w:t>b)</w:t>
      </w:r>
      <w:r w:rsidRPr="006916E4">
        <w:rPr>
          <w:lang w:val="fr-FR"/>
        </w:rPr>
        <w:tab/>
        <w:t>Chaque bandeau équivaille au moins à 3 zones de référence normalisées entières.</w:t>
      </w:r>
    </w:p>
    <w:p w14:paraId="7C2C2099" w14:textId="77777777" w:rsidR="00DB196D" w:rsidRPr="006916E4" w:rsidRDefault="00DB196D" w:rsidP="00DB196D">
      <w:pPr>
        <w:pStyle w:val="SingleTxtG"/>
        <w:spacing w:before="240"/>
        <w:ind w:left="2268"/>
        <w:rPr>
          <w:lang w:val="fr-FR"/>
        </w:rPr>
      </w:pPr>
      <w:r w:rsidRPr="006916E4">
        <w:rPr>
          <w:lang w:val="fr-FR"/>
        </w:rPr>
        <w:t>Si la structure, la conception ou l</w:t>
      </w:r>
      <w:r>
        <w:rPr>
          <w:lang w:val="fr-FR"/>
        </w:rPr>
        <w:t>’</w:t>
      </w:r>
      <w:r w:rsidRPr="006916E4">
        <w:rPr>
          <w:lang w:val="fr-FR"/>
        </w:rPr>
        <w:t>utilisation du véhicule rend impossible le respect de cette prescription, chaque bandeau peut être scindé en deux parties à condition que chacune des 2 comprenne au moins 2 zones de référence normalisées entières. ».</w:t>
      </w:r>
    </w:p>
    <w:p w14:paraId="43EB80D2" w14:textId="77777777" w:rsidR="00DB196D" w:rsidRPr="006916E4" w:rsidRDefault="00DB196D" w:rsidP="00DB196D">
      <w:pPr>
        <w:pStyle w:val="SingleTxtG"/>
        <w:keepNext/>
        <w:rPr>
          <w:lang w:val="fr-FR"/>
        </w:rPr>
      </w:pPr>
      <w:r w:rsidRPr="006916E4">
        <w:rPr>
          <w:i/>
          <w:lang w:val="fr-FR"/>
        </w:rPr>
        <w:t>Paragraphe 1.2, tableau 2, titre</w:t>
      </w:r>
      <w:r w:rsidRPr="006916E4">
        <w:rPr>
          <w:lang w:val="fr-FR"/>
        </w:rPr>
        <w:t>,</w:t>
      </w:r>
      <w:r w:rsidRPr="006916E4">
        <w:rPr>
          <w:i/>
          <w:lang w:val="fr-FR"/>
        </w:rPr>
        <w:t xml:space="preserve"> </w:t>
      </w:r>
      <w:r w:rsidRPr="006916E4">
        <w:rPr>
          <w:lang w:val="fr-FR"/>
        </w:rPr>
        <w:t>lire :</w:t>
      </w:r>
    </w:p>
    <w:p w14:paraId="3CB9E037" w14:textId="77777777" w:rsidR="00DB196D" w:rsidRPr="006916E4" w:rsidRDefault="00DB196D" w:rsidP="00DB196D">
      <w:pPr>
        <w:pStyle w:val="SingleTxtG"/>
        <w:ind w:left="2268" w:hanging="1134"/>
        <w:rPr>
          <w:lang w:val="fr-FR"/>
        </w:rPr>
      </w:pPr>
      <w:r w:rsidRPr="006916E4">
        <w:rPr>
          <w:lang w:val="fr-FR"/>
        </w:rPr>
        <w:t>« Nombre</w:t>
      </w:r>
      <w:r w:rsidRPr="006916E4">
        <w:rPr>
          <w:strike/>
          <w:lang w:val="fr-FR"/>
        </w:rPr>
        <w:t xml:space="preserve"> </w:t>
      </w:r>
      <w:r w:rsidRPr="006916E4">
        <w:rPr>
          <w:bCs/>
          <w:lang w:val="fr-FR"/>
        </w:rPr>
        <w:t>minimum</w:t>
      </w:r>
      <w:r w:rsidRPr="006916E4">
        <w:rPr>
          <w:b/>
          <w:lang w:val="fr-FR"/>
        </w:rPr>
        <w:t xml:space="preserve"> </w:t>
      </w:r>
      <w:r w:rsidRPr="006916E4">
        <w:rPr>
          <w:lang w:val="fr-FR"/>
        </w:rPr>
        <w:t>de bandeaux visibles de l</w:t>
      </w:r>
      <w:r>
        <w:rPr>
          <w:lang w:val="fr-FR"/>
        </w:rPr>
        <w:t>’</w:t>
      </w:r>
      <w:r w:rsidRPr="006916E4">
        <w:rPr>
          <w:lang w:val="fr-FR"/>
        </w:rPr>
        <w:t>avant et de l</w:t>
      </w:r>
      <w:r>
        <w:rPr>
          <w:lang w:val="fr-FR"/>
        </w:rPr>
        <w:t>’</w:t>
      </w:r>
      <w:r w:rsidRPr="006916E4">
        <w:rPr>
          <w:lang w:val="fr-FR"/>
        </w:rPr>
        <w:t>arrière du véhicule. ».</w:t>
      </w:r>
    </w:p>
    <w:p w14:paraId="41DB7559" w14:textId="77777777" w:rsidR="00DB196D" w:rsidRPr="006916E4" w:rsidRDefault="00DB196D" w:rsidP="00DB196D">
      <w:pPr>
        <w:pStyle w:val="SingleTxtG"/>
        <w:keepNext/>
        <w:keepLines/>
        <w:rPr>
          <w:lang w:val="fr-FR"/>
        </w:rPr>
      </w:pPr>
      <w:r w:rsidRPr="006916E4">
        <w:rPr>
          <w:i/>
          <w:lang w:val="fr-FR"/>
        </w:rPr>
        <w:t>Ajouter le nouveau paragraphe 1.3</w:t>
      </w:r>
      <w:r w:rsidRPr="006916E4">
        <w:rPr>
          <w:lang w:val="fr-FR"/>
        </w:rPr>
        <w:t>, libellé comme suit :</w:t>
      </w:r>
    </w:p>
    <w:p w14:paraId="1CE824F9" w14:textId="207B0675" w:rsidR="005F0207" w:rsidRDefault="00DB196D" w:rsidP="00CC42A7">
      <w:pPr>
        <w:pStyle w:val="SingleTxtG"/>
        <w:ind w:left="2268" w:hanging="1134"/>
        <w:rPr>
          <w:lang w:val="fr-FR"/>
        </w:rPr>
      </w:pPr>
      <w:r w:rsidRPr="006916E4">
        <w:rPr>
          <w:lang w:val="fr-FR"/>
        </w:rPr>
        <w:t>« 1.3</w:t>
      </w:r>
      <w:r w:rsidRPr="006916E4">
        <w:rPr>
          <w:lang w:val="fr-FR"/>
        </w:rPr>
        <w:tab/>
        <w:t xml:space="preserve">Les bandeaux de signalisation de </w:t>
      </w:r>
      <w:r w:rsidRPr="006916E4">
        <w:rPr>
          <w:rFonts w:eastAsia="Times New Roman"/>
          <w:lang w:val="fr-FR"/>
        </w:rPr>
        <w:t>type</w:t>
      </w:r>
      <w:r w:rsidRPr="006916E4">
        <w:rPr>
          <w:lang w:val="fr-FR"/>
        </w:rPr>
        <w:t xml:space="preserve"> A peuvent être combinés avec des feux si la surface des bandeaux couverte par les feux n</w:t>
      </w:r>
      <w:r>
        <w:rPr>
          <w:lang w:val="fr-FR"/>
        </w:rPr>
        <w:t>’</w:t>
      </w:r>
      <w:r w:rsidRPr="006916E4">
        <w:rPr>
          <w:lang w:val="fr-FR"/>
        </w:rPr>
        <w:t>excède pas 150 cm². ».</w:t>
      </w:r>
    </w:p>
    <w:p w14:paraId="2AB37658" w14:textId="5E9851E8" w:rsidR="00CC42A7" w:rsidRPr="00CC42A7" w:rsidRDefault="00CC42A7" w:rsidP="00CC42A7">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CC42A7" w:rsidRPr="00CC42A7" w:rsidSect="00BA758A">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EAC4" w14:textId="77777777" w:rsidR="00032F4D" w:rsidRDefault="00032F4D"/>
  </w:endnote>
  <w:endnote w:type="continuationSeparator" w:id="0">
    <w:p w14:paraId="6B2421F0" w14:textId="77777777" w:rsidR="00032F4D" w:rsidRDefault="00032F4D">
      <w:pPr>
        <w:pStyle w:val="Pieddepage"/>
      </w:pPr>
    </w:p>
  </w:endnote>
  <w:endnote w:type="continuationNotice" w:id="1">
    <w:p w14:paraId="2B6A10BB" w14:textId="77777777" w:rsidR="00032F4D" w:rsidRPr="00C451B9" w:rsidRDefault="00032F4D"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3F1" w14:textId="77777777" w:rsidR="00BA758A" w:rsidRPr="00BA758A" w:rsidRDefault="00BA758A" w:rsidP="00BA758A">
    <w:pPr>
      <w:pStyle w:val="Pieddepage"/>
      <w:tabs>
        <w:tab w:val="right" w:pos="9638"/>
      </w:tabs>
    </w:pPr>
    <w:r w:rsidRPr="00BA758A">
      <w:rPr>
        <w:b/>
        <w:sz w:val="18"/>
      </w:rPr>
      <w:fldChar w:fldCharType="begin"/>
    </w:r>
    <w:r w:rsidRPr="00BA758A">
      <w:rPr>
        <w:b/>
        <w:sz w:val="18"/>
      </w:rPr>
      <w:instrText xml:space="preserve"> PAGE  \* MERGEFORMAT </w:instrText>
    </w:r>
    <w:r w:rsidRPr="00BA758A">
      <w:rPr>
        <w:b/>
        <w:sz w:val="18"/>
      </w:rPr>
      <w:fldChar w:fldCharType="separate"/>
    </w:r>
    <w:r w:rsidRPr="00BA758A">
      <w:rPr>
        <w:b/>
        <w:noProof/>
        <w:sz w:val="18"/>
      </w:rPr>
      <w:t>2</w:t>
    </w:r>
    <w:r w:rsidRPr="00BA758A">
      <w:rPr>
        <w:b/>
        <w:sz w:val="18"/>
      </w:rPr>
      <w:fldChar w:fldCharType="end"/>
    </w:r>
    <w:r>
      <w:rPr>
        <w:b/>
        <w:sz w:val="18"/>
      </w:rPr>
      <w:tab/>
    </w:r>
    <w:r>
      <w:t>GE.22-14688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EE9C" w14:textId="77777777" w:rsidR="00BA758A" w:rsidRPr="00BA758A" w:rsidRDefault="00BA758A" w:rsidP="00BA758A">
    <w:pPr>
      <w:pStyle w:val="Pieddepage"/>
      <w:tabs>
        <w:tab w:val="right" w:pos="9638"/>
      </w:tabs>
      <w:rPr>
        <w:b/>
        <w:sz w:val="18"/>
      </w:rPr>
    </w:pPr>
    <w:r>
      <w:t>GE.22-14688</w:t>
    </w:r>
    <w:r>
      <w:tab/>
    </w:r>
    <w:r w:rsidRPr="00BA758A">
      <w:rPr>
        <w:b/>
        <w:sz w:val="18"/>
      </w:rPr>
      <w:fldChar w:fldCharType="begin"/>
    </w:r>
    <w:r w:rsidRPr="00BA758A">
      <w:rPr>
        <w:b/>
        <w:sz w:val="18"/>
      </w:rPr>
      <w:instrText xml:space="preserve"> PAGE  \* MERGEFORMAT </w:instrText>
    </w:r>
    <w:r w:rsidRPr="00BA758A">
      <w:rPr>
        <w:b/>
        <w:sz w:val="18"/>
      </w:rPr>
      <w:fldChar w:fldCharType="separate"/>
    </w:r>
    <w:r w:rsidRPr="00BA758A">
      <w:rPr>
        <w:b/>
        <w:noProof/>
        <w:sz w:val="18"/>
      </w:rPr>
      <w:t>3</w:t>
    </w:r>
    <w:r w:rsidRPr="00BA758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CEF9" w14:textId="2A2B0835" w:rsidR="00467F2C" w:rsidRPr="00BA758A" w:rsidRDefault="00BA758A" w:rsidP="00BA758A">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4217A843" wp14:editId="209EF446">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22-14688  (F)</w:t>
    </w:r>
    <w:r>
      <w:rPr>
        <w:noProof/>
        <w:sz w:val="20"/>
      </w:rPr>
      <w:drawing>
        <wp:anchor distT="0" distB="0" distL="114300" distR="114300" simplePos="0" relativeHeight="251660288" behindDoc="0" locked="0" layoutInCell="1" allowOverlap="1" wp14:anchorId="1A52E0B5" wp14:editId="78832F08">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270922    300922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EE5F" w14:textId="77777777" w:rsidR="00032F4D" w:rsidRPr="00D27D5E" w:rsidRDefault="00032F4D" w:rsidP="00D27D5E">
      <w:pPr>
        <w:tabs>
          <w:tab w:val="right" w:pos="2155"/>
        </w:tabs>
        <w:spacing w:after="80"/>
        <w:ind w:left="680"/>
        <w:rPr>
          <w:u w:val="single"/>
        </w:rPr>
      </w:pPr>
      <w:r>
        <w:rPr>
          <w:u w:val="single"/>
        </w:rPr>
        <w:tab/>
      </w:r>
    </w:p>
  </w:footnote>
  <w:footnote w:type="continuationSeparator" w:id="0">
    <w:p w14:paraId="3BCF6574" w14:textId="77777777" w:rsidR="00032F4D" w:rsidRPr="00D171D4" w:rsidRDefault="00032F4D" w:rsidP="00D171D4">
      <w:pPr>
        <w:tabs>
          <w:tab w:val="right" w:pos="2155"/>
        </w:tabs>
        <w:spacing w:after="80"/>
        <w:ind w:left="680"/>
        <w:rPr>
          <w:u w:val="single"/>
        </w:rPr>
      </w:pPr>
      <w:r w:rsidRPr="00D171D4">
        <w:rPr>
          <w:u w:val="single"/>
        </w:rPr>
        <w:tab/>
      </w:r>
    </w:p>
  </w:footnote>
  <w:footnote w:type="continuationNotice" w:id="1">
    <w:p w14:paraId="5FCD3110" w14:textId="77777777" w:rsidR="00032F4D" w:rsidRPr="00C451B9" w:rsidRDefault="00032F4D" w:rsidP="00C451B9">
      <w:pPr>
        <w:spacing w:line="240" w:lineRule="auto"/>
        <w:rPr>
          <w:sz w:val="2"/>
          <w:szCs w:val="2"/>
        </w:rPr>
      </w:pPr>
    </w:p>
  </w:footnote>
  <w:footnote w:id="2">
    <w:p w14:paraId="6F34B68F" w14:textId="77777777" w:rsidR="00BA758A" w:rsidRPr="00591072" w:rsidRDefault="00BA758A" w:rsidP="00BA758A">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Pr="00591072">
        <w:t>Anciens titres de l’Accord :</w:t>
      </w:r>
    </w:p>
    <w:p w14:paraId="544C85B5" w14:textId="77777777" w:rsidR="00BA758A" w:rsidRPr="00591072" w:rsidRDefault="00BA758A" w:rsidP="00BA758A">
      <w:pPr>
        <w:pStyle w:val="Notedebasdepage"/>
      </w:pPr>
      <w:r w:rsidRPr="001364C0">
        <w:tab/>
      </w:r>
      <w:r w:rsidRPr="001364C0">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16B2510A" w14:textId="77777777" w:rsidR="00BA758A" w:rsidRPr="00591072" w:rsidRDefault="00BA758A" w:rsidP="00BA758A">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51DBAFC5" w14:textId="77777777" w:rsidR="00BA758A" w:rsidRPr="00442E31" w:rsidRDefault="00BA758A" w:rsidP="00BA758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6790" w14:textId="77777777" w:rsidR="00BA758A" w:rsidRPr="00BA758A" w:rsidRDefault="00BA758A">
    <w:pPr>
      <w:pStyle w:val="En-tte"/>
      <w:rPr>
        <w:lang w:val="en-US"/>
      </w:rPr>
    </w:pPr>
    <w:r>
      <w:fldChar w:fldCharType="begin"/>
    </w:r>
    <w:r w:rsidRPr="00BA758A">
      <w:rPr>
        <w:lang w:val="en-US"/>
      </w:rPr>
      <w:instrText xml:space="preserve"> TITLE  \* MERGEFORMAT </w:instrText>
    </w:r>
    <w:r>
      <w:fldChar w:fldCharType="separate"/>
    </w:r>
    <w:r w:rsidRPr="00BA758A">
      <w:rPr>
        <w:lang w:val="en-US"/>
      </w:rPr>
      <w:t>E/ECE/324/Rev.1/Add.85/Rev.3/Amend.4</w:t>
    </w:r>
    <w:r>
      <w:fldChar w:fldCharType="end"/>
    </w:r>
    <w:r w:rsidRPr="00BA758A">
      <w:rPr>
        <w:lang w:val="en-US"/>
      </w:rPr>
      <w:br/>
    </w:r>
    <w:r>
      <w:fldChar w:fldCharType="begin"/>
    </w:r>
    <w:r w:rsidRPr="00BA758A">
      <w:rPr>
        <w:lang w:val="en-US"/>
      </w:rPr>
      <w:instrText xml:space="preserve"> KEYWORDS  \* MERGEFORMAT </w:instrText>
    </w:r>
    <w:r>
      <w:fldChar w:fldCharType="separate"/>
    </w:r>
    <w:r w:rsidRPr="00BA758A">
      <w:rPr>
        <w:lang w:val="en-US"/>
      </w:rPr>
      <w:t>E/ECE/TRANS/505/Rev.1/Add.85/Rev.3/Amend.4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344B" w14:textId="77777777" w:rsidR="00BA758A" w:rsidRPr="00BA758A" w:rsidRDefault="00BA758A" w:rsidP="00BA758A">
    <w:pPr>
      <w:pStyle w:val="En-tte"/>
      <w:jc w:val="right"/>
      <w:rPr>
        <w:lang w:val="en-US"/>
      </w:rPr>
    </w:pPr>
    <w:r>
      <w:fldChar w:fldCharType="begin"/>
    </w:r>
    <w:r w:rsidRPr="00BA758A">
      <w:rPr>
        <w:lang w:val="en-US"/>
      </w:rPr>
      <w:instrText xml:space="preserve"> TITLE  \* MERGEFORMAT </w:instrText>
    </w:r>
    <w:r>
      <w:fldChar w:fldCharType="separate"/>
    </w:r>
    <w:r w:rsidRPr="00BA758A">
      <w:rPr>
        <w:lang w:val="en-US"/>
      </w:rPr>
      <w:t>E/ECE/324/Rev.1/Add.85/Rev.3/Amend.4</w:t>
    </w:r>
    <w:r>
      <w:fldChar w:fldCharType="end"/>
    </w:r>
    <w:r w:rsidRPr="00BA758A">
      <w:rPr>
        <w:lang w:val="en-US"/>
      </w:rPr>
      <w:br/>
    </w:r>
    <w:r>
      <w:fldChar w:fldCharType="begin"/>
    </w:r>
    <w:r w:rsidRPr="00BA758A">
      <w:rPr>
        <w:lang w:val="en-US"/>
      </w:rPr>
      <w:instrText xml:space="preserve"> KEYWORDS  \* MERGEFORMAT </w:instrText>
    </w:r>
    <w:r>
      <w:fldChar w:fldCharType="separate"/>
    </w:r>
    <w:r w:rsidRPr="00BA758A">
      <w:rPr>
        <w:lang w:val="en-US"/>
      </w:rPr>
      <w:t>E/ECE/TRANS/505/Rev.1/Add.85/Rev.3/Amend.4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4D"/>
    <w:rsid w:val="0000597A"/>
    <w:rsid w:val="0001470D"/>
    <w:rsid w:val="00016165"/>
    <w:rsid w:val="00016AC5"/>
    <w:rsid w:val="00021126"/>
    <w:rsid w:val="00021907"/>
    <w:rsid w:val="000233A5"/>
    <w:rsid w:val="0002445D"/>
    <w:rsid w:val="00024C50"/>
    <w:rsid w:val="00025E92"/>
    <w:rsid w:val="000276A3"/>
    <w:rsid w:val="00032060"/>
    <w:rsid w:val="00032F4D"/>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19E0"/>
    <w:rsid w:val="000D5C25"/>
    <w:rsid w:val="000E4F06"/>
    <w:rsid w:val="000E5601"/>
    <w:rsid w:val="000E5602"/>
    <w:rsid w:val="000F41F2"/>
    <w:rsid w:val="0010373B"/>
    <w:rsid w:val="00112C6E"/>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D7931"/>
    <w:rsid w:val="002E2F5C"/>
    <w:rsid w:val="002F0C48"/>
    <w:rsid w:val="003016B7"/>
    <w:rsid w:val="0030754C"/>
    <w:rsid w:val="00317E54"/>
    <w:rsid w:val="00322DF1"/>
    <w:rsid w:val="00324EBF"/>
    <w:rsid w:val="0032556C"/>
    <w:rsid w:val="00330508"/>
    <w:rsid w:val="0033286A"/>
    <w:rsid w:val="00333130"/>
    <w:rsid w:val="00344FD9"/>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4F2C5C"/>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4BF2"/>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2F62"/>
    <w:rsid w:val="00613A5E"/>
    <w:rsid w:val="00616B45"/>
    <w:rsid w:val="00617C8B"/>
    <w:rsid w:val="006241C6"/>
    <w:rsid w:val="00630D9B"/>
    <w:rsid w:val="00631953"/>
    <w:rsid w:val="00631AE5"/>
    <w:rsid w:val="0063208D"/>
    <w:rsid w:val="006434FD"/>
    <w:rsid w:val="00643814"/>
    <w:rsid w:val="006439EC"/>
    <w:rsid w:val="00645090"/>
    <w:rsid w:val="00647059"/>
    <w:rsid w:val="00647162"/>
    <w:rsid w:val="0065029A"/>
    <w:rsid w:val="00654264"/>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393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E2BEE"/>
    <w:rsid w:val="007F1867"/>
    <w:rsid w:val="007F1EC4"/>
    <w:rsid w:val="007F55CB"/>
    <w:rsid w:val="007F5955"/>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22BF"/>
    <w:rsid w:val="008B44C4"/>
    <w:rsid w:val="008C322B"/>
    <w:rsid w:val="008C4B74"/>
    <w:rsid w:val="008D1156"/>
    <w:rsid w:val="008D59DB"/>
    <w:rsid w:val="008E0319"/>
    <w:rsid w:val="008E4DE2"/>
    <w:rsid w:val="008E6252"/>
    <w:rsid w:val="008E7CE2"/>
    <w:rsid w:val="008E7FAE"/>
    <w:rsid w:val="00911BF7"/>
    <w:rsid w:val="0091594A"/>
    <w:rsid w:val="00922311"/>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421E"/>
    <w:rsid w:val="00A05DD1"/>
    <w:rsid w:val="00A077E9"/>
    <w:rsid w:val="00A2492E"/>
    <w:rsid w:val="00A27C92"/>
    <w:rsid w:val="00A31163"/>
    <w:rsid w:val="00A334DB"/>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D574F"/>
    <w:rsid w:val="00AE2617"/>
    <w:rsid w:val="00AE352C"/>
    <w:rsid w:val="00AE39A5"/>
    <w:rsid w:val="00AE79AC"/>
    <w:rsid w:val="00B01AAD"/>
    <w:rsid w:val="00B02805"/>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87D6D"/>
    <w:rsid w:val="00BA758A"/>
    <w:rsid w:val="00BC3F20"/>
    <w:rsid w:val="00BC76F0"/>
    <w:rsid w:val="00BD13E6"/>
    <w:rsid w:val="00BD28B2"/>
    <w:rsid w:val="00BD5A8D"/>
    <w:rsid w:val="00BD7343"/>
    <w:rsid w:val="00BF0556"/>
    <w:rsid w:val="00BF1C7D"/>
    <w:rsid w:val="00BF37EE"/>
    <w:rsid w:val="00BF3FEB"/>
    <w:rsid w:val="00C01899"/>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42A7"/>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177E6"/>
    <w:rsid w:val="00D244CB"/>
    <w:rsid w:val="00D27D5E"/>
    <w:rsid w:val="00D32B08"/>
    <w:rsid w:val="00D407D1"/>
    <w:rsid w:val="00D43E5F"/>
    <w:rsid w:val="00D51CE6"/>
    <w:rsid w:val="00D639BD"/>
    <w:rsid w:val="00D65777"/>
    <w:rsid w:val="00D66E0D"/>
    <w:rsid w:val="00D71BE1"/>
    <w:rsid w:val="00D7425A"/>
    <w:rsid w:val="00D74F7E"/>
    <w:rsid w:val="00D7695F"/>
    <w:rsid w:val="00D9039B"/>
    <w:rsid w:val="00D93582"/>
    <w:rsid w:val="00DA41A2"/>
    <w:rsid w:val="00DA43A1"/>
    <w:rsid w:val="00DA5E1D"/>
    <w:rsid w:val="00DB01CD"/>
    <w:rsid w:val="00DB196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45DF8"/>
    <w:rsid w:val="00E50510"/>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C78B6"/>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0DE46B"/>
  <w15:docId w15:val="{B15FA246-D083-4B0F-90B1-EFCBF14B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link w:val="H1GChar"/>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 w:type="character" w:customStyle="1" w:styleId="H1GChar">
    <w:name w:val="_ H_1_G Char"/>
    <w:link w:val="H1G"/>
    <w:locked/>
    <w:rsid w:val="00BA758A"/>
    <w:rPr>
      <w:rFonts w:eastAsiaTheme="minorHAnsi"/>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1AB16-D687-4066-8020-6DA5F0D2C373}">
  <ds:schemaRefs>
    <ds:schemaRef ds:uri="http://schemas.openxmlformats.org/officeDocument/2006/bibliography"/>
  </ds:schemaRefs>
</ds:datastoreItem>
</file>

<file path=customXml/itemProps2.xml><?xml version="1.0" encoding="utf-8"?>
<ds:datastoreItem xmlns:ds="http://schemas.openxmlformats.org/officeDocument/2006/customXml" ds:itemID="{F1BFFC0E-2B7E-4C4F-A92C-75D73B243BCE}"/>
</file>

<file path=customXml/itemProps3.xml><?xml version="1.0" encoding="utf-8"?>
<ds:datastoreItem xmlns:ds="http://schemas.openxmlformats.org/officeDocument/2006/customXml" ds:itemID="{612BEB09-5E23-4415-8231-24543867D6AC}"/>
</file>

<file path=docProps/app.xml><?xml version="1.0" encoding="utf-8"?>
<Properties xmlns="http://schemas.openxmlformats.org/officeDocument/2006/extended-properties" xmlns:vt="http://schemas.openxmlformats.org/officeDocument/2006/docPropsVTypes">
  <Template>E_ECE_324.dotm</Template>
  <TotalTime>0</TotalTime>
  <Pages>9</Pages>
  <Words>2315</Words>
  <Characters>15048</Characters>
  <Application>Microsoft Office Word</Application>
  <DocSecurity>0</DocSecurity>
  <Lines>1504</Lines>
  <Paragraphs>1021</Paragraphs>
  <ScaleCrop>false</ScaleCrop>
  <HeadingPairs>
    <vt:vector size="2" baseType="variant">
      <vt:variant>
        <vt:lpstr>Titre</vt:lpstr>
      </vt:variant>
      <vt:variant>
        <vt:i4>1</vt:i4>
      </vt:variant>
    </vt:vector>
  </HeadingPairs>
  <TitlesOfParts>
    <vt:vector size="1" baseType="lpstr">
      <vt:lpstr>E/ECE/324/Rev.1/Add.85/Rev.3/Amend.4</vt:lpstr>
    </vt:vector>
  </TitlesOfParts>
  <Company>CSD</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E/ECE/324/Rev.1/Add.85/Rev.3/Amend.4</dc:title>
  <dc:creator>Nathalie VITTOZ</dc:creator>
  <cp:keywords>E/ECE/TRANS/505/Rev.1/Add.85/Rev.3/Amend.4</cp:keywords>
  <cp:lastModifiedBy>Nathalie Vittoz</cp:lastModifiedBy>
  <cp:revision>2</cp:revision>
  <cp:lastPrinted>2008-11-04T15:54:00Z</cp:lastPrinted>
  <dcterms:created xsi:type="dcterms:W3CDTF">2022-09-30T10:44:00Z</dcterms:created>
  <dcterms:modified xsi:type="dcterms:W3CDTF">2022-09-30T10:44:00Z</dcterms:modified>
</cp:coreProperties>
</file>