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735295" w14:paraId="5F166E1E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304010" w14:textId="77777777" w:rsidR="00735295" w:rsidRPr="00735295" w:rsidRDefault="00735295" w:rsidP="00735295">
            <w:pPr>
              <w:jc w:val="right"/>
              <w:rPr>
                <w:lang w:val="en-US"/>
              </w:rPr>
            </w:pPr>
            <w:r w:rsidRPr="00735295">
              <w:rPr>
                <w:sz w:val="40"/>
                <w:lang w:val="en-US"/>
              </w:rPr>
              <w:t>E</w:t>
            </w:r>
            <w:r w:rsidRPr="00735295">
              <w:rPr>
                <w:lang w:val="en-US"/>
              </w:rPr>
              <w:t>/ECE/324/Rev.1/Add.82/Rev.4/Amend.17−</w:t>
            </w:r>
            <w:r w:rsidRPr="00735295">
              <w:rPr>
                <w:sz w:val="40"/>
                <w:lang w:val="en-US"/>
              </w:rPr>
              <w:t>E</w:t>
            </w:r>
            <w:r w:rsidRPr="00735295">
              <w:rPr>
                <w:lang w:val="en-US"/>
              </w:rPr>
              <w:t>/ECE/TRANS/505/Rev.1/Add.82/Rev.4/Amend.17</w:t>
            </w:r>
          </w:p>
        </w:tc>
      </w:tr>
      <w:tr w:rsidR="00421A10" w:rsidRPr="00DB58B5" w14:paraId="4C3BE27D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8B5999" w14:textId="77777777" w:rsidR="00421A10" w:rsidRPr="00735295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F94794" w14:textId="77777777" w:rsidR="00421A10" w:rsidRPr="00DB58B5" w:rsidRDefault="00735295" w:rsidP="00A27C92">
            <w:pPr>
              <w:spacing w:before="480" w:line="240" w:lineRule="exact"/>
            </w:pPr>
            <w:r>
              <w:t>15 septembre 2022</w:t>
            </w:r>
          </w:p>
        </w:tc>
      </w:tr>
    </w:tbl>
    <w:p w14:paraId="306CBA91" w14:textId="77777777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14:paraId="563E0865" w14:textId="57E7C1C3" w:rsidR="00421A10" w:rsidRPr="00583D68" w:rsidRDefault="0029791D" w:rsidP="0029791D">
      <w:pPr>
        <w:pStyle w:val="H1G"/>
      </w:pPr>
      <w:r>
        <w:tab/>
      </w:r>
      <w:r>
        <w:tab/>
      </w:r>
      <w:r w:rsidR="00421A10" w:rsidRPr="00583D68">
        <w:t xml:space="preserve">Concernant l’adoption </w:t>
      </w:r>
      <w:r w:rsidR="00735295" w:rsidRPr="00735295">
        <w:rPr>
          <w:lang w:val="fr-FR"/>
        </w:rPr>
        <w:t xml:space="preserve">de Règlements techniques harmonisés </w:t>
      </w:r>
      <w:r w:rsidR="00735295">
        <w:rPr>
          <w:lang w:val="fr-FR"/>
        </w:rPr>
        <w:br/>
      </w:r>
      <w:r w:rsidR="00735295" w:rsidRPr="00735295">
        <w:rPr>
          <w:lang w:val="fr-FR"/>
        </w:rPr>
        <w:t xml:space="preserve">de l’ONU applicables aux véhicules à roues et aux équipements </w:t>
      </w:r>
      <w:r w:rsidR="00735295">
        <w:rPr>
          <w:lang w:val="fr-FR"/>
        </w:rPr>
        <w:br/>
      </w:r>
      <w:r w:rsidR="00735295" w:rsidRPr="00735295">
        <w:rPr>
          <w:lang w:val="fr-FR"/>
        </w:rPr>
        <w:t xml:space="preserve">et pièces susceptibles d’être montés ou utilisés sur les véhicules </w:t>
      </w:r>
      <w:r w:rsidR="00735295">
        <w:rPr>
          <w:lang w:val="fr-FR"/>
        </w:rPr>
        <w:br/>
      </w:r>
      <w:r w:rsidR="00735295" w:rsidRPr="00735295">
        <w:rPr>
          <w:lang w:val="fr-FR"/>
        </w:rPr>
        <w:t>à roues et les conditions de reconnaissance réciproque des homologations délivrées conformément à ces Règlements</w:t>
      </w:r>
      <w:r w:rsidR="00442E31" w:rsidRPr="00735295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24D4DB9E" w14:textId="1790C5B2" w:rsidR="00421A10" w:rsidRPr="00A12483" w:rsidRDefault="00421A10" w:rsidP="0029791D">
      <w:pPr>
        <w:pStyle w:val="SingleTxtG"/>
        <w:jc w:val="left"/>
        <w:rPr>
          <w:b/>
          <w:sz w:val="24"/>
          <w:szCs w:val="24"/>
        </w:rPr>
      </w:pPr>
      <w:r w:rsidRPr="006549FF">
        <w:t xml:space="preserve">(Révision </w:t>
      </w:r>
      <w:r w:rsidR="00735295" w:rsidRPr="00735295">
        <w:rPr>
          <w:lang w:val="fr-FR"/>
        </w:rPr>
        <w:t>3, comprenant les amendements entrés en vigueur le 14 septembre 2017)</w:t>
      </w:r>
    </w:p>
    <w:p w14:paraId="14F9F679" w14:textId="77777777" w:rsidR="00421A10" w:rsidRPr="006549FF" w:rsidRDefault="0029791D" w:rsidP="0029791D">
      <w:pPr>
        <w:jc w:val="center"/>
      </w:pPr>
      <w:r>
        <w:t>_______________</w:t>
      </w:r>
    </w:p>
    <w:p w14:paraId="54712AAA" w14:textId="2D9D2ABB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 xml:space="preserve">Additif </w:t>
      </w:r>
      <w:r w:rsidR="00735295">
        <w:t>82 −</w:t>
      </w:r>
      <w:r w:rsidR="00421A10" w:rsidRPr="006549FF">
        <w:t xml:space="preserve"> Règlement</w:t>
      </w:r>
      <w:r w:rsidR="00421A10">
        <w:t xml:space="preserve"> </w:t>
      </w:r>
      <w:r w:rsidR="001E7643">
        <w:t xml:space="preserve">ONU </w:t>
      </w:r>
      <w:r w:rsidR="00421A10" w:rsidRPr="00B371BF">
        <w:t>n</w:t>
      </w:r>
      <w:r w:rsidR="00421A10" w:rsidRPr="00B371BF">
        <w:rPr>
          <w:vertAlign w:val="superscript"/>
        </w:rPr>
        <w:t>o</w:t>
      </w:r>
      <w:r w:rsidR="00421A10">
        <w:t> </w:t>
      </w:r>
      <w:r w:rsidR="00735295">
        <w:t>83</w:t>
      </w:r>
    </w:p>
    <w:p w14:paraId="147EAA21" w14:textId="3CE0840E" w:rsidR="00421A10" w:rsidRPr="006549FF" w:rsidRDefault="0029791D" w:rsidP="0029791D">
      <w:pPr>
        <w:pStyle w:val="H1G"/>
      </w:pPr>
      <w:r>
        <w:tab/>
      </w:r>
      <w:r>
        <w:tab/>
      </w:r>
      <w:r w:rsidR="00421A10" w:rsidRPr="006549FF">
        <w:t xml:space="preserve">Révision </w:t>
      </w:r>
      <w:r w:rsidR="00735295">
        <w:t>4 − Amendement 17</w:t>
      </w:r>
    </w:p>
    <w:p w14:paraId="032E4D0C" w14:textId="7BC28016" w:rsidR="00421A10" w:rsidRPr="0029791D" w:rsidRDefault="00735295" w:rsidP="00735295">
      <w:pPr>
        <w:pStyle w:val="SingleTxtG"/>
        <w:spacing w:after="0"/>
      </w:pPr>
      <w:r w:rsidRPr="000210B6">
        <w:rPr>
          <w:rFonts w:eastAsia="Times New Roman"/>
          <w:spacing w:val="-2"/>
          <w:lang w:val="fr-FR"/>
        </w:rPr>
        <w:t>Complément</w:t>
      </w:r>
      <w:r w:rsidRPr="001A5E52">
        <w:rPr>
          <w:rFonts w:eastAsia="Times New Roman"/>
          <w:spacing w:val="-2"/>
          <w:lang w:val="fr-FR"/>
        </w:rPr>
        <w:t xml:space="preserve"> 17 </w:t>
      </w:r>
      <w:r w:rsidRPr="000210B6">
        <w:rPr>
          <w:rFonts w:eastAsia="Times New Roman"/>
          <w:spacing w:val="-2"/>
          <w:lang w:val="fr-FR"/>
        </w:rPr>
        <w:t xml:space="preserve">à la série </w:t>
      </w:r>
      <w:r w:rsidRPr="001A5E52">
        <w:rPr>
          <w:rFonts w:eastAsia="Times New Roman"/>
          <w:spacing w:val="-2"/>
          <w:lang w:val="fr-FR"/>
        </w:rPr>
        <w:t xml:space="preserve">06 </w:t>
      </w:r>
      <w:r w:rsidRPr="000210B6">
        <w:rPr>
          <w:rFonts w:eastAsia="Times New Roman"/>
          <w:spacing w:val="-2"/>
          <w:lang w:val="fr-FR"/>
        </w:rPr>
        <w:t>d</w:t>
      </w:r>
      <w:r>
        <w:rPr>
          <w:rFonts w:eastAsia="Times New Roman"/>
          <w:spacing w:val="-2"/>
          <w:lang w:val="fr-FR"/>
        </w:rPr>
        <w:t>’</w:t>
      </w:r>
      <w:r w:rsidRPr="001A5E52">
        <w:rPr>
          <w:rFonts w:eastAsia="Times New Roman"/>
          <w:spacing w:val="-2"/>
          <w:lang w:val="fr-FR"/>
        </w:rPr>
        <w:t>amend</w:t>
      </w:r>
      <w:r w:rsidRPr="000210B6">
        <w:rPr>
          <w:rFonts w:eastAsia="Times New Roman"/>
          <w:spacing w:val="-2"/>
          <w:lang w:val="fr-FR"/>
        </w:rPr>
        <w:t>e</w:t>
      </w:r>
      <w:r w:rsidRPr="001A5E52">
        <w:rPr>
          <w:rFonts w:eastAsia="Times New Roman"/>
          <w:spacing w:val="-2"/>
          <w:lang w:val="fr-FR"/>
        </w:rPr>
        <w:t xml:space="preserve">ments </w:t>
      </w:r>
      <w:r>
        <w:rPr>
          <w:rFonts w:eastAsia="Times New Roman"/>
          <w:spacing w:val="-2"/>
          <w:lang w:val="fr-FR"/>
        </w:rPr>
        <w:t>−</w:t>
      </w:r>
      <w:r w:rsidRPr="001A5E52">
        <w:rPr>
          <w:rFonts w:eastAsia="Times New Roman"/>
          <w:spacing w:val="-2"/>
          <w:lang w:val="fr-FR"/>
        </w:rPr>
        <w:t xml:space="preserve"> Date </w:t>
      </w:r>
      <w:r w:rsidRPr="000210B6">
        <w:rPr>
          <w:rFonts w:eastAsia="Times New Roman"/>
          <w:spacing w:val="-2"/>
          <w:lang w:val="fr-FR"/>
        </w:rPr>
        <w:t>d</w:t>
      </w:r>
      <w:r>
        <w:rPr>
          <w:rFonts w:eastAsia="Times New Roman"/>
          <w:spacing w:val="-2"/>
          <w:lang w:val="fr-FR"/>
        </w:rPr>
        <w:t>’</w:t>
      </w:r>
      <w:r w:rsidRPr="000210B6">
        <w:rPr>
          <w:rFonts w:eastAsia="Times New Roman"/>
          <w:spacing w:val="-2"/>
          <w:lang w:val="fr-FR"/>
        </w:rPr>
        <w:t>entrée en vigueur</w:t>
      </w:r>
      <w:r w:rsidRPr="001A5E52">
        <w:rPr>
          <w:rFonts w:eastAsia="Times New Roman"/>
          <w:spacing w:val="-2"/>
          <w:lang w:val="fr-FR"/>
        </w:rPr>
        <w:t xml:space="preserve"> : </w:t>
      </w:r>
      <w:r w:rsidRPr="001A5E52">
        <w:rPr>
          <w:rFonts w:eastAsia="Times New Roman"/>
          <w:lang w:val="fr-FR"/>
        </w:rPr>
        <w:t xml:space="preserve">22 </w:t>
      </w:r>
      <w:r w:rsidRPr="000210B6">
        <w:rPr>
          <w:rFonts w:eastAsia="Times New Roman"/>
          <w:lang w:val="fr-FR"/>
        </w:rPr>
        <w:t>juin</w:t>
      </w:r>
      <w:r w:rsidRPr="001A5E52">
        <w:rPr>
          <w:rFonts w:eastAsia="Times New Roman"/>
          <w:lang w:val="fr-FR"/>
        </w:rPr>
        <w:t xml:space="preserve"> 2022</w:t>
      </w:r>
    </w:p>
    <w:p w14:paraId="224E8726" w14:textId="3FFEE8C5" w:rsidR="00421A10" w:rsidRDefault="0029791D" w:rsidP="00735295">
      <w:pPr>
        <w:pStyle w:val="H1G"/>
      </w:pPr>
      <w:r>
        <w:tab/>
      </w:r>
      <w:r>
        <w:tab/>
      </w:r>
      <w:r w:rsidR="00421A10" w:rsidRPr="007619D3">
        <w:t xml:space="preserve">Prescriptions uniformes relatives </w:t>
      </w:r>
      <w:r w:rsidR="00735295" w:rsidRPr="00735295">
        <w:rPr>
          <w:lang w:val="fr-FR"/>
        </w:rPr>
        <w:t xml:space="preserve">à l’homologation des véhicules </w:t>
      </w:r>
      <w:r w:rsidR="00735295">
        <w:rPr>
          <w:lang w:val="fr-FR"/>
        </w:rPr>
        <w:br/>
      </w:r>
      <w:r w:rsidR="00735295" w:rsidRPr="00735295">
        <w:rPr>
          <w:lang w:val="fr-FR"/>
        </w:rPr>
        <w:t xml:space="preserve">en ce qui concerne les émissions de polluants selon les exigences </w:t>
      </w:r>
      <w:r w:rsidR="00735295">
        <w:rPr>
          <w:lang w:val="fr-FR"/>
        </w:rPr>
        <w:br/>
      </w:r>
      <w:r w:rsidR="00735295" w:rsidRPr="00735295">
        <w:rPr>
          <w:lang w:val="fr-FR"/>
        </w:rPr>
        <w:t>du moteur en matière de carburant</w:t>
      </w:r>
    </w:p>
    <w:p w14:paraId="39A382B7" w14:textId="3EEB0A47" w:rsidR="00735295" w:rsidRDefault="00735295" w:rsidP="00735295">
      <w:pPr>
        <w:pStyle w:val="SingleTxtG"/>
      </w:pPr>
      <w:r>
        <w:rPr>
          <w:lang w:val="fr-FR" w:eastAsia="en-GB"/>
        </w:rPr>
        <w:tab/>
      </w:r>
      <w:r w:rsidRPr="00735295">
        <w:rPr>
          <w:spacing w:val="-4"/>
          <w:lang w:val="fr-FR" w:eastAsia="en-GB"/>
        </w:rPr>
        <w:tab/>
      </w:r>
      <w:r w:rsidRPr="00735295">
        <w:rPr>
          <w:spacing w:val="-4"/>
          <w:lang w:val="fr-FR" w:eastAsia="en-GB"/>
        </w:rPr>
        <w:t xml:space="preserve">Le présent document est communiqué uniquement à titre d’information. Le texte authentique, juridiquement contraignant, est celui du document </w:t>
      </w:r>
      <w:r w:rsidRPr="00735295">
        <w:rPr>
          <w:spacing w:val="-4"/>
        </w:rPr>
        <w:fldChar w:fldCharType="begin"/>
      </w:r>
      <w:r w:rsidRPr="00735295">
        <w:rPr>
          <w:spacing w:val="-4"/>
        </w:rPr>
        <w:instrText xml:space="preserve"> TITLE  \* MERGEFORMAT </w:instrText>
      </w:r>
      <w:r w:rsidRPr="00735295">
        <w:rPr>
          <w:spacing w:val="-4"/>
        </w:rPr>
        <w:fldChar w:fldCharType="separate"/>
      </w:r>
      <w:r w:rsidR="00A7649B">
        <w:rPr>
          <w:spacing w:val="-4"/>
        </w:rPr>
        <w:t>E/ECE/324/Rev.1/Add.82/Rev.4/Amend.17</w:t>
      </w:r>
      <w:r w:rsidRPr="00735295">
        <w:rPr>
          <w:spacing w:val="-4"/>
        </w:rPr>
        <w:fldChar w:fldCharType="end"/>
      </w:r>
      <w:r w:rsidRPr="001A5E52">
        <w:rPr>
          <w:spacing w:val="-6"/>
          <w:lang w:val="fr-FR" w:eastAsia="en-GB"/>
        </w:rPr>
        <w:t>.</w:t>
      </w:r>
      <w:r w:rsidR="00442E3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116CE" wp14:editId="7B34BB51">
                <wp:simplePos x="0" y="0"/>
                <wp:positionH relativeFrom="margin">
                  <wp:posOffset>0</wp:posOffset>
                </wp:positionH>
                <wp:positionV relativeFrom="margin">
                  <wp:posOffset>6301105</wp:posOffset>
                </wp:positionV>
                <wp:extent cx="6120000" cy="11520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2011E" w14:textId="77777777" w:rsidR="00442E31" w:rsidRPr="0029791D" w:rsidRDefault="00442E31" w:rsidP="00C9521D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5731A28E" w14:textId="77777777" w:rsidR="00442E31" w:rsidRDefault="00442E31" w:rsidP="00C9521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7D515A89" wp14:editId="350B2465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360671" w14:textId="77777777" w:rsidR="00442E31" w:rsidRDefault="00442E31" w:rsidP="00C6525D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116C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496.15pt;width:481.9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" stroked="f">
                <v:textbox inset="0,0,0,0">
                  <w:txbxContent>
                    <w:p w14:paraId="3842011E" w14:textId="77777777" w:rsidR="00442E31" w:rsidRPr="0029791D" w:rsidRDefault="00442E31" w:rsidP="00C9521D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5731A28E" w14:textId="77777777" w:rsidR="00442E31" w:rsidRDefault="00442E31" w:rsidP="00C9521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7D515A89" wp14:editId="350B2465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360671" w14:textId="77777777" w:rsidR="00442E31" w:rsidRDefault="00442E31" w:rsidP="00C6525D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0DA8304" w14:textId="53D94BEE" w:rsidR="00735295" w:rsidRDefault="00735295">
      <w:pPr>
        <w:suppressAutoHyphens w:val="0"/>
        <w:kinsoku/>
        <w:overflowPunct/>
        <w:autoSpaceDE/>
        <w:autoSpaceDN/>
        <w:adjustRightInd/>
        <w:snapToGrid/>
        <w:spacing w:line="240" w:lineRule="auto"/>
      </w:pPr>
      <w:r>
        <w:br w:type="page"/>
      </w:r>
    </w:p>
    <w:p w14:paraId="39FAB22E" w14:textId="77777777" w:rsidR="00735295" w:rsidRPr="000210B6" w:rsidRDefault="00735295" w:rsidP="00735295">
      <w:pPr>
        <w:pStyle w:val="SingleTxtG"/>
        <w:rPr>
          <w:i/>
          <w:iCs/>
          <w:lang w:val="fr-FR"/>
        </w:rPr>
      </w:pPr>
      <w:r w:rsidRPr="000210B6">
        <w:rPr>
          <w:i/>
          <w:iCs/>
          <w:lang w:val="fr-FR"/>
        </w:rPr>
        <w:lastRenderedPageBreak/>
        <w:t>Annexe 4a</w:t>
      </w:r>
    </w:p>
    <w:p w14:paraId="61926F24" w14:textId="77777777" w:rsidR="00735295" w:rsidRPr="000210B6" w:rsidRDefault="00735295" w:rsidP="00735295">
      <w:pPr>
        <w:pStyle w:val="SingleTxtG"/>
        <w:rPr>
          <w:lang w:val="fr-FR"/>
        </w:rPr>
      </w:pPr>
      <w:r w:rsidRPr="000210B6">
        <w:rPr>
          <w:i/>
          <w:iCs/>
          <w:lang w:val="fr-FR"/>
        </w:rPr>
        <w:t>Paragraphe 5.1</w:t>
      </w:r>
      <w:r w:rsidRPr="000210B6">
        <w:rPr>
          <w:lang w:val="fr-FR"/>
        </w:rPr>
        <w:t>, lire :</w:t>
      </w:r>
    </w:p>
    <w:p w14:paraId="49BEAF83" w14:textId="77777777" w:rsidR="00735295" w:rsidRPr="000210B6" w:rsidRDefault="00735295" w:rsidP="00735295">
      <w:pPr>
        <w:pStyle w:val="SingleTxtG"/>
        <w:ind w:left="2268" w:hanging="1134"/>
        <w:rPr>
          <w:rFonts w:eastAsia="MS Mincho"/>
          <w:lang w:val="fr-FR"/>
        </w:rPr>
      </w:pPr>
      <w:r w:rsidRPr="000210B6">
        <w:rPr>
          <w:lang w:val="fr-FR"/>
        </w:rPr>
        <w:t>« 5.1</w:t>
      </w:r>
      <w:r w:rsidRPr="000210B6">
        <w:rPr>
          <w:lang w:val="fr-FR"/>
        </w:rPr>
        <w:tab/>
        <w:t>Procédure d</w:t>
      </w:r>
      <w:r>
        <w:rPr>
          <w:lang w:val="fr-FR"/>
        </w:rPr>
        <w:t>’</w:t>
      </w:r>
      <w:r w:rsidRPr="000210B6">
        <w:rPr>
          <w:lang w:val="fr-FR"/>
        </w:rPr>
        <w:t>essai</w:t>
      </w:r>
    </w:p>
    <w:p w14:paraId="336022F6" w14:textId="77777777" w:rsidR="00735295" w:rsidRPr="000210B6" w:rsidRDefault="00735295" w:rsidP="00735295">
      <w:pPr>
        <w:pStyle w:val="SingleTxtG"/>
        <w:ind w:left="2268"/>
        <w:rPr>
          <w:rFonts w:eastAsia="MS Mincho"/>
          <w:lang w:val="fr-FR"/>
        </w:rPr>
      </w:pPr>
      <w:r w:rsidRPr="000210B6">
        <w:rPr>
          <w:lang w:val="fr-FR"/>
        </w:rPr>
        <w:t>La méthode utilisée pour mesurer la résistance à l</w:t>
      </w:r>
      <w:r>
        <w:rPr>
          <w:lang w:val="fr-FR"/>
        </w:rPr>
        <w:t>’</w:t>
      </w:r>
      <w:r w:rsidRPr="000210B6">
        <w:rPr>
          <w:lang w:val="fr-FR"/>
        </w:rPr>
        <w:t xml:space="preserve">avancement sur route du véhicule est décrite à </w:t>
      </w:r>
      <w:r w:rsidRPr="000210B6">
        <w:rPr>
          <w:rFonts w:eastAsia="MS Mincho"/>
          <w:lang w:val="fr-FR"/>
        </w:rPr>
        <w:t>l</w:t>
      </w:r>
      <w:r>
        <w:rPr>
          <w:rFonts w:eastAsia="MS Mincho"/>
          <w:lang w:val="fr-FR"/>
        </w:rPr>
        <w:t>’</w:t>
      </w:r>
      <w:r w:rsidRPr="000210B6">
        <w:rPr>
          <w:rFonts w:eastAsia="MS Mincho"/>
          <w:lang w:val="fr-FR"/>
        </w:rPr>
        <w:t>appendice</w:t>
      </w:r>
      <w:r w:rsidRPr="000210B6">
        <w:rPr>
          <w:lang w:val="fr-FR"/>
        </w:rPr>
        <w:t> 7a de la présente annexe.</w:t>
      </w:r>
    </w:p>
    <w:p w14:paraId="0A2A0033" w14:textId="77777777" w:rsidR="00735295" w:rsidRPr="000210B6" w:rsidRDefault="00735295" w:rsidP="00735295">
      <w:pPr>
        <w:pStyle w:val="SingleTxtG"/>
        <w:ind w:left="2268"/>
        <w:rPr>
          <w:rFonts w:eastAsia="MS Mincho"/>
          <w:lang w:val="fr-FR"/>
        </w:rPr>
      </w:pPr>
      <w:r w:rsidRPr="000210B6">
        <w:rPr>
          <w:rFonts w:eastAsia="MS Mincho"/>
          <w:lang w:val="fr-FR"/>
        </w:rPr>
        <w:t xml:space="preserve">Les méthodes </w:t>
      </w:r>
      <w:r w:rsidRPr="000210B6">
        <w:rPr>
          <w:lang w:val="fr-FR"/>
        </w:rPr>
        <w:t>suivantes</w:t>
      </w:r>
      <w:r w:rsidRPr="000210B6">
        <w:rPr>
          <w:rFonts w:eastAsia="MS Mincho"/>
          <w:lang w:val="fr-FR"/>
        </w:rPr>
        <w:t xml:space="preserve"> peuvent également être utilisées :</w:t>
      </w:r>
    </w:p>
    <w:p w14:paraId="08566D49" w14:textId="77777777" w:rsidR="00735295" w:rsidRPr="000210B6" w:rsidRDefault="00735295" w:rsidP="00735295">
      <w:pPr>
        <w:pStyle w:val="SingleTxtG"/>
        <w:ind w:left="2835" w:hanging="567"/>
        <w:rPr>
          <w:rFonts w:eastAsia="MS Mincho"/>
          <w:lang w:val="fr-FR"/>
        </w:rPr>
      </w:pPr>
      <w:r w:rsidRPr="000210B6">
        <w:rPr>
          <w:lang w:val="fr-FR"/>
        </w:rPr>
        <w:t>a)</w:t>
      </w:r>
      <w:r w:rsidRPr="000210B6">
        <w:rPr>
          <w:lang w:val="fr-FR"/>
        </w:rPr>
        <w:tab/>
        <w:t>Dans le cas où la résistance à l</w:t>
      </w:r>
      <w:r>
        <w:rPr>
          <w:lang w:val="fr-FR"/>
        </w:rPr>
        <w:t>’</w:t>
      </w:r>
      <w:r w:rsidRPr="000210B6">
        <w:rPr>
          <w:lang w:val="fr-FR"/>
        </w:rPr>
        <w:t xml:space="preserve">avancement sur route du véhicule a déjà été déterminée </w:t>
      </w:r>
      <w:r w:rsidRPr="000210B6">
        <w:rPr>
          <w:rFonts w:eastAsia="MS Mincho"/>
          <w:lang w:val="fr-FR"/>
        </w:rPr>
        <w:t>conformément</w:t>
      </w:r>
      <w:r w:rsidRPr="000210B6">
        <w:rPr>
          <w:lang w:val="fr-FR"/>
        </w:rPr>
        <w:t xml:space="preserve"> à la procédure WLTP telle qu</w:t>
      </w:r>
      <w:r>
        <w:rPr>
          <w:lang w:val="fr-FR"/>
        </w:rPr>
        <w:t>’</w:t>
      </w:r>
      <w:r w:rsidRPr="000210B6">
        <w:rPr>
          <w:lang w:val="fr-FR"/>
        </w:rPr>
        <w:t>elle est définie dans le RTM ONU n</w:t>
      </w:r>
      <w:r w:rsidRPr="000210B6">
        <w:rPr>
          <w:vertAlign w:val="superscript"/>
          <w:lang w:val="fr-FR"/>
        </w:rPr>
        <w:t>o</w:t>
      </w:r>
      <w:r w:rsidRPr="000210B6">
        <w:rPr>
          <w:lang w:val="fr-FR"/>
        </w:rPr>
        <w:t> 15, la méthode décrite à l</w:t>
      </w:r>
      <w:r>
        <w:rPr>
          <w:lang w:val="fr-FR"/>
        </w:rPr>
        <w:t>’</w:t>
      </w:r>
      <w:r w:rsidRPr="000210B6">
        <w:rPr>
          <w:lang w:val="fr-FR"/>
        </w:rPr>
        <w:t>appendice 7b peut être utilisée ;</w:t>
      </w:r>
    </w:p>
    <w:p w14:paraId="76AB4B4E" w14:textId="77777777" w:rsidR="00735295" w:rsidRPr="000210B6" w:rsidRDefault="00735295" w:rsidP="00735295">
      <w:pPr>
        <w:pStyle w:val="SingleTxtG"/>
        <w:ind w:left="2835" w:hanging="567"/>
        <w:rPr>
          <w:rFonts w:eastAsia="MS Mincho"/>
          <w:lang w:val="fr-FR"/>
        </w:rPr>
      </w:pPr>
      <w:r w:rsidRPr="000210B6">
        <w:rPr>
          <w:lang w:val="fr-FR"/>
        </w:rPr>
        <w:t>b)</w:t>
      </w:r>
      <w:r w:rsidRPr="000210B6">
        <w:rPr>
          <w:lang w:val="fr-FR"/>
        </w:rPr>
        <w:tab/>
        <w:t>Dans le cas où la résistance à l</w:t>
      </w:r>
      <w:r>
        <w:rPr>
          <w:lang w:val="fr-FR"/>
        </w:rPr>
        <w:t>’</w:t>
      </w:r>
      <w:r w:rsidRPr="000210B6">
        <w:rPr>
          <w:lang w:val="fr-FR"/>
        </w:rPr>
        <w:t xml:space="preserve">avancement sur route du véhicule a déjà été déterminée </w:t>
      </w:r>
      <w:r w:rsidRPr="000210B6">
        <w:rPr>
          <w:rFonts w:eastAsia="MS Mincho"/>
          <w:lang w:val="fr-FR"/>
        </w:rPr>
        <w:t>conformément</w:t>
      </w:r>
      <w:r w:rsidRPr="000210B6">
        <w:rPr>
          <w:lang w:val="fr-FR"/>
        </w:rPr>
        <w:t xml:space="preserve"> à l</w:t>
      </w:r>
      <w:r>
        <w:rPr>
          <w:lang w:val="fr-FR"/>
        </w:rPr>
        <w:t>’</w:t>
      </w:r>
      <w:r w:rsidRPr="000210B6">
        <w:rPr>
          <w:lang w:val="fr-FR"/>
        </w:rPr>
        <w:t>appendice 7a de la présente annexe, on peut faire une simulation des autres configurations du véhicule présentant la même forme de carrosserie ou la même transmission, sous réserve que l</w:t>
      </w:r>
      <w:r>
        <w:rPr>
          <w:lang w:val="fr-FR"/>
        </w:rPr>
        <w:t>’</w:t>
      </w:r>
      <w:r w:rsidRPr="000210B6">
        <w:rPr>
          <w:lang w:val="fr-FR"/>
        </w:rPr>
        <w:t>autorité d</w:t>
      </w:r>
      <w:r>
        <w:rPr>
          <w:lang w:val="fr-FR"/>
        </w:rPr>
        <w:t>’</w:t>
      </w:r>
      <w:r w:rsidRPr="000210B6">
        <w:rPr>
          <w:lang w:val="fr-FR"/>
        </w:rPr>
        <w:t>homologation de type approuve la méthode de simulation proposée.</w:t>
      </w:r>
    </w:p>
    <w:p w14:paraId="2474DB9C" w14:textId="77777777" w:rsidR="00735295" w:rsidRPr="000210B6" w:rsidRDefault="00735295" w:rsidP="00735295">
      <w:pPr>
        <w:pStyle w:val="SingleTxtG"/>
        <w:ind w:left="2268"/>
        <w:rPr>
          <w:rFonts w:eastAsia="MS Mincho"/>
          <w:lang w:val="fr-FR"/>
        </w:rPr>
      </w:pPr>
      <w:r w:rsidRPr="000210B6">
        <w:rPr>
          <w:lang w:val="fr-FR"/>
        </w:rPr>
        <w:t>Ces méthodes ne sont pas requises si le réglage du banc doit être effectué en fonction de la masse de référence du véhicule. ».</w:t>
      </w:r>
    </w:p>
    <w:p w14:paraId="3219B548" w14:textId="77777777" w:rsidR="00735295" w:rsidRPr="000210B6" w:rsidRDefault="00735295" w:rsidP="00735295">
      <w:pPr>
        <w:pStyle w:val="SingleTxtG"/>
        <w:rPr>
          <w:i/>
          <w:iCs/>
          <w:lang w:val="fr-FR"/>
        </w:rPr>
      </w:pPr>
      <w:r w:rsidRPr="000210B6">
        <w:rPr>
          <w:i/>
          <w:iCs/>
          <w:lang w:val="fr-FR"/>
        </w:rPr>
        <w:t>Annexe 6</w:t>
      </w:r>
    </w:p>
    <w:p w14:paraId="1F4C5B2F" w14:textId="77777777" w:rsidR="00735295" w:rsidRPr="000210B6" w:rsidRDefault="00735295" w:rsidP="00735295">
      <w:pPr>
        <w:pStyle w:val="SingleTxtG"/>
        <w:rPr>
          <w:lang w:val="fr-FR"/>
        </w:rPr>
      </w:pPr>
      <w:r w:rsidRPr="000210B6">
        <w:rPr>
          <w:i/>
          <w:iCs/>
          <w:lang w:val="fr-FR"/>
        </w:rPr>
        <w:t>Paragraphe 5.2</w:t>
      </w:r>
      <w:r w:rsidRPr="000210B6">
        <w:rPr>
          <w:lang w:val="fr-FR"/>
        </w:rPr>
        <w:t>, lire :</w:t>
      </w:r>
    </w:p>
    <w:p w14:paraId="4F52CD40" w14:textId="77777777" w:rsidR="00735295" w:rsidRPr="000210B6" w:rsidRDefault="00735295" w:rsidP="00735295">
      <w:pPr>
        <w:pStyle w:val="SingleTxtG"/>
        <w:ind w:left="2268" w:hanging="1134"/>
        <w:rPr>
          <w:lang w:val="fr-FR"/>
        </w:rPr>
      </w:pPr>
      <w:r w:rsidRPr="000210B6">
        <w:rPr>
          <w:lang w:val="fr-FR"/>
        </w:rPr>
        <w:t>« 5.2</w:t>
      </w:r>
      <w:r w:rsidRPr="000210B6">
        <w:rPr>
          <w:lang w:val="fr-FR"/>
        </w:rPr>
        <w:tab/>
        <w:t>La pression dans le carter est mesurée en un point approprié. Il est recommandé de la mesurer par le trou de jauge, si possible. ».</w:t>
      </w:r>
    </w:p>
    <w:p w14:paraId="3698EC6A" w14:textId="77777777" w:rsidR="00735295" w:rsidRPr="000210B6" w:rsidRDefault="00735295" w:rsidP="00735295">
      <w:pPr>
        <w:pStyle w:val="SingleTxtG"/>
        <w:rPr>
          <w:i/>
          <w:iCs/>
          <w:lang w:val="fr-FR"/>
        </w:rPr>
      </w:pPr>
      <w:r w:rsidRPr="000210B6">
        <w:rPr>
          <w:i/>
          <w:iCs/>
          <w:lang w:val="fr-FR"/>
        </w:rPr>
        <w:t>Annexe 7</w:t>
      </w:r>
    </w:p>
    <w:p w14:paraId="23B26205" w14:textId="77777777" w:rsidR="00735295" w:rsidRPr="000210B6" w:rsidRDefault="00735295" w:rsidP="00735295">
      <w:pPr>
        <w:pStyle w:val="SingleTxtG"/>
        <w:rPr>
          <w:rFonts w:eastAsia="MS Mincho"/>
          <w:lang w:val="fr-FR"/>
        </w:rPr>
      </w:pPr>
      <w:r w:rsidRPr="000210B6">
        <w:rPr>
          <w:i/>
          <w:iCs/>
          <w:lang w:val="fr-FR"/>
        </w:rPr>
        <w:t>Paragraphe 3.2.1</w:t>
      </w:r>
      <w:r w:rsidRPr="000210B6">
        <w:rPr>
          <w:lang w:val="fr-FR"/>
        </w:rPr>
        <w:t>, lire :</w:t>
      </w:r>
    </w:p>
    <w:p w14:paraId="0D67268C" w14:textId="77777777" w:rsidR="00735295" w:rsidRPr="000210B6" w:rsidRDefault="00735295" w:rsidP="00735295">
      <w:pPr>
        <w:pStyle w:val="SingleTxtG"/>
        <w:ind w:left="2268" w:hanging="1134"/>
        <w:rPr>
          <w:rFonts w:eastAsia="MS Mincho"/>
          <w:lang w:val="fr-FR"/>
        </w:rPr>
      </w:pPr>
      <w:r w:rsidRPr="000210B6">
        <w:rPr>
          <w:lang w:val="fr-FR"/>
        </w:rPr>
        <w:t>« 3.2.1</w:t>
      </w:r>
      <w:r w:rsidRPr="000210B6">
        <w:rPr>
          <w:lang w:val="fr-FR"/>
        </w:rPr>
        <w:tab/>
        <w:t>Le carburant de référence approprié, tel qu</w:t>
      </w:r>
      <w:r>
        <w:rPr>
          <w:lang w:val="fr-FR"/>
        </w:rPr>
        <w:t>’</w:t>
      </w:r>
      <w:r w:rsidRPr="000210B6">
        <w:rPr>
          <w:lang w:val="fr-FR"/>
        </w:rPr>
        <w:t>indiqué à l</w:t>
      </w:r>
      <w:r>
        <w:rPr>
          <w:lang w:val="fr-FR"/>
        </w:rPr>
        <w:t>’</w:t>
      </w:r>
      <w:r w:rsidRPr="000210B6">
        <w:rPr>
          <w:lang w:val="fr-FR"/>
        </w:rPr>
        <w:t>annexe 10 du présent Règlement, doit être utilisé.</w:t>
      </w:r>
    </w:p>
    <w:p w14:paraId="493E7C56" w14:textId="77777777" w:rsidR="00735295" w:rsidRPr="000210B6" w:rsidRDefault="00735295" w:rsidP="00735295">
      <w:pPr>
        <w:pStyle w:val="SingleTxtG"/>
        <w:ind w:left="2268"/>
        <w:rPr>
          <w:rFonts w:eastAsia="MS Mincho"/>
          <w:lang w:val="fr-FR"/>
        </w:rPr>
      </w:pPr>
      <w:r w:rsidRPr="000210B6">
        <w:rPr>
          <w:rFonts w:eastAsia="MS Mincho"/>
          <w:lang w:val="fr-FR"/>
        </w:rPr>
        <w:t>Au choix du constructeur, lorsque le carburant E5 a été utilisé pour l</w:t>
      </w:r>
      <w:r>
        <w:rPr>
          <w:rFonts w:eastAsia="MS Mincho"/>
          <w:lang w:val="fr-FR"/>
        </w:rPr>
        <w:t>’</w:t>
      </w:r>
      <w:r w:rsidRPr="000210B6">
        <w:rPr>
          <w:rFonts w:eastAsia="MS Mincho"/>
          <w:lang w:val="fr-FR"/>
        </w:rPr>
        <w:t xml:space="preserve">essai du type I, le </w:t>
      </w:r>
      <w:r w:rsidRPr="000210B6">
        <w:rPr>
          <w:lang w:val="fr-FR"/>
        </w:rPr>
        <w:t>carburant</w:t>
      </w:r>
      <w:r w:rsidRPr="000210B6">
        <w:rPr>
          <w:rFonts w:eastAsia="MS Mincho"/>
          <w:lang w:val="fr-FR"/>
        </w:rPr>
        <w:t xml:space="preserve"> E10 peut être utilisé pour l</w:t>
      </w:r>
      <w:r>
        <w:rPr>
          <w:rFonts w:eastAsia="MS Mincho"/>
          <w:lang w:val="fr-FR"/>
        </w:rPr>
        <w:t>’</w:t>
      </w:r>
      <w:r w:rsidRPr="000210B6">
        <w:rPr>
          <w:rFonts w:eastAsia="MS Mincho"/>
          <w:lang w:val="fr-FR"/>
        </w:rPr>
        <w:t>essai du type IV. ».</w:t>
      </w:r>
    </w:p>
    <w:p w14:paraId="7D34C0E9" w14:textId="77777777" w:rsidR="00735295" w:rsidRPr="000210B6" w:rsidRDefault="00735295" w:rsidP="00735295">
      <w:pPr>
        <w:pStyle w:val="SingleTxtG"/>
        <w:rPr>
          <w:i/>
          <w:iCs/>
          <w:lang w:val="fr-FR"/>
        </w:rPr>
      </w:pPr>
      <w:r w:rsidRPr="000210B6">
        <w:rPr>
          <w:i/>
          <w:iCs/>
          <w:lang w:val="fr-FR"/>
        </w:rPr>
        <w:t>Annexe 8</w:t>
      </w:r>
    </w:p>
    <w:p w14:paraId="6BD9AA65" w14:textId="77777777" w:rsidR="00735295" w:rsidRPr="000210B6" w:rsidRDefault="00735295" w:rsidP="00735295">
      <w:pPr>
        <w:pStyle w:val="SingleTxtG"/>
        <w:rPr>
          <w:lang w:val="fr-FR"/>
        </w:rPr>
      </w:pPr>
      <w:r w:rsidRPr="000210B6">
        <w:rPr>
          <w:i/>
          <w:iCs/>
          <w:lang w:val="fr-FR"/>
        </w:rPr>
        <w:t>Paragraphe 5.2.11</w:t>
      </w:r>
      <w:r w:rsidRPr="000210B6">
        <w:rPr>
          <w:lang w:val="fr-FR"/>
        </w:rPr>
        <w:t>, lire :</w:t>
      </w:r>
    </w:p>
    <w:p w14:paraId="5242C47F" w14:textId="2BA1FE14" w:rsidR="005F0207" w:rsidRDefault="00735295" w:rsidP="00735295">
      <w:pPr>
        <w:pStyle w:val="SingleTxtG"/>
        <w:ind w:left="2268" w:hanging="1134"/>
        <w:rPr>
          <w:lang w:val="fr-FR"/>
        </w:rPr>
      </w:pPr>
      <w:r w:rsidRPr="000210B6">
        <w:rPr>
          <w:lang w:val="fr-FR"/>
        </w:rPr>
        <w:t>« 5.2.11</w:t>
      </w:r>
      <w:r w:rsidRPr="000210B6">
        <w:rPr>
          <w:lang w:val="fr-FR"/>
        </w:rPr>
        <w:tab/>
        <w:t>Les véhicules à quatre roues motrices doivent être soumis à l</w:t>
      </w:r>
      <w:r>
        <w:rPr>
          <w:lang w:val="fr-FR"/>
        </w:rPr>
        <w:t>’</w:t>
      </w:r>
      <w:r w:rsidRPr="000210B6">
        <w:rPr>
          <w:lang w:val="fr-FR"/>
        </w:rPr>
        <w:t>essai avec deux roues motrices. La résistance totale pour le réglage du banc d</w:t>
      </w:r>
      <w:r>
        <w:rPr>
          <w:lang w:val="fr-FR"/>
        </w:rPr>
        <w:t>’</w:t>
      </w:r>
      <w:r w:rsidRPr="000210B6">
        <w:rPr>
          <w:lang w:val="fr-FR"/>
        </w:rPr>
        <w:t>essai est déterminée lorsque le véhicule se trouve dans son mode de fonctionnement principal. À la demande du constructeur, un véhicule à quatre roues motrices doit être soumis à l</w:t>
      </w:r>
      <w:r>
        <w:rPr>
          <w:lang w:val="fr-FR"/>
        </w:rPr>
        <w:t>’</w:t>
      </w:r>
      <w:r w:rsidRPr="000210B6">
        <w:rPr>
          <w:lang w:val="fr-FR"/>
        </w:rPr>
        <w:t>essai dans son mode de fonctionnement principal. ».</w:t>
      </w:r>
    </w:p>
    <w:p w14:paraId="009D13B8" w14:textId="6337ECCD" w:rsidR="00735295" w:rsidRPr="00735295" w:rsidRDefault="00735295" w:rsidP="00735295">
      <w:pPr>
        <w:pStyle w:val="SingleTxtG"/>
        <w:spacing w:before="240" w:after="0"/>
        <w:jc w:val="center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35295" w:rsidRPr="00735295" w:rsidSect="0073529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5450" w14:textId="77777777" w:rsidR="00E92168" w:rsidRDefault="00E92168"/>
  </w:endnote>
  <w:endnote w:type="continuationSeparator" w:id="0">
    <w:p w14:paraId="289C9A0A" w14:textId="77777777" w:rsidR="00E92168" w:rsidRDefault="00E92168">
      <w:pPr>
        <w:pStyle w:val="Pieddepage"/>
      </w:pPr>
    </w:p>
  </w:endnote>
  <w:endnote w:type="continuationNotice" w:id="1">
    <w:p w14:paraId="73977C24" w14:textId="77777777" w:rsidR="00E92168" w:rsidRPr="00C451B9" w:rsidRDefault="00E92168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E104" w14:textId="77777777" w:rsidR="00735295" w:rsidRPr="00735295" w:rsidRDefault="00735295" w:rsidP="00735295">
    <w:pPr>
      <w:pStyle w:val="Pieddepage"/>
      <w:tabs>
        <w:tab w:val="right" w:pos="9638"/>
      </w:tabs>
    </w:pPr>
    <w:r w:rsidRPr="00735295">
      <w:rPr>
        <w:b/>
        <w:sz w:val="18"/>
      </w:rPr>
      <w:fldChar w:fldCharType="begin"/>
    </w:r>
    <w:r w:rsidRPr="00735295">
      <w:rPr>
        <w:b/>
        <w:sz w:val="18"/>
      </w:rPr>
      <w:instrText xml:space="preserve"> PAGE  \* MERGEFORMAT </w:instrText>
    </w:r>
    <w:r w:rsidRPr="00735295">
      <w:rPr>
        <w:b/>
        <w:sz w:val="18"/>
      </w:rPr>
      <w:fldChar w:fldCharType="separate"/>
    </w:r>
    <w:r w:rsidRPr="00735295">
      <w:rPr>
        <w:b/>
        <w:noProof/>
        <w:sz w:val="18"/>
      </w:rPr>
      <w:t>2</w:t>
    </w:r>
    <w:r w:rsidRPr="00735295">
      <w:rPr>
        <w:b/>
        <w:sz w:val="18"/>
      </w:rPr>
      <w:fldChar w:fldCharType="end"/>
    </w:r>
    <w:r>
      <w:rPr>
        <w:b/>
        <w:sz w:val="18"/>
      </w:rPr>
      <w:tab/>
    </w:r>
    <w:r>
      <w:t>GE.22-14564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A227" w14:textId="77777777" w:rsidR="00735295" w:rsidRPr="00735295" w:rsidRDefault="00735295" w:rsidP="00735295">
    <w:pPr>
      <w:pStyle w:val="Pieddepage"/>
      <w:tabs>
        <w:tab w:val="right" w:pos="9638"/>
      </w:tabs>
      <w:rPr>
        <w:b/>
        <w:sz w:val="18"/>
      </w:rPr>
    </w:pPr>
    <w:r>
      <w:t>GE.22-14564</w:t>
    </w:r>
    <w:r>
      <w:tab/>
    </w:r>
    <w:r w:rsidRPr="00735295">
      <w:rPr>
        <w:b/>
        <w:sz w:val="18"/>
      </w:rPr>
      <w:fldChar w:fldCharType="begin"/>
    </w:r>
    <w:r w:rsidRPr="00735295">
      <w:rPr>
        <w:b/>
        <w:sz w:val="18"/>
      </w:rPr>
      <w:instrText xml:space="preserve"> PAGE  \* MERGEFORMAT </w:instrText>
    </w:r>
    <w:r w:rsidRPr="00735295">
      <w:rPr>
        <w:b/>
        <w:sz w:val="18"/>
      </w:rPr>
      <w:fldChar w:fldCharType="separate"/>
    </w:r>
    <w:r w:rsidRPr="00735295">
      <w:rPr>
        <w:b/>
        <w:noProof/>
        <w:sz w:val="18"/>
      </w:rPr>
      <w:t>3</w:t>
    </w:r>
    <w:r w:rsidRPr="0073529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F000" w14:textId="2A20EE53" w:rsidR="00467F2C" w:rsidRPr="00735295" w:rsidRDefault="00735295" w:rsidP="00735295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6E0F5AA6" wp14:editId="5E157B35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22-14564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4D3FAA6" wp14:editId="43437969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220922    280922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8BB2" w14:textId="77777777" w:rsidR="00E92168" w:rsidRPr="00D27D5E" w:rsidRDefault="00E92168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D38CF2F" w14:textId="77777777" w:rsidR="00E92168" w:rsidRPr="00D171D4" w:rsidRDefault="00E92168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6B66DE61" w14:textId="77777777" w:rsidR="00E92168" w:rsidRPr="00C451B9" w:rsidRDefault="00E92168" w:rsidP="00C451B9">
      <w:pPr>
        <w:spacing w:line="240" w:lineRule="auto"/>
        <w:rPr>
          <w:sz w:val="2"/>
          <w:szCs w:val="2"/>
        </w:rPr>
      </w:pPr>
    </w:p>
  </w:footnote>
  <w:footnote w:id="2">
    <w:p w14:paraId="0E959973" w14:textId="77777777" w:rsidR="00591072" w:rsidRPr="00591072" w:rsidRDefault="00442E31" w:rsidP="00591072">
      <w:pPr>
        <w:pStyle w:val="Notedebasdepage"/>
      </w:pPr>
      <w:r w:rsidRPr="00591072">
        <w:rPr>
          <w:rStyle w:val="Appelnotedebasdep"/>
        </w:rPr>
        <w:tab/>
      </w:r>
      <w:r w:rsidRPr="00591072">
        <w:rPr>
          <w:rStyle w:val="Appelnotedebasdep"/>
          <w:sz w:val="20"/>
          <w:vertAlign w:val="baseline"/>
        </w:rPr>
        <w:t>*</w:t>
      </w:r>
      <w:r w:rsidRPr="00591072">
        <w:rPr>
          <w:rStyle w:val="Appelnotedebasdep"/>
          <w:sz w:val="20"/>
          <w:vertAlign w:val="baseline"/>
        </w:rPr>
        <w:tab/>
      </w:r>
      <w:r w:rsidR="00591072" w:rsidRPr="00591072">
        <w:t>Anciens titres de l’Accord :</w:t>
      </w:r>
    </w:p>
    <w:p w14:paraId="1C2C7E43" w14:textId="77777777" w:rsidR="00591072" w:rsidRPr="00591072" w:rsidRDefault="00591072" w:rsidP="00591072">
      <w:pPr>
        <w:pStyle w:val="Notedebasdepage"/>
      </w:pPr>
      <w:r w:rsidRPr="00735295">
        <w:tab/>
      </w:r>
      <w:r w:rsidRPr="00735295">
        <w:tab/>
        <w:t xml:space="preserve">Accord </w:t>
      </w:r>
      <w:r w:rsidRPr="00591072">
        <w:t>concernant l’adoption de conditions uniformes d’homologation et la reconnaissance réciproque de l’homologation des équipements et pièces de véhicules à moteur, en date, à Genève, du 20 mars 1958 (version originale) ;</w:t>
      </w:r>
    </w:p>
    <w:p w14:paraId="71F48DA1" w14:textId="77777777" w:rsidR="00591072" w:rsidRPr="00591072" w:rsidRDefault="00591072" w:rsidP="00591072">
      <w:pPr>
        <w:pStyle w:val="Notedebasdepage"/>
      </w:pPr>
      <w:r>
        <w:tab/>
      </w:r>
      <w:r>
        <w:tab/>
      </w:r>
      <w:r w:rsidRPr="00591072">
        <w:t>Accord concernant l’adoption de prescriptions techniques uniformes applicables aux véhicules à</w:t>
      </w:r>
      <w:r>
        <w:t> </w:t>
      </w:r>
      <w:r w:rsidRPr="00591072">
        <w:t>roues, aux équipements et aux pièces susceptibles d’être montés ou utilisés sur un véhicule à roues et les conditions de reconnaissance réciproque des homologations délivrées conformément à ces prescriptions, en date, à Genève, du 5 octobre 1995 (Révision 2).</w:t>
      </w:r>
    </w:p>
    <w:p w14:paraId="4DEA49A8" w14:textId="77777777" w:rsidR="00442E31" w:rsidRPr="00442E31" w:rsidRDefault="00442E3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ABE0" w14:textId="26E28FB8" w:rsidR="00735295" w:rsidRPr="00735295" w:rsidRDefault="00735295">
    <w:pPr>
      <w:pStyle w:val="En-tte"/>
      <w:rPr>
        <w:lang w:val="en-US"/>
      </w:rPr>
    </w:pPr>
    <w:r>
      <w:fldChar w:fldCharType="begin"/>
    </w:r>
    <w:r w:rsidRPr="00735295">
      <w:rPr>
        <w:lang w:val="en-US"/>
      </w:rPr>
      <w:instrText xml:space="preserve"> TITLE  \* MERGEFORMAT </w:instrText>
    </w:r>
    <w:r>
      <w:fldChar w:fldCharType="separate"/>
    </w:r>
    <w:r w:rsidR="00A7649B">
      <w:rPr>
        <w:lang w:val="en-US"/>
      </w:rPr>
      <w:t>E/ECE/324/Rev.1/Add.82/Rev.4/Amend.17</w:t>
    </w:r>
    <w:r>
      <w:fldChar w:fldCharType="end"/>
    </w:r>
    <w:r w:rsidRPr="00735295">
      <w:rPr>
        <w:lang w:val="en-US"/>
      </w:rPr>
      <w:br/>
    </w:r>
    <w:r>
      <w:fldChar w:fldCharType="begin"/>
    </w:r>
    <w:r w:rsidRPr="00735295">
      <w:rPr>
        <w:lang w:val="en-US"/>
      </w:rPr>
      <w:instrText xml:space="preserve"> KEYWORDS  \* MERGEFORMAT </w:instrText>
    </w:r>
    <w:r>
      <w:fldChar w:fldCharType="separate"/>
    </w:r>
    <w:r w:rsidR="00A7649B">
      <w:rPr>
        <w:lang w:val="en-US"/>
      </w:rPr>
      <w:t>E/ECE/TRANS/505/Rev.1/Add.82/Rev.4/Amend.17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CB0E" w14:textId="0C786BF0" w:rsidR="00735295" w:rsidRPr="00735295" w:rsidRDefault="00735295" w:rsidP="00735295">
    <w:pPr>
      <w:pStyle w:val="En-tte"/>
      <w:jc w:val="right"/>
      <w:rPr>
        <w:lang w:val="en-US"/>
      </w:rPr>
    </w:pPr>
    <w:r>
      <w:fldChar w:fldCharType="begin"/>
    </w:r>
    <w:r w:rsidRPr="00735295">
      <w:rPr>
        <w:lang w:val="en-US"/>
      </w:rPr>
      <w:instrText xml:space="preserve"> TITLE  \* MERGEFORMAT </w:instrText>
    </w:r>
    <w:r>
      <w:fldChar w:fldCharType="separate"/>
    </w:r>
    <w:r w:rsidR="00A7649B">
      <w:rPr>
        <w:lang w:val="en-US"/>
      </w:rPr>
      <w:t>E/ECE/324/Rev.1/Add.82/Rev.4/Amend.17</w:t>
    </w:r>
    <w:r>
      <w:fldChar w:fldCharType="end"/>
    </w:r>
    <w:r w:rsidRPr="00735295">
      <w:rPr>
        <w:lang w:val="en-US"/>
      </w:rPr>
      <w:br/>
    </w:r>
    <w:r>
      <w:fldChar w:fldCharType="begin"/>
    </w:r>
    <w:r w:rsidRPr="00735295">
      <w:rPr>
        <w:lang w:val="en-US"/>
      </w:rPr>
      <w:instrText xml:space="preserve"> KEYWORDS  \* MERGEFORMAT </w:instrText>
    </w:r>
    <w:r>
      <w:fldChar w:fldCharType="separate"/>
    </w:r>
    <w:r w:rsidR="00A7649B">
      <w:rPr>
        <w:lang w:val="en-US"/>
      </w:rPr>
      <w:t>E/ECE/TRANS/505/Rev.1/Add.82/Rev.4/Amend.17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GB" w:vendorID="64" w:dllVersion="5" w:nlCheck="1" w:checkStyle="1"/>
  <w:activeWritingStyle w:appName="MSWord" w:lang="fr-CH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68"/>
    <w:rsid w:val="0001470D"/>
    <w:rsid w:val="00016165"/>
    <w:rsid w:val="00016AC5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35295"/>
    <w:rsid w:val="00741D90"/>
    <w:rsid w:val="00755D4F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7649B"/>
    <w:rsid w:val="00A81F93"/>
    <w:rsid w:val="00A84FCF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2168"/>
    <w:rsid w:val="00E9483E"/>
    <w:rsid w:val="00E96710"/>
    <w:rsid w:val="00E97E2C"/>
    <w:rsid w:val="00EA1FED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247632"/>
  <w15:docId w15:val="{D3E8BD0C-AC01-46FB-A755-C28802A5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0C7BD-4EB8-4DB2-BA71-85E0B19BCA00}"/>
</file>

<file path=customXml/itemProps2.xml><?xml version="1.0" encoding="utf-8"?>
<ds:datastoreItem xmlns:ds="http://schemas.openxmlformats.org/officeDocument/2006/customXml" ds:itemID="{6DC4997F-6A3B-4DDF-A64B-7C9729049288}"/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1</TotalTime>
  <Pages>2</Pages>
  <Words>388</Words>
  <Characters>2527</Characters>
  <Application>Microsoft Office Word</Application>
  <DocSecurity>0</DocSecurity>
  <Lines>252</Lines>
  <Paragraphs>171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</vt:lpstr>
    </vt:vector>
  </TitlesOfParts>
  <Company>CSD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E/ECE/324/Rev.1/Add.82/Rev.4/Amend.17</dc:title>
  <dc:creator>Maud DARICHE</dc:creator>
  <cp:keywords>E/ECE/TRANS/505/Rev.1/Add.82/Rev.4/Amend.17</cp:keywords>
  <cp:lastModifiedBy>Maud Dariche</cp:lastModifiedBy>
  <cp:revision>3</cp:revision>
  <cp:lastPrinted>2022-09-28T11:58:00Z</cp:lastPrinted>
  <dcterms:created xsi:type="dcterms:W3CDTF">2022-09-28T11:58:00Z</dcterms:created>
  <dcterms:modified xsi:type="dcterms:W3CDTF">2022-09-28T11:59:00Z</dcterms:modified>
</cp:coreProperties>
</file>