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8A48F4" w:rsidRPr="008A48F4" w14:paraId="57FD71C5" w14:textId="77777777" w:rsidTr="0001071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A6CFB92" w14:textId="77777777" w:rsidR="0064636E" w:rsidRPr="008A48F4" w:rsidRDefault="0064636E" w:rsidP="003C3936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1FBE7EF" w14:textId="6FBB6D5F" w:rsidR="0064636E" w:rsidRPr="008A48F4" w:rsidRDefault="0064636E" w:rsidP="00F070AF">
            <w:pPr>
              <w:jc w:val="right"/>
            </w:pPr>
            <w:r w:rsidRPr="008A48F4">
              <w:rPr>
                <w:sz w:val="40"/>
              </w:rPr>
              <w:t>E</w:t>
            </w:r>
            <w:r w:rsidRPr="008A48F4">
              <w:t>/ECE/324/</w:t>
            </w:r>
            <w:r w:rsidR="00841EB5" w:rsidRPr="008A48F4">
              <w:t>Rev.</w:t>
            </w:r>
            <w:r w:rsidR="0001071D" w:rsidRPr="008A48F4">
              <w:t>1</w:t>
            </w:r>
            <w:r w:rsidR="00841EB5" w:rsidRPr="008A48F4">
              <w:t>/</w:t>
            </w:r>
            <w:r w:rsidRPr="008A48F4">
              <w:t>Add.</w:t>
            </w:r>
            <w:r w:rsidR="00A034CA" w:rsidRPr="008A48F4">
              <w:t>82</w:t>
            </w:r>
            <w:r w:rsidR="000C3BA6" w:rsidRPr="008A48F4">
              <w:t>/Rev.</w:t>
            </w:r>
            <w:r w:rsidR="00BF6323" w:rsidRPr="008A48F4">
              <w:t>3</w:t>
            </w:r>
            <w:r w:rsidR="00EE0446" w:rsidRPr="008A48F4">
              <w:t>/Amend.</w:t>
            </w:r>
            <w:r w:rsidR="00BF6323" w:rsidRPr="008A48F4">
              <w:t>10</w:t>
            </w:r>
            <w:r w:rsidRPr="008A48F4">
              <w:t>−</w:t>
            </w:r>
            <w:r w:rsidRPr="008A48F4">
              <w:rPr>
                <w:sz w:val="40"/>
              </w:rPr>
              <w:t>E</w:t>
            </w:r>
            <w:r w:rsidRPr="008A48F4">
              <w:t>/ECE/TRANS/505</w:t>
            </w:r>
            <w:r w:rsidR="00841EB5" w:rsidRPr="008A48F4">
              <w:t>/Rev.</w:t>
            </w:r>
            <w:r w:rsidR="0001071D" w:rsidRPr="008A48F4">
              <w:t>1</w:t>
            </w:r>
            <w:r w:rsidR="00841EB5" w:rsidRPr="008A48F4">
              <w:t>/Add.</w:t>
            </w:r>
            <w:r w:rsidR="00A034CA" w:rsidRPr="008A48F4">
              <w:t>82</w:t>
            </w:r>
            <w:r w:rsidR="00EE0446" w:rsidRPr="008A48F4">
              <w:t>/Rev.</w:t>
            </w:r>
            <w:r w:rsidR="00BF6323" w:rsidRPr="008A48F4">
              <w:t>3</w:t>
            </w:r>
            <w:r w:rsidR="00EE0446" w:rsidRPr="008A48F4">
              <w:t>/Amend.</w:t>
            </w:r>
            <w:r w:rsidR="00BF6323" w:rsidRPr="008A48F4">
              <w:t>10</w:t>
            </w:r>
          </w:p>
        </w:tc>
      </w:tr>
      <w:tr w:rsidR="008A48F4" w:rsidRPr="008A48F4" w14:paraId="6F985C55" w14:textId="77777777" w:rsidTr="0001071D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1028A61" w14:textId="77777777" w:rsidR="003C3936" w:rsidRPr="008A48F4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49836FB9" w14:textId="77777777" w:rsidR="003C3936" w:rsidRPr="008A48F4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261E6CB" w14:textId="77777777" w:rsidR="003C3936" w:rsidRPr="008A48F4" w:rsidRDefault="003C3936" w:rsidP="003C3936">
            <w:pPr>
              <w:spacing w:before="120"/>
            </w:pPr>
          </w:p>
          <w:p w14:paraId="10DFEABE" w14:textId="77777777" w:rsidR="00D623A7" w:rsidRPr="008A48F4" w:rsidRDefault="00D623A7" w:rsidP="003C3936">
            <w:pPr>
              <w:spacing w:before="120"/>
            </w:pPr>
          </w:p>
          <w:p w14:paraId="3AAF3BDD" w14:textId="6F4C0295" w:rsidR="00C84414" w:rsidRPr="008A48F4" w:rsidRDefault="001725FD" w:rsidP="00C71DA4">
            <w:pPr>
              <w:spacing w:before="120"/>
            </w:pPr>
            <w:r w:rsidRPr="008A48F4">
              <w:t>14 September</w:t>
            </w:r>
            <w:r w:rsidR="00BF6323" w:rsidRPr="008A48F4">
              <w:t xml:space="preserve"> 2022</w:t>
            </w:r>
          </w:p>
        </w:tc>
      </w:tr>
    </w:tbl>
    <w:p w14:paraId="431B1AEB" w14:textId="77777777" w:rsidR="00C711C7" w:rsidRPr="008A48F4" w:rsidRDefault="00C711C7" w:rsidP="00A41529">
      <w:pPr>
        <w:pStyle w:val="HChG"/>
        <w:spacing w:before="240" w:after="120"/>
      </w:pPr>
      <w:r w:rsidRPr="008A48F4">
        <w:tab/>
      </w:r>
      <w:r w:rsidRPr="008A48F4">
        <w:tab/>
      </w:r>
      <w:bookmarkStart w:id="0" w:name="_Toc340666199"/>
      <w:bookmarkStart w:id="1" w:name="_Toc340745062"/>
      <w:r w:rsidRPr="008A48F4">
        <w:t>Agreement</w:t>
      </w:r>
      <w:bookmarkEnd w:id="0"/>
      <w:bookmarkEnd w:id="1"/>
    </w:p>
    <w:p w14:paraId="4130D01C" w14:textId="18DBF281" w:rsidR="00C71DA4" w:rsidRPr="008A48F4" w:rsidRDefault="00C711C7" w:rsidP="00EA1AF8">
      <w:pPr>
        <w:pStyle w:val="H1G"/>
        <w:spacing w:before="240"/>
      </w:pPr>
      <w:r w:rsidRPr="008A48F4">
        <w:rPr>
          <w:rStyle w:val="H1GChar"/>
        </w:rPr>
        <w:tab/>
      </w:r>
      <w:r w:rsidRPr="008A48F4">
        <w:rPr>
          <w:rStyle w:val="H1GChar"/>
        </w:rPr>
        <w:tab/>
      </w:r>
      <w:r w:rsidR="00C71DA4" w:rsidRPr="008A48F4">
        <w:tab/>
        <w:t>Concerning the</w:t>
      </w:r>
      <w:r w:rsidR="00C71DA4" w:rsidRPr="008A48F4">
        <w:rPr>
          <w:smallCaps/>
        </w:rPr>
        <w:t xml:space="preserve"> </w:t>
      </w:r>
      <w:r w:rsidR="00C71DA4" w:rsidRPr="008A48F4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="00C71DA4" w:rsidRPr="008A48F4">
        <w:footnoteReference w:customMarkFollows="1" w:id="2"/>
        <w:t>*</w:t>
      </w:r>
    </w:p>
    <w:p w14:paraId="3E1B3FC4" w14:textId="25046995" w:rsidR="00C71DA4" w:rsidRPr="008A48F4" w:rsidRDefault="00C71DA4" w:rsidP="00C711C7">
      <w:pPr>
        <w:pStyle w:val="SingleTxtG"/>
        <w:spacing w:before="120"/>
      </w:pPr>
      <w:r w:rsidRPr="008A48F4">
        <w:t>(Revision 3, including the amendments which entered into force on 14 September 2017)</w:t>
      </w:r>
    </w:p>
    <w:p w14:paraId="23520E79" w14:textId="77777777" w:rsidR="0064636E" w:rsidRPr="008A48F4" w:rsidRDefault="00C711C7" w:rsidP="00B32121">
      <w:pPr>
        <w:pStyle w:val="H1G"/>
        <w:spacing w:before="120"/>
        <w:ind w:left="0" w:right="0" w:firstLine="0"/>
        <w:jc w:val="center"/>
      </w:pPr>
      <w:r w:rsidRPr="008A48F4">
        <w:t>_________</w:t>
      </w:r>
    </w:p>
    <w:p w14:paraId="1E020283" w14:textId="5CFFEACC" w:rsidR="0064636E" w:rsidRPr="008A48F4" w:rsidRDefault="0064636E" w:rsidP="00A41529">
      <w:pPr>
        <w:pStyle w:val="H1G"/>
        <w:spacing w:before="240" w:after="120"/>
      </w:pPr>
      <w:r w:rsidRPr="008A48F4">
        <w:tab/>
      </w:r>
      <w:r w:rsidRPr="008A48F4">
        <w:tab/>
        <w:t xml:space="preserve">Addendum </w:t>
      </w:r>
      <w:r w:rsidR="00A034CA" w:rsidRPr="008A48F4">
        <w:t>82</w:t>
      </w:r>
      <w:r w:rsidR="00EE0446" w:rsidRPr="008A48F4">
        <w:t xml:space="preserve"> </w:t>
      </w:r>
      <w:r w:rsidRPr="008A48F4">
        <w:t xml:space="preserve">– </w:t>
      </w:r>
      <w:r w:rsidR="00EA1AF8" w:rsidRPr="008A48F4">
        <w:t>UN </w:t>
      </w:r>
      <w:r w:rsidRPr="008A48F4">
        <w:t>Regulation No.</w:t>
      </w:r>
      <w:r w:rsidR="00271A7F" w:rsidRPr="008A48F4">
        <w:t xml:space="preserve"> </w:t>
      </w:r>
      <w:r w:rsidR="002070FE" w:rsidRPr="008A48F4">
        <w:t>8</w:t>
      </w:r>
      <w:r w:rsidR="00A034CA" w:rsidRPr="008A48F4">
        <w:t>3</w:t>
      </w:r>
    </w:p>
    <w:p w14:paraId="4E272B2A" w14:textId="08EB56AE" w:rsidR="0064636E" w:rsidRPr="008A48F4" w:rsidRDefault="0064636E" w:rsidP="00A41529">
      <w:pPr>
        <w:pStyle w:val="H1G"/>
        <w:spacing w:before="240"/>
      </w:pPr>
      <w:r w:rsidRPr="008A48F4">
        <w:tab/>
      </w:r>
      <w:r w:rsidRPr="008A48F4">
        <w:tab/>
        <w:t xml:space="preserve">Revision </w:t>
      </w:r>
      <w:r w:rsidR="00DA170C" w:rsidRPr="008A48F4">
        <w:t>3</w:t>
      </w:r>
      <w:r w:rsidRPr="008A48F4">
        <w:t xml:space="preserve"> </w:t>
      </w:r>
      <w:r w:rsidR="00DA49B8" w:rsidRPr="008A48F4">
        <w:t>–</w:t>
      </w:r>
      <w:r w:rsidRPr="008A48F4">
        <w:t xml:space="preserve"> </w:t>
      </w:r>
      <w:r w:rsidR="00D623A7" w:rsidRPr="008A48F4">
        <w:t>Amendment</w:t>
      </w:r>
      <w:r w:rsidRPr="008A48F4">
        <w:t xml:space="preserve"> </w:t>
      </w:r>
      <w:r w:rsidR="00DA170C" w:rsidRPr="008A48F4">
        <w:t>10</w:t>
      </w:r>
    </w:p>
    <w:p w14:paraId="4FAFC05A" w14:textId="084B024C" w:rsidR="0064636E" w:rsidRPr="008A48F4" w:rsidRDefault="00D623A7" w:rsidP="0064636E">
      <w:pPr>
        <w:pStyle w:val="SingleTxtG"/>
        <w:spacing w:after="360"/>
        <w:rPr>
          <w:spacing w:val="-2"/>
        </w:rPr>
      </w:pPr>
      <w:r w:rsidRPr="008A48F4">
        <w:rPr>
          <w:spacing w:val="-2"/>
        </w:rPr>
        <w:t xml:space="preserve">Supplement </w:t>
      </w:r>
      <w:r w:rsidR="00DA170C" w:rsidRPr="008A48F4">
        <w:rPr>
          <w:spacing w:val="-2"/>
        </w:rPr>
        <w:t>15</w:t>
      </w:r>
      <w:r w:rsidRPr="008A48F4">
        <w:rPr>
          <w:spacing w:val="-2"/>
        </w:rPr>
        <w:t xml:space="preserve"> to </w:t>
      </w:r>
      <w:r w:rsidR="00271A7F" w:rsidRPr="008A48F4">
        <w:rPr>
          <w:spacing w:val="-2"/>
        </w:rPr>
        <w:t xml:space="preserve">the </w:t>
      </w:r>
      <w:r w:rsidR="0001071D" w:rsidRPr="008A48F4">
        <w:rPr>
          <w:spacing w:val="-2"/>
        </w:rPr>
        <w:t>0</w:t>
      </w:r>
      <w:r w:rsidR="00DA170C" w:rsidRPr="008A48F4">
        <w:rPr>
          <w:spacing w:val="-2"/>
        </w:rPr>
        <w:t>5</w:t>
      </w:r>
      <w:r w:rsidRPr="008A48F4">
        <w:rPr>
          <w:spacing w:val="-2"/>
        </w:rPr>
        <w:t xml:space="preserve"> series of amendments</w:t>
      </w:r>
      <w:r w:rsidR="0064636E" w:rsidRPr="008A48F4">
        <w:rPr>
          <w:spacing w:val="-2"/>
        </w:rPr>
        <w:t xml:space="preserve"> – Date of entry into force: </w:t>
      </w:r>
      <w:r w:rsidR="00DA170C" w:rsidRPr="008A48F4">
        <w:t>22 June 2022</w:t>
      </w:r>
    </w:p>
    <w:p w14:paraId="24730B39" w14:textId="3841882A" w:rsidR="0064636E" w:rsidRPr="008A48F4" w:rsidRDefault="0064636E" w:rsidP="00A41529">
      <w:pPr>
        <w:pStyle w:val="H1G"/>
        <w:spacing w:before="120" w:after="120" w:line="240" w:lineRule="exact"/>
        <w:rPr>
          <w:lang w:val="en-US"/>
        </w:rPr>
      </w:pPr>
      <w:r w:rsidRPr="008A48F4">
        <w:rPr>
          <w:lang w:val="en-US"/>
        </w:rPr>
        <w:tab/>
      </w:r>
      <w:r w:rsidRPr="008A48F4">
        <w:rPr>
          <w:lang w:val="en-US"/>
        </w:rPr>
        <w:tab/>
      </w:r>
      <w:r w:rsidR="00A034CA" w:rsidRPr="008A48F4">
        <w:rPr>
          <w:lang w:val="en-US"/>
        </w:rPr>
        <w:t>Uniform provisions concerning the approval of vehicles with regard to the emission of pollutants according to engine fuel requirements</w:t>
      </w:r>
    </w:p>
    <w:p w14:paraId="02EF65D0" w14:textId="7AF042BE" w:rsidR="00A41529" w:rsidRPr="008A48F4" w:rsidRDefault="0001071D" w:rsidP="00A41529">
      <w:pPr>
        <w:pStyle w:val="SingleTxtG"/>
        <w:spacing w:after="0"/>
        <w:rPr>
          <w:spacing w:val="-6"/>
          <w:lang w:eastAsia="en-GB"/>
        </w:rPr>
      </w:pPr>
      <w:r w:rsidRPr="008A48F4">
        <w:rPr>
          <w:spacing w:val="-4"/>
          <w:lang w:eastAsia="en-GB"/>
        </w:rPr>
        <w:t>This document is meant purely as documentation tool.</w:t>
      </w:r>
      <w:r w:rsidR="00A41529" w:rsidRPr="008A48F4">
        <w:rPr>
          <w:spacing w:val="-4"/>
          <w:lang w:eastAsia="en-GB"/>
        </w:rPr>
        <w:t xml:space="preserve"> The authentic and legal binding texts </w:t>
      </w:r>
      <w:r w:rsidR="00E313A7" w:rsidRPr="008A48F4">
        <w:rPr>
          <w:spacing w:val="-4"/>
          <w:lang w:eastAsia="en-GB"/>
        </w:rPr>
        <w:t>is</w:t>
      </w:r>
      <w:r w:rsidR="00A41529" w:rsidRPr="008A48F4">
        <w:rPr>
          <w:spacing w:val="-4"/>
          <w:lang w:eastAsia="en-GB"/>
        </w:rPr>
        <w:t>:</w:t>
      </w:r>
      <w:r w:rsidR="00DE4B81" w:rsidRPr="008A48F4">
        <w:rPr>
          <w:lang w:eastAsia="en-GB"/>
        </w:rPr>
        <w:t xml:space="preserve"> </w:t>
      </w:r>
      <w:r w:rsidR="00A41529" w:rsidRPr="008A48F4">
        <w:rPr>
          <w:lang w:eastAsia="en-GB"/>
        </w:rPr>
        <w:tab/>
      </w:r>
      <w:r w:rsidR="00A41529" w:rsidRPr="008A48F4">
        <w:rPr>
          <w:spacing w:val="-6"/>
          <w:lang w:eastAsia="en-GB"/>
        </w:rPr>
        <w:t>ECE/TRANS/WP.29/</w:t>
      </w:r>
      <w:r w:rsidR="00DA170C" w:rsidRPr="008A48F4">
        <w:rPr>
          <w:spacing w:val="-6"/>
          <w:lang w:eastAsia="en-GB"/>
        </w:rPr>
        <w:t>202</w:t>
      </w:r>
      <w:r w:rsidR="00192F03">
        <w:rPr>
          <w:spacing w:val="-6"/>
          <w:lang w:eastAsia="en-GB"/>
        </w:rPr>
        <w:t>1</w:t>
      </w:r>
      <w:r w:rsidR="00A279B3" w:rsidRPr="008A48F4">
        <w:rPr>
          <w:spacing w:val="-6"/>
          <w:lang w:eastAsia="en-GB"/>
        </w:rPr>
        <w:t>/131.</w:t>
      </w:r>
    </w:p>
    <w:p w14:paraId="62CDCABF" w14:textId="3243C074" w:rsidR="000D3A4F" w:rsidRPr="008A48F4" w:rsidRDefault="00F55704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8A48F4">
        <w:rPr>
          <w:b/>
          <w:noProof/>
          <w:sz w:val="24"/>
          <w:lang w:eastAsia="en-GB"/>
        </w:rPr>
        <w:drawing>
          <wp:anchor distT="0" distB="137160" distL="114300" distR="114300" simplePos="0" relativeHeight="251657728" behindDoc="0" locked="0" layoutInCell="1" allowOverlap="1" wp14:anchorId="1A9092C3" wp14:editId="0C339765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8A48F4">
        <w:rPr>
          <w:b/>
          <w:sz w:val="24"/>
        </w:rPr>
        <w:t>_________</w:t>
      </w:r>
    </w:p>
    <w:p w14:paraId="0BE7EBB7" w14:textId="77777777" w:rsidR="000D3A4F" w:rsidRPr="008A48F4" w:rsidRDefault="000D3A4F" w:rsidP="00A41529">
      <w:pPr>
        <w:suppressAutoHyphens w:val="0"/>
        <w:spacing w:line="100" w:lineRule="atLeast"/>
        <w:rPr>
          <w:b/>
          <w:sz w:val="24"/>
        </w:rPr>
      </w:pPr>
    </w:p>
    <w:p w14:paraId="5B4A754A" w14:textId="77777777" w:rsidR="000D3A4F" w:rsidRPr="008A48F4" w:rsidRDefault="000D3A4F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8A48F4">
        <w:rPr>
          <w:b/>
          <w:sz w:val="24"/>
        </w:rPr>
        <w:t>UNITED NATIONS</w:t>
      </w:r>
    </w:p>
    <w:p w14:paraId="484BB43A" w14:textId="77777777" w:rsidR="00C711C7" w:rsidRPr="008A48F4" w:rsidRDefault="00C711C7" w:rsidP="00C711C7">
      <w:pPr>
        <w:jc w:val="center"/>
      </w:pPr>
    </w:p>
    <w:p w14:paraId="14ACFAE8" w14:textId="77777777" w:rsidR="0015772C" w:rsidRDefault="00D5540C" w:rsidP="0015772C">
      <w:pPr>
        <w:pStyle w:val="SingleTxtG"/>
        <w:rPr>
          <w:i/>
          <w:iCs/>
          <w:lang w:val="en-US"/>
        </w:rPr>
      </w:pPr>
      <w:r w:rsidRPr="008A48F4">
        <w:br w:type="page"/>
      </w:r>
      <w:r w:rsidR="0015772C" w:rsidRPr="00B83E01">
        <w:rPr>
          <w:i/>
          <w:iCs/>
          <w:lang w:val="en-US"/>
        </w:rPr>
        <w:lastRenderedPageBreak/>
        <w:t>A</w:t>
      </w:r>
      <w:r w:rsidR="0015772C">
        <w:rPr>
          <w:i/>
          <w:iCs/>
          <w:lang w:val="en-US"/>
        </w:rPr>
        <w:t>nnex</w:t>
      </w:r>
      <w:r w:rsidR="0015772C" w:rsidRPr="00B83E01">
        <w:rPr>
          <w:i/>
          <w:iCs/>
          <w:lang w:val="en-US"/>
        </w:rPr>
        <w:t xml:space="preserve"> 6</w:t>
      </w:r>
    </w:p>
    <w:p w14:paraId="4B224E41" w14:textId="77777777" w:rsidR="0015772C" w:rsidRDefault="0015772C" w:rsidP="0015772C">
      <w:pPr>
        <w:pStyle w:val="SingleTxtG"/>
        <w:rPr>
          <w:i/>
          <w:iCs/>
          <w:lang w:val="en-US"/>
        </w:rPr>
      </w:pPr>
      <w:r>
        <w:rPr>
          <w:i/>
          <w:iCs/>
          <w:lang w:val="en-US"/>
        </w:rPr>
        <w:t xml:space="preserve">Paragraph 5.2., </w:t>
      </w:r>
      <w:r>
        <w:rPr>
          <w:lang w:val="en-US"/>
        </w:rPr>
        <w:t>amend</w:t>
      </w:r>
      <w:r w:rsidRPr="00AE3C95">
        <w:rPr>
          <w:lang w:val="en-US"/>
        </w:rPr>
        <w:t xml:space="preserve"> to read:</w:t>
      </w:r>
    </w:p>
    <w:p w14:paraId="7E20E163" w14:textId="77777777" w:rsidR="0015772C" w:rsidRDefault="0015772C" w:rsidP="0015772C">
      <w:pPr>
        <w:pStyle w:val="para"/>
        <w:spacing w:before="120"/>
        <w:rPr>
          <w:strike/>
          <w:lang w:val="en-US"/>
        </w:rPr>
      </w:pPr>
      <w:r w:rsidRPr="00592CF8">
        <w:rPr>
          <w:lang w:val="en-US"/>
        </w:rPr>
        <w:t>"</w:t>
      </w:r>
      <w:r w:rsidRPr="00B83E01">
        <w:rPr>
          <w:lang w:val="en-US"/>
        </w:rPr>
        <w:t>5.2.</w:t>
      </w:r>
      <w:r>
        <w:rPr>
          <w:lang w:val="en-US"/>
        </w:rPr>
        <w:tab/>
      </w:r>
      <w:r w:rsidRPr="00B83E01">
        <w:rPr>
          <w:lang w:val="en-US"/>
        </w:rPr>
        <w:t xml:space="preserve">The pressure in the crankcase shall be measured at an appropriate location. </w:t>
      </w:r>
      <w:r w:rsidRPr="00B42512">
        <w:rPr>
          <w:lang w:val="en-US"/>
        </w:rPr>
        <w:t>It is recommended to measure the pressure at the dip-stick hole, if feasible.</w:t>
      </w:r>
      <w:r w:rsidRPr="00592CF8">
        <w:rPr>
          <w:lang w:val="en-US"/>
        </w:rPr>
        <w:t>"</w:t>
      </w:r>
    </w:p>
    <w:p w14:paraId="4E7381A2" w14:textId="77777777" w:rsidR="0015772C" w:rsidRDefault="0015772C" w:rsidP="0015772C">
      <w:pPr>
        <w:spacing w:after="120"/>
        <w:ind w:left="1134" w:right="1134"/>
        <w:jc w:val="both"/>
        <w:rPr>
          <w:rFonts w:eastAsia="MS Mincho"/>
          <w:i/>
        </w:rPr>
      </w:pPr>
      <w:r w:rsidRPr="00B816D5">
        <w:rPr>
          <w:rFonts w:eastAsia="MS Mincho"/>
          <w:i/>
        </w:rPr>
        <w:t xml:space="preserve">Annex 7 </w:t>
      </w:r>
    </w:p>
    <w:p w14:paraId="404108A1" w14:textId="77777777" w:rsidR="0015772C" w:rsidRPr="00B816D5" w:rsidRDefault="0015772C" w:rsidP="0015772C">
      <w:pPr>
        <w:spacing w:after="120"/>
        <w:ind w:left="1134" w:right="1134"/>
        <w:jc w:val="both"/>
        <w:rPr>
          <w:rFonts w:eastAsia="MS Mincho"/>
          <w:i/>
        </w:rPr>
      </w:pPr>
      <w:r>
        <w:rPr>
          <w:rFonts w:eastAsia="MS Mincho"/>
          <w:i/>
        </w:rPr>
        <w:t>P</w:t>
      </w:r>
      <w:r w:rsidRPr="00B816D5">
        <w:rPr>
          <w:rFonts w:eastAsia="MS Mincho"/>
          <w:i/>
        </w:rPr>
        <w:t>aragraph 3.2.1.</w:t>
      </w:r>
      <w:r>
        <w:rPr>
          <w:rFonts w:eastAsia="MS Mincho"/>
          <w:i/>
        </w:rPr>
        <w:t>,</w:t>
      </w:r>
      <w:r w:rsidRPr="00B816D5">
        <w:rPr>
          <w:rFonts w:eastAsia="MS Mincho"/>
          <w:i/>
        </w:rPr>
        <w:t xml:space="preserve"> </w:t>
      </w:r>
      <w:r w:rsidRPr="00904F24">
        <w:rPr>
          <w:rFonts w:eastAsia="MS Mincho"/>
          <w:iCs/>
        </w:rPr>
        <w:t>amend to read</w:t>
      </w:r>
      <w:r>
        <w:rPr>
          <w:rFonts w:eastAsia="MS Mincho"/>
          <w:iCs/>
        </w:rPr>
        <w:t>:</w:t>
      </w:r>
    </w:p>
    <w:p w14:paraId="19F4EE18" w14:textId="77777777" w:rsidR="0015772C" w:rsidRDefault="0015772C" w:rsidP="0015772C">
      <w:pPr>
        <w:adjustRightInd w:val="0"/>
        <w:spacing w:after="120"/>
        <w:ind w:left="2268" w:right="1134" w:hanging="1134"/>
        <w:jc w:val="both"/>
        <w:rPr>
          <w:rFonts w:eastAsia="MS Mincho"/>
        </w:rPr>
      </w:pPr>
      <w:r>
        <w:rPr>
          <w:rFonts w:eastAsia="MS Mincho"/>
        </w:rPr>
        <w:t>"</w:t>
      </w:r>
      <w:r w:rsidRPr="00B816D5">
        <w:rPr>
          <w:rFonts w:eastAsia="MS Mincho"/>
        </w:rPr>
        <w:t>3.2.1.</w:t>
      </w:r>
      <w:r w:rsidRPr="00B816D5">
        <w:rPr>
          <w:rFonts w:eastAsia="MS Mincho"/>
        </w:rPr>
        <w:tab/>
        <w:t>The appropriate reference fuel shall be used, as defined in Annex 10 to this Regulation.</w:t>
      </w:r>
    </w:p>
    <w:p w14:paraId="645ECDE2" w14:textId="77777777" w:rsidR="0015772C" w:rsidRPr="00627A43" w:rsidRDefault="0015772C" w:rsidP="0015772C">
      <w:pPr>
        <w:adjustRightInd w:val="0"/>
        <w:spacing w:after="120"/>
        <w:ind w:left="2268" w:right="1134"/>
        <w:jc w:val="both"/>
        <w:rPr>
          <w:rFonts w:eastAsia="MS Mincho"/>
        </w:rPr>
      </w:pPr>
      <w:r w:rsidRPr="00627A43">
        <w:rPr>
          <w:rFonts w:eastAsia="MS Mincho"/>
        </w:rPr>
        <w:t>As an alternative at the choice of the manufacturer, the appropriate reference fuel as defined in Annex 10 to the 06 or 07 series of amendments to this Regulation may be used."</w:t>
      </w:r>
    </w:p>
    <w:p w14:paraId="240D35AA" w14:textId="77777777" w:rsidR="0015772C" w:rsidRDefault="0015772C" w:rsidP="0015772C">
      <w:pPr>
        <w:pStyle w:val="SingleTxtG"/>
        <w:rPr>
          <w:i/>
          <w:iCs/>
          <w:lang w:val="en-US"/>
        </w:rPr>
      </w:pPr>
      <w:r w:rsidRPr="00B83E01">
        <w:rPr>
          <w:i/>
          <w:iCs/>
          <w:lang w:val="en-US"/>
        </w:rPr>
        <w:t>A</w:t>
      </w:r>
      <w:r>
        <w:rPr>
          <w:i/>
          <w:iCs/>
          <w:lang w:val="en-US"/>
        </w:rPr>
        <w:t>nnex</w:t>
      </w:r>
      <w:r w:rsidRPr="00B83E01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8</w:t>
      </w:r>
    </w:p>
    <w:p w14:paraId="29D07714" w14:textId="77777777" w:rsidR="0015772C" w:rsidRPr="00592CF8" w:rsidRDefault="0015772C" w:rsidP="0015772C">
      <w:pPr>
        <w:pStyle w:val="SingleTxtG"/>
        <w:rPr>
          <w:lang w:val="en-US"/>
        </w:rPr>
      </w:pPr>
      <w:r>
        <w:rPr>
          <w:i/>
          <w:iCs/>
          <w:lang w:val="en-US"/>
        </w:rPr>
        <w:t xml:space="preserve">Paragraph 5.2.11., </w:t>
      </w:r>
      <w:r w:rsidRPr="00592CF8">
        <w:rPr>
          <w:lang w:val="en-US"/>
        </w:rPr>
        <w:t>amend to read:</w:t>
      </w:r>
    </w:p>
    <w:p w14:paraId="3D74F635" w14:textId="77777777" w:rsidR="0015772C" w:rsidRPr="0035613B" w:rsidRDefault="0015772C" w:rsidP="0015772C">
      <w:pPr>
        <w:pStyle w:val="SingleTxtG"/>
        <w:spacing w:before="240"/>
        <w:ind w:left="2257" w:hanging="1123"/>
      </w:pPr>
      <w:r>
        <w:t>"</w:t>
      </w:r>
      <w:r w:rsidRPr="00332023">
        <w:rPr>
          <w:lang w:val="en-US"/>
        </w:rPr>
        <w:t>5.2.11.</w:t>
      </w:r>
      <w:r>
        <w:rPr>
          <w:lang w:val="en-US"/>
        </w:rPr>
        <w:tab/>
      </w:r>
      <w:r w:rsidRPr="00332023">
        <w:rPr>
          <w:lang w:val="en-US"/>
        </w:rPr>
        <w:t>A four-wheel drive vehicle shall be tested in a two-wheel drive mode of operation.</w:t>
      </w:r>
      <w:r>
        <w:rPr>
          <w:lang w:val="en-US"/>
        </w:rPr>
        <w:t xml:space="preserve"> </w:t>
      </w:r>
      <w:r w:rsidRPr="00332023">
        <w:rPr>
          <w:lang w:val="en-US"/>
        </w:rPr>
        <w:t>The determination of the total road force for dynamometer setting is performed</w:t>
      </w:r>
      <w:r>
        <w:rPr>
          <w:lang w:val="en-US"/>
        </w:rPr>
        <w:t xml:space="preserve"> </w:t>
      </w:r>
      <w:r w:rsidRPr="00332023">
        <w:rPr>
          <w:lang w:val="en-US"/>
        </w:rPr>
        <w:t>while operating the vehicle in its primary designed driving mode.</w:t>
      </w:r>
      <w:r w:rsidRPr="000A195C">
        <w:rPr>
          <w:lang w:val="en-US"/>
        </w:rPr>
        <w:t xml:space="preserve"> </w:t>
      </w:r>
      <w:r w:rsidRPr="00B42512">
        <w:rPr>
          <w:lang w:val="en-US"/>
        </w:rPr>
        <w:t>At the request of the manufacturer a four-wheel drive vehicle shall be tested in its primary drive mode of operation</w:t>
      </w:r>
      <w:r w:rsidRPr="00B42512">
        <w:t>.</w:t>
      </w:r>
      <w:r>
        <w:t>"</w:t>
      </w:r>
    </w:p>
    <w:p w14:paraId="2B54E8A9" w14:textId="0649F4EE" w:rsidR="00A034CA" w:rsidRPr="00F070AF" w:rsidRDefault="00F070AF" w:rsidP="00F070AF">
      <w:pPr>
        <w:spacing w:before="24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A034CA" w:rsidRPr="00F070AF" w:rsidSect="00B22C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C5BC" w14:textId="77777777" w:rsidR="003B2552" w:rsidRDefault="003B2552"/>
  </w:endnote>
  <w:endnote w:type="continuationSeparator" w:id="0">
    <w:p w14:paraId="5F9E180B" w14:textId="77777777" w:rsidR="003B2552" w:rsidRDefault="003B2552"/>
  </w:endnote>
  <w:endnote w:type="continuationNotice" w:id="1">
    <w:p w14:paraId="4B1AE7C8" w14:textId="77777777" w:rsidR="003B2552" w:rsidRDefault="003B2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0473" w14:textId="66B1775F"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6C5ABE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877D" w14:textId="6F66439D"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EA1AF8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EDE7" w14:textId="7E04F15A" w:rsidR="00566141" w:rsidRDefault="00566141" w:rsidP="00566141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08C585F" wp14:editId="3327195E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C1178" w14:textId="4F1DE1BC" w:rsidR="00566141" w:rsidRPr="00566141" w:rsidRDefault="00566141" w:rsidP="00566141">
    <w:pPr>
      <w:pStyle w:val="Footer"/>
      <w:ind w:right="1134"/>
      <w:rPr>
        <w:sz w:val="20"/>
      </w:rPr>
    </w:pPr>
    <w:r>
      <w:rPr>
        <w:sz w:val="20"/>
      </w:rPr>
      <w:t>GE.22-14532(E)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31C45DF" wp14:editId="1A498E4B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9D23" w14:textId="77777777" w:rsidR="003B2552" w:rsidRPr="000B175B" w:rsidRDefault="003B255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42E6703" w14:textId="77777777" w:rsidR="003B2552" w:rsidRPr="00FC68B7" w:rsidRDefault="003B255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E92B6EE" w14:textId="77777777" w:rsidR="003B2552" w:rsidRDefault="003B2552"/>
  </w:footnote>
  <w:footnote w:id="2">
    <w:p w14:paraId="6854E2C5" w14:textId="77777777" w:rsidR="00C71DA4" w:rsidRPr="008A48F4" w:rsidRDefault="00C71DA4" w:rsidP="00C71DA4">
      <w:pPr>
        <w:pStyle w:val="FootnoteText"/>
      </w:pPr>
      <w:r w:rsidRPr="008A48F4">
        <w:tab/>
      </w:r>
      <w:r w:rsidRPr="008A48F4">
        <w:rPr>
          <w:rStyle w:val="FootnoteReference"/>
          <w:sz w:val="20"/>
        </w:rPr>
        <w:t>*</w:t>
      </w:r>
      <w:r w:rsidRPr="008A48F4">
        <w:rPr>
          <w:sz w:val="20"/>
        </w:rPr>
        <w:tab/>
      </w:r>
      <w:r w:rsidRPr="008A48F4">
        <w:t>Former titles of the Agreement:</w:t>
      </w:r>
    </w:p>
    <w:p w14:paraId="1B8C8000" w14:textId="77777777" w:rsidR="00C71DA4" w:rsidRPr="008A48F4" w:rsidRDefault="00C71DA4" w:rsidP="00C71DA4">
      <w:pPr>
        <w:pStyle w:val="FootnoteText"/>
        <w:rPr>
          <w:sz w:val="20"/>
        </w:rPr>
      </w:pPr>
      <w:r w:rsidRPr="008A48F4">
        <w:tab/>
      </w:r>
      <w:r w:rsidRPr="008A48F4">
        <w:tab/>
      </w:r>
      <w:r w:rsidRPr="008A48F4">
        <w:rPr>
          <w:spacing w:val="-4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78175112" w14:textId="77777777" w:rsidR="00C71DA4" w:rsidRPr="008A48F4" w:rsidRDefault="00C71DA4" w:rsidP="00C71DA4">
      <w:pPr>
        <w:pStyle w:val="FootnoteText"/>
      </w:pPr>
      <w:r w:rsidRPr="008A48F4">
        <w:tab/>
      </w:r>
      <w:r w:rsidRPr="008A48F4"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0B60" w14:textId="5337EC83" w:rsidR="00B701B3" w:rsidRDefault="00B701B3">
    <w:pPr>
      <w:pStyle w:val="Header"/>
    </w:pPr>
    <w:r w:rsidRPr="00D623A7">
      <w:t>E/ECE/324</w:t>
    </w:r>
    <w:r w:rsidRPr="00841EB5">
      <w:t>/Rev.</w:t>
    </w:r>
    <w:r w:rsidR="0001071D">
      <w:t>1</w:t>
    </w:r>
    <w:r w:rsidRPr="00841EB5">
      <w:t>/</w:t>
    </w:r>
    <w:r w:rsidR="004D2C93" w:rsidRPr="00D623A7">
      <w:t>Add.</w:t>
    </w:r>
    <w:r w:rsidR="00A034CA">
      <w:t>82</w:t>
    </w:r>
    <w:r w:rsidR="004D2C93" w:rsidRPr="00D623A7">
      <w:t>/Rev.</w:t>
    </w:r>
    <w:r w:rsidR="0015772C">
      <w:t>3</w:t>
    </w:r>
    <w:r w:rsidR="004D2C93" w:rsidRPr="00D623A7">
      <w:t>/Amend.</w:t>
    </w:r>
    <w:r w:rsidR="0015772C">
      <w:t>10</w:t>
    </w:r>
    <w:r>
      <w:br/>
    </w:r>
    <w:r w:rsidRPr="00D623A7">
      <w:t>E/ECE/TRANS/505</w:t>
    </w:r>
    <w:r w:rsidRPr="00841EB5">
      <w:t>/</w:t>
    </w:r>
    <w:r w:rsidR="0001071D" w:rsidRPr="00841EB5">
      <w:t>Rev.</w:t>
    </w:r>
    <w:r w:rsidR="0001071D">
      <w:t>1</w:t>
    </w:r>
    <w:r w:rsidR="00EE0446">
      <w:t>/</w:t>
    </w:r>
    <w:r w:rsidR="00EE0446" w:rsidRPr="00D623A7">
      <w:t>Add.</w:t>
    </w:r>
    <w:r w:rsidR="00A034CA">
      <w:t>82</w:t>
    </w:r>
    <w:r w:rsidR="00EE0446" w:rsidRPr="00D623A7">
      <w:t>/Rev.</w:t>
    </w:r>
    <w:r w:rsidR="0015772C">
      <w:t>3</w:t>
    </w:r>
    <w:r w:rsidR="00EE0446" w:rsidRPr="00D623A7">
      <w:t>/Amend.</w:t>
    </w:r>
    <w:r w:rsidR="0015772C">
      <w:t>10</w:t>
    </w:r>
  </w:p>
  <w:p w14:paraId="30CE593D" w14:textId="77777777" w:rsidR="00BF4A36" w:rsidRPr="00BF4A36" w:rsidRDefault="00BF4A36" w:rsidP="00BF4A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837B" w14:textId="766B440A" w:rsidR="00B701B3" w:rsidRDefault="00B701B3" w:rsidP="00776D12">
    <w:pPr>
      <w:pStyle w:val="Header"/>
      <w:jc w:val="right"/>
    </w:pPr>
    <w:r w:rsidRPr="00D623A7">
      <w:t>E/ECE/324/</w:t>
    </w:r>
    <w:r w:rsidR="0001071D">
      <w:t>Rev.1/</w:t>
    </w:r>
    <w:r w:rsidRPr="00D623A7">
      <w:t>Add.</w:t>
    </w:r>
    <w:r w:rsidR="00A034CA">
      <w:t>82</w:t>
    </w:r>
    <w:r w:rsidRPr="00D623A7">
      <w:t>/Rev.</w:t>
    </w:r>
    <w:r w:rsidR="00A034CA">
      <w:t>4</w:t>
    </w:r>
    <w:r w:rsidRPr="00D623A7">
      <w:t>/Amend.</w:t>
    </w:r>
    <w:r w:rsidR="00F070AF">
      <w:t>9</w:t>
    </w:r>
    <w:r>
      <w:br/>
    </w:r>
    <w:r w:rsidRPr="00D623A7">
      <w:t>E/ECE/TRANS/505/</w:t>
    </w:r>
    <w:r w:rsidR="0001071D">
      <w:t>Rev.1/</w:t>
    </w:r>
    <w:r w:rsidR="004D2C93" w:rsidRPr="00D623A7">
      <w:t>Add.</w:t>
    </w:r>
    <w:r w:rsidR="00A034CA">
      <w:t>82</w:t>
    </w:r>
    <w:r w:rsidR="004D2C93" w:rsidRPr="00D623A7">
      <w:t>/Rev.</w:t>
    </w:r>
    <w:r w:rsidR="00A034CA">
      <w:t>4</w:t>
    </w:r>
    <w:r w:rsidR="004D2C93" w:rsidRPr="00D623A7">
      <w:t>/Amend.</w:t>
    </w:r>
    <w:r w:rsidR="00F070AF">
      <w:t>9</w:t>
    </w:r>
  </w:p>
  <w:p w14:paraId="4823CE24" w14:textId="77777777" w:rsidR="00BF4A36" w:rsidRPr="00BF4A36" w:rsidRDefault="00BF4A36" w:rsidP="00BF4A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9880" w14:textId="77777777" w:rsidR="00D5540C" w:rsidRDefault="00D5540C" w:rsidP="008518D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174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30"/>
    <w:rsid w:val="0001071D"/>
    <w:rsid w:val="00050F6B"/>
    <w:rsid w:val="00072C8C"/>
    <w:rsid w:val="00086287"/>
    <w:rsid w:val="000931C0"/>
    <w:rsid w:val="000B175B"/>
    <w:rsid w:val="000B3A0F"/>
    <w:rsid w:val="000C3BA6"/>
    <w:rsid w:val="000D3A4F"/>
    <w:rsid w:val="000E0415"/>
    <w:rsid w:val="000F580C"/>
    <w:rsid w:val="001220B8"/>
    <w:rsid w:val="00134B40"/>
    <w:rsid w:val="001352D9"/>
    <w:rsid w:val="0015772C"/>
    <w:rsid w:val="00165E82"/>
    <w:rsid w:val="001725FD"/>
    <w:rsid w:val="00192F03"/>
    <w:rsid w:val="001B4B04"/>
    <w:rsid w:val="001C6663"/>
    <w:rsid w:val="001C7895"/>
    <w:rsid w:val="001D26DF"/>
    <w:rsid w:val="002070FE"/>
    <w:rsid w:val="00211E0B"/>
    <w:rsid w:val="002405A7"/>
    <w:rsid w:val="00271A7F"/>
    <w:rsid w:val="00295CB5"/>
    <w:rsid w:val="002A1E3A"/>
    <w:rsid w:val="002D1113"/>
    <w:rsid w:val="002E346C"/>
    <w:rsid w:val="003107FA"/>
    <w:rsid w:val="00312E48"/>
    <w:rsid w:val="003229D8"/>
    <w:rsid w:val="0033745A"/>
    <w:rsid w:val="00370737"/>
    <w:rsid w:val="003852F5"/>
    <w:rsid w:val="0039277A"/>
    <w:rsid w:val="003972E0"/>
    <w:rsid w:val="003B2552"/>
    <w:rsid w:val="003C2CC4"/>
    <w:rsid w:val="003C3936"/>
    <w:rsid w:val="003D4B23"/>
    <w:rsid w:val="003F1ED3"/>
    <w:rsid w:val="004325CB"/>
    <w:rsid w:val="00440758"/>
    <w:rsid w:val="00445C26"/>
    <w:rsid w:val="00446DE4"/>
    <w:rsid w:val="0049115C"/>
    <w:rsid w:val="004A41CA"/>
    <w:rsid w:val="004A5884"/>
    <w:rsid w:val="004D2C93"/>
    <w:rsid w:val="004E3FEB"/>
    <w:rsid w:val="005009F2"/>
    <w:rsid w:val="00503228"/>
    <w:rsid w:val="00504750"/>
    <w:rsid w:val="00505384"/>
    <w:rsid w:val="00513C18"/>
    <w:rsid w:val="005420F2"/>
    <w:rsid w:val="0054561B"/>
    <w:rsid w:val="00566141"/>
    <w:rsid w:val="00582B38"/>
    <w:rsid w:val="005B3DB3"/>
    <w:rsid w:val="005E1409"/>
    <w:rsid w:val="00606809"/>
    <w:rsid w:val="00611FC4"/>
    <w:rsid w:val="006176FB"/>
    <w:rsid w:val="00627ED0"/>
    <w:rsid w:val="00640B26"/>
    <w:rsid w:val="0064636E"/>
    <w:rsid w:val="00665595"/>
    <w:rsid w:val="0069341E"/>
    <w:rsid w:val="00694209"/>
    <w:rsid w:val="006A67EF"/>
    <w:rsid w:val="006A7392"/>
    <w:rsid w:val="006C5ABE"/>
    <w:rsid w:val="006D00FE"/>
    <w:rsid w:val="006E564B"/>
    <w:rsid w:val="006F5576"/>
    <w:rsid w:val="00713BD8"/>
    <w:rsid w:val="0072632A"/>
    <w:rsid w:val="00726BD1"/>
    <w:rsid w:val="00743CD6"/>
    <w:rsid w:val="00750602"/>
    <w:rsid w:val="00776D12"/>
    <w:rsid w:val="007B6BA5"/>
    <w:rsid w:val="007C3354"/>
    <w:rsid w:val="007C3390"/>
    <w:rsid w:val="007C4F4B"/>
    <w:rsid w:val="007F0B83"/>
    <w:rsid w:val="007F6611"/>
    <w:rsid w:val="008175E9"/>
    <w:rsid w:val="008242D7"/>
    <w:rsid w:val="00827E05"/>
    <w:rsid w:val="008311A3"/>
    <w:rsid w:val="00841EB5"/>
    <w:rsid w:val="008518D5"/>
    <w:rsid w:val="00871FD5"/>
    <w:rsid w:val="008979B1"/>
    <w:rsid w:val="008A48F4"/>
    <w:rsid w:val="008A6B25"/>
    <w:rsid w:val="008A6C4F"/>
    <w:rsid w:val="008C3804"/>
    <w:rsid w:val="008E0E46"/>
    <w:rsid w:val="00907AD2"/>
    <w:rsid w:val="00963CBA"/>
    <w:rsid w:val="00974A8D"/>
    <w:rsid w:val="00991261"/>
    <w:rsid w:val="009952F1"/>
    <w:rsid w:val="009F015A"/>
    <w:rsid w:val="009F3A17"/>
    <w:rsid w:val="00A034CA"/>
    <w:rsid w:val="00A1427D"/>
    <w:rsid w:val="00A22277"/>
    <w:rsid w:val="00A279B3"/>
    <w:rsid w:val="00A41529"/>
    <w:rsid w:val="00A5324D"/>
    <w:rsid w:val="00A569D6"/>
    <w:rsid w:val="00A72F22"/>
    <w:rsid w:val="00A748A6"/>
    <w:rsid w:val="00A85956"/>
    <w:rsid w:val="00A879A4"/>
    <w:rsid w:val="00B22C14"/>
    <w:rsid w:val="00B30179"/>
    <w:rsid w:val="00B32121"/>
    <w:rsid w:val="00B33EC0"/>
    <w:rsid w:val="00B701B3"/>
    <w:rsid w:val="00B81E12"/>
    <w:rsid w:val="00BC2683"/>
    <w:rsid w:val="00BC358D"/>
    <w:rsid w:val="00BC74E9"/>
    <w:rsid w:val="00BD2146"/>
    <w:rsid w:val="00BD221C"/>
    <w:rsid w:val="00BD538F"/>
    <w:rsid w:val="00BE4F74"/>
    <w:rsid w:val="00BE618E"/>
    <w:rsid w:val="00BF4A36"/>
    <w:rsid w:val="00BF6323"/>
    <w:rsid w:val="00C17699"/>
    <w:rsid w:val="00C41A28"/>
    <w:rsid w:val="00C463DD"/>
    <w:rsid w:val="00C711C7"/>
    <w:rsid w:val="00C71A58"/>
    <w:rsid w:val="00C71DA4"/>
    <w:rsid w:val="00C745C3"/>
    <w:rsid w:val="00C84414"/>
    <w:rsid w:val="00CE4A8F"/>
    <w:rsid w:val="00CE5E33"/>
    <w:rsid w:val="00CF4C18"/>
    <w:rsid w:val="00D2031B"/>
    <w:rsid w:val="00D25FE2"/>
    <w:rsid w:val="00D317BB"/>
    <w:rsid w:val="00D43252"/>
    <w:rsid w:val="00D5540C"/>
    <w:rsid w:val="00D623A7"/>
    <w:rsid w:val="00D62A81"/>
    <w:rsid w:val="00D6614F"/>
    <w:rsid w:val="00D978C6"/>
    <w:rsid w:val="00DA170C"/>
    <w:rsid w:val="00DA49B8"/>
    <w:rsid w:val="00DA67AD"/>
    <w:rsid w:val="00DB5D0F"/>
    <w:rsid w:val="00DC3F07"/>
    <w:rsid w:val="00DE4B81"/>
    <w:rsid w:val="00DF12F7"/>
    <w:rsid w:val="00DF3A2D"/>
    <w:rsid w:val="00E02C81"/>
    <w:rsid w:val="00E130AB"/>
    <w:rsid w:val="00E313A7"/>
    <w:rsid w:val="00E506F0"/>
    <w:rsid w:val="00E53330"/>
    <w:rsid w:val="00E7260F"/>
    <w:rsid w:val="00E87921"/>
    <w:rsid w:val="00E96630"/>
    <w:rsid w:val="00EA0ED6"/>
    <w:rsid w:val="00EA1AF8"/>
    <w:rsid w:val="00EA264E"/>
    <w:rsid w:val="00ED7A2A"/>
    <w:rsid w:val="00ED7F82"/>
    <w:rsid w:val="00EE0446"/>
    <w:rsid w:val="00EF1D7F"/>
    <w:rsid w:val="00F070AF"/>
    <w:rsid w:val="00F43A63"/>
    <w:rsid w:val="00F43C58"/>
    <w:rsid w:val="00F53EDA"/>
    <w:rsid w:val="00F55704"/>
    <w:rsid w:val="00F67B72"/>
    <w:rsid w:val="00F7753D"/>
    <w:rsid w:val="00F85F34"/>
    <w:rsid w:val="00FA06F7"/>
    <w:rsid w:val="00FB171A"/>
    <w:rsid w:val="00FC68B7"/>
    <w:rsid w:val="00FD7BF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0A858"/>
  <w15:docId w15:val="{31FFB701-ADE8-4EE5-A618-06C1B40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"/>
    <w:basedOn w:val="Normal"/>
    <w:link w:val="FootnoteTextChar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Table_G Char"/>
    <w:link w:val="Heading1"/>
    <w:rsid w:val="0001071D"/>
    <w:rPr>
      <w:lang w:eastAsia="en-US"/>
    </w:rPr>
  </w:style>
  <w:style w:type="character" w:customStyle="1" w:styleId="paraChar">
    <w:name w:val="para Char"/>
    <w:link w:val="para"/>
    <w:locked/>
    <w:rsid w:val="0001071D"/>
    <w:rPr>
      <w:lang w:eastAsia="en-US"/>
    </w:rPr>
  </w:style>
  <w:style w:type="character" w:customStyle="1" w:styleId="FootnoteTextChar1">
    <w:name w:val="Footnote Text Char1"/>
    <w:aliases w:val="5_G Char1,PP Char1"/>
    <w:uiPriority w:val="99"/>
    <w:locked/>
    <w:rsid w:val="00C71DA4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6B8C3C4D-FECA-483B-A90D-01F8F333D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C2C0C-9FBB-4871-B2D1-A9763CB8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71F51-0DDB-4AC2-B3FE-CD930CB4ACC5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85ec44e-1bab-4c0b-9df0-6ba128686fc9"/>
    <ds:schemaRef ds:uri="acccb6d4-dbe5-46d2-b4d3-5733603d8cc6"/>
    <ds:schemaRef ds:uri="4b4a1c0d-4a69-4996-a84a-fc699b9f49d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1555</Characters>
  <Application>Microsoft Office Word</Application>
  <DocSecurity>0</DocSecurity>
  <Lines>46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E/ECE/324/Rev.1/Add.82/Rev.3/Amend.10</dc:title>
  <dc:subject>2214532</dc:subject>
  <dc:creator>Caillot</dc:creator>
  <cp:keywords/>
  <dc:description/>
  <cp:lastModifiedBy>Maria Rosario Corazon Gatmaytan</cp:lastModifiedBy>
  <cp:revision>2</cp:revision>
  <cp:lastPrinted>2015-05-06T11:39:00Z</cp:lastPrinted>
  <dcterms:created xsi:type="dcterms:W3CDTF">2022-09-14T14:24:00Z</dcterms:created>
  <dcterms:modified xsi:type="dcterms:W3CDTF">2022-09-14T14:24:00Z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541200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