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775A99" w14:paraId="30C8A42A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AF0B2B" w14:textId="77777777" w:rsidR="002D5AAC" w:rsidRPr="008C1A9B" w:rsidRDefault="002D5AAC" w:rsidP="00775A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64C746C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E1B1A31" w14:textId="27DF4639" w:rsidR="00775A99" w:rsidRPr="00775A99" w:rsidRDefault="00775A99" w:rsidP="00775A99">
            <w:pPr>
              <w:jc w:val="right"/>
              <w:rPr>
                <w:lang w:val="en-US"/>
              </w:rPr>
            </w:pPr>
            <w:r w:rsidRPr="00775A99">
              <w:rPr>
                <w:sz w:val="40"/>
                <w:lang w:val="en-US"/>
              </w:rPr>
              <w:t>E</w:t>
            </w:r>
            <w:r w:rsidRPr="00775A99">
              <w:rPr>
                <w:lang w:val="en-US"/>
              </w:rPr>
              <w:t>/ECE/324/Rev.1/Add.77/Rev.3/Amend.1</w:t>
            </w:r>
            <w:r w:rsidRPr="00775A99">
              <w:rPr>
                <w:rFonts w:cs="Times New Roman"/>
                <w:lang w:val="en-US"/>
              </w:rPr>
              <w:t>−</w:t>
            </w:r>
            <w:r w:rsidRPr="00775A99">
              <w:rPr>
                <w:sz w:val="40"/>
                <w:lang w:val="en-US"/>
              </w:rPr>
              <w:t>E</w:t>
            </w:r>
            <w:r w:rsidRPr="00775A99">
              <w:rPr>
                <w:lang w:val="en-US"/>
              </w:rPr>
              <w:t>/ECE/TRANS/505/Rev.1/Add.77/Rev.3/Amend.1</w:t>
            </w:r>
          </w:p>
        </w:tc>
      </w:tr>
      <w:tr w:rsidR="002D5AAC" w:rsidRPr="009D084C" w14:paraId="02DEC72D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C4EBB59" w14:textId="77777777" w:rsidR="002D5AAC" w:rsidRPr="00775A99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37601E1" w14:textId="77777777" w:rsidR="002D5AAC" w:rsidRPr="00775A99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8EA251C" w14:textId="6E637D6B" w:rsidR="002D5AAC" w:rsidRPr="00775A99" w:rsidRDefault="002D5AAC" w:rsidP="00775A99">
            <w:pPr>
              <w:spacing w:before="120"/>
              <w:rPr>
                <w:rFonts w:eastAsia="Times New Roman" w:cs="Times New Roman"/>
                <w:szCs w:val="20"/>
                <w:highlight w:val="yellow"/>
                <w:lang w:val="en-GB"/>
              </w:rPr>
            </w:pPr>
          </w:p>
          <w:p w14:paraId="79CF6435" w14:textId="77777777" w:rsidR="00775A99" w:rsidRPr="00775A99" w:rsidRDefault="00775A99" w:rsidP="00775A99">
            <w:pPr>
              <w:spacing w:before="120"/>
              <w:rPr>
                <w:rFonts w:eastAsia="Times New Roman" w:cs="Times New Roman"/>
                <w:szCs w:val="20"/>
                <w:highlight w:val="yellow"/>
                <w:lang w:val="en-GB"/>
              </w:rPr>
            </w:pPr>
          </w:p>
          <w:p w14:paraId="3132BF39" w14:textId="660AA22C" w:rsidR="00775A99" w:rsidRPr="009D084C" w:rsidRDefault="00775A99" w:rsidP="00775A99">
            <w:pPr>
              <w:spacing w:before="120"/>
              <w:rPr>
                <w:szCs w:val="20"/>
                <w:lang w:val="en-US"/>
              </w:rPr>
            </w:pPr>
            <w:r w:rsidRPr="00775A99">
              <w:rPr>
                <w:rFonts w:eastAsia="Times New Roman" w:cs="Times New Roman"/>
                <w:szCs w:val="20"/>
                <w:lang w:val="en-GB"/>
              </w:rPr>
              <w:t>17 November 2022</w:t>
            </w:r>
          </w:p>
        </w:tc>
      </w:tr>
    </w:tbl>
    <w:p w14:paraId="76242CA1" w14:textId="77777777" w:rsidR="00775A99" w:rsidRPr="0061753D" w:rsidRDefault="00775A99" w:rsidP="00775A99">
      <w:pPr>
        <w:pStyle w:val="HChG"/>
        <w:spacing w:before="240" w:after="120"/>
      </w:pPr>
      <w:r w:rsidRPr="0061753D">
        <w:tab/>
      </w:r>
      <w:r w:rsidRPr="0061753D">
        <w:tab/>
        <w:t>Соглашение</w:t>
      </w:r>
    </w:p>
    <w:p w14:paraId="64D10529" w14:textId="77777777" w:rsidR="00775A99" w:rsidRPr="0061753D" w:rsidRDefault="00775A99" w:rsidP="00775A99">
      <w:pPr>
        <w:pStyle w:val="H1G"/>
        <w:spacing w:before="240"/>
      </w:pPr>
      <w:r w:rsidRPr="0061753D">
        <w:rPr>
          <w:rStyle w:val="H1GChar"/>
        </w:rPr>
        <w:tab/>
      </w:r>
      <w:r w:rsidRPr="0061753D">
        <w:rPr>
          <w:rStyle w:val="H1GChar"/>
        </w:rPr>
        <w:tab/>
      </w:r>
      <w:r w:rsidRPr="0061753D">
        <w:rPr>
          <w:szCs w:val="24"/>
          <w:shd w:val="clear" w:color="auto" w:fill="FFFFFF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775A99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1BFECA8" w14:textId="77777777" w:rsidR="00775A99" w:rsidRPr="0061753D" w:rsidRDefault="00775A99" w:rsidP="00775A99">
      <w:pPr>
        <w:pStyle w:val="SingleTxtG"/>
        <w:spacing w:before="120"/>
      </w:pPr>
      <w:r w:rsidRPr="0061753D">
        <w:t>(Пересмотр 3, включающий поправки, вступившие в силу 14 сентября 2017 года)</w:t>
      </w:r>
    </w:p>
    <w:p w14:paraId="7AE6BF0C" w14:textId="6BBA9C53" w:rsidR="00775A99" w:rsidRPr="00775A99" w:rsidRDefault="00775A99" w:rsidP="00775A9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3C1D49" w14:textId="74EE4BBD" w:rsidR="00775A99" w:rsidRPr="0061753D" w:rsidRDefault="00775A99" w:rsidP="00775A99">
      <w:pPr>
        <w:pStyle w:val="H1G"/>
        <w:spacing w:before="240" w:after="120"/>
      </w:pPr>
      <w:r w:rsidRPr="0061753D">
        <w:tab/>
      </w:r>
      <w:r w:rsidRPr="0061753D">
        <w:tab/>
      </w:r>
      <w:bookmarkStart w:id="0" w:name="_Hlk124938454"/>
      <w:r w:rsidRPr="0061753D">
        <w:rPr>
          <w:bCs/>
        </w:rPr>
        <w:t xml:space="preserve">Добавление </w:t>
      </w:r>
      <w:r w:rsidRPr="0061753D">
        <w:t xml:space="preserve">77 </w:t>
      </w:r>
      <w:r w:rsidRPr="00775A99">
        <w:t>—</w:t>
      </w:r>
      <w:r w:rsidRPr="0061753D">
        <w:t xml:space="preserve"> </w:t>
      </w:r>
      <w:r w:rsidRPr="0061753D">
        <w:rPr>
          <w:bCs/>
        </w:rPr>
        <w:t>Правила № 78 ООН</w:t>
      </w:r>
    </w:p>
    <w:p w14:paraId="7A3C189D" w14:textId="4BE327E5" w:rsidR="00775A99" w:rsidRPr="0061753D" w:rsidRDefault="00775A99" w:rsidP="00775A99">
      <w:pPr>
        <w:pStyle w:val="H1G"/>
        <w:spacing w:before="240"/>
      </w:pPr>
      <w:r w:rsidRPr="0061753D">
        <w:tab/>
      </w:r>
      <w:r w:rsidRPr="0061753D">
        <w:tab/>
        <w:t xml:space="preserve">Пересмотр 3 </w:t>
      </w:r>
      <w:r w:rsidRPr="00775A99">
        <w:t>—</w:t>
      </w:r>
      <w:r w:rsidRPr="0061753D">
        <w:t xml:space="preserve"> Поправка 1</w:t>
      </w:r>
    </w:p>
    <w:p w14:paraId="6E89277C" w14:textId="5ED6B5A5" w:rsidR="00775A99" w:rsidRPr="0061753D" w:rsidRDefault="00775A99" w:rsidP="00775A99">
      <w:pPr>
        <w:pStyle w:val="SingleTxtG"/>
        <w:spacing w:after="360"/>
        <w:rPr>
          <w:spacing w:val="-2"/>
        </w:rPr>
      </w:pPr>
      <w:r w:rsidRPr="0061753D">
        <w:rPr>
          <w:spacing w:val="-2"/>
        </w:rPr>
        <w:t xml:space="preserve">Дополнение 1 к поправкам серии 05 </w:t>
      </w:r>
      <w:r w:rsidRPr="00775A99">
        <w:rPr>
          <w:spacing w:val="-2"/>
        </w:rPr>
        <w:t>—</w:t>
      </w:r>
      <w:r w:rsidRPr="0061753D">
        <w:rPr>
          <w:spacing w:val="-2"/>
        </w:rPr>
        <w:t xml:space="preserve"> </w:t>
      </w:r>
      <w:r w:rsidRPr="0061753D">
        <w:t>Дата вступления в силу</w:t>
      </w:r>
      <w:r w:rsidRPr="0061753D">
        <w:rPr>
          <w:spacing w:val="-2"/>
        </w:rPr>
        <w:t xml:space="preserve">: </w:t>
      </w:r>
      <w:r w:rsidRPr="0061753D">
        <w:t>8 октября 2022 года</w:t>
      </w:r>
    </w:p>
    <w:bookmarkEnd w:id="0"/>
    <w:p w14:paraId="1EBCAD5F" w14:textId="12427E09" w:rsidR="00775A99" w:rsidRPr="0061753D" w:rsidRDefault="00775A99" w:rsidP="00775A99">
      <w:pPr>
        <w:pStyle w:val="H1G"/>
        <w:spacing w:before="120" w:after="120" w:line="240" w:lineRule="exact"/>
        <w:ind w:left="1138" w:right="1138" w:hanging="1138"/>
      </w:pPr>
      <w:r w:rsidRPr="0061753D">
        <w:tab/>
      </w:r>
      <w:r w:rsidRPr="0061753D">
        <w:tab/>
      </w:r>
      <w:r w:rsidRPr="0061753D">
        <w:rPr>
          <w:szCs w:val="24"/>
          <w:shd w:val="clear" w:color="auto" w:fill="FFFFFF"/>
        </w:rPr>
        <w:t>Единообразные предписания, касающиеся официального утверждения транспортных средств категории L</w:t>
      </w:r>
      <w:r w:rsidRPr="0061753D">
        <w:rPr>
          <w:szCs w:val="24"/>
          <w:shd w:val="clear" w:color="auto" w:fill="FFFFFF"/>
          <w:vertAlign w:val="subscript"/>
        </w:rPr>
        <w:t>1</w:t>
      </w:r>
      <w:r w:rsidRPr="0061753D">
        <w:rPr>
          <w:szCs w:val="24"/>
          <w:shd w:val="clear" w:color="auto" w:fill="FFFFFF"/>
        </w:rPr>
        <w:t>, L</w:t>
      </w:r>
      <w:r w:rsidRPr="0061753D">
        <w:rPr>
          <w:szCs w:val="24"/>
          <w:shd w:val="clear" w:color="auto" w:fill="FFFFFF"/>
          <w:vertAlign w:val="subscript"/>
        </w:rPr>
        <w:t>2</w:t>
      </w:r>
      <w:r w:rsidRPr="0061753D">
        <w:rPr>
          <w:szCs w:val="24"/>
          <w:shd w:val="clear" w:color="auto" w:fill="FFFFFF"/>
        </w:rPr>
        <w:t>, L</w:t>
      </w:r>
      <w:r w:rsidRPr="0061753D">
        <w:rPr>
          <w:szCs w:val="24"/>
          <w:shd w:val="clear" w:color="auto" w:fill="FFFFFF"/>
          <w:vertAlign w:val="subscript"/>
        </w:rPr>
        <w:t>3</w:t>
      </w:r>
      <w:r w:rsidRPr="0061753D">
        <w:rPr>
          <w:szCs w:val="24"/>
          <w:shd w:val="clear" w:color="auto" w:fill="FFFFFF"/>
        </w:rPr>
        <w:t>, L</w:t>
      </w:r>
      <w:r w:rsidRPr="0061753D">
        <w:rPr>
          <w:szCs w:val="24"/>
          <w:shd w:val="clear" w:color="auto" w:fill="FFFFFF"/>
          <w:vertAlign w:val="subscript"/>
        </w:rPr>
        <w:t>4</w:t>
      </w:r>
      <w:r w:rsidRPr="0061753D">
        <w:rPr>
          <w:szCs w:val="24"/>
          <w:shd w:val="clear" w:color="auto" w:fill="FFFFFF"/>
        </w:rPr>
        <w:t xml:space="preserve"> и L</w:t>
      </w:r>
      <w:r w:rsidRPr="0061753D">
        <w:rPr>
          <w:szCs w:val="24"/>
          <w:shd w:val="clear" w:color="auto" w:fill="FFFFFF"/>
          <w:vertAlign w:val="subscript"/>
        </w:rPr>
        <w:t>5</w:t>
      </w:r>
      <w:r w:rsidRPr="0061753D">
        <w:rPr>
          <w:szCs w:val="24"/>
          <w:shd w:val="clear" w:color="auto" w:fill="FFFFFF"/>
        </w:rPr>
        <w:t xml:space="preserve"> в</w:t>
      </w:r>
      <w:r>
        <w:rPr>
          <w:szCs w:val="24"/>
          <w:shd w:val="clear" w:color="auto" w:fill="FFFFFF"/>
          <w:lang w:val="en-US"/>
        </w:rPr>
        <w:t> </w:t>
      </w:r>
      <w:r w:rsidRPr="0061753D">
        <w:rPr>
          <w:szCs w:val="24"/>
          <w:shd w:val="clear" w:color="auto" w:fill="FFFFFF"/>
        </w:rPr>
        <w:t>отношении торможения</w:t>
      </w:r>
    </w:p>
    <w:p w14:paraId="4753C996" w14:textId="5BBD7885" w:rsidR="00775A99" w:rsidRPr="0061753D" w:rsidRDefault="00775A99" w:rsidP="00775A99">
      <w:pPr>
        <w:pStyle w:val="SingleTxtG"/>
        <w:spacing w:after="0"/>
        <w:rPr>
          <w:lang w:eastAsia="en-GB"/>
        </w:rPr>
      </w:pPr>
      <w:r w:rsidRPr="0061753D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61753D">
        <w:rPr>
          <w:spacing w:val="-4"/>
          <w:lang w:eastAsia="en-GB"/>
        </w:rPr>
        <w:t>:</w:t>
      </w:r>
      <w:r w:rsidRPr="0061753D">
        <w:rPr>
          <w:lang w:eastAsia="en-GB"/>
        </w:rPr>
        <w:t xml:space="preserve"> </w:t>
      </w:r>
      <w:r w:rsidRPr="0061753D">
        <w:rPr>
          <w:spacing w:val="-6"/>
          <w:lang w:eastAsia="en-GB"/>
        </w:rPr>
        <w:t>ECE/TRANS/WP.29/2022/13.</w:t>
      </w:r>
    </w:p>
    <w:p w14:paraId="498A8220" w14:textId="211A2050" w:rsidR="00775A99" w:rsidRPr="00775A99" w:rsidRDefault="00775A99" w:rsidP="00775A99">
      <w:pPr>
        <w:pStyle w:val="SingleTxtG"/>
        <w:jc w:val="center"/>
        <w:rPr>
          <w:u w:val="single"/>
        </w:rPr>
      </w:pPr>
      <w:r w:rsidRPr="0061753D">
        <w:rPr>
          <w:noProof/>
          <w:lang w:val="en-US"/>
        </w:rPr>
        <w:drawing>
          <wp:anchor distT="0" distB="137160" distL="114300" distR="114300" simplePos="0" relativeHeight="251659264" behindDoc="0" locked="0" layoutInCell="1" allowOverlap="1" wp14:anchorId="2BCC3E82" wp14:editId="6691EBD8">
            <wp:simplePos x="0" y="0"/>
            <wp:positionH relativeFrom="column">
              <wp:posOffset>2627086</wp:posOffset>
            </wp:positionH>
            <wp:positionV relativeFrom="paragraph">
              <wp:posOffset>271871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BF523D" w14:textId="66608D50" w:rsidR="00775A99" w:rsidRPr="0061753D" w:rsidRDefault="00775A99" w:rsidP="00775A99">
      <w:pPr>
        <w:suppressAutoHyphens w:val="0"/>
        <w:spacing w:line="240" w:lineRule="auto"/>
        <w:jc w:val="center"/>
        <w:rPr>
          <w:b/>
          <w:sz w:val="24"/>
        </w:rPr>
      </w:pPr>
      <w:r w:rsidRPr="0061753D">
        <w:rPr>
          <w:b/>
          <w:bCs/>
          <w:sz w:val="24"/>
          <w:szCs w:val="24"/>
        </w:rPr>
        <w:t>ОРГАНИЗАЦИЯ ОБЪЕДИНЕННЫХ НАЦИЙ</w:t>
      </w:r>
      <w:r w:rsidRPr="0061753D">
        <w:rPr>
          <w:b/>
          <w:sz w:val="24"/>
        </w:rPr>
        <w:br w:type="page"/>
      </w:r>
    </w:p>
    <w:p w14:paraId="1CC2CB13" w14:textId="77777777" w:rsidR="00775A99" w:rsidRPr="0061753D" w:rsidRDefault="00775A99" w:rsidP="00775A99">
      <w:pPr>
        <w:pStyle w:val="SingleTxtG"/>
        <w:rPr>
          <w:rFonts w:eastAsia="MS Mincho"/>
          <w:b/>
          <w:i/>
        </w:rPr>
      </w:pPr>
      <w:r w:rsidRPr="0061753D">
        <w:rPr>
          <w:i/>
          <w:iCs/>
        </w:rPr>
        <w:lastRenderedPageBreak/>
        <w:t>Пункты 2.31–2.32</w:t>
      </w:r>
      <w:r w:rsidRPr="0061753D">
        <w:t xml:space="preserve"> пронумеровать следующим образом:</w:t>
      </w:r>
    </w:p>
    <w:p w14:paraId="77F5545E" w14:textId="77777777" w:rsidR="00775A99" w:rsidRPr="0061753D" w:rsidRDefault="00775A99" w:rsidP="00775A99">
      <w:pPr>
        <w:pStyle w:val="SingleTxtG"/>
        <w:ind w:left="2268" w:hanging="1134"/>
      </w:pPr>
      <w:r w:rsidRPr="0061753D">
        <w:t>«2.31</w:t>
      </w:r>
      <w:r w:rsidRPr="0061753D">
        <w:tab/>
      </w:r>
      <w:r w:rsidRPr="0061753D">
        <w:tab/>
        <w:t>“</w:t>
      </w:r>
      <w:r w:rsidRPr="0061753D">
        <w:rPr>
          <w:i/>
          <w:iCs/>
        </w:rPr>
        <w:t>Сигнал торможения</w:t>
      </w:r>
      <w:r w:rsidRPr="0061753D">
        <w:t>” означает логический сигнал, указывающий тот момент, когда требуется или допускается включение стоп-сигнала, как это предусмотрено в пункте 5.1.17 настоящих Правил.</w:t>
      </w:r>
    </w:p>
    <w:p w14:paraId="19B28A65" w14:textId="77777777" w:rsidR="00775A99" w:rsidRPr="0061753D" w:rsidRDefault="00775A99" w:rsidP="00775A99">
      <w:pPr>
        <w:pStyle w:val="SingleTxtG"/>
        <w:ind w:left="2268" w:hanging="1134"/>
      </w:pPr>
      <w:r w:rsidRPr="0061753D">
        <w:t>2.32</w:t>
      </w:r>
      <w:r w:rsidRPr="0061753D">
        <w:tab/>
      </w:r>
      <w:r w:rsidRPr="0061753D">
        <w:tab/>
        <w:t>“</w:t>
      </w:r>
      <w:r w:rsidRPr="0061753D">
        <w:rPr>
          <w:i/>
          <w:iCs/>
        </w:rPr>
        <w:t>Система электрического рекуперативного торможения</w:t>
      </w:r>
      <w:r w:rsidRPr="0061753D">
        <w:t>” означает систему торможения, которая в ходе замедления позволяет преобразовывать кинетическую энергию транспортного средства в электрическую и не является частью системы рабочего тормоза.</w:t>
      </w:r>
    </w:p>
    <w:p w14:paraId="7173FC10" w14:textId="77777777" w:rsidR="00775A99" w:rsidRPr="0061753D" w:rsidRDefault="00775A99" w:rsidP="00775A99">
      <w:pPr>
        <w:pStyle w:val="SingleTxtG"/>
        <w:ind w:left="2268" w:hanging="1134"/>
      </w:pPr>
      <w:r w:rsidRPr="0061753D">
        <w:t>2.33</w:t>
      </w:r>
      <w:r w:rsidRPr="0061753D">
        <w:tab/>
      </w:r>
      <w:r w:rsidRPr="0061753D">
        <w:tab/>
        <w:t>“</w:t>
      </w:r>
      <w:r w:rsidRPr="0061753D">
        <w:rPr>
          <w:i/>
          <w:iCs/>
        </w:rPr>
        <w:t>Деактивация антиблокировочной тормозной системы</w:t>
      </w:r>
      <w:r w:rsidRPr="0061753D">
        <w:t>” означает перевод системы в состояние, при котором она более не отвечает техническим требованиям, указанным в пункте 9 приложения 3 к настоящим Правилам».</w:t>
      </w:r>
    </w:p>
    <w:p w14:paraId="0999D492" w14:textId="77777777" w:rsidR="00775A99" w:rsidRPr="0061753D" w:rsidRDefault="00775A99" w:rsidP="00775A99">
      <w:pPr>
        <w:pStyle w:val="SingleTxtG"/>
        <w:rPr>
          <w:iCs/>
        </w:rPr>
      </w:pPr>
      <w:r w:rsidRPr="0061753D">
        <w:rPr>
          <w:i/>
          <w:iCs/>
        </w:rPr>
        <w:t>Пункт 5.1.17.2</w:t>
      </w:r>
      <w:r w:rsidRPr="0061753D">
        <w:t xml:space="preserve"> изменить следующим образом:</w:t>
      </w:r>
    </w:p>
    <w:p w14:paraId="6D7CA819" w14:textId="77777777" w:rsidR="00775A99" w:rsidRPr="0061753D" w:rsidRDefault="00775A99" w:rsidP="00775A99">
      <w:pPr>
        <w:pStyle w:val="SingleTxtG"/>
        <w:ind w:left="2268" w:hanging="1134"/>
      </w:pPr>
      <w:r w:rsidRPr="0061753D">
        <w:t>«5.1.17.2</w:t>
      </w:r>
      <w:r w:rsidRPr="0061753D">
        <w:tab/>
        <w:t>кроме того, в случае транспортных средств, оснащенных системами электрического рекуперативного торможения, которые создают тормозное усилие при отпускании устройства управления акселератором, сигнал торможения инициируется также в соответствии со следующими предписаниями</w:t>
      </w:r>
      <w:r w:rsidRPr="0061753D">
        <w:rPr>
          <w:sz w:val="18"/>
          <w:szCs w:val="18"/>
          <w:vertAlign w:val="superscript"/>
        </w:rPr>
        <w:t>4</w:t>
      </w:r>
      <w:r w:rsidRPr="0061753D">
        <w:t>:</w:t>
      </w:r>
    </w:p>
    <w:tbl>
      <w:tblPr>
        <w:tblW w:w="6236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834"/>
      </w:tblGrid>
      <w:tr w:rsidR="00775A99" w:rsidRPr="0061753D" w14:paraId="63964018" w14:textId="77777777" w:rsidTr="00F31812">
        <w:trPr>
          <w:tblHeader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49B6B9" w14:textId="77777777" w:rsidR="00775A99" w:rsidRPr="0061753D" w:rsidRDefault="00775A99" w:rsidP="00F31812">
            <w:pPr>
              <w:spacing w:before="80" w:after="80" w:line="200" w:lineRule="exact"/>
              <w:ind w:left="28"/>
              <w:rPr>
                <w:i/>
                <w:strike/>
                <w:sz w:val="16"/>
              </w:rPr>
            </w:pPr>
            <w:r w:rsidRPr="0061753D">
              <w:rPr>
                <w:i/>
                <w:sz w:val="16"/>
              </w:rPr>
              <w:t>Замедление транспортного средства путем рекуперативного торможения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F3C9EC" w14:textId="77777777" w:rsidR="00775A99" w:rsidRPr="0061753D" w:rsidRDefault="00775A99" w:rsidP="00F31812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61753D">
              <w:rPr>
                <w:i/>
                <w:sz w:val="16"/>
              </w:rPr>
              <w:t>Подача сигнала</w:t>
            </w:r>
          </w:p>
        </w:tc>
      </w:tr>
      <w:tr w:rsidR="00775A99" w:rsidRPr="0061753D" w14:paraId="139AFC01" w14:textId="77777777" w:rsidTr="00F31812">
        <w:trPr>
          <w:trHeight w:hRule="exact" w:val="113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1625BF00" w14:textId="77777777" w:rsidR="00775A99" w:rsidRPr="0061753D" w:rsidRDefault="00775A99" w:rsidP="00F31812">
            <w:pPr>
              <w:spacing w:before="40" w:after="120"/>
              <w:ind w:left="28" w:right="113"/>
            </w:pPr>
          </w:p>
        </w:tc>
        <w:tc>
          <w:tcPr>
            <w:tcW w:w="2834" w:type="dxa"/>
            <w:tcBorders>
              <w:top w:val="single" w:sz="12" w:space="0" w:color="auto"/>
            </w:tcBorders>
            <w:shd w:val="clear" w:color="auto" w:fill="auto"/>
          </w:tcPr>
          <w:p w14:paraId="411D1427" w14:textId="77777777" w:rsidR="00775A99" w:rsidRPr="0061753D" w:rsidRDefault="00775A99" w:rsidP="00F31812">
            <w:pPr>
              <w:spacing w:before="40" w:after="120"/>
              <w:ind w:left="28" w:right="113"/>
            </w:pPr>
          </w:p>
        </w:tc>
      </w:tr>
      <w:tr w:rsidR="00775A99" w:rsidRPr="0061753D" w14:paraId="2BE4A9DD" w14:textId="77777777" w:rsidTr="00F31812">
        <w:tc>
          <w:tcPr>
            <w:tcW w:w="3402" w:type="dxa"/>
            <w:shd w:val="clear" w:color="auto" w:fill="auto"/>
          </w:tcPr>
          <w:p w14:paraId="3BC2720E" w14:textId="77777777" w:rsidR="00775A99" w:rsidRPr="00775A99" w:rsidRDefault="00775A99" w:rsidP="00F31812">
            <w:pPr>
              <w:spacing w:before="40" w:after="120"/>
              <w:ind w:left="28" w:right="113"/>
              <w:rPr>
                <w:strike/>
                <w:szCs w:val="20"/>
                <w:lang w:val="en-US"/>
              </w:rPr>
            </w:pPr>
            <w:r w:rsidRPr="00775A99">
              <w:rPr>
                <w:szCs w:val="20"/>
              </w:rPr>
              <w:t>≤1,3 м/с</w:t>
            </w:r>
            <w:r w:rsidRPr="00775A99">
              <w:rPr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14:paraId="2D9E45B3" w14:textId="77777777" w:rsidR="00775A99" w:rsidRPr="00775A99" w:rsidRDefault="00775A99" w:rsidP="00F31812">
            <w:pPr>
              <w:spacing w:before="40" w:after="120"/>
              <w:ind w:left="28" w:right="113"/>
              <w:rPr>
                <w:strike/>
                <w:szCs w:val="20"/>
              </w:rPr>
            </w:pPr>
            <w:r w:rsidRPr="00775A99">
              <w:rPr>
                <w:szCs w:val="20"/>
              </w:rPr>
              <w:t>Сигнал может подаваться</w:t>
            </w:r>
          </w:p>
        </w:tc>
      </w:tr>
      <w:tr w:rsidR="00775A99" w:rsidRPr="0061753D" w14:paraId="5B5CBAF2" w14:textId="77777777" w:rsidTr="00F31812"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E5541D9" w14:textId="77777777" w:rsidR="00775A99" w:rsidRPr="00775A99" w:rsidRDefault="00775A99" w:rsidP="00F31812">
            <w:pPr>
              <w:spacing w:before="40" w:after="120"/>
              <w:ind w:left="28" w:right="113"/>
              <w:rPr>
                <w:szCs w:val="20"/>
                <w:lang w:val="en-US"/>
              </w:rPr>
            </w:pPr>
            <w:r w:rsidRPr="00775A99">
              <w:rPr>
                <w:szCs w:val="20"/>
              </w:rPr>
              <w:t>&gt;1,3 м/с</w:t>
            </w:r>
            <w:r w:rsidRPr="00775A99">
              <w:rPr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83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7CC1560" w14:textId="77777777" w:rsidR="00775A99" w:rsidRPr="00775A99" w:rsidRDefault="00775A99" w:rsidP="00F31812">
            <w:pPr>
              <w:spacing w:before="40" w:after="120"/>
              <w:ind w:left="28" w:right="113"/>
              <w:rPr>
                <w:szCs w:val="20"/>
              </w:rPr>
            </w:pPr>
            <w:r w:rsidRPr="00775A99">
              <w:rPr>
                <w:szCs w:val="20"/>
              </w:rPr>
              <w:t>Сигнал подается</w:t>
            </w:r>
          </w:p>
        </w:tc>
      </w:tr>
    </w:tbl>
    <w:p w14:paraId="0F7CC32A" w14:textId="7D2D8CE5" w:rsidR="00775A99" w:rsidRPr="0061753D" w:rsidRDefault="00775A99" w:rsidP="00775A99">
      <w:pPr>
        <w:pStyle w:val="SingleTxtG"/>
        <w:spacing w:before="120"/>
        <w:ind w:left="2268" w:hanging="1134"/>
      </w:pPr>
      <w:r w:rsidRPr="0061753D">
        <w:tab/>
      </w:r>
      <w:r w:rsidRPr="0061753D">
        <w:tab/>
        <w:t xml:space="preserve">Во избежание быстрых изменений сигнала, приводящих к мерцанию стоп-сигналов, должны применяться соответствующие меры (например, гистерезис переключения, усреднение, </w:t>
      </w:r>
      <w:proofErr w:type="spellStart"/>
      <w:r w:rsidRPr="0061753D">
        <w:t>временнáя</w:t>
      </w:r>
      <w:proofErr w:type="spellEnd"/>
      <w:r w:rsidRPr="0061753D">
        <w:t xml:space="preserve"> задержка).</w:t>
      </w:r>
    </w:p>
    <w:p w14:paraId="4057CF4A" w14:textId="77777777" w:rsidR="00775A99" w:rsidRPr="0061753D" w:rsidRDefault="00775A99" w:rsidP="00775A99">
      <w:pPr>
        <w:ind w:left="567"/>
      </w:pPr>
      <w:r w:rsidRPr="0061753D">
        <w:rPr>
          <w:u w:val="single"/>
        </w:rPr>
        <w:tab/>
      </w:r>
      <w:r w:rsidRPr="0061753D">
        <w:rPr>
          <w:u w:val="single"/>
        </w:rPr>
        <w:tab/>
      </w:r>
      <w:r w:rsidRPr="0061753D">
        <w:rPr>
          <w:u w:val="single"/>
        </w:rPr>
        <w:tab/>
      </w:r>
    </w:p>
    <w:p w14:paraId="03B82A18" w14:textId="77777777" w:rsidR="00775A99" w:rsidRPr="00775A99" w:rsidRDefault="00775A99" w:rsidP="00775A99">
      <w:pPr>
        <w:tabs>
          <w:tab w:val="left" w:pos="1418"/>
        </w:tabs>
        <w:spacing w:before="120" w:after="240" w:line="220" w:lineRule="exact"/>
        <w:ind w:left="1418" w:right="1134" w:hanging="284"/>
        <w:rPr>
          <w:rStyle w:val="SingleTxtGChar"/>
          <w:sz w:val="18"/>
          <w:szCs w:val="18"/>
        </w:rPr>
      </w:pPr>
      <w:r w:rsidRPr="0061753D">
        <w:rPr>
          <w:sz w:val="18"/>
          <w:vertAlign w:val="superscript"/>
        </w:rPr>
        <w:t>4</w:t>
      </w:r>
      <w:r w:rsidRPr="0061753D">
        <w:rPr>
          <w:sz w:val="18"/>
        </w:rPr>
        <w:tab/>
      </w:r>
      <w:r w:rsidRPr="00775A99">
        <w:rPr>
          <w:rStyle w:val="SingleTxtGChar"/>
          <w:sz w:val="18"/>
          <w:szCs w:val="18"/>
        </w:rPr>
        <w:t>На момент предоставления официального утверждения типа соответствие этому требованию должно быть подтверждено изготовителем транспортного средства</w:t>
      </w:r>
      <w:r w:rsidRPr="000378BC">
        <w:rPr>
          <w:rStyle w:val="SingleTxtGChar"/>
          <w:szCs w:val="20"/>
        </w:rPr>
        <w:t>».</w:t>
      </w:r>
    </w:p>
    <w:p w14:paraId="4B3396E3" w14:textId="77777777" w:rsidR="00775A99" w:rsidRPr="0061753D" w:rsidRDefault="00775A99" w:rsidP="00775A99">
      <w:pPr>
        <w:pStyle w:val="SingleTxtG"/>
        <w:rPr>
          <w:b/>
          <w:bCs/>
        </w:rPr>
      </w:pPr>
      <w:r w:rsidRPr="0061753D">
        <w:rPr>
          <w:i/>
          <w:iCs/>
        </w:rPr>
        <w:t>Включить новый пункт 5.1.17.3</w:t>
      </w:r>
      <w:r w:rsidRPr="0061753D">
        <w:t xml:space="preserve"> следующего содержания:</w:t>
      </w:r>
    </w:p>
    <w:p w14:paraId="153056D6" w14:textId="77777777" w:rsidR="00775A99" w:rsidRPr="0061753D" w:rsidRDefault="00775A99" w:rsidP="00775A99">
      <w:pPr>
        <w:pStyle w:val="SingleTxtG"/>
        <w:ind w:left="2268" w:hanging="1134"/>
      </w:pPr>
      <w:r w:rsidRPr="0061753D">
        <w:t>«5.1.17.3</w:t>
      </w:r>
      <w:r w:rsidRPr="0061753D">
        <w:tab/>
        <w:t>После срабатывания сигнал подается до тех пор, пока сохраняется потребность в замедлении путем электрического рекуперативного торможения. Однако сигнал может подавляться при остановке.</w:t>
      </w:r>
    </w:p>
    <w:p w14:paraId="7A801772" w14:textId="77777777" w:rsidR="00775A99" w:rsidRPr="0061753D" w:rsidRDefault="00775A99" w:rsidP="00775A99">
      <w:pPr>
        <w:pStyle w:val="SingleTxtG"/>
        <w:tabs>
          <w:tab w:val="left" w:pos="720"/>
        </w:tabs>
        <w:ind w:left="2268"/>
        <w:rPr>
          <w:iCs/>
        </w:rPr>
      </w:pPr>
      <w:r w:rsidRPr="0061753D">
        <w:t>Сигнал не подается, если замедление вызвано исключительно естественным торможением двигателя, сопротивлением воздуха/ сопротивлением качению и/или уклоном дороги».</w:t>
      </w:r>
    </w:p>
    <w:p w14:paraId="1F106A1A" w14:textId="77777777" w:rsidR="00775A99" w:rsidRPr="0061753D" w:rsidRDefault="00775A99" w:rsidP="00775A99">
      <w:pPr>
        <w:spacing w:before="120" w:after="120"/>
        <w:ind w:left="1134" w:right="1134"/>
        <w:jc w:val="both"/>
      </w:pPr>
      <w:r w:rsidRPr="0061753D">
        <w:rPr>
          <w:i/>
          <w:iCs/>
        </w:rPr>
        <w:t>Приложение 3, пункт 1.1.3</w:t>
      </w:r>
      <w:r w:rsidRPr="0061753D">
        <w:t xml:space="preserve"> изменить следующим образом:</w:t>
      </w:r>
    </w:p>
    <w:p w14:paraId="53C31A52" w14:textId="77777777" w:rsidR="00775A99" w:rsidRPr="0061753D" w:rsidRDefault="00775A99" w:rsidP="00775A99">
      <w:pPr>
        <w:pStyle w:val="para"/>
        <w:rPr>
          <w:lang w:val="ru-RU"/>
        </w:rPr>
      </w:pPr>
      <w:r w:rsidRPr="0061753D">
        <w:rPr>
          <w:lang w:val="ru-RU"/>
        </w:rPr>
        <w:t>«1.1.3</w:t>
      </w:r>
      <w:r w:rsidRPr="0061753D">
        <w:rPr>
          <w:lang w:val="ru-RU"/>
        </w:rPr>
        <w:tab/>
        <w:t>Измерение ПКТ</w:t>
      </w:r>
    </w:p>
    <w:p w14:paraId="7ED5A270" w14:textId="77777777" w:rsidR="00775A99" w:rsidRPr="0061753D" w:rsidRDefault="00775A99" w:rsidP="00775A99">
      <w:pPr>
        <w:spacing w:after="120" w:line="240" w:lineRule="auto"/>
        <w:ind w:left="2268" w:right="1134"/>
        <w:jc w:val="both"/>
      </w:pPr>
      <w:r w:rsidRPr="0061753D">
        <w:tab/>
        <w:t>ПКТ измеряется в соответствии с указаниями органа по официальному утверждению типа с использованием либо</w:t>
      </w:r>
    </w:p>
    <w:p w14:paraId="64C59D0B" w14:textId="77777777" w:rsidR="00775A99" w:rsidRPr="0061753D" w:rsidRDefault="00775A99" w:rsidP="00775A99">
      <w:pPr>
        <w:spacing w:after="120" w:line="240" w:lineRule="auto"/>
        <w:ind w:left="2835" w:right="1134" w:hanging="567"/>
        <w:jc w:val="both"/>
      </w:pPr>
      <w:r w:rsidRPr="0061753D">
        <w:t>a)</w:t>
      </w:r>
      <w:r w:rsidRPr="0061753D">
        <w:tab/>
        <w:t>эталонной испытательной шины, соответствующей стандарту “ASTM International” E1136-19, по методу ASTM E1337-19 на скорости 40 миль/ч; либо</w:t>
      </w:r>
    </w:p>
    <w:p w14:paraId="0C26A0AA" w14:textId="77777777" w:rsidR="00775A99" w:rsidRPr="0061753D" w:rsidRDefault="00775A99" w:rsidP="000378BC">
      <w:pPr>
        <w:pageBreakBefore/>
        <w:spacing w:after="120" w:line="240" w:lineRule="auto"/>
        <w:ind w:left="2835" w:right="1134" w:hanging="567"/>
        <w:jc w:val="both"/>
      </w:pPr>
      <w:r w:rsidRPr="0061753D">
        <w:lastRenderedPageBreak/>
        <w:t>b)</w:t>
      </w:r>
      <w:r w:rsidRPr="0061753D">
        <w:tab/>
        <w:t>эталонной испытательной шины, соответствующей стандарту “ASTM International” F2493-20, по методу ASTM E1337-19 на скорости 40 миль/ч</w:t>
      </w:r>
      <w:r w:rsidRPr="0061753D">
        <w:rPr>
          <w:sz w:val="18"/>
          <w:vertAlign w:val="superscript"/>
        </w:rPr>
        <w:t>1</w:t>
      </w:r>
      <w:r w:rsidRPr="0061753D">
        <w:t>; либо</w:t>
      </w:r>
    </w:p>
    <w:p w14:paraId="40EE624A" w14:textId="77777777" w:rsidR="00775A99" w:rsidRPr="0061753D" w:rsidRDefault="00775A99" w:rsidP="000378BC">
      <w:pPr>
        <w:pStyle w:val="SingleTxtG"/>
        <w:spacing w:line="240" w:lineRule="auto"/>
        <w:ind w:left="2835" w:hanging="567"/>
      </w:pPr>
      <w:r w:rsidRPr="0061753D">
        <w:t>c)</w:t>
      </w:r>
      <w:r w:rsidRPr="0061753D">
        <w:tab/>
        <w:t>метода, указанного в добавлении 1 к настоящему приложению.</w:t>
      </w:r>
    </w:p>
    <w:p w14:paraId="143D8422" w14:textId="77777777" w:rsidR="00775A99" w:rsidRPr="0061753D" w:rsidRDefault="00775A99" w:rsidP="00775A99">
      <w:pPr>
        <w:ind w:left="567"/>
        <w:rPr>
          <w:u w:val="single"/>
        </w:rPr>
      </w:pPr>
      <w:r w:rsidRPr="0061753D">
        <w:rPr>
          <w:u w:val="single"/>
        </w:rPr>
        <w:tab/>
      </w:r>
      <w:r w:rsidRPr="0061753D">
        <w:rPr>
          <w:u w:val="single"/>
        </w:rPr>
        <w:tab/>
      </w:r>
      <w:r w:rsidRPr="0061753D">
        <w:rPr>
          <w:u w:val="single"/>
        </w:rPr>
        <w:tab/>
      </w:r>
    </w:p>
    <w:p w14:paraId="1702B843" w14:textId="77777777" w:rsidR="00775A99" w:rsidRPr="0061753D" w:rsidRDefault="00775A99" w:rsidP="00775A99">
      <w:pPr>
        <w:tabs>
          <w:tab w:val="left" w:pos="1418"/>
        </w:tabs>
        <w:spacing w:before="120" w:after="120" w:line="220" w:lineRule="exact"/>
        <w:ind w:left="1418" w:right="1134" w:hanging="284"/>
        <w:rPr>
          <w:i/>
          <w:iCs/>
          <w:sz w:val="16"/>
          <w:szCs w:val="16"/>
        </w:rPr>
      </w:pPr>
      <w:r w:rsidRPr="0061753D">
        <w:rPr>
          <w:sz w:val="18"/>
          <w:vertAlign w:val="superscript"/>
        </w:rPr>
        <w:t>1</w:t>
      </w:r>
      <w:r w:rsidRPr="0061753D">
        <w:rPr>
          <w:sz w:val="18"/>
        </w:rPr>
        <w:tab/>
        <w:t>В этом случае полученное значение ПКТ преобразуют в эквивалентное значение, которое соответствует эталонной испытательной шине, отвечающей</w:t>
      </w:r>
      <w:r w:rsidRPr="0061753D">
        <w:rPr>
          <w:sz w:val="16"/>
          <w:szCs w:val="18"/>
        </w:rPr>
        <w:t xml:space="preserve"> </w:t>
      </w:r>
      <w:r w:rsidRPr="0061753D">
        <w:rPr>
          <w:sz w:val="18"/>
        </w:rPr>
        <w:t>стандарту ASTM E1136-19, с помощью корреляционного уравнения, приведенного в стандарте ASTM E1337-19</w:t>
      </w:r>
      <w:r w:rsidRPr="0061753D">
        <w:t xml:space="preserve">». </w:t>
      </w:r>
    </w:p>
    <w:p w14:paraId="5E63A6BF" w14:textId="77777777" w:rsidR="00775A99" w:rsidRPr="00775A99" w:rsidRDefault="00775A99" w:rsidP="00775A99">
      <w:pPr>
        <w:spacing w:before="240"/>
        <w:jc w:val="center"/>
        <w:rPr>
          <w:u w:val="single"/>
        </w:rPr>
      </w:pPr>
      <w:r w:rsidRPr="00775A99">
        <w:rPr>
          <w:u w:val="single"/>
        </w:rPr>
        <w:tab/>
      </w:r>
      <w:r w:rsidRPr="00775A99">
        <w:rPr>
          <w:u w:val="single"/>
        </w:rPr>
        <w:tab/>
      </w:r>
      <w:r w:rsidRPr="00775A99">
        <w:rPr>
          <w:u w:val="single"/>
        </w:rPr>
        <w:tab/>
      </w:r>
    </w:p>
    <w:p w14:paraId="737BC721" w14:textId="77777777" w:rsidR="00381C24" w:rsidRPr="00BC18B2" w:rsidRDefault="00381C24" w:rsidP="001F49C9"/>
    <w:sectPr w:rsidR="00381C24" w:rsidRPr="00BC18B2" w:rsidSect="00775A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B265" w14:textId="77777777" w:rsidR="005C743C" w:rsidRPr="00A312BC" w:rsidRDefault="005C743C" w:rsidP="00A312BC"/>
  </w:endnote>
  <w:endnote w:type="continuationSeparator" w:id="0">
    <w:p w14:paraId="610222C2" w14:textId="77777777" w:rsidR="005C743C" w:rsidRPr="00A312BC" w:rsidRDefault="005C743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7F0B" w14:textId="1F1D5E80" w:rsidR="00775A99" w:rsidRPr="00775A99" w:rsidRDefault="00775A99">
    <w:pPr>
      <w:pStyle w:val="a8"/>
    </w:pPr>
    <w:r w:rsidRPr="00775A99">
      <w:rPr>
        <w:b/>
        <w:sz w:val="18"/>
      </w:rPr>
      <w:fldChar w:fldCharType="begin"/>
    </w:r>
    <w:r w:rsidRPr="00775A99">
      <w:rPr>
        <w:b/>
        <w:sz w:val="18"/>
      </w:rPr>
      <w:instrText xml:space="preserve"> PAGE  \* MERGEFORMAT </w:instrText>
    </w:r>
    <w:r w:rsidRPr="00775A99">
      <w:rPr>
        <w:b/>
        <w:sz w:val="18"/>
      </w:rPr>
      <w:fldChar w:fldCharType="separate"/>
    </w:r>
    <w:r w:rsidRPr="00775A99">
      <w:rPr>
        <w:b/>
        <w:noProof/>
        <w:sz w:val="18"/>
      </w:rPr>
      <w:t>2</w:t>
    </w:r>
    <w:r w:rsidRPr="00775A99">
      <w:rPr>
        <w:b/>
        <w:sz w:val="18"/>
      </w:rPr>
      <w:fldChar w:fldCharType="end"/>
    </w:r>
    <w:r>
      <w:rPr>
        <w:b/>
        <w:sz w:val="18"/>
      </w:rPr>
      <w:tab/>
    </w:r>
    <w:r>
      <w:t>GE.22-25954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2C79" w14:textId="1897798C" w:rsidR="00775A99" w:rsidRPr="00775A99" w:rsidRDefault="00775A99" w:rsidP="00775A99">
    <w:pPr>
      <w:pStyle w:val="a8"/>
      <w:tabs>
        <w:tab w:val="clear" w:pos="9639"/>
        <w:tab w:val="right" w:pos="9638"/>
      </w:tabs>
      <w:rPr>
        <w:b/>
        <w:sz w:val="18"/>
      </w:rPr>
    </w:pPr>
    <w:r>
      <w:t>GE.22-25954</w:t>
    </w:r>
    <w:r>
      <w:tab/>
    </w:r>
    <w:r w:rsidRPr="00775A99">
      <w:rPr>
        <w:b/>
        <w:sz w:val="18"/>
      </w:rPr>
      <w:fldChar w:fldCharType="begin"/>
    </w:r>
    <w:r w:rsidRPr="00775A99">
      <w:rPr>
        <w:b/>
        <w:sz w:val="18"/>
      </w:rPr>
      <w:instrText xml:space="preserve"> PAGE  \* MERGEFORMAT </w:instrText>
    </w:r>
    <w:r w:rsidRPr="00775A99">
      <w:rPr>
        <w:b/>
        <w:sz w:val="18"/>
      </w:rPr>
      <w:fldChar w:fldCharType="separate"/>
    </w:r>
    <w:r w:rsidRPr="00775A99">
      <w:rPr>
        <w:b/>
        <w:noProof/>
        <w:sz w:val="18"/>
      </w:rPr>
      <w:t>3</w:t>
    </w:r>
    <w:r w:rsidRPr="00775A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A99F" w14:textId="3875164D" w:rsidR="00042B72" w:rsidRPr="00775A99" w:rsidRDefault="00775A99" w:rsidP="00775A9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FA0999" wp14:editId="22B41E3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22-25954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FEDFABF" wp14:editId="599A200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190123  170223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8459" w14:textId="77777777" w:rsidR="005C743C" w:rsidRPr="001075E9" w:rsidRDefault="005C743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4CCF72" w14:textId="77777777" w:rsidR="005C743C" w:rsidRDefault="005C743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0E8345A" w14:textId="77777777" w:rsidR="00775A99" w:rsidRPr="0039586B" w:rsidRDefault="00775A99" w:rsidP="00775A99">
      <w:pPr>
        <w:pStyle w:val="ad"/>
      </w:pPr>
      <w:r w:rsidRPr="00775A99">
        <w:tab/>
      </w:r>
      <w:r w:rsidRPr="00775A99">
        <w:rPr>
          <w:rStyle w:val="aa"/>
          <w:sz w:val="20"/>
          <w:vertAlign w:val="baseline"/>
        </w:rPr>
        <w:t>*</w:t>
      </w:r>
      <w:r w:rsidRPr="008C1855">
        <w:rPr>
          <w:sz w:val="20"/>
        </w:rPr>
        <w:tab/>
      </w:r>
      <w:r w:rsidRPr="0039586B">
        <w:t>Прежние названия Соглашения:</w:t>
      </w:r>
    </w:p>
    <w:p w14:paraId="572D1C90" w14:textId="77777777" w:rsidR="00775A99" w:rsidRPr="0039586B" w:rsidRDefault="00775A99" w:rsidP="00775A99">
      <w:pPr>
        <w:pStyle w:val="ad"/>
        <w:rPr>
          <w:sz w:val="20"/>
        </w:rPr>
      </w:pPr>
      <w:r w:rsidRPr="0039586B">
        <w:tab/>
      </w:r>
      <w:r w:rsidRPr="0039586B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8AD9F2B" w14:textId="77777777" w:rsidR="00775A99" w:rsidRPr="008C1855" w:rsidRDefault="00775A99" w:rsidP="00775A99">
      <w:pPr>
        <w:pStyle w:val="ad"/>
      </w:pPr>
      <w:r w:rsidRPr="0039586B">
        <w:tab/>
      </w:r>
      <w:r w:rsidRPr="0039586B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39586B">
        <w:t>октября 1995 года (Пересмотр 2)</w:t>
      </w:r>
      <w:r w:rsidRPr="00CE569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DB42" w14:textId="1375EAA9" w:rsidR="00775A99" w:rsidRPr="00775A99" w:rsidRDefault="00775A99">
    <w:pPr>
      <w:pStyle w:val="a5"/>
    </w:pPr>
    <w:fldSimple w:instr=" TITLE  \* MERGEFORMAT ">
      <w:r w:rsidR="00236557">
        <w:t>E/ECE/324/Rev.1/Add.77/Rev.3/Amend.1</w:t>
      </w:r>
    </w:fldSimple>
    <w:r>
      <w:br/>
    </w:r>
    <w:fldSimple w:instr=" KEYWORDS  \* MERGEFORMAT ">
      <w:r w:rsidR="00236557">
        <w:t>E/ECE/TRANS/505/Rev.1/Add.77/Rev.3/Amend.1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2909" w14:textId="78D9FAB8" w:rsidR="00775A99" w:rsidRPr="00775A99" w:rsidRDefault="00775A99" w:rsidP="00775A99">
    <w:pPr>
      <w:pStyle w:val="a5"/>
      <w:jc w:val="right"/>
    </w:pPr>
    <w:fldSimple w:instr=" TITLE  \* MERGEFORMAT ">
      <w:r w:rsidR="00236557">
        <w:t>E/ECE/324/Rev.1/Add.77/Rev.3/Amend.1</w:t>
      </w:r>
    </w:fldSimple>
    <w:r>
      <w:br/>
    </w:r>
    <w:fldSimple w:instr=" KEYWORDS  \* MERGEFORMAT ">
      <w:r w:rsidR="00236557">
        <w:t>E/ECE/TRANS/505/Rev.1/Add.77/Rev.3/Amend.1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9140094">
    <w:abstractNumId w:val="17"/>
  </w:num>
  <w:num w:numId="2" w16cid:durableId="1450511785">
    <w:abstractNumId w:val="13"/>
  </w:num>
  <w:num w:numId="3" w16cid:durableId="828402933">
    <w:abstractNumId w:val="11"/>
  </w:num>
  <w:num w:numId="4" w16cid:durableId="1824203618">
    <w:abstractNumId w:val="12"/>
  </w:num>
  <w:num w:numId="5" w16cid:durableId="276910303">
    <w:abstractNumId w:val="10"/>
  </w:num>
  <w:num w:numId="6" w16cid:durableId="848911039">
    <w:abstractNumId w:val="8"/>
  </w:num>
  <w:num w:numId="7" w16cid:durableId="1718503670">
    <w:abstractNumId w:val="3"/>
  </w:num>
  <w:num w:numId="8" w16cid:durableId="1028212817">
    <w:abstractNumId w:val="2"/>
  </w:num>
  <w:num w:numId="9" w16cid:durableId="229275168">
    <w:abstractNumId w:val="1"/>
  </w:num>
  <w:num w:numId="10" w16cid:durableId="983506735">
    <w:abstractNumId w:val="0"/>
  </w:num>
  <w:num w:numId="11" w16cid:durableId="1081489873">
    <w:abstractNumId w:val="9"/>
  </w:num>
  <w:num w:numId="12" w16cid:durableId="596718013">
    <w:abstractNumId w:val="7"/>
  </w:num>
  <w:num w:numId="13" w16cid:durableId="544021467">
    <w:abstractNumId w:val="6"/>
  </w:num>
  <w:num w:numId="14" w16cid:durableId="51121077">
    <w:abstractNumId w:val="5"/>
  </w:num>
  <w:num w:numId="15" w16cid:durableId="29035117">
    <w:abstractNumId w:val="4"/>
  </w:num>
  <w:num w:numId="16" w16cid:durableId="413093603">
    <w:abstractNumId w:val="16"/>
  </w:num>
  <w:num w:numId="17" w16cid:durableId="734204862">
    <w:abstractNumId w:val="14"/>
  </w:num>
  <w:num w:numId="18" w16cid:durableId="1862814696">
    <w:abstractNumId w:val="15"/>
  </w:num>
  <w:num w:numId="19" w16cid:durableId="586619846">
    <w:abstractNumId w:val="16"/>
  </w:num>
  <w:num w:numId="20" w16cid:durableId="1051999919">
    <w:abstractNumId w:val="14"/>
  </w:num>
  <w:num w:numId="21" w16cid:durableId="55485059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3C"/>
    <w:rsid w:val="00033EE1"/>
    <w:rsid w:val="000378BC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36557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C743C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75A99"/>
    <w:rsid w:val="00802383"/>
    <w:rsid w:val="008130A1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057C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31531C"/>
  <w15:docId w15:val="{ABA8A799-3BC0-432F-9C8C-C96655D1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775A99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775A99"/>
    <w:rPr>
      <w:lang w:val="ru-RU" w:eastAsia="en-US"/>
    </w:rPr>
  </w:style>
  <w:style w:type="character" w:customStyle="1" w:styleId="HChGChar">
    <w:name w:val="_ H _Ch_G Char"/>
    <w:link w:val="HChG"/>
    <w:qFormat/>
    <w:rsid w:val="00775A99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775A99"/>
    <w:pPr>
      <w:tabs>
        <w:tab w:val="clear" w:pos="1701"/>
        <w:tab w:val="clear" w:pos="2268"/>
        <w:tab w:val="clear" w:pos="2835"/>
      </w:tabs>
      <w:ind w:left="2268" w:hanging="1134"/>
    </w:pPr>
    <w:rPr>
      <w:lang w:val="fr-CH"/>
    </w:rPr>
  </w:style>
  <w:style w:type="character" w:customStyle="1" w:styleId="paraChar">
    <w:name w:val="para Char"/>
    <w:link w:val="para"/>
    <w:rsid w:val="00775A99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3</Pages>
  <Words>430</Words>
  <Characters>3309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E/ECE/324/Rev.1/Add.77/Rev.3/Amend.1</dc:title>
  <dc:creator>Elena IZOTOVA</dc:creator>
  <cp:keywords>E/ECE/TRANS/505/Rev.1/Add.77/Rev.3/Amend.1</cp:keywords>
  <cp:lastModifiedBy>Elena Izotova</cp:lastModifiedBy>
  <cp:revision>3</cp:revision>
  <cp:lastPrinted>2023-02-17T08:44:00Z</cp:lastPrinted>
  <dcterms:created xsi:type="dcterms:W3CDTF">2023-02-17T08:44:00Z</dcterms:created>
  <dcterms:modified xsi:type="dcterms:W3CDTF">2023-02-17T08:44:00Z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