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3023AAD5" w14:textId="77777777" w:rsidTr="00C97039">
        <w:trPr>
          <w:trHeight w:hRule="exact" w:val="851"/>
        </w:trPr>
        <w:tc>
          <w:tcPr>
            <w:tcW w:w="1276" w:type="dxa"/>
            <w:tcBorders>
              <w:bottom w:val="single" w:sz="4" w:space="0" w:color="auto"/>
            </w:tcBorders>
          </w:tcPr>
          <w:p w14:paraId="6259E1DF" w14:textId="77777777" w:rsidR="00F35BAF" w:rsidRPr="00DB58B5" w:rsidRDefault="00F35BAF" w:rsidP="000661F7"/>
        </w:tc>
        <w:tc>
          <w:tcPr>
            <w:tcW w:w="2268" w:type="dxa"/>
            <w:tcBorders>
              <w:bottom w:val="single" w:sz="4" w:space="0" w:color="auto"/>
            </w:tcBorders>
            <w:vAlign w:val="bottom"/>
          </w:tcPr>
          <w:p w14:paraId="2D3B152F"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4EA87880" w14:textId="337D0D1C" w:rsidR="00F35BAF" w:rsidRPr="00DB58B5" w:rsidRDefault="000661F7" w:rsidP="000661F7">
            <w:pPr>
              <w:jc w:val="right"/>
            </w:pPr>
            <w:r w:rsidRPr="000661F7">
              <w:rPr>
                <w:sz w:val="40"/>
              </w:rPr>
              <w:t>ECE</w:t>
            </w:r>
            <w:r>
              <w:t>/TRANS/2023/3</w:t>
            </w:r>
          </w:p>
        </w:tc>
      </w:tr>
      <w:tr w:rsidR="00F35BAF" w:rsidRPr="00DB58B5" w14:paraId="4142FE63" w14:textId="77777777" w:rsidTr="00C97039">
        <w:trPr>
          <w:trHeight w:hRule="exact" w:val="2835"/>
        </w:trPr>
        <w:tc>
          <w:tcPr>
            <w:tcW w:w="1276" w:type="dxa"/>
            <w:tcBorders>
              <w:top w:val="single" w:sz="4" w:space="0" w:color="auto"/>
              <w:bottom w:val="single" w:sz="12" w:space="0" w:color="auto"/>
            </w:tcBorders>
          </w:tcPr>
          <w:p w14:paraId="635D692B" w14:textId="77777777" w:rsidR="00F35BAF" w:rsidRPr="00DB58B5" w:rsidRDefault="00F35BAF" w:rsidP="00C97039">
            <w:pPr>
              <w:spacing w:before="120"/>
              <w:jc w:val="center"/>
            </w:pPr>
            <w:r>
              <w:rPr>
                <w:noProof/>
                <w:lang w:eastAsia="fr-CH"/>
              </w:rPr>
              <w:drawing>
                <wp:inline distT="0" distB="0" distL="0" distR="0" wp14:anchorId="5DC8AED5" wp14:editId="76E819C9">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19894E1"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67A0A890" w14:textId="77777777" w:rsidR="00F35BAF" w:rsidRDefault="000661F7" w:rsidP="00C97039">
            <w:pPr>
              <w:spacing w:before="240"/>
            </w:pPr>
            <w:r>
              <w:t>Distr. générale</w:t>
            </w:r>
          </w:p>
          <w:p w14:paraId="6432EDD3" w14:textId="77777777" w:rsidR="000661F7" w:rsidRDefault="000661F7" w:rsidP="000661F7">
            <w:pPr>
              <w:spacing w:line="240" w:lineRule="exact"/>
            </w:pPr>
            <w:r>
              <w:t>12 décembre 2022</w:t>
            </w:r>
          </w:p>
          <w:p w14:paraId="618DA854" w14:textId="77777777" w:rsidR="000661F7" w:rsidRDefault="000661F7" w:rsidP="000661F7">
            <w:pPr>
              <w:spacing w:line="240" w:lineRule="exact"/>
            </w:pPr>
            <w:r>
              <w:t>Français</w:t>
            </w:r>
          </w:p>
          <w:p w14:paraId="259431B0" w14:textId="42A8A528" w:rsidR="000661F7" w:rsidRPr="00DB58B5" w:rsidRDefault="000661F7" w:rsidP="000661F7">
            <w:pPr>
              <w:spacing w:line="240" w:lineRule="exact"/>
            </w:pPr>
            <w:r>
              <w:t>Original : anglais</w:t>
            </w:r>
          </w:p>
        </w:tc>
      </w:tr>
    </w:tbl>
    <w:p w14:paraId="4225E073" w14:textId="2DC9E65D" w:rsidR="007F20FA" w:rsidRPr="000312C0" w:rsidRDefault="007F20FA" w:rsidP="007F20FA">
      <w:pPr>
        <w:spacing w:before="120"/>
        <w:rPr>
          <w:b/>
          <w:sz w:val="28"/>
          <w:szCs w:val="28"/>
        </w:rPr>
      </w:pPr>
      <w:r w:rsidRPr="000312C0">
        <w:rPr>
          <w:b/>
          <w:sz w:val="28"/>
          <w:szCs w:val="28"/>
        </w:rPr>
        <w:t>Commission économique pour l</w:t>
      </w:r>
      <w:r w:rsidR="000661F7">
        <w:rPr>
          <w:b/>
          <w:sz w:val="28"/>
          <w:szCs w:val="28"/>
        </w:rPr>
        <w:t>’</w:t>
      </w:r>
      <w:r w:rsidRPr="000312C0">
        <w:rPr>
          <w:b/>
          <w:sz w:val="28"/>
          <w:szCs w:val="28"/>
        </w:rPr>
        <w:t>Europe</w:t>
      </w:r>
    </w:p>
    <w:p w14:paraId="4220765E" w14:textId="77777777" w:rsidR="007F20FA" w:rsidRDefault="007F20FA" w:rsidP="007F20FA">
      <w:pPr>
        <w:spacing w:before="120"/>
        <w:rPr>
          <w:sz w:val="28"/>
          <w:szCs w:val="28"/>
        </w:rPr>
      </w:pPr>
      <w:r w:rsidRPr="00685843">
        <w:rPr>
          <w:sz w:val="28"/>
          <w:szCs w:val="28"/>
        </w:rPr>
        <w:t>Comité des transports intérieurs</w:t>
      </w:r>
    </w:p>
    <w:p w14:paraId="1D149534" w14:textId="77777777" w:rsidR="000661F7" w:rsidRPr="000661F7" w:rsidRDefault="000661F7" w:rsidP="000661F7">
      <w:pPr>
        <w:spacing w:before="120"/>
        <w:rPr>
          <w:rFonts w:eastAsia="Times New Roman"/>
          <w:b/>
          <w:lang w:eastAsia="fr-FR"/>
        </w:rPr>
      </w:pPr>
      <w:r w:rsidRPr="000661F7">
        <w:rPr>
          <w:rFonts w:eastAsia="Times New Roman"/>
          <w:b/>
          <w:lang w:val="fr-FR" w:eastAsia="fr-FR"/>
        </w:rPr>
        <w:t>Quatre-vingt-cinquième session</w:t>
      </w:r>
    </w:p>
    <w:p w14:paraId="39ACA8A8" w14:textId="423CFD54" w:rsidR="000661F7" w:rsidRPr="00166ADC" w:rsidRDefault="000661F7" w:rsidP="000661F7">
      <w:pPr>
        <w:rPr>
          <w:rFonts w:eastAsia="Times New Roman"/>
          <w:lang w:val="fr-FR" w:eastAsia="fr-FR"/>
        </w:rPr>
      </w:pPr>
      <w:r w:rsidRPr="00166ADC">
        <w:rPr>
          <w:rFonts w:eastAsia="Times New Roman"/>
          <w:lang w:val="fr-FR" w:eastAsia="fr-FR"/>
        </w:rPr>
        <w:t xml:space="preserve">Genève, </w:t>
      </w:r>
      <w:r>
        <w:rPr>
          <w:rFonts w:eastAsia="Times New Roman"/>
          <w:lang w:val="fr-FR" w:eastAsia="fr-FR"/>
        </w:rPr>
        <w:t>21-24</w:t>
      </w:r>
      <w:r w:rsidRPr="00166ADC">
        <w:rPr>
          <w:rFonts w:eastAsia="Times New Roman"/>
          <w:lang w:val="fr-FR" w:eastAsia="fr-FR"/>
        </w:rPr>
        <w:t xml:space="preserve"> février 202</w:t>
      </w:r>
      <w:r>
        <w:rPr>
          <w:rFonts w:eastAsia="Times New Roman"/>
          <w:lang w:val="fr-FR" w:eastAsia="fr-FR"/>
        </w:rPr>
        <w:t>3</w:t>
      </w:r>
    </w:p>
    <w:p w14:paraId="2FCF1AC9" w14:textId="38CF64BF" w:rsidR="000661F7" w:rsidRPr="00166ADC" w:rsidRDefault="000661F7" w:rsidP="000661F7">
      <w:pPr>
        <w:rPr>
          <w:rFonts w:eastAsia="Times New Roman"/>
          <w:lang w:val="fr-FR" w:eastAsia="fr-FR"/>
        </w:rPr>
      </w:pPr>
      <w:r w:rsidRPr="00166ADC">
        <w:rPr>
          <w:rFonts w:eastAsia="Times New Roman"/>
          <w:lang w:val="fr-FR" w:eastAsia="fr-FR"/>
        </w:rPr>
        <w:t>Point 3 de l</w:t>
      </w:r>
      <w:r>
        <w:rPr>
          <w:rFonts w:eastAsia="Times New Roman"/>
          <w:lang w:val="fr-FR" w:eastAsia="fr-FR"/>
        </w:rPr>
        <w:t>’</w:t>
      </w:r>
      <w:r w:rsidRPr="00166ADC">
        <w:rPr>
          <w:rFonts w:eastAsia="Times New Roman"/>
          <w:lang w:val="fr-FR" w:eastAsia="fr-FR"/>
        </w:rPr>
        <w:t>ordre du jour provisoire</w:t>
      </w:r>
    </w:p>
    <w:p w14:paraId="37435E1F" w14:textId="6073875D" w:rsidR="000661F7" w:rsidRPr="000661F7" w:rsidRDefault="000661F7" w:rsidP="000661F7">
      <w:pPr>
        <w:rPr>
          <w:rFonts w:eastAsia="Times New Roman"/>
          <w:b/>
          <w:lang w:eastAsia="fr-FR"/>
        </w:rPr>
      </w:pPr>
      <w:r w:rsidRPr="000661F7">
        <w:rPr>
          <w:b/>
        </w:rPr>
        <w:t>Réunion sur l</w:t>
      </w:r>
      <w:r>
        <w:rPr>
          <w:b/>
        </w:rPr>
        <w:t>’</w:t>
      </w:r>
      <w:r w:rsidRPr="000661F7">
        <w:rPr>
          <w:b/>
        </w:rPr>
        <w:t xml:space="preserve">exécution du mandat révisé du </w:t>
      </w:r>
      <w:bookmarkStart w:id="0" w:name="_Hlk125129956"/>
      <w:r w:rsidRPr="000661F7">
        <w:rPr>
          <w:b/>
        </w:rPr>
        <w:t xml:space="preserve">Comité des transports </w:t>
      </w:r>
      <w:r>
        <w:rPr>
          <w:b/>
        </w:rPr>
        <w:br/>
      </w:r>
      <w:r w:rsidRPr="000661F7">
        <w:rPr>
          <w:b/>
        </w:rPr>
        <w:t xml:space="preserve">intérieurs </w:t>
      </w:r>
      <w:bookmarkEnd w:id="0"/>
      <w:r w:rsidRPr="007A7E29">
        <w:rPr>
          <w:b/>
        </w:rPr>
        <w:t>et l’application</w:t>
      </w:r>
      <w:r w:rsidRPr="000661F7">
        <w:rPr>
          <w:b/>
        </w:rPr>
        <w:t xml:space="preserve"> de sa Stratégie à l</w:t>
      </w:r>
      <w:r>
        <w:rPr>
          <w:b/>
        </w:rPr>
        <w:t>’</w:t>
      </w:r>
      <w:r w:rsidRPr="000661F7">
        <w:rPr>
          <w:b/>
        </w:rPr>
        <w:t xml:space="preserve">horizon 2030, réservée </w:t>
      </w:r>
      <w:r w:rsidRPr="000661F7">
        <w:rPr>
          <w:b/>
        </w:rPr>
        <w:br/>
        <w:t xml:space="preserve">aux représentants des États, avec la participation des présidents </w:t>
      </w:r>
      <w:r w:rsidRPr="000661F7">
        <w:rPr>
          <w:b/>
        </w:rPr>
        <w:br/>
        <w:t>des organes subsidiaires du Comité</w:t>
      </w:r>
    </w:p>
    <w:p w14:paraId="2E7EA195" w14:textId="0E823C08" w:rsidR="000661F7" w:rsidRPr="00C2139F" w:rsidRDefault="000661F7" w:rsidP="000661F7">
      <w:pPr>
        <w:pStyle w:val="HChG"/>
        <w:rPr>
          <w:lang w:eastAsia="fr-FR"/>
        </w:rPr>
      </w:pPr>
      <w:r w:rsidRPr="00166ADC">
        <w:rPr>
          <w:lang w:val="fr-FR" w:eastAsia="fr-FR"/>
        </w:rPr>
        <w:tab/>
      </w:r>
      <w:r w:rsidRPr="00166ADC">
        <w:rPr>
          <w:lang w:val="fr-FR" w:eastAsia="fr-FR"/>
        </w:rPr>
        <w:tab/>
      </w:r>
      <w:r>
        <w:rPr>
          <w:lang w:val="fr-FR" w:eastAsia="fr-FR"/>
        </w:rPr>
        <w:t>Application</w:t>
      </w:r>
      <w:r w:rsidRPr="00166ADC">
        <w:rPr>
          <w:lang w:val="fr-FR" w:eastAsia="fr-FR"/>
        </w:rPr>
        <w:t xml:space="preserve"> de la Stratégie du </w:t>
      </w:r>
      <w:r w:rsidRPr="00F37E64">
        <w:rPr>
          <w:lang w:val="fr-FR" w:eastAsia="fr-FR"/>
        </w:rPr>
        <w:t xml:space="preserve">Comité des transports intérieurs </w:t>
      </w:r>
      <w:r w:rsidRPr="00166ADC">
        <w:rPr>
          <w:lang w:val="fr-FR" w:eastAsia="fr-FR"/>
        </w:rPr>
        <w:t>à l</w:t>
      </w:r>
      <w:r>
        <w:rPr>
          <w:lang w:val="fr-FR" w:eastAsia="fr-FR"/>
        </w:rPr>
        <w:t>’</w:t>
      </w:r>
      <w:r w:rsidRPr="00166ADC">
        <w:rPr>
          <w:lang w:val="fr-FR" w:eastAsia="fr-FR"/>
        </w:rPr>
        <w:t>horizon 2030</w:t>
      </w:r>
    </w:p>
    <w:p w14:paraId="4B098E32" w14:textId="77777777" w:rsidR="000661F7" w:rsidRPr="00C2139F" w:rsidRDefault="000661F7" w:rsidP="000661F7">
      <w:pPr>
        <w:pStyle w:val="H1G"/>
        <w:rPr>
          <w:lang w:eastAsia="fr-FR"/>
        </w:rPr>
      </w:pPr>
      <w:r w:rsidRPr="00166ADC">
        <w:rPr>
          <w:lang w:val="fr-FR" w:eastAsia="fr-FR"/>
        </w:rPr>
        <w:tab/>
      </w:r>
      <w:r w:rsidRPr="00166ADC">
        <w:rPr>
          <w:lang w:val="fr-FR" w:eastAsia="fr-FR"/>
        </w:rPr>
        <w:tab/>
        <w:t>Note du secrétariat</w:t>
      </w:r>
    </w:p>
    <w:p w14:paraId="48A0EF6D" w14:textId="77777777" w:rsidR="000661F7" w:rsidRPr="00C2139F" w:rsidRDefault="000661F7" w:rsidP="000661F7">
      <w:pPr>
        <w:pStyle w:val="HChG"/>
        <w:rPr>
          <w:lang w:eastAsia="fr-FR"/>
        </w:rPr>
      </w:pPr>
      <w:r w:rsidRPr="00166ADC">
        <w:rPr>
          <w:lang w:val="fr-FR" w:eastAsia="fr-FR"/>
        </w:rPr>
        <w:tab/>
        <w:t>I.</w:t>
      </w:r>
      <w:r w:rsidRPr="00166ADC">
        <w:rPr>
          <w:lang w:val="fr-FR" w:eastAsia="fr-FR"/>
        </w:rPr>
        <w:tab/>
        <w:t>Introduction</w:t>
      </w:r>
    </w:p>
    <w:p w14:paraId="610E0B94" w14:textId="249963AF" w:rsidR="000661F7" w:rsidRPr="00C2139F" w:rsidRDefault="000661F7" w:rsidP="000661F7">
      <w:pPr>
        <w:pStyle w:val="SingleTxtG"/>
        <w:rPr>
          <w:lang w:eastAsia="fr-FR"/>
        </w:rPr>
      </w:pPr>
      <w:r w:rsidRPr="00166ADC">
        <w:rPr>
          <w:lang w:val="fr-FR" w:eastAsia="fr-FR"/>
        </w:rPr>
        <w:t>1.</w:t>
      </w:r>
      <w:r w:rsidRPr="00166ADC">
        <w:rPr>
          <w:lang w:val="fr-FR" w:eastAsia="fr-FR"/>
        </w:rPr>
        <w:tab/>
        <w:t>À sa quatre-vingt-</w:t>
      </w:r>
      <w:r>
        <w:rPr>
          <w:lang w:val="fr-FR" w:eastAsia="fr-FR"/>
        </w:rPr>
        <w:t>quatr</w:t>
      </w:r>
      <w:r w:rsidRPr="00166ADC">
        <w:rPr>
          <w:lang w:val="fr-FR" w:eastAsia="fr-FR"/>
        </w:rPr>
        <w:t xml:space="preserve">ième session (Genève, </w:t>
      </w:r>
      <w:r>
        <w:rPr>
          <w:lang w:val="fr-FR" w:eastAsia="fr-FR"/>
        </w:rPr>
        <w:t>22-25</w:t>
      </w:r>
      <w:r w:rsidRPr="00166ADC">
        <w:rPr>
          <w:lang w:val="fr-FR" w:eastAsia="fr-FR"/>
        </w:rPr>
        <w:t xml:space="preserve"> février 202</w:t>
      </w:r>
      <w:r>
        <w:rPr>
          <w:lang w:val="fr-FR" w:eastAsia="fr-FR"/>
        </w:rPr>
        <w:t>2</w:t>
      </w:r>
      <w:r w:rsidRPr="00166ADC">
        <w:rPr>
          <w:lang w:val="fr-FR" w:eastAsia="fr-FR"/>
        </w:rPr>
        <w:t>), le Comité des transports intérieurs (CTI) a examiné le document ECE/TRANS/202</w:t>
      </w:r>
      <w:r>
        <w:rPr>
          <w:lang w:val="fr-FR" w:eastAsia="fr-FR"/>
        </w:rPr>
        <w:t>2</w:t>
      </w:r>
      <w:r w:rsidRPr="00166ADC">
        <w:rPr>
          <w:lang w:val="fr-FR" w:eastAsia="fr-FR"/>
        </w:rPr>
        <w:t>/3, qui contient des informations sur l</w:t>
      </w:r>
      <w:r>
        <w:rPr>
          <w:lang w:val="fr-FR" w:eastAsia="fr-FR"/>
        </w:rPr>
        <w:t>’application</w:t>
      </w:r>
      <w:r w:rsidRPr="00166ADC">
        <w:rPr>
          <w:lang w:val="fr-FR" w:eastAsia="fr-FR"/>
        </w:rPr>
        <w:t xml:space="preserve"> en 202</w:t>
      </w:r>
      <w:r>
        <w:rPr>
          <w:lang w:val="fr-FR" w:eastAsia="fr-FR"/>
        </w:rPr>
        <w:t>1</w:t>
      </w:r>
      <w:r w:rsidRPr="00166ADC">
        <w:rPr>
          <w:lang w:val="fr-FR" w:eastAsia="fr-FR"/>
        </w:rPr>
        <w:t xml:space="preserve"> de la </w:t>
      </w:r>
      <w:r>
        <w:rPr>
          <w:lang w:val="fr-FR" w:eastAsia="fr-FR"/>
        </w:rPr>
        <w:t>Stratégie</w:t>
      </w:r>
      <w:r w:rsidRPr="00166ADC">
        <w:rPr>
          <w:lang w:val="fr-FR" w:eastAsia="fr-FR"/>
        </w:rPr>
        <w:t xml:space="preserve"> à l</w:t>
      </w:r>
      <w:r>
        <w:rPr>
          <w:lang w:val="fr-FR" w:eastAsia="fr-FR"/>
        </w:rPr>
        <w:t>’</w:t>
      </w:r>
      <w:r w:rsidRPr="00166ADC">
        <w:rPr>
          <w:lang w:val="fr-FR" w:eastAsia="fr-FR"/>
        </w:rPr>
        <w:t>horizon 2030 (ci-après, la Stratégie) et définit les prochaines étapes.</w:t>
      </w:r>
    </w:p>
    <w:p w14:paraId="72DF0494" w14:textId="17564596" w:rsidR="000661F7" w:rsidRPr="00C2139F" w:rsidRDefault="000661F7" w:rsidP="000661F7">
      <w:pPr>
        <w:pStyle w:val="SingleTxtG"/>
        <w:rPr>
          <w:lang w:eastAsia="fr-FR"/>
        </w:rPr>
      </w:pPr>
      <w:r w:rsidRPr="00166ADC">
        <w:rPr>
          <w:lang w:val="fr-FR" w:eastAsia="fr-FR"/>
        </w:rPr>
        <w:t>2.</w:t>
      </w:r>
      <w:r w:rsidRPr="00166ADC">
        <w:rPr>
          <w:lang w:val="fr-FR" w:eastAsia="fr-FR"/>
        </w:rPr>
        <w:tab/>
        <w:t xml:space="preserve">Le </w:t>
      </w:r>
      <w:r>
        <w:rPr>
          <w:lang w:val="fr-FR" w:eastAsia="fr-FR"/>
        </w:rPr>
        <w:t>Comité</w:t>
      </w:r>
      <w:r w:rsidRPr="00166ADC">
        <w:rPr>
          <w:lang w:val="fr-FR" w:eastAsia="fr-FR"/>
        </w:rPr>
        <w:t xml:space="preserve"> s</w:t>
      </w:r>
      <w:r>
        <w:rPr>
          <w:lang w:val="fr-FR" w:eastAsia="fr-FR"/>
        </w:rPr>
        <w:t>’</w:t>
      </w:r>
      <w:r w:rsidRPr="00166ADC">
        <w:rPr>
          <w:lang w:val="fr-FR" w:eastAsia="fr-FR"/>
        </w:rPr>
        <w:t xml:space="preserve">est félicité des </w:t>
      </w:r>
      <w:r w:rsidRPr="00ED530C">
        <w:rPr>
          <w:lang w:val="fr-FR" w:eastAsia="fr-FR"/>
        </w:rPr>
        <w:t>progrès réalisés en 2021 dans et a demandé</w:t>
      </w:r>
      <w:r>
        <w:rPr>
          <w:lang w:val="fr-FR" w:eastAsia="fr-FR"/>
        </w:rPr>
        <w:t xml:space="preserve"> à</w:t>
      </w:r>
      <w:r w:rsidRPr="00ED530C" w:rsidDel="00ED530C">
        <w:rPr>
          <w:lang w:val="fr-FR" w:eastAsia="fr-FR"/>
        </w:rPr>
        <w:t xml:space="preserve"> </w:t>
      </w:r>
      <w:r w:rsidRPr="00166ADC">
        <w:rPr>
          <w:lang w:val="fr-FR" w:eastAsia="fr-FR"/>
        </w:rPr>
        <w:t xml:space="preserve">ses groupes de travail </w:t>
      </w:r>
      <w:r>
        <w:rPr>
          <w:lang w:val="fr-FR" w:eastAsia="fr-FR"/>
        </w:rPr>
        <w:t>de continuer à appliquer la Stratégie</w:t>
      </w:r>
      <w:r w:rsidRPr="00ED530C">
        <w:rPr>
          <w:lang w:val="fr-FR" w:eastAsia="fr-FR"/>
        </w:rPr>
        <w:t xml:space="preserve"> sur la base, notamment, d</w:t>
      </w:r>
      <w:r>
        <w:rPr>
          <w:lang w:val="fr-FR" w:eastAsia="fr-FR"/>
        </w:rPr>
        <w:t>’</w:t>
      </w:r>
      <w:r w:rsidRPr="00ED530C">
        <w:rPr>
          <w:lang w:val="fr-FR" w:eastAsia="fr-FR"/>
        </w:rPr>
        <w:t>étapes définies</w:t>
      </w:r>
      <w:r w:rsidRPr="00166ADC">
        <w:rPr>
          <w:lang w:val="fr-FR" w:eastAsia="fr-FR"/>
        </w:rPr>
        <w:t xml:space="preserve">. Il a aussi </w:t>
      </w:r>
      <w:r>
        <w:rPr>
          <w:lang w:val="fr-FR" w:eastAsia="fr-FR"/>
        </w:rPr>
        <w:t xml:space="preserve">demandé au </w:t>
      </w:r>
      <w:r w:rsidRPr="00166ADC">
        <w:rPr>
          <w:lang w:val="fr-FR" w:eastAsia="fr-FR"/>
        </w:rPr>
        <w:t xml:space="preserve">secrétariat </w:t>
      </w:r>
      <w:r>
        <w:rPr>
          <w:lang w:val="fr-FR" w:eastAsia="fr-FR"/>
        </w:rPr>
        <w:t>d’assurer le suivi de ce</w:t>
      </w:r>
      <w:r w:rsidRPr="00166ADC">
        <w:rPr>
          <w:lang w:val="fr-FR" w:eastAsia="fr-FR"/>
        </w:rPr>
        <w:t xml:space="preserve">s étapes et </w:t>
      </w:r>
      <w:r>
        <w:rPr>
          <w:lang w:val="fr-FR" w:eastAsia="fr-FR"/>
        </w:rPr>
        <w:t>de</w:t>
      </w:r>
      <w:r w:rsidRPr="00166ADC">
        <w:rPr>
          <w:lang w:val="fr-FR" w:eastAsia="fr-FR"/>
        </w:rPr>
        <w:t xml:space="preserve"> faire le point sur les progrès accomplis.</w:t>
      </w:r>
      <w:r w:rsidRPr="008B35AB">
        <w:t xml:space="preserve"> </w:t>
      </w:r>
      <w:r w:rsidRPr="008B35AB">
        <w:rPr>
          <w:lang w:val="fr-FR" w:eastAsia="fr-FR"/>
        </w:rPr>
        <w:t xml:space="preserve">Le Comité a également invité ses groupes de travail </w:t>
      </w:r>
      <w:r w:rsidRPr="00CD11B7">
        <w:rPr>
          <w:lang w:val="fr-FR" w:eastAsia="fr-FR"/>
        </w:rPr>
        <w:t>à exploiter les possibilités qui s</w:t>
      </w:r>
      <w:r>
        <w:rPr>
          <w:lang w:val="fr-FR" w:eastAsia="fr-FR"/>
        </w:rPr>
        <w:t>’</w:t>
      </w:r>
      <w:r w:rsidRPr="00CD11B7">
        <w:rPr>
          <w:lang w:val="fr-FR" w:eastAsia="fr-FR"/>
        </w:rPr>
        <w:t>offr</w:t>
      </w:r>
      <w:r>
        <w:rPr>
          <w:lang w:val="fr-FR" w:eastAsia="fr-FR"/>
        </w:rPr>
        <w:t>ai</w:t>
      </w:r>
      <w:r w:rsidRPr="00CD11B7">
        <w:rPr>
          <w:lang w:val="fr-FR" w:eastAsia="fr-FR"/>
        </w:rPr>
        <w:t>ent à eux et à prendre en compte</w:t>
      </w:r>
      <w:r w:rsidRPr="008B35AB">
        <w:rPr>
          <w:lang w:val="fr-FR" w:eastAsia="fr-FR"/>
        </w:rPr>
        <w:t xml:space="preserve"> les risques</w:t>
      </w:r>
      <w:r>
        <w:rPr>
          <w:lang w:val="fr-FR" w:eastAsia="fr-FR"/>
        </w:rPr>
        <w:t xml:space="preserve"> encourus dans le cadre</w:t>
      </w:r>
      <w:r w:rsidRPr="008B35AB">
        <w:rPr>
          <w:lang w:val="fr-FR" w:eastAsia="fr-FR"/>
        </w:rPr>
        <w:t xml:space="preserve"> de l</w:t>
      </w:r>
      <w:r>
        <w:rPr>
          <w:lang w:val="fr-FR" w:eastAsia="fr-FR"/>
        </w:rPr>
        <w:t>’</w:t>
      </w:r>
      <w:r w:rsidRPr="008B35AB">
        <w:rPr>
          <w:lang w:val="fr-FR" w:eastAsia="fr-FR"/>
        </w:rPr>
        <w:t xml:space="preserve">élaboration des instruments juridiques </w:t>
      </w:r>
      <w:r w:rsidRPr="00CC64FD">
        <w:rPr>
          <w:lang w:val="fr-FR" w:eastAsia="fr-FR"/>
        </w:rPr>
        <w:t>relev</w:t>
      </w:r>
      <w:r>
        <w:rPr>
          <w:lang w:val="fr-FR" w:eastAsia="fr-FR"/>
        </w:rPr>
        <w:t>ant</w:t>
      </w:r>
      <w:r w:rsidRPr="00CC64FD">
        <w:rPr>
          <w:lang w:val="fr-FR" w:eastAsia="fr-FR"/>
        </w:rPr>
        <w:t xml:space="preserve"> de </w:t>
      </w:r>
      <w:r>
        <w:rPr>
          <w:lang w:val="fr-FR" w:eastAsia="fr-FR"/>
        </w:rPr>
        <w:t>s</w:t>
      </w:r>
      <w:r w:rsidRPr="00CC64FD">
        <w:rPr>
          <w:lang w:val="fr-FR" w:eastAsia="fr-FR"/>
        </w:rPr>
        <w:t>a responsabilité</w:t>
      </w:r>
      <w:r w:rsidRPr="008B35AB">
        <w:rPr>
          <w:lang w:val="fr-FR" w:eastAsia="fr-FR"/>
        </w:rPr>
        <w:t>, tels que recensés dans le document ECE/TRANS/2022/3.</w:t>
      </w:r>
    </w:p>
    <w:p w14:paraId="70BF9D78" w14:textId="6B02C0E0" w:rsidR="000661F7" w:rsidRPr="00C2139F" w:rsidRDefault="000661F7" w:rsidP="000661F7">
      <w:pPr>
        <w:pStyle w:val="SingleTxtG"/>
        <w:rPr>
          <w:lang w:eastAsia="fr-FR"/>
        </w:rPr>
      </w:pPr>
      <w:r w:rsidRPr="00166ADC">
        <w:rPr>
          <w:lang w:val="fr-FR" w:eastAsia="fr-FR"/>
        </w:rPr>
        <w:t>3.</w:t>
      </w:r>
      <w:r w:rsidRPr="00166ADC">
        <w:rPr>
          <w:lang w:val="fr-FR" w:eastAsia="fr-FR"/>
        </w:rPr>
        <w:tab/>
      </w:r>
      <w:r w:rsidRPr="00D27117">
        <w:rPr>
          <w:lang w:val="fr-FR" w:eastAsia="fr-FR"/>
        </w:rPr>
        <w:t>Le présent document a pour objet d</w:t>
      </w:r>
      <w:r>
        <w:rPr>
          <w:lang w:val="fr-FR" w:eastAsia="fr-FR"/>
        </w:rPr>
        <w:t>’</w:t>
      </w:r>
      <w:r w:rsidRPr="00D27117">
        <w:rPr>
          <w:lang w:val="fr-FR" w:eastAsia="fr-FR"/>
        </w:rPr>
        <w:t xml:space="preserve">informer le Comité des </w:t>
      </w:r>
      <w:r>
        <w:rPr>
          <w:lang w:val="fr-FR" w:eastAsia="fr-FR"/>
        </w:rPr>
        <w:t xml:space="preserve">nouveaux </w:t>
      </w:r>
      <w:r w:rsidRPr="00D27117">
        <w:rPr>
          <w:lang w:val="fr-FR" w:eastAsia="fr-FR"/>
        </w:rPr>
        <w:t>progrès que l</w:t>
      </w:r>
      <w:r>
        <w:rPr>
          <w:lang w:val="fr-FR" w:eastAsia="fr-FR"/>
        </w:rPr>
        <w:t>’</w:t>
      </w:r>
      <w:r w:rsidRPr="00D27117">
        <w:rPr>
          <w:lang w:val="fr-FR" w:eastAsia="fr-FR"/>
        </w:rPr>
        <w:t>action des groupes de travail et du secrétariat a permis d</w:t>
      </w:r>
      <w:r>
        <w:rPr>
          <w:lang w:val="fr-FR" w:eastAsia="fr-FR"/>
        </w:rPr>
        <w:t>’</w:t>
      </w:r>
      <w:r w:rsidRPr="00D27117">
        <w:rPr>
          <w:lang w:val="fr-FR" w:eastAsia="fr-FR"/>
        </w:rPr>
        <w:t>accomplir jusqu</w:t>
      </w:r>
      <w:r>
        <w:rPr>
          <w:lang w:val="fr-FR" w:eastAsia="fr-FR"/>
        </w:rPr>
        <w:t>’</w:t>
      </w:r>
      <w:r w:rsidRPr="00D27117">
        <w:rPr>
          <w:lang w:val="fr-FR" w:eastAsia="fr-FR"/>
        </w:rPr>
        <w:t>à la fin du mois de novembre 2022</w:t>
      </w:r>
      <w:r w:rsidRPr="00166ADC">
        <w:rPr>
          <w:lang w:val="fr-FR" w:eastAsia="fr-FR"/>
        </w:rPr>
        <w:t xml:space="preserve">. </w:t>
      </w:r>
      <w:r>
        <w:rPr>
          <w:lang w:val="fr-FR" w:eastAsia="fr-FR"/>
        </w:rPr>
        <w:t>Les</w:t>
      </w:r>
      <w:r w:rsidRPr="00166ADC">
        <w:rPr>
          <w:lang w:val="fr-FR" w:eastAsia="fr-FR"/>
        </w:rPr>
        <w:t xml:space="preserve"> éléments ajoutés en 202</w:t>
      </w:r>
      <w:r>
        <w:rPr>
          <w:lang w:val="fr-FR" w:eastAsia="fr-FR"/>
        </w:rPr>
        <w:t>2 figurent</w:t>
      </w:r>
      <w:r w:rsidRPr="00166ADC">
        <w:rPr>
          <w:lang w:val="fr-FR" w:eastAsia="fr-FR"/>
        </w:rPr>
        <w:t xml:space="preserve"> en caractères gras, les informations devenues caduques sont </w:t>
      </w:r>
      <w:r>
        <w:rPr>
          <w:lang w:val="fr-FR" w:eastAsia="fr-FR"/>
        </w:rPr>
        <w:t xml:space="preserve">en caractères </w:t>
      </w:r>
      <w:r w:rsidRPr="00166ADC">
        <w:rPr>
          <w:lang w:val="fr-FR" w:eastAsia="fr-FR"/>
        </w:rPr>
        <w:t>b</w:t>
      </w:r>
      <w:r>
        <w:rPr>
          <w:lang w:val="fr-FR" w:eastAsia="fr-FR"/>
        </w:rPr>
        <w:t>iff</w:t>
      </w:r>
      <w:r w:rsidRPr="00166ADC">
        <w:rPr>
          <w:lang w:val="fr-FR" w:eastAsia="fr-FR"/>
        </w:rPr>
        <w:t xml:space="preserve">és. </w:t>
      </w:r>
    </w:p>
    <w:p w14:paraId="738CB760" w14:textId="49EED9C8" w:rsidR="00F9573C" w:rsidRDefault="000661F7" w:rsidP="000661F7">
      <w:pPr>
        <w:pStyle w:val="SingleTxtG"/>
        <w:rPr>
          <w:lang w:val="fr-FR" w:eastAsia="fr-FR"/>
        </w:rPr>
      </w:pPr>
      <w:r w:rsidRPr="00166ADC">
        <w:rPr>
          <w:lang w:val="fr-FR" w:eastAsia="fr-FR"/>
        </w:rPr>
        <w:t>4.</w:t>
      </w:r>
      <w:r w:rsidRPr="00166ADC">
        <w:rPr>
          <w:lang w:val="fr-FR" w:eastAsia="fr-FR"/>
        </w:rPr>
        <w:tab/>
      </w:r>
      <w:r>
        <w:rPr>
          <w:lang w:val="fr-FR" w:eastAsia="fr-FR"/>
        </w:rPr>
        <w:t>Une</w:t>
      </w:r>
      <w:r w:rsidRPr="005C386D">
        <w:rPr>
          <w:lang w:val="fr-FR" w:eastAsia="fr-FR"/>
        </w:rPr>
        <w:t xml:space="preserve"> version préliminaire a été soumise au Bureau, qui a demandé qu</w:t>
      </w:r>
      <w:r>
        <w:rPr>
          <w:lang w:val="fr-FR" w:eastAsia="fr-FR"/>
        </w:rPr>
        <w:t>’</w:t>
      </w:r>
      <w:r w:rsidRPr="005C386D">
        <w:rPr>
          <w:lang w:val="fr-FR" w:eastAsia="fr-FR"/>
        </w:rPr>
        <w:t xml:space="preserve">elle soit présentée au </w:t>
      </w:r>
      <w:r>
        <w:rPr>
          <w:lang w:val="fr-FR" w:eastAsia="fr-FR"/>
        </w:rPr>
        <w:t>Comité</w:t>
      </w:r>
      <w:r w:rsidRPr="005C386D">
        <w:rPr>
          <w:lang w:val="fr-FR" w:eastAsia="fr-FR"/>
        </w:rPr>
        <w:t xml:space="preserve"> </w:t>
      </w:r>
      <w:r>
        <w:rPr>
          <w:lang w:val="fr-FR" w:eastAsia="fr-FR"/>
        </w:rPr>
        <w:t xml:space="preserve">à </w:t>
      </w:r>
      <w:r w:rsidRPr="005C386D">
        <w:rPr>
          <w:lang w:val="fr-FR" w:eastAsia="fr-FR"/>
        </w:rPr>
        <w:t>sa quatre-vingt-cinquième session.</w:t>
      </w:r>
      <w:r w:rsidRPr="003A613B">
        <w:rPr>
          <w:lang w:val="fr-FR" w:eastAsia="fr-FR"/>
        </w:rPr>
        <w:t xml:space="preserve"> Le Bureau a </w:t>
      </w:r>
      <w:r>
        <w:rPr>
          <w:lang w:val="fr-FR" w:eastAsia="fr-FR"/>
        </w:rPr>
        <w:t xml:space="preserve">aussi </w:t>
      </w:r>
      <w:r w:rsidRPr="00166ADC">
        <w:rPr>
          <w:lang w:val="fr-FR" w:eastAsia="fr-FR"/>
        </w:rPr>
        <w:t>demandé au secrétariat de rendre compte de</w:t>
      </w:r>
      <w:r>
        <w:rPr>
          <w:lang w:val="fr-FR" w:eastAsia="fr-FR"/>
        </w:rPr>
        <w:t>s</w:t>
      </w:r>
      <w:r w:rsidRPr="00166ADC">
        <w:rPr>
          <w:lang w:val="fr-FR" w:eastAsia="fr-FR"/>
        </w:rPr>
        <w:t xml:space="preserve"> progrès</w:t>
      </w:r>
      <w:r>
        <w:rPr>
          <w:lang w:val="fr-FR" w:eastAsia="fr-FR"/>
        </w:rPr>
        <w:t xml:space="preserve"> effectués dans l’application</w:t>
      </w:r>
      <w:r w:rsidRPr="00166ADC">
        <w:rPr>
          <w:lang w:val="fr-FR" w:eastAsia="fr-FR"/>
        </w:rPr>
        <w:t xml:space="preserve"> de la Stratégie</w:t>
      </w:r>
      <w:r>
        <w:rPr>
          <w:lang w:val="fr-FR" w:eastAsia="fr-FR"/>
        </w:rPr>
        <w:t xml:space="preserve"> lors </w:t>
      </w:r>
      <w:r w:rsidRPr="00166ADC">
        <w:rPr>
          <w:lang w:val="fr-FR" w:eastAsia="fr-FR"/>
        </w:rPr>
        <w:t xml:space="preserve">de la séance restreinte </w:t>
      </w:r>
      <w:r>
        <w:rPr>
          <w:lang w:val="fr-FR" w:eastAsia="fr-FR"/>
        </w:rPr>
        <w:t xml:space="preserve">de </w:t>
      </w:r>
      <w:r w:rsidRPr="00166ADC">
        <w:rPr>
          <w:lang w:val="fr-FR" w:eastAsia="fr-FR"/>
        </w:rPr>
        <w:t>la quatre</w:t>
      </w:r>
      <w:r w:rsidR="00513BBF">
        <w:rPr>
          <w:lang w:val="fr-FR" w:eastAsia="fr-FR"/>
        </w:rPr>
        <w:t>-</w:t>
      </w:r>
      <w:r w:rsidRPr="00166ADC">
        <w:rPr>
          <w:lang w:val="fr-FR" w:eastAsia="fr-FR"/>
        </w:rPr>
        <w:t>vingt</w:t>
      </w:r>
      <w:r w:rsidR="00513BBF">
        <w:rPr>
          <w:lang w:val="fr-FR" w:eastAsia="fr-FR"/>
        </w:rPr>
        <w:t>-</w:t>
      </w:r>
      <w:r w:rsidRPr="003A613B">
        <w:rPr>
          <w:lang w:val="fr-FR" w:eastAsia="fr-FR"/>
        </w:rPr>
        <w:t>cinquième</w:t>
      </w:r>
      <w:r>
        <w:rPr>
          <w:lang w:val="fr-FR" w:eastAsia="fr-FR"/>
        </w:rPr>
        <w:t xml:space="preserve"> </w:t>
      </w:r>
      <w:r w:rsidRPr="00166ADC">
        <w:rPr>
          <w:lang w:val="fr-FR" w:eastAsia="fr-FR"/>
        </w:rPr>
        <w:t xml:space="preserve">session du </w:t>
      </w:r>
      <w:r>
        <w:rPr>
          <w:lang w:val="fr-FR" w:eastAsia="fr-FR"/>
        </w:rPr>
        <w:t xml:space="preserve">Comité, </w:t>
      </w:r>
      <w:r w:rsidRPr="003A613B">
        <w:rPr>
          <w:lang w:val="fr-FR" w:eastAsia="fr-FR"/>
        </w:rPr>
        <w:t>en mettant l</w:t>
      </w:r>
      <w:r>
        <w:rPr>
          <w:lang w:val="fr-FR" w:eastAsia="fr-FR"/>
        </w:rPr>
        <w:t>’</w:t>
      </w:r>
      <w:r w:rsidRPr="003A613B">
        <w:rPr>
          <w:lang w:val="fr-FR" w:eastAsia="fr-FR"/>
        </w:rPr>
        <w:t>accent sur les questions principales</w:t>
      </w:r>
      <w:r w:rsidRPr="00166ADC">
        <w:rPr>
          <w:lang w:val="fr-FR" w:eastAsia="fr-FR"/>
        </w:rPr>
        <w:t xml:space="preserve">. Le Bureau a également recommandé </w:t>
      </w:r>
      <w:r>
        <w:rPr>
          <w:lang w:val="fr-FR" w:eastAsia="fr-FR"/>
        </w:rPr>
        <w:t>l’</w:t>
      </w:r>
      <w:r w:rsidRPr="003A613B">
        <w:rPr>
          <w:lang w:val="fr-FR" w:eastAsia="fr-FR"/>
        </w:rPr>
        <w:t>ajout</w:t>
      </w:r>
      <w:r>
        <w:rPr>
          <w:lang w:val="fr-FR" w:eastAsia="fr-FR"/>
        </w:rPr>
        <w:t xml:space="preserve"> d’</w:t>
      </w:r>
      <w:r w:rsidRPr="003A613B">
        <w:rPr>
          <w:lang w:val="fr-FR" w:eastAsia="fr-FR"/>
        </w:rPr>
        <w:t xml:space="preserve">une étape de suivi </w:t>
      </w:r>
      <w:r>
        <w:rPr>
          <w:lang w:val="fr-FR" w:eastAsia="fr-FR"/>
        </w:rPr>
        <w:t xml:space="preserve">supplémentaire </w:t>
      </w:r>
      <w:r w:rsidRPr="003A613B">
        <w:rPr>
          <w:lang w:val="fr-FR" w:eastAsia="fr-FR"/>
        </w:rPr>
        <w:t xml:space="preserve">dans le cadre de la tâche 4.3, </w:t>
      </w:r>
      <w:r>
        <w:rPr>
          <w:lang w:val="fr-FR" w:eastAsia="fr-FR"/>
        </w:rPr>
        <w:t>dans le prolongement de</w:t>
      </w:r>
      <w:r w:rsidRPr="003A613B">
        <w:rPr>
          <w:lang w:val="fr-FR" w:eastAsia="fr-FR"/>
        </w:rPr>
        <w:t xml:space="preserve"> l</w:t>
      </w:r>
      <w:r>
        <w:rPr>
          <w:lang w:val="fr-FR" w:eastAsia="fr-FR"/>
        </w:rPr>
        <w:t>’</w:t>
      </w:r>
      <w:r w:rsidRPr="003A613B">
        <w:rPr>
          <w:lang w:val="fr-FR" w:eastAsia="fr-FR"/>
        </w:rPr>
        <w:t>adoption du mandat du Comité</w:t>
      </w:r>
      <w:r w:rsidRPr="00FF74B7">
        <w:t xml:space="preserve"> </w:t>
      </w:r>
      <w:r w:rsidRPr="00FF74B7">
        <w:rPr>
          <w:lang w:val="fr-FR" w:eastAsia="fr-FR"/>
        </w:rPr>
        <w:t>par le Conseil économique et social</w:t>
      </w:r>
      <w:r w:rsidRPr="003A613B">
        <w:rPr>
          <w:lang w:val="fr-FR" w:eastAsia="fr-FR"/>
        </w:rPr>
        <w:t xml:space="preserve">. </w:t>
      </w:r>
      <w:r>
        <w:rPr>
          <w:lang w:val="fr-FR" w:eastAsia="fr-FR"/>
        </w:rPr>
        <w:t>Cette étape</w:t>
      </w:r>
      <w:r w:rsidRPr="003A613B">
        <w:rPr>
          <w:lang w:val="fr-FR" w:eastAsia="fr-FR"/>
        </w:rPr>
        <w:t xml:space="preserve"> est présentée dans le tableau ci</w:t>
      </w:r>
      <w:r w:rsidR="003B4759">
        <w:rPr>
          <w:lang w:val="fr-FR" w:eastAsia="fr-FR"/>
        </w:rPr>
        <w:noBreakHyphen/>
      </w:r>
      <w:r w:rsidRPr="003A613B">
        <w:rPr>
          <w:lang w:val="fr-FR" w:eastAsia="fr-FR"/>
        </w:rPr>
        <w:t>dessous, au titre de la tâche 4.3, pour examen par le Comité</w:t>
      </w:r>
      <w:r>
        <w:rPr>
          <w:lang w:val="fr-FR" w:eastAsia="fr-FR"/>
        </w:rPr>
        <w:t>.</w:t>
      </w:r>
    </w:p>
    <w:p w14:paraId="1DAEF915" w14:textId="10F6A8AD" w:rsidR="000661F7" w:rsidRDefault="000661F7" w:rsidP="000661F7">
      <w:pPr>
        <w:rPr>
          <w:lang w:val="fr-FR" w:eastAsia="fr-FR"/>
        </w:rPr>
      </w:pPr>
      <w:r>
        <w:rPr>
          <w:lang w:val="fr-FR" w:eastAsia="fr-FR"/>
        </w:rPr>
        <w:br w:type="page"/>
      </w:r>
    </w:p>
    <w:p w14:paraId="61B1B8E1" w14:textId="41FC047E" w:rsidR="000661F7" w:rsidRDefault="000661F7" w:rsidP="000661F7">
      <w:pPr>
        <w:pStyle w:val="HChG"/>
        <w:rPr>
          <w:lang w:val="fr-FR"/>
        </w:rPr>
      </w:pPr>
      <w:r>
        <w:rPr>
          <w:lang w:val="fr-FR"/>
        </w:rPr>
        <w:lastRenderedPageBreak/>
        <w:tab/>
        <w:t>II.</w:t>
      </w:r>
      <w:r>
        <w:rPr>
          <w:lang w:val="fr-FR"/>
        </w:rPr>
        <w:tab/>
        <w:t>État d’avancement des travaux et prochaines étapes</w:t>
      </w:r>
    </w:p>
    <w:tbl>
      <w:tblPr>
        <w:tblW w:w="9639" w:type="dxa"/>
        <w:tblLayout w:type="fixed"/>
        <w:tblCellMar>
          <w:left w:w="0" w:type="dxa"/>
          <w:right w:w="0" w:type="dxa"/>
        </w:tblCellMar>
        <w:tblLook w:val="04A0" w:firstRow="1" w:lastRow="0" w:firstColumn="1" w:lastColumn="0" w:noHBand="0" w:noVBand="1"/>
      </w:tblPr>
      <w:tblGrid>
        <w:gridCol w:w="500"/>
        <w:gridCol w:w="1778"/>
        <w:gridCol w:w="3194"/>
        <w:gridCol w:w="2500"/>
        <w:gridCol w:w="1667"/>
      </w:tblGrid>
      <w:tr w:rsidR="000661F7" w:rsidRPr="00D466A5" w14:paraId="4CA97C1A" w14:textId="77777777" w:rsidTr="0094269B">
        <w:trPr>
          <w:tblHeader/>
        </w:trPr>
        <w:tc>
          <w:tcPr>
            <w:tcW w:w="500" w:type="dxa"/>
            <w:tcBorders>
              <w:top w:val="single" w:sz="4" w:space="0" w:color="auto"/>
              <w:bottom w:val="single" w:sz="12" w:space="0" w:color="auto"/>
            </w:tcBorders>
            <w:shd w:val="clear" w:color="auto" w:fill="auto"/>
            <w:vAlign w:val="bottom"/>
          </w:tcPr>
          <w:p w14:paraId="423F59E8" w14:textId="77777777" w:rsidR="000661F7" w:rsidRPr="00ED06D8" w:rsidRDefault="000661F7" w:rsidP="0094269B">
            <w:pPr>
              <w:spacing w:before="80" w:after="80" w:line="200" w:lineRule="exact"/>
              <w:ind w:right="113"/>
              <w:rPr>
                <w:i/>
                <w:sz w:val="16"/>
                <w:lang w:val="fr-FR"/>
              </w:rPr>
            </w:pPr>
          </w:p>
        </w:tc>
        <w:tc>
          <w:tcPr>
            <w:tcW w:w="1778" w:type="dxa"/>
            <w:tcBorders>
              <w:top w:val="single" w:sz="4" w:space="0" w:color="auto"/>
              <w:bottom w:val="single" w:sz="12" w:space="0" w:color="auto"/>
            </w:tcBorders>
            <w:shd w:val="clear" w:color="auto" w:fill="auto"/>
            <w:vAlign w:val="bottom"/>
          </w:tcPr>
          <w:p w14:paraId="1368E3EA" w14:textId="77777777" w:rsidR="000661F7" w:rsidRPr="00CD5DBD" w:rsidRDefault="000661F7" w:rsidP="0094269B">
            <w:pPr>
              <w:spacing w:before="80" w:after="80" w:line="200" w:lineRule="exact"/>
              <w:ind w:right="113"/>
              <w:rPr>
                <w:i/>
                <w:sz w:val="16"/>
                <w:szCs w:val="16"/>
              </w:rPr>
            </w:pPr>
            <w:r w:rsidRPr="00CD5DBD">
              <w:rPr>
                <w:i/>
                <w:iCs/>
                <w:sz w:val="16"/>
                <w:szCs w:val="16"/>
                <w:lang w:val="fr-FR"/>
              </w:rPr>
              <w:t>Tâches</w:t>
            </w:r>
          </w:p>
        </w:tc>
        <w:tc>
          <w:tcPr>
            <w:tcW w:w="3194" w:type="dxa"/>
            <w:tcBorders>
              <w:top w:val="single" w:sz="4" w:space="0" w:color="auto"/>
              <w:bottom w:val="single" w:sz="12" w:space="0" w:color="auto"/>
            </w:tcBorders>
            <w:shd w:val="clear" w:color="auto" w:fill="auto"/>
            <w:vAlign w:val="bottom"/>
          </w:tcPr>
          <w:p w14:paraId="39FC3830" w14:textId="02328EE3" w:rsidR="000661F7" w:rsidRPr="00CD5DBD" w:rsidRDefault="000661F7" w:rsidP="0094269B">
            <w:pPr>
              <w:spacing w:before="80" w:after="80" w:line="200" w:lineRule="exact"/>
              <w:ind w:right="113"/>
              <w:rPr>
                <w:i/>
                <w:sz w:val="16"/>
                <w:szCs w:val="16"/>
              </w:rPr>
            </w:pPr>
            <w:r w:rsidRPr="00CD5DBD">
              <w:rPr>
                <w:i/>
                <w:iCs/>
                <w:sz w:val="16"/>
                <w:szCs w:val="16"/>
                <w:lang w:val="fr-FR"/>
              </w:rPr>
              <w:t>État d</w:t>
            </w:r>
            <w:r>
              <w:rPr>
                <w:i/>
                <w:iCs/>
                <w:sz w:val="16"/>
                <w:szCs w:val="16"/>
                <w:lang w:val="fr-FR"/>
              </w:rPr>
              <w:t>’</w:t>
            </w:r>
            <w:r w:rsidRPr="00CD5DBD">
              <w:rPr>
                <w:i/>
                <w:iCs/>
                <w:sz w:val="16"/>
                <w:szCs w:val="16"/>
                <w:lang w:val="fr-FR"/>
              </w:rPr>
              <w:t>avancement</w:t>
            </w:r>
          </w:p>
        </w:tc>
        <w:tc>
          <w:tcPr>
            <w:tcW w:w="2500" w:type="dxa"/>
            <w:tcBorders>
              <w:top w:val="single" w:sz="4" w:space="0" w:color="auto"/>
              <w:bottom w:val="single" w:sz="12" w:space="0" w:color="auto"/>
            </w:tcBorders>
            <w:shd w:val="clear" w:color="auto" w:fill="auto"/>
            <w:vAlign w:val="bottom"/>
          </w:tcPr>
          <w:p w14:paraId="1C045B69" w14:textId="77777777" w:rsidR="000661F7" w:rsidRPr="00CD5DBD" w:rsidRDefault="000661F7" w:rsidP="0094269B">
            <w:pPr>
              <w:spacing w:before="80" w:after="80" w:line="200" w:lineRule="exact"/>
              <w:ind w:right="113"/>
              <w:rPr>
                <w:i/>
                <w:sz w:val="16"/>
                <w:szCs w:val="16"/>
              </w:rPr>
            </w:pPr>
            <w:r w:rsidRPr="00CD5DBD">
              <w:rPr>
                <w:i/>
                <w:iCs/>
                <w:sz w:val="16"/>
                <w:szCs w:val="16"/>
                <w:lang w:val="fr-FR"/>
              </w:rPr>
              <w:t>Prochaines étapes</w:t>
            </w:r>
          </w:p>
        </w:tc>
        <w:tc>
          <w:tcPr>
            <w:tcW w:w="1667" w:type="dxa"/>
            <w:tcBorders>
              <w:top w:val="single" w:sz="4" w:space="0" w:color="auto"/>
              <w:bottom w:val="single" w:sz="12" w:space="0" w:color="auto"/>
            </w:tcBorders>
            <w:shd w:val="clear" w:color="auto" w:fill="auto"/>
            <w:vAlign w:val="bottom"/>
          </w:tcPr>
          <w:p w14:paraId="6E339A0B" w14:textId="77777777" w:rsidR="000661F7" w:rsidRPr="00CD5DBD" w:rsidRDefault="000661F7" w:rsidP="0094269B">
            <w:pPr>
              <w:spacing w:before="80" w:after="80" w:line="200" w:lineRule="exact"/>
              <w:ind w:right="113"/>
              <w:rPr>
                <w:i/>
                <w:sz w:val="16"/>
                <w:szCs w:val="16"/>
                <w:lang w:val="fr-FR"/>
              </w:rPr>
            </w:pPr>
            <w:r w:rsidRPr="003639B4">
              <w:rPr>
                <w:i/>
                <w:iCs/>
                <w:sz w:val="16"/>
                <w:szCs w:val="16"/>
                <w:lang w:val="fr-FR"/>
              </w:rPr>
              <w:t>Entité ou personne</w:t>
            </w:r>
            <w:r>
              <w:rPr>
                <w:i/>
                <w:iCs/>
                <w:sz w:val="16"/>
                <w:szCs w:val="16"/>
                <w:lang w:val="fr-FR"/>
              </w:rPr>
              <w:t xml:space="preserve"> </w:t>
            </w:r>
            <w:r w:rsidRPr="00CD5DBD">
              <w:rPr>
                <w:i/>
                <w:iCs/>
                <w:sz w:val="16"/>
                <w:szCs w:val="16"/>
                <w:lang w:val="fr-FR"/>
              </w:rPr>
              <w:t xml:space="preserve">responsable au sein </w:t>
            </w:r>
            <w:r>
              <w:rPr>
                <w:i/>
                <w:iCs/>
                <w:sz w:val="16"/>
                <w:szCs w:val="16"/>
                <w:lang w:val="fr-FR"/>
              </w:rPr>
              <w:br/>
            </w:r>
            <w:r w:rsidRPr="00CD5DBD">
              <w:rPr>
                <w:i/>
                <w:iCs/>
                <w:sz w:val="16"/>
                <w:szCs w:val="16"/>
                <w:lang w:val="fr-FR"/>
              </w:rPr>
              <w:t>de la Division</w:t>
            </w:r>
          </w:p>
        </w:tc>
      </w:tr>
      <w:tr w:rsidR="000661F7" w:rsidRPr="00D466A5" w14:paraId="5F25DB4E" w14:textId="77777777" w:rsidTr="0094269B">
        <w:trPr>
          <w:trHeight w:hRule="exact" w:val="113"/>
          <w:tblHeader/>
        </w:trPr>
        <w:tc>
          <w:tcPr>
            <w:tcW w:w="500" w:type="dxa"/>
            <w:tcBorders>
              <w:top w:val="single" w:sz="12" w:space="0" w:color="auto"/>
            </w:tcBorders>
            <w:shd w:val="clear" w:color="auto" w:fill="auto"/>
          </w:tcPr>
          <w:p w14:paraId="1D0ABEB3" w14:textId="77777777" w:rsidR="000661F7" w:rsidRPr="00ED06D8" w:rsidRDefault="000661F7" w:rsidP="0094269B">
            <w:pPr>
              <w:spacing w:before="40" w:after="120"/>
              <w:ind w:right="113"/>
              <w:rPr>
                <w:lang w:val="fr-FR"/>
              </w:rPr>
            </w:pPr>
          </w:p>
        </w:tc>
        <w:tc>
          <w:tcPr>
            <w:tcW w:w="1778" w:type="dxa"/>
            <w:tcBorders>
              <w:top w:val="single" w:sz="12" w:space="0" w:color="auto"/>
            </w:tcBorders>
            <w:shd w:val="clear" w:color="auto" w:fill="auto"/>
          </w:tcPr>
          <w:p w14:paraId="404296EB" w14:textId="77777777" w:rsidR="000661F7" w:rsidRPr="00ED06D8" w:rsidRDefault="000661F7" w:rsidP="0094269B">
            <w:pPr>
              <w:spacing w:before="40" w:after="120"/>
              <w:ind w:right="113"/>
              <w:rPr>
                <w:lang w:val="fr-FR"/>
              </w:rPr>
            </w:pPr>
          </w:p>
        </w:tc>
        <w:tc>
          <w:tcPr>
            <w:tcW w:w="3194" w:type="dxa"/>
            <w:tcBorders>
              <w:top w:val="single" w:sz="12" w:space="0" w:color="auto"/>
            </w:tcBorders>
            <w:shd w:val="clear" w:color="auto" w:fill="auto"/>
          </w:tcPr>
          <w:p w14:paraId="55A4908F" w14:textId="77777777" w:rsidR="000661F7" w:rsidRPr="00ED06D8" w:rsidRDefault="000661F7" w:rsidP="0094269B">
            <w:pPr>
              <w:spacing w:before="40" w:after="120"/>
              <w:ind w:right="113"/>
              <w:rPr>
                <w:lang w:val="fr-FR"/>
              </w:rPr>
            </w:pPr>
          </w:p>
        </w:tc>
        <w:tc>
          <w:tcPr>
            <w:tcW w:w="2500" w:type="dxa"/>
            <w:tcBorders>
              <w:top w:val="single" w:sz="12" w:space="0" w:color="auto"/>
            </w:tcBorders>
            <w:shd w:val="clear" w:color="auto" w:fill="auto"/>
          </w:tcPr>
          <w:p w14:paraId="254A99F7" w14:textId="77777777" w:rsidR="000661F7" w:rsidRPr="00ED06D8" w:rsidRDefault="000661F7" w:rsidP="0094269B">
            <w:pPr>
              <w:spacing w:before="40" w:after="120"/>
              <w:ind w:right="113"/>
              <w:rPr>
                <w:lang w:val="fr-FR"/>
              </w:rPr>
            </w:pPr>
          </w:p>
        </w:tc>
        <w:tc>
          <w:tcPr>
            <w:tcW w:w="1667" w:type="dxa"/>
            <w:tcBorders>
              <w:top w:val="single" w:sz="12" w:space="0" w:color="auto"/>
            </w:tcBorders>
            <w:shd w:val="clear" w:color="auto" w:fill="auto"/>
          </w:tcPr>
          <w:p w14:paraId="3A014E4E" w14:textId="77777777" w:rsidR="000661F7" w:rsidRPr="00ED06D8" w:rsidRDefault="000661F7" w:rsidP="0094269B">
            <w:pPr>
              <w:spacing w:before="40" w:after="120"/>
              <w:ind w:right="113"/>
              <w:rPr>
                <w:lang w:val="fr-FR"/>
              </w:rPr>
            </w:pPr>
          </w:p>
        </w:tc>
      </w:tr>
      <w:tr w:rsidR="000661F7" w:rsidRPr="00D466A5" w14:paraId="0CE47561" w14:textId="77777777" w:rsidTr="0094269B">
        <w:tc>
          <w:tcPr>
            <w:tcW w:w="500" w:type="dxa"/>
            <w:shd w:val="clear" w:color="auto" w:fill="auto"/>
          </w:tcPr>
          <w:p w14:paraId="4A5B186D" w14:textId="77777777" w:rsidR="000661F7" w:rsidRPr="008A3E6B" w:rsidRDefault="000661F7" w:rsidP="0094269B">
            <w:pPr>
              <w:spacing w:before="40" w:after="120"/>
              <w:ind w:right="113"/>
              <w:rPr>
                <w:b/>
                <w:bCs/>
              </w:rPr>
            </w:pPr>
            <w:r>
              <w:rPr>
                <w:b/>
                <w:bCs/>
                <w:lang w:val="fr-FR"/>
              </w:rPr>
              <w:t>1.</w:t>
            </w:r>
          </w:p>
        </w:tc>
        <w:tc>
          <w:tcPr>
            <w:tcW w:w="1778" w:type="dxa"/>
            <w:shd w:val="clear" w:color="auto" w:fill="auto"/>
          </w:tcPr>
          <w:p w14:paraId="23C4E651" w14:textId="77777777" w:rsidR="000661F7" w:rsidRDefault="000661F7" w:rsidP="0094269B">
            <w:pPr>
              <w:spacing w:before="40" w:after="120"/>
              <w:ind w:right="113"/>
              <w:rPr>
                <w:lang w:val="fr-FR"/>
              </w:rPr>
            </w:pPr>
            <w:r>
              <w:rPr>
                <w:b/>
                <w:bCs/>
                <w:lang w:val="fr-FR"/>
              </w:rPr>
              <w:t>Vision</w:t>
            </w:r>
          </w:p>
          <w:p w14:paraId="53C4674C" w14:textId="77777777" w:rsidR="000661F7" w:rsidRPr="00ED06D8" w:rsidRDefault="000661F7" w:rsidP="0094269B">
            <w:pPr>
              <w:spacing w:before="40" w:after="120"/>
              <w:ind w:right="113"/>
              <w:rPr>
                <w:lang w:val="fr-FR"/>
              </w:rPr>
            </w:pPr>
            <w:r>
              <w:rPr>
                <w:lang w:val="fr-FR"/>
              </w:rPr>
              <w:t>Le Comité, en tant que plateforme des Nations Unies pour les transports intérieurs, contribue à répondre efficacement aux besoins mondiaux et régionaux dans ce domaine</w:t>
            </w:r>
          </w:p>
        </w:tc>
        <w:tc>
          <w:tcPr>
            <w:tcW w:w="3194" w:type="dxa"/>
            <w:vMerge w:val="restart"/>
            <w:shd w:val="clear" w:color="auto" w:fill="auto"/>
          </w:tcPr>
          <w:p w14:paraId="30BBBF74" w14:textId="77777777" w:rsidR="000661F7" w:rsidRDefault="000661F7" w:rsidP="0094269B">
            <w:pPr>
              <w:spacing w:before="40" w:after="120"/>
              <w:ind w:right="113"/>
              <w:rPr>
                <w:lang w:val="fr-FR"/>
              </w:rPr>
            </w:pPr>
          </w:p>
          <w:p w14:paraId="2DAC8DBF" w14:textId="331F2513" w:rsidR="000661F7" w:rsidRPr="00ED06D8" w:rsidRDefault="000661F7" w:rsidP="0094269B">
            <w:pPr>
              <w:spacing w:before="40" w:after="120"/>
              <w:ind w:right="113"/>
              <w:rPr>
                <w:lang w:val="fr-FR"/>
              </w:rPr>
            </w:pPr>
            <w:r>
              <w:rPr>
                <w:lang w:val="fr-FR"/>
              </w:rPr>
              <w:t xml:space="preserve">Le Comité a mis en avant son rôle de plateforme des Nations Unies pour les transports intérieurs en élaborant et en diffusant des prospectus sur sa Stratégie, sa mission et ses activités, en tenant une réunion de dialogue avec l’Organisation météorologique mondiale (OMM) et en menant des activités de coopération et d’échange de connaissances avec l’Organisation de l’aviation civile internationale (OACI) et l’Organisation maritime internationale (OMI). </w:t>
            </w:r>
            <w:r w:rsidRPr="00C33721">
              <w:rPr>
                <w:b/>
                <w:bCs/>
                <w:lang w:val="fr-FR"/>
              </w:rPr>
              <w:t xml:space="preserve">Un document sur les structures organisationnelles et les fonctions du </w:t>
            </w:r>
            <w:r>
              <w:rPr>
                <w:b/>
                <w:bCs/>
                <w:lang w:val="fr-FR"/>
              </w:rPr>
              <w:t>Comité</w:t>
            </w:r>
            <w:r w:rsidRPr="00C33721">
              <w:rPr>
                <w:b/>
                <w:bCs/>
                <w:lang w:val="fr-FR"/>
              </w:rPr>
              <w:t>, de l</w:t>
            </w:r>
            <w:r>
              <w:rPr>
                <w:b/>
                <w:bCs/>
                <w:lang w:val="fr-FR"/>
              </w:rPr>
              <w:t>’</w:t>
            </w:r>
            <w:r w:rsidRPr="00C33721">
              <w:rPr>
                <w:b/>
                <w:bCs/>
                <w:lang w:val="fr-FR"/>
              </w:rPr>
              <w:t>OACI et de l</w:t>
            </w:r>
            <w:r>
              <w:rPr>
                <w:b/>
                <w:bCs/>
                <w:lang w:val="fr-FR"/>
              </w:rPr>
              <w:t>’</w:t>
            </w:r>
            <w:r w:rsidRPr="00C33721">
              <w:rPr>
                <w:b/>
                <w:bCs/>
                <w:lang w:val="fr-FR"/>
              </w:rPr>
              <w:t>OMI a été élaboré et examiné par le Bureau à sa session de juin 2022.</w:t>
            </w:r>
          </w:p>
          <w:p w14:paraId="4FC6B29A" w14:textId="44971E55" w:rsidR="000661F7" w:rsidRDefault="000661F7" w:rsidP="0094269B">
            <w:pPr>
              <w:spacing w:before="40" w:after="120"/>
              <w:ind w:right="113"/>
              <w:rPr>
                <w:lang w:val="fr-FR"/>
              </w:rPr>
            </w:pPr>
            <w:r>
              <w:rPr>
                <w:lang w:val="fr-FR"/>
              </w:rPr>
              <w:t>En tant que plateforme pour les transports intérieurs, la CEE est responsable de conventions et d’accords de portée mondiale en la matière (Règlements concernant les véhicules, les marchandises dangereuses, etc.), et assiste les organes du Conseil économique et social (ECOSOC) chargés d’élaborer des recommandations relatives à tous les modes de transport, lesquelles sont suivies et appliquées partout dans le monde.</w:t>
            </w:r>
          </w:p>
          <w:p w14:paraId="14BE8C19" w14:textId="0D67B1D0" w:rsidR="000661F7" w:rsidRPr="00274C67" w:rsidRDefault="000661F7" w:rsidP="0094269B">
            <w:pPr>
              <w:kinsoku/>
              <w:overflowPunct/>
              <w:autoSpaceDE/>
              <w:autoSpaceDN/>
              <w:adjustRightInd/>
              <w:snapToGrid/>
              <w:spacing w:before="40" w:after="120"/>
              <w:ind w:right="113"/>
              <w:rPr>
                <w:rFonts w:eastAsia="Times New Roman"/>
                <w:bCs/>
                <w:lang w:eastAsia="fr-FR"/>
              </w:rPr>
            </w:pPr>
            <w:r w:rsidRPr="00274C67">
              <w:rPr>
                <w:rFonts w:eastAsia="Times New Roman"/>
                <w:bCs/>
                <w:lang w:val="fr-FR" w:eastAsia="fr-FR"/>
              </w:rPr>
              <w:t xml:space="preserve">La CEE a participé </w:t>
            </w:r>
            <w:r>
              <w:rPr>
                <w:rFonts w:eastAsia="Times New Roman"/>
                <w:bCs/>
                <w:lang w:val="fr-FR" w:eastAsia="fr-FR"/>
              </w:rPr>
              <w:t xml:space="preserve">en 2021 </w:t>
            </w:r>
            <w:r w:rsidRPr="00274C67">
              <w:rPr>
                <w:rFonts w:eastAsia="Times New Roman"/>
                <w:bCs/>
                <w:lang w:val="fr-FR" w:eastAsia="fr-FR"/>
              </w:rPr>
              <w:t>au débat ministériel de la Conférence de haut niveau de l</w:t>
            </w:r>
            <w:r>
              <w:rPr>
                <w:rFonts w:eastAsia="Times New Roman"/>
                <w:bCs/>
                <w:lang w:val="fr-FR" w:eastAsia="fr-FR"/>
              </w:rPr>
              <w:t>’</w:t>
            </w:r>
            <w:r w:rsidRPr="00274C67">
              <w:rPr>
                <w:rFonts w:eastAsia="Times New Roman"/>
                <w:bCs/>
                <w:lang w:val="fr-FR" w:eastAsia="fr-FR"/>
              </w:rPr>
              <w:t xml:space="preserve">OACI sur la COVID-19, dans le cadre duquel elle a contribué à faire reconnaître encore davantage le rôle que joue le </w:t>
            </w:r>
            <w:r>
              <w:rPr>
                <w:rFonts w:eastAsia="Times New Roman"/>
                <w:bCs/>
                <w:lang w:val="fr-FR" w:eastAsia="fr-FR"/>
              </w:rPr>
              <w:t>Comité</w:t>
            </w:r>
            <w:r w:rsidRPr="00274C67">
              <w:rPr>
                <w:rFonts w:eastAsia="Times New Roman"/>
                <w:bCs/>
                <w:lang w:val="fr-FR" w:eastAsia="fr-FR"/>
              </w:rPr>
              <w:t xml:space="preserve"> en tant que plateforme des Nations Unies pour les transports intérieurs.</w:t>
            </w:r>
          </w:p>
          <w:p w14:paraId="6D115FDD" w14:textId="48D2B9FC" w:rsidR="000661F7" w:rsidRPr="00274C67" w:rsidRDefault="000661F7" w:rsidP="0094269B">
            <w:pPr>
              <w:kinsoku/>
              <w:overflowPunct/>
              <w:autoSpaceDE/>
              <w:autoSpaceDN/>
              <w:adjustRightInd/>
              <w:snapToGrid/>
              <w:spacing w:before="40" w:after="120"/>
              <w:ind w:right="113"/>
              <w:rPr>
                <w:rFonts w:eastAsia="Times New Roman"/>
                <w:bCs/>
                <w:lang w:eastAsia="fr-FR"/>
              </w:rPr>
            </w:pPr>
            <w:r w:rsidRPr="00274C67">
              <w:rPr>
                <w:rFonts w:eastAsia="Times New Roman"/>
                <w:bCs/>
                <w:lang w:val="fr-FR" w:eastAsia="fr-FR"/>
              </w:rPr>
              <w:t>La CEE a contribué, en qualité de coprésidente, à la séance thématique n</w:t>
            </w:r>
            <w:r w:rsidRPr="00274C67">
              <w:rPr>
                <w:rFonts w:eastAsia="Times New Roman"/>
                <w:bCs/>
                <w:vertAlign w:val="superscript"/>
                <w:lang w:val="fr-FR" w:eastAsia="fr-FR"/>
              </w:rPr>
              <w:t>o</w:t>
            </w:r>
            <w:r w:rsidR="00D22656">
              <w:rPr>
                <w:rFonts w:eastAsia="Times New Roman"/>
                <w:bCs/>
                <w:lang w:val="fr-FR" w:eastAsia="fr-FR"/>
              </w:rPr>
              <w:t> </w:t>
            </w:r>
            <w:r w:rsidRPr="00274C67">
              <w:rPr>
                <w:rFonts w:eastAsia="Times New Roman"/>
                <w:bCs/>
                <w:lang w:val="fr-FR" w:eastAsia="fr-FR"/>
              </w:rPr>
              <w:t xml:space="preserve">6, sur les transports durables et les villes durables, de la deuxième Conférence mondiale des Nations Unies sur les transports durables organisée par le Secrétaire général (14-16 octobre 2021, Beijing). En outre, le rapport interinstitutions issu de la deuxième Conférence mondiale sur les transports durables, </w:t>
            </w:r>
            <w:r w:rsidRPr="00274C67">
              <w:rPr>
                <w:rFonts w:eastAsia="Times New Roman"/>
                <w:bCs/>
                <w:lang w:val="fr-FR" w:eastAsia="fr-FR"/>
              </w:rPr>
              <w:lastRenderedPageBreak/>
              <w:t xml:space="preserve">qui en est un des principaux résultats, salue le rôle de chef de file du </w:t>
            </w:r>
            <w:r>
              <w:rPr>
                <w:rFonts w:eastAsia="Times New Roman"/>
                <w:bCs/>
                <w:lang w:val="fr-FR" w:eastAsia="fr-FR"/>
              </w:rPr>
              <w:t>Comité</w:t>
            </w:r>
            <w:r w:rsidRPr="00274C67">
              <w:rPr>
                <w:rFonts w:eastAsia="Times New Roman"/>
                <w:bCs/>
                <w:lang w:val="fr-FR" w:eastAsia="fr-FR"/>
              </w:rPr>
              <w:t xml:space="preserve"> et la place prépondérante des instruments juridiques relevant de sa compétence dans le domaine des transports intérieurs, parallèlement à ceux de l</w:t>
            </w:r>
            <w:r>
              <w:rPr>
                <w:rFonts w:eastAsia="Times New Roman"/>
                <w:bCs/>
                <w:lang w:val="fr-FR" w:eastAsia="fr-FR"/>
              </w:rPr>
              <w:t>’</w:t>
            </w:r>
            <w:r w:rsidRPr="00274C67">
              <w:rPr>
                <w:rFonts w:eastAsia="Times New Roman"/>
                <w:bCs/>
                <w:lang w:val="fr-FR" w:eastAsia="fr-FR"/>
              </w:rPr>
              <w:t>OACI et de l</w:t>
            </w:r>
            <w:r>
              <w:rPr>
                <w:rFonts w:eastAsia="Times New Roman"/>
                <w:bCs/>
                <w:lang w:val="fr-FR" w:eastAsia="fr-FR"/>
              </w:rPr>
              <w:t>’</w:t>
            </w:r>
            <w:r w:rsidRPr="00274C67">
              <w:rPr>
                <w:rFonts w:eastAsia="Times New Roman"/>
                <w:bCs/>
                <w:lang w:val="fr-FR" w:eastAsia="fr-FR"/>
              </w:rPr>
              <w:t>OMI pour l</w:t>
            </w:r>
            <w:r>
              <w:rPr>
                <w:rFonts w:eastAsia="Times New Roman"/>
                <w:bCs/>
                <w:lang w:val="fr-FR" w:eastAsia="fr-FR"/>
              </w:rPr>
              <w:t>’</w:t>
            </w:r>
            <w:r w:rsidRPr="00274C67">
              <w:rPr>
                <w:rFonts w:eastAsia="Times New Roman"/>
                <w:bCs/>
                <w:lang w:val="fr-FR" w:eastAsia="fr-FR"/>
              </w:rPr>
              <w:t>aviation civile et les transports maritimes respectivement.</w:t>
            </w:r>
          </w:p>
          <w:p w14:paraId="4E9797BF" w14:textId="13E73D96" w:rsidR="000661F7" w:rsidRDefault="000661F7" w:rsidP="0094269B">
            <w:pPr>
              <w:spacing w:before="40" w:after="120"/>
              <w:ind w:right="113"/>
              <w:rPr>
                <w:rFonts w:eastAsia="Times New Roman"/>
                <w:lang w:val="fr-FR" w:eastAsia="fr-FR"/>
              </w:rPr>
            </w:pPr>
            <w:r w:rsidRPr="00274C67">
              <w:rPr>
                <w:rFonts w:eastAsia="Times New Roman"/>
                <w:lang w:val="fr-FR" w:eastAsia="fr-FR"/>
              </w:rPr>
              <w:t xml:space="preserve">Une équipe spéciale interne a été mise sur pied pour concevoir des pages Web et élaborer </w:t>
            </w:r>
            <w:r>
              <w:rPr>
                <w:rFonts w:eastAsia="Times New Roman"/>
                <w:lang w:val="fr-FR" w:eastAsia="fr-FR"/>
              </w:rPr>
              <w:t>une</w:t>
            </w:r>
            <w:r w:rsidRPr="00274C67">
              <w:rPr>
                <w:rFonts w:eastAsia="Times New Roman"/>
                <w:lang w:val="fr-FR" w:eastAsia="fr-FR"/>
              </w:rPr>
              <w:t xml:space="preserve"> brochure sur </w:t>
            </w:r>
            <w:r>
              <w:rPr>
                <w:rFonts w:eastAsia="Times New Roman"/>
                <w:lang w:val="fr-FR" w:eastAsia="fr-FR"/>
              </w:rPr>
              <w:t>la Stratégie du Comité</w:t>
            </w:r>
            <w:r w:rsidRPr="00274C67">
              <w:rPr>
                <w:rFonts w:eastAsia="Times New Roman"/>
                <w:lang w:val="fr-FR" w:eastAsia="fr-FR"/>
              </w:rPr>
              <w:t>.</w:t>
            </w:r>
            <w:r w:rsidRPr="008140C7">
              <w:rPr>
                <w:rFonts w:eastAsia="Times New Roman"/>
                <w:lang w:val="fr-FR" w:eastAsia="fr-FR"/>
              </w:rPr>
              <w:t xml:space="preserve"> </w:t>
            </w:r>
            <w:r w:rsidRPr="00C33721">
              <w:rPr>
                <w:rFonts w:eastAsia="Times New Roman"/>
                <w:b/>
                <w:bCs/>
                <w:lang w:val="fr-FR" w:eastAsia="fr-FR"/>
              </w:rPr>
              <w:t>Cette brochure est disponible à l</w:t>
            </w:r>
            <w:r>
              <w:rPr>
                <w:rFonts w:eastAsia="Times New Roman"/>
                <w:b/>
                <w:bCs/>
                <w:lang w:val="fr-FR" w:eastAsia="fr-FR"/>
              </w:rPr>
              <w:t>’</w:t>
            </w:r>
            <w:r w:rsidRPr="00C33721">
              <w:rPr>
                <w:rFonts w:eastAsia="Times New Roman"/>
                <w:b/>
                <w:bCs/>
                <w:lang w:val="fr-FR" w:eastAsia="fr-FR"/>
              </w:rPr>
              <w:t>adresse https</w:t>
            </w:r>
            <w:r>
              <w:rPr>
                <w:rFonts w:eastAsia="Times New Roman"/>
                <w:b/>
                <w:bCs/>
                <w:lang w:val="fr-FR" w:eastAsia="fr-FR"/>
              </w:rPr>
              <w:t>:</w:t>
            </w:r>
            <w:r w:rsidRPr="00C33721">
              <w:rPr>
                <w:rFonts w:eastAsia="Times New Roman"/>
                <w:b/>
                <w:bCs/>
                <w:lang w:val="fr-FR" w:eastAsia="fr-FR"/>
              </w:rPr>
              <w:t>//unece.org/transport/publications/itc-strategy-until-2030.</w:t>
            </w:r>
          </w:p>
          <w:p w14:paraId="28A55AF9" w14:textId="726525E6" w:rsidR="000661F7" w:rsidRDefault="000661F7" w:rsidP="0094269B">
            <w:pPr>
              <w:spacing w:before="40" w:after="120"/>
              <w:ind w:right="113"/>
              <w:rPr>
                <w:b/>
                <w:bCs/>
                <w:lang w:val="fr-FR"/>
              </w:rPr>
            </w:pPr>
            <w:r w:rsidRPr="00C33721">
              <w:rPr>
                <w:b/>
                <w:bCs/>
                <w:lang w:val="fr-FR"/>
              </w:rPr>
              <w:t>La CEE a signé en 2021 avec la Banque européenne d</w:t>
            </w:r>
            <w:r>
              <w:rPr>
                <w:b/>
                <w:bCs/>
                <w:lang w:val="fr-FR"/>
              </w:rPr>
              <w:t>’</w:t>
            </w:r>
            <w:r w:rsidRPr="00C33721">
              <w:rPr>
                <w:b/>
                <w:bCs/>
                <w:lang w:val="fr-FR"/>
              </w:rPr>
              <w:t>investissement (BEI) un mémorandum d</w:t>
            </w:r>
            <w:r>
              <w:rPr>
                <w:b/>
                <w:bCs/>
                <w:lang w:val="fr-FR"/>
              </w:rPr>
              <w:t>’</w:t>
            </w:r>
            <w:r w:rsidRPr="00C33721">
              <w:rPr>
                <w:b/>
                <w:bCs/>
                <w:lang w:val="fr-FR"/>
              </w:rPr>
              <w:t>accord en vue d</w:t>
            </w:r>
            <w:r>
              <w:rPr>
                <w:b/>
                <w:bCs/>
                <w:lang w:val="fr-FR"/>
              </w:rPr>
              <w:t>’</w:t>
            </w:r>
            <w:r w:rsidRPr="00C33721">
              <w:rPr>
                <w:b/>
                <w:bCs/>
                <w:lang w:val="fr-FR"/>
              </w:rPr>
              <w:t>une collaboration portant notamment sur les transports et</w:t>
            </w:r>
            <w:r>
              <w:rPr>
                <w:b/>
                <w:bCs/>
                <w:lang w:val="fr-FR"/>
              </w:rPr>
              <w:t xml:space="preserve"> plus particulièrement </w:t>
            </w:r>
            <w:r w:rsidRPr="00C33721">
              <w:rPr>
                <w:b/>
                <w:bCs/>
                <w:lang w:val="fr-FR"/>
              </w:rPr>
              <w:t>sur la sécurité routière et l</w:t>
            </w:r>
            <w:r>
              <w:rPr>
                <w:b/>
                <w:bCs/>
                <w:lang w:val="fr-FR"/>
              </w:rPr>
              <w:t>’</w:t>
            </w:r>
            <w:r w:rsidRPr="00D94133">
              <w:rPr>
                <w:b/>
                <w:bCs/>
                <w:lang w:val="fr-FR"/>
              </w:rPr>
              <w:t xml:space="preserve">adaptation des transports aux changements climatiques. Grâce à cette collaboration, les instruments juridiques des Nations Unies relatifs aux transports sont promus dans les projets de la BEI. </w:t>
            </w:r>
          </w:p>
          <w:p w14:paraId="6A9FBB1A" w14:textId="1FCA4C6E" w:rsidR="000661F7" w:rsidRPr="00D94133" w:rsidRDefault="000661F7" w:rsidP="0094269B">
            <w:pPr>
              <w:spacing w:before="40" w:after="120"/>
              <w:ind w:right="113"/>
              <w:rPr>
                <w:b/>
                <w:bCs/>
                <w:lang w:val="fr-FR"/>
              </w:rPr>
            </w:pPr>
            <w:r w:rsidRPr="009C0737">
              <w:rPr>
                <w:b/>
                <w:bCs/>
                <w:lang w:val="fr-FR"/>
              </w:rPr>
              <w:t xml:space="preserve">La CEE a représenté </w:t>
            </w:r>
            <w:r w:rsidRPr="00D22656">
              <w:rPr>
                <w:b/>
                <w:bCs/>
                <w:lang w:val="fr-FR"/>
              </w:rPr>
              <w:t>l’ONU dans le consortium SUM4ALL en 2021 et</w:t>
            </w:r>
            <w:r w:rsidRPr="009C0737">
              <w:rPr>
                <w:b/>
                <w:bCs/>
                <w:lang w:val="fr-FR"/>
              </w:rPr>
              <w:t xml:space="preserve"> 2022.</w:t>
            </w:r>
            <w:r w:rsidRPr="00D94133">
              <w:rPr>
                <w:b/>
                <w:bCs/>
                <w:lang w:val="fr-FR"/>
              </w:rPr>
              <w:t xml:space="preserve"> </w:t>
            </w:r>
          </w:p>
        </w:tc>
        <w:tc>
          <w:tcPr>
            <w:tcW w:w="2500" w:type="dxa"/>
            <w:vMerge w:val="restart"/>
            <w:shd w:val="clear" w:color="auto" w:fill="auto"/>
          </w:tcPr>
          <w:p w14:paraId="0CD9BA93" w14:textId="77777777" w:rsidR="000661F7" w:rsidRDefault="000661F7" w:rsidP="0094269B">
            <w:pPr>
              <w:spacing w:before="40" w:after="120"/>
              <w:ind w:right="113"/>
              <w:rPr>
                <w:lang w:val="fr-FR"/>
              </w:rPr>
            </w:pPr>
          </w:p>
          <w:p w14:paraId="17D762FC" w14:textId="3EB62A86" w:rsidR="000661F7" w:rsidRPr="00ED06D8" w:rsidRDefault="000661F7" w:rsidP="0094269B">
            <w:pPr>
              <w:spacing w:before="40" w:after="120"/>
              <w:ind w:right="113"/>
              <w:rPr>
                <w:lang w:val="fr-FR"/>
              </w:rPr>
            </w:pPr>
            <w:r>
              <w:rPr>
                <w:lang w:val="fr-FR"/>
              </w:rPr>
              <w:t>1. Poursuivre l’élaboration et la diffusion de supports d’information sur la Stratégie et organiser une campagne, à la fois interne (système des Nations Unies) et externe (Parties contractantes), dans le cadre de laquelle seront menées des activités stratégiques destinées à asseoir le rôle du Comité en tant qu’organisme des Nations Unies chargé des transports intérieurs. Il s’agira en particulier :</w:t>
            </w:r>
          </w:p>
          <w:p w14:paraId="3CFD1F42" w14:textId="17E246DF" w:rsidR="000661F7" w:rsidRPr="00ED06D8" w:rsidRDefault="00766385" w:rsidP="0094269B">
            <w:pPr>
              <w:spacing w:before="40" w:after="120"/>
              <w:ind w:right="113"/>
              <w:rPr>
                <w:lang w:val="fr-FR"/>
              </w:rPr>
            </w:pPr>
            <w:r>
              <w:rPr>
                <w:lang w:val="fr-FR"/>
              </w:rPr>
              <w:t>-</w:t>
            </w:r>
            <w:r w:rsidR="000661F7">
              <w:rPr>
                <w:lang w:val="fr-FR"/>
              </w:rPr>
              <w:t xml:space="preserve"> De créer une page Web consacrée à la promotion de la vision du Comité ; </w:t>
            </w:r>
          </w:p>
          <w:p w14:paraId="55A50C47" w14:textId="453B000A" w:rsidR="000661F7" w:rsidRPr="00ED06D8" w:rsidRDefault="000661F7" w:rsidP="0094269B">
            <w:pPr>
              <w:spacing w:before="40" w:after="120"/>
              <w:ind w:right="113"/>
              <w:rPr>
                <w:lang w:val="fr-FR"/>
              </w:rPr>
            </w:pPr>
            <w:r>
              <w:rPr>
                <w:lang w:val="fr-FR"/>
              </w:rPr>
              <w:t>- D’organiser des manifestations parallèles à l’occasion de conférences mondiales ;</w:t>
            </w:r>
          </w:p>
          <w:p w14:paraId="37D4EFD0" w14:textId="7CC6F2A4" w:rsidR="000661F7" w:rsidRPr="00ED06D8" w:rsidRDefault="000661F7" w:rsidP="0094269B">
            <w:pPr>
              <w:spacing w:before="40" w:after="120"/>
              <w:ind w:right="113"/>
              <w:rPr>
                <w:lang w:val="fr-FR"/>
              </w:rPr>
            </w:pPr>
            <w:r>
              <w:rPr>
                <w:lang w:val="fr-FR"/>
              </w:rPr>
              <w:t xml:space="preserve">- De créer une brochure sur le rôle de la Division des transports durables de la CEE, en y soulignant la portée mondiale de son action au moyen d’infographies et de statistiques ; </w:t>
            </w:r>
          </w:p>
          <w:p w14:paraId="7F00C73D" w14:textId="70EEC582" w:rsidR="000661F7" w:rsidRPr="00ED06D8" w:rsidRDefault="000661F7" w:rsidP="0094269B">
            <w:pPr>
              <w:spacing w:before="40" w:after="120"/>
              <w:ind w:right="113"/>
              <w:rPr>
                <w:lang w:val="fr-FR"/>
              </w:rPr>
            </w:pPr>
            <w:r>
              <w:rPr>
                <w:lang w:val="fr-FR"/>
              </w:rPr>
              <w:t>- De créer une brochure sur les transports intérieurs et les objectifs de développement durable (ODD), et de la distribuer à l’occasion de conférences mondiales importantes.</w:t>
            </w:r>
          </w:p>
          <w:p w14:paraId="5BE876B4" w14:textId="04B9A74F" w:rsidR="000661F7" w:rsidRPr="00ED06D8" w:rsidRDefault="000661F7" w:rsidP="0094269B">
            <w:pPr>
              <w:spacing w:before="40" w:after="120"/>
              <w:ind w:right="113"/>
              <w:rPr>
                <w:lang w:val="fr-FR"/>
              </w:rPr>
            </w:pPr>
            <w:r>
              <w:rPr>
                <w:lang w:val="fr-FR"/>
              </w:rPr>
              <w:t xml:space="preserve">2. Établir une comparaison entre la Division des transports durables de la CEE, l’OACI et l’OMI pour montrer que chacune joue un rôle de chef de file équivalent dans son domaine de compétence respectif (transports intérieurs, aviation civile et transport maritime), l’objectif étant de promouvoir le rôle du </w:t>
            </w:r>
            <w:r>
              <w:rPr>
                <w:lang w:val="fr-FR"/>
              </w:rPr>
              <w:lastRenderedPageBreak/>
              <w:t>Comité en tant que principale entité responsable des transports intérieurs à l’échelle du système des Nations Unies. Intégrer des informations sur les activités menées par la Division des transports durables de la CEE à l’appui des travaux des organes de l’ECOSOC chargés de l’harmonisation des dispositions relatives à l’acheminement des marchandises dangereuses par tous les modes de transport. Évoquer également l’application des recommandations de ces organes par l’OACI et l’OMI.</w:t>
            </w:r>
          </w:p>
          <w:p w14:paraId="001EC7DD" w14:textId="73535616" w:rsidR="000661F7" w:rsidRPr="00ED06D8" w:rsidRDefault="000661F7" w:rsidP="0094269B">
            <w:pPr>
              <w:spacing w:before="40" w:after="120"/>
              <w:ind w:right="113"/>
              <w:rPr>
                <w:lang w:val="fr-FR"/>
              </w:rPr>
            </w:pPr>
            <w:r>
              <w:rPr>
                <w:lang w:val="fr-FR"/>
              </w:rPr>
              <w:t xml:space="preserve">3. Promouvoir le rôle de la Division des transports durables de la CEE en tant qu’entité responsable des instruments juridiques de l’ONU en matière de transport, notamment dans le cadre de partenariats, et signer des accords de collaboration dans les cas où cela se justifie. </w:t>
            </w:r>
          </w:p>
        </w:tc>
        <w:tc>
          <w:tcPr>
            <w:tcW w:w="1667" w:type="dxa"/>
            <w:vMerge w:val="restart"/>
            <w:shd w:val="clear" w:color="auto" w:fill="auto"/>
          </w:tcPr>
          <w:p w14:paraId="37E60F0D" w14:textId="77777777" w:rsidR="000661F7" w:rsidRDefault="000661F7" w:rsidP="0094269B">
            <w:pPr>
              <w:spacing w:before="40" w:after="120"/>
              <w:ind w:right="113"/>
              <w:rPr>
                <w:lang w:val="fr-FR"/>
              </w:rPr>
            </w:pPr>
          </w:p>
          <w:p w14:paraId="0FDC2E2F" w14:textId="77777777" w:rsidR="000661F7" w:rsidRPr="00ED06D8" w:rsidRDefault="000661F7" w:rsidP="0094269B">
            <w:pPr>
              <w:spacing w:before="40" w:after="120"/>
              <w:ind w:right="113"/>
              <w:rPr>
                <w:lang w:val="fr-FR"/>
              </w:rPr>
            </w:pPr>
            <w:r>
              <w:rPr>
                <w:lang w:val="fr-FR"/>
              </w:rPr>
              <w:t>1-3. Le secrétariat du Comité, en collaboration avec tous les secrétaires des groupes de travail</w:t>
            </w:r>
          </w:p>
        </w:tc>
      </w:tr>
      <w:tr w:rsidR="000661F7" w:rsidRPr="00D466A5" w14:paraId="7DD48DFE" w14:textId="77777777" w:rsidTr="0094269B">
        <w:tc>
          <w:tcPr>
            <w:tcW w:w="500" w:type="dxa"/>
            <w:shd w:val="clear" w:color="auto" w:fill="auto"/>
          </w:tcPr>
          <w:p w14:paraId="3377B579" w14:textId="77777777" w:rsidR="000661F7" w:rsidRPr="008A3E6B" w:rsidRDefault="000661F7" w:rsidP="0094269B">
            <w:pPr>
              <w:spacing w:before="40" w:after="120"/>
              <w:ind w:right="113"/>
              <w:rPr>
                <w:b/>
                <w:bCs/>
              </w:rPr>
            </w:pPr>
            <w:r>
              <w:rPr>
                <w:b/>
                <w:bCs/>
                <w:lang w:val="fr-FR"/>
              </w:rPr>
              <w:t>2.</w:t>
            </w:r>
          </w:p>
        </w:tc>
        <w:tc>
          <w:tcPr>
            <w:tcW w:w="1778" w:type="dxa"/>
            <w:shd w:val="clear" w:color="auto" w:fill="auto"/>
          </w:tcPr>
          <w:p w14:paraId="1279B562" w14:textId="77777777" w:rsidR="000661F7" w:rsidRDefault="000661F7" w:rsidP="0094269B">
            <w:pPr>
              <w:spacing w:before="40" w:after="120"/>
              <w:ind w:right="113"/>
              <w:rPr>
                <w:b/>
                <w:bCs/>
                <w:lang w:val="fr-FR"/>
              </w:rPr>
            </w:pPr>
            <w:r>
              <w:rPr>
                <w:b/>
                <w:bCs/>
                <w:lang w:val="fr-FR"/>
              </w:rPr>
              <w:t>Mission</w:t>
            </w:r>
          </w:p>
          <w:p w14:paraId="62301C95" w14:textId="179EF8A3" w:rsidR="000661F7" w:rsidRPr="00ED06D8" w:rsidRDefault="000661F7" w:rsidP="0094269B">
            <w:pPr>
              <w:spacing w:before="40" w:after="120"/>
              <w:ind w:right="113"/>
              <w:rPr>
                <w:lang w:val="fr-FR"/>
              </w:rPr>
            </w:pPr>
            <w:r>
              <w:rPr>
                <w:lang w:val="fr-FR"/>
              </w:rPr>
              <w:t>La mission du Comité est de contribuer à la viabilité des transports intérieurs et de la mobilité pour que les objectifs de développement durable soient atteints dans les États membres de la CEE et dans les États Membres de l’ONU</w:t>
            </w:r>
          </w:p>
        </w:tc>
        <w:tc>
          <w:tcPr>
            <w:tcW w:w="3194" w:type="dxa"/>
            <w:vMerge/>
            <w:shd w:val="clear" w:color="auto" w:fill="auto"/>
          </w:tcPr>
          <w:p w14:paraId="6AC571DE" w14:textId="77777777" w:rsidR="000661F7" w:rsidRPr="00ED06D8" w:rsidRDefault="000661F7" w:rsidP="0094269B">
            <w:pPr>
              <w:spacing w:before="40" w:after="120"/>
              <w:ind w:right="113"/>
              <w:rPr>
                <w:lang w:val="fr-FR"/>
              </w:rPr>
            </w:pPr>
          </w:p>
        </w:tc>
        <w:tc>
          <w:tcPr>
            <w:tcW w:w="2500" w:type="dxa"/>
            <w:vMerge/>
            <w:shd w:val="clear" w:color="auto" w:fill="auto"/>
          </w:tcPr>
          <w:p w14:paraId="33AE4783" w14:textId="77777777" w:rsidR="000661F7" w:rsidRPr="00ED06D8" w:rsidRDefault="000661F7" w:rsidP="0094269B">
            <w:pPr>
              <w:spacing w:before="40" w:after="120"/>
              <w:ind w:right="113"/>
              <w:rPr>
                <w:lang w:val="fr-FR"/>
              </w:rPr>
            </w:pPr>
          </w:p>
        </w:tc>
        <w:tc>
          <w:tcPr>
            <w:tcW w:w="1667" w:type="dxa"/>
            <w:vMerge/>
            <w:shd w:val="clear" w:color="auto" w:fill="auto"/>
          </w:tcPr>
          <w:p w14:paraId="3FFA3BCA" w14:textId="77777777" w:rsidR="000661F7" w:rsidRPr="00ED06D8" w:rsidRDefault="000661F7" w:rsidP="0094269B">
            <w:pPr>
              <w:spacing w:before="40" w:after="120"/>
              <w:ind w:right="113"/>
              <w:rPr>
                <w:lang w:val="fr-FR"/>
              </w:rPr>
            </w:pPr>
          </w:p>
        </w:tc>
      </w:tr>
      <w:tr w:rsidR="000661F7" w:rsidRPr="0067484D" w14:paraId="6AAFA6A6" w14:textId="77777777" w:rsidTr="0094269B">
        <w:tc>
          <w:tcPr>
            <w:tcW w:w="500" w:type="dxa"/>
            <w:shd w:val="clear" w:color="auto" w:fill="auto"/>
          </w:tcPr>
          <w:p w14:paraId="5E5852C4" w14:textId="77777777" w:rsidR="000661F7" w:rsidRPr="008A3E6B" w:rsidRDefault="000661F7" w:rsidP="0094269B">
            <w:pPr>
              <w:spacing w:before="40" w:after="120"/>
              <w:ind w:right="113"/>
              <w:rPr>
                <w:b/>
                <w:bCs/>
              </w:rPr>
            </w:pPr>
            <w:r>
              <w:rPr>
                <w:b/>
                <w:bCs/>
                <w:lang w:val="fr-FR"/>
              </w:rPr>
              <w:t>3.</w:t>
            </w:r>
          </w:p>
        </w:tc>
        <w:tc>
          <w:tcPr>
            <w:tcW w:w="1778" w:type="dxa"/>
            <w:shd w:val="clear" w:color="auto" w:fill="auto"/>
          </w:tcPr>
          <w:p w14:paraId="7D6C0F07" w14:textId="77777777" w:rsidR="000661F7" w:rsidRPr="008A3E6B" w:rsidRDefault="000661F7" w:rsidP="0094269B">
            <w:pPr>
              <w:spacing w:before="40" w:after="120"/>
              <w:ind w:right="113"/>
              <w:rPr>
                <w:b/>
                <w:bCs/>
              </w:rPr>
            </w:pPr>
            <w:r>
              <w:rPr>
                <w:b/>
                <w:bCs/>
                <w:lang w:val="fr-FR"/>
              </w:rPr>
              <w:t>Rôles principaux</w:t>
            </w:r>
          </w:p>
        </w:tc>
        <w:tc>
          <w:tcPr>
            <w:tcW w:w="3194" w:type="dxa"/>
            <w:shd w:val="clear" w:color="auto" w:fill="auto"/>
          </w:tcPr>
          <w:p w14:paraId="358979FA" w14:textId="77777777" w:rsidR="000661F7" w:rsidRPr="0067484D" w:rsidRDefault="000661F7" w:rsidP="0094269B">
            <w:pPr>
              <w:spacing w:before="40" w:after="120"/>
              <w:ind w:right="113"/>
            </w:pPr>
          </w:p>
        </w:tc>
        <w:tc>
          <w:tcPr>
            <w:tcW w:w="2500" w:type="dxa"/>
            <w:shd w:val="clear" w:color="auto" w:fill="auto"/>
          </w:tcPr>
          <w:p w14:paraId="76193E2A" w14:textId="77777777" w:rsidR="000661F7" w:rsidRPr="0067484D" w:rsidRDefault="000661F7" w:rsidP="0094269B">
            <w:pPr>
              <w:spacing w:before="40" w:after="120"/>
              <w:ind w:right="113"/>
            </w:pPr>
          </w:p>
        </w:tc>
        <w:tc>
          <w:tcPr>
            <w:tcW w:w="1667" w:type="dxa"/>
            <w:shd w:val="clear" w:color="auto" w:fill="auto"/>
          </w:tcPr>
          <w:p w14:paraId="4172C300" w14:textId="77777777" w:rsidR="000661F7" w:rsidRPr="0067484D" w:rsidRDefault="000661F7" w:rsidP="0094269B">
            <w:pPr>
              <w:spacing w:before="40" w:after="120"/>
              <w:ind w:right="113"/>
            </w:pPr>
          </w:p>
        </w:tc>
      </w:tr>
      <w:tr w:rsidR="000661F7" w:rsidRPr="00D466A5" w14:paraId="2AA33871" w14:textId="77777777" w:rsidTr="0094269B">
        <w:tc>
          <w:tcPr>
            <w:tcW w:w="500" w:type="dxa"/>
            <w:shd w:val="clear" w:color="auto" w:fill="auto"/>
          </w:tcPr>
          <w:p w14:paraId="6F990B5D" w14:textId="77777777" w:rsidR="000661F7" w:rsidRPr="0067484D" w:rsidRDefault="000661F7" w:rsidP="0094269B">
            <w:pPr>
              <w:spacing w:before="40" w:after="120"/>
              <w:ind w:right="113"/>
            </w:pPr>
            <w:r>
              <w:rPr>
                <w:lang w:val="fr-FR"/>
              </w:rPr>
              <w:t>3.1</w:t>
            </w:r>
          </w:p>
        </w:tc>
        <w:tc>
          <w:tcPr>
            <w:tcW w:w="1778" w:type="dxa"/>
            <w:shd w:val="clear" w:color="auto" w:fill="auto"/>
          </w:tcPr>
          <w:p w14:paraId="5D55DF8D" w14:textId="77777777" w:rsidR="000661F7" w:rsidRPr="00ED06D8" w:rsidRDefault="000661F7" w:rsidP="0094269B">
            <w:pPr>
              <w:spacing w:before="40" w:after="120"/>
              <w:ind w:right="113"/>
              <w:rPr>
                <w:lang w:val="fr-FR"/>
              </w:rPr>
            </w:pPr>
            <w:r>
              <w:rPr>
                <w:lang w:val="fr-FR"/>
              </w:rPr>
              <w:t>Plateforme des Nations Unies pour les conventions régionales et mondiales sur les transports intérieurs</w:t>
            </w:r>
          </w:p>
        </w:tc>
        <w:tc>
          <w:tcPr>
            <w:tcW w:w="3194" w:type="dxa"/>
            <w:shd w:val="clear" w:color="auto" w:fill="auto"/>
          </w:tcPr>
          <w:p w14:paraId="426E0C4C" w14:textId="77777777" w:rsidR="000661F7" w:rsidRPr="00ED06D8" w:rsidRDefault="000661F7" w:rsidP="0094269B">
            <w:pPr>
              <w:spacing w:before="40" w:after="120"/>
              <w:ind w:right="113"/>
              <w:rPr>
                <w:lang w:val="fr-FR"/>
              </w:rPr>
            </w:pPr>
            <w:r>
              <w:rPr>
                <w:lang w:val="fr-FR"/>
              </w:rPr>
              <w:t>Voir les informations relatives aux tâches 5.1 à 5.11</w:t>
            </w:r>
          </w:p>
        </w:tc>
        <w:tc>
          <w:tcPr>
            <w:tcW w:w="2500" w:type="dxa"/>
            <w:shd w:val="clear" w:color="auto" w:fill="auto"/>
          </w:tcPr>
          <w:p w14:paraId="12DAA4EA" w14:textId="77777777" w:rsidR="000661F7" w:rsidRPr="00ED06D8" w:rsidRDefault="000661F7" w:rsidP="0094269B">
            <w:pPr>
              <w:spacing w:before="40" w:after="120"/>
              <w:ind w:right="113"/>
              <w:rPr>
                <w:lang w:val="fr-FR"/>
              </w:rPr>
            </w:pPr>
          </w:p>
        </w:tc>
        <w:tc>
          <w:tcPr>
            <w:tcW w:w="1667" w:type="dxa"/>
            <w:shd w:val="clear" w:color="auto" w:fill="auto"/>
          </w:tcPr>
          <w:p w14:paraId="68F56EA9" w14:textId="77777777" w:rsidR="000661F7" w:rsidRPr="00ED06D8" w:rsidRDefault="000661F7" w:rsidP="0094269B">
            <w:pPr>
              <w:spacing w:before="40" w:after="120"/>
              <w:ind w:right="113"/>
              <w:rPr>
                <w:lang w:val="fr-FR"/>
              </w:rPr>
            </w:pPr>
          </w:p>
        </w:tc>
      </w:tr>
      <w:tr w:rsidR="000661F7" w:rsidRPr="00D466A5" w14:paraId="107EA4D2" w14:textId="77777777" w:rsidTr="0094269B">
        <w:tc>
          <w:tcPr>
            <w:tcW w:w="500" w:type="dxa"/>
            <w:shd w:val="clear" w:color="auto" w:fill="auto"/>
          </w:tcPr>
          <w:p w14:paraId="52B901DE" w14:textId="77777777" w:rsidR="000661F7" w:rsidRPr="0067484D" w:rsidRDefault="000661F7" w:rsidP="0094269B">
            <w:pPr>
              <w:spacing w:before="40" w:after="120"/>
              <w:ind w:right="113"/>
            </w:pPr>
            <w:r>
              <w:rPr>
                <w:lang w:val="fr-FR"/>
              </w:rPr>
              <w:t>3.2</w:t>
            </w:r>
          </w:p>
        </w:tc>
        <w:tc>
          <w:tcPr>
            <w:tcW w:w="1778" w:type="dxa"/>
            <w:shd w:val="clear" w:color="auto" w:fill="auto"/>
          </w:tcPr>
          <w:p w14:paraId="1E89920B" w14:textId="77777777" w:rsidR="000661F7" w:rsidRPr="00ED06D8" w:rsidRDefault="000661F7" w:rsidP="0094269B">
            <w:pPr>
              <w:spacing w:before="40" w:after="120"/>
              <w:ind w:right="113"/>
              <w:rPr>
                <w:lang w:val="fr-FR"/>
              </w:rPr>
            </w:pPr>
            <w:r>
              <w:rPr>
                <w:lang w:val="fr-FR"/>
              </w:rPr>
              <w:t>Plateforme des Nations Unies pour le soutien aux nouvelles technologies et aux innovations dans le domaine des transports intérieurs</w:t>
            </w:r>
          </w:p>
        </w:tc>
        <w:tc>
          <w:tcPr>
            <w:tcW w:w="3194" w:type="dxa"/>
            <w:shd w:val="clear" w:color="auto" w:fill="auto"/>
          </w:tcPr>
          <w:p w14:paraId="1EB47528" w14:textId="77777777" w:rsidR="000661F7" w:rsidRPr="00ED06D8" w:rsidRDefault="000661F7" w:rsidP="0094269B">
            <w:pPr>
              <w:spacing w:before="40" w:after="120"/>
              <w:ind w:right="113"/>
              <w:rPr>
                <w:lang w:val="fr-FR"/>
              </w:rPr>
            </w:pPr>
            <w:r>
              <w:rPr>
                <w:lang w:val="fr-FR"/>
              </w:rPr>
              <w:t>Voir les informations relatives aux tâches 5.12 à 5.17</w:t>
            </w:r>
          </w:p>
        </w:tc>
        <w:tc>
          <w:tcPr>
            <w:tcW w:w="2500" w:type="dxa"/>
            <w:shd w:val="clear" w:color="auto" w:fill="auto"/>
          </w:tcPr>
          <w:p w14:paraId="0BFF4C1D" w14:textId="77777777" w:rsidR="000661F7" w:rsidRPr="00ED06D8" w:rsidRDefault="000661F7" w:rsidP="0094269B">
            <w:pPr>
              <w:spacing w:before="40" w:after="120"/>
              <w:ind w:right="113"/>
              <w:rPr>
                <w:lang w:val="fr-FR"/>
              </w:rPr>
            </w:pPr>
          </w:p>
        </w:tc>
        <w:tc>
          <w:tcPr>
            <w:tcW w:w="1667" w:type="dxa"/>
            <w:shd w:val="clear" w:color="auto" w:fill="auto"/>
          </w:tcPr>
          <w:p w14:paraId="5C179A13" w14:textId="77777777" w:rsidR="000661F7" w:rsidRPr="00ED06D8" w:rsidRDefault="000661F7" w:rsidP="0094269B">
            <w:pPr>
              <w:spacing w:before="40" w:after="120"/>
              <w:ind w:right="113"/>
              <w:rPr>
                <w:lang w:val="fr-FR"/>
              </w:rPr>
            </w:pPr>
          </w:p>
        </w:tc>
      </w:tr>
      <w:tr w:rsidR="000661F7" w:rsidRPr="00D466A5" w14:paraId="27D63EF5" w14:textId="77777777" w:rsidTr="0094269B">
        <w:tc>
          <w:tcPr>
            <w:tcW w:w="500" w:type="dxa"/>
            <w:shd w:val="clear" w:color="auto" w:fill="auto"/>
          </w:tcPr>
          <w:p w14:paraId="6585BE90" w14:textId="77777777" w:rsidR="000661F7" w:rsidRPr="0067484D" w:rsidRDefault="000661F7" w:rsidP="000661F7">
            <w:pPr>
              <w:keepNext/>
              <w:spacing w:before="40" w:after="120"/>
              <w:ind w:right="113"/>
            </w:pPr>
            <w:r>
              <w:rPr>
                <w:lang w:val="fr-FR"/>
              </w:rPr>
              <w:lastRenderedPageBreak/>
              <w:t>3.3</w:t>
            </w:r>
          </w:p>
        </w:tc>
        <w:tc>
          <w:tcPr>
            <w:tcW w:w="1778" w:type="dxa"/>
            <w:shd w:val="clear" w:color="auto" w:fill="auto"/>
          </w:tcPr>
          <w:p w14:paraId="56EC95F1" w14:textId="77777777" w:rsidR="000661F7" w:rsidRPr="00ED06D8" w:rsidRDefault="000661F7" w:rsidP="000661F7">
            <w:pPr>
              <w:keepNext/>
              <w:spacing w:before="40" w:after="120"/>
              <w:ind w:right="113"/>
              <w:rPr>
                <w:lang w:val="fr-FR"/>
              </w:rPr>
            </w:pPr>
            <w:r>
              <w:rPr>
                <w:lang w:val="fr-FR"/>
              </w:rPr>
              <w:t>Plateforme des Nations Unies pour les dialogues régionaux, interrégionaux et mondiaux sur les politiques des transports intérieurs</w:t>
            </w:r>
          </w:p>
        </w:tc>
        <w:tc>
          <w:tcPr>
            <w:tcW w:w="3194" w:type="dxa"/>
            <w:shd w:val="clear" w:color="auto" w:fill="auto"/>
          </w:tcPr>
          <w:p w14:paraId="4D413383" w14:textId="77777777" w:rsidR="000661F7" w:rsidRPr="00ED06D8" w:rsidRDefault="000661F7" w:rsidP="000661F7">
            <w:pPr>
              <w:keepNext/>
              <w:spacing w:before="40" w:after="120"/>
              <w:ind w:right="113"/>
              <w:rPr>
                <w:lang w:val="fr-FR"/>
              </w:rPr>
            </w:pPr>
            <w:r>
              <w:rPr>
                <w:lang w:val="fr-FR"/>
              </w:rPr>
              <w:t>Voir les informations relatives aux tâches 5.18 et 5.19</w:t>
            </w:r>
          </w:p>
        </w:tc>
        <w:tc>
          <w:tcPr>
            <w:tcW w:w="2500" w:type="dxa"/>
            <w:shd w:val="clear" w:color="auto" w:fill="auto"/>
          </w:tcPr>
          <w:p w14:paraId="5962172F" w14:textId="77777777" w:rsidR="000661F7" w:rsidRPr="00ED06D8" w:rsidRDefault="000661F7" w:rsidP="000661F7">
            <w:pPr>
              <w:keepNext/>
              <w:spacing w:before="40" w:after="120"/>
              <w:ind w:right="113"/>
              <w:rPr>
                <w:lang w:val="fr-FR"/>
              </w:rPr>
            </w:pPr>
          </w:p>
        </w:tc>
        <w:tc>
          <w:tcPr>
            <w:tcW w:w="1667" w:type="dxa"/>
            <w:shd w:val="clear" w:color="auto" w:fill="auto"/>
          </w:tcPr>
          <w:p w14:paraId="232043D0" w14:textId="77777777" w:rsidR="000661F7" w:rsidRPr="00ED06D8" w:rsidRDefault="000661F7" w:rsidP="000661F7">
            <w:pPr>
              <w:keepNext/>
              <w:spacing w:before="40" w:after="120"/>
              <w:ind w:right="113"/>
              <w:rPr>
                <w:lang w:val="fr-FR"/>
              </w:rPr>
            </w:pPr>
          </w:p>
        </w:tc>
      </w:tr>
      <w:tr w:rsidR="000661F7" w:rsidRPr="00D466A5" w14:paraId="5D7DD89B" w14:textId="77777777" w:rsidTr="0094269B">
        <w:tc>
          <w:tcPr>
            <w:tcW w:w="500" w:type="dxa"/>
            <w:shd w:val="clear" w:color="auto" w:fill="auto"/>
          </w:tcPr>
          <w:p w14:paraId="6139FFEA" w14:textId="77777777" w:rsidR="000661F7" w:rsidRPr="0067484D" w:rsidRDefault="000661F7" w:rsidP="0094269B">
            <w:pPr>
              <w:spacing w:before="40" w:after="120"/>
              <w:ind w:right="113"/>
            </w:pPr>
            <w:r>
              <w:rPr>
                <w:lang w:val="fr-FR"/>
              </w:rPr>
              <w:t>3.4</w:t>
            </w:r>
          </w:p>
        </w:tc>
        <w:tc>
          <w:tcPr>
            <w:tcW w:w="1778" w:type="dxa"/>
            <w:shd w:val="clear" w:color="auto" w:fill="auto"/>
          </w:tcPr>
          <w:p w14:paraId="091B95B8" w14:textId="5841DD87" w:rsidR="000661F7" w:rsidRPr="00ED06D8" w:rsidRDefault="000661F7" w:rsidP="0094269B">
            <w:pPr>
              <w:spacing w:before="40" w:after="120"/>
              <w:ind w:right="113"/>
              <w:rPr>
                <w:lang w:val="fr-FR"/>
              </w:rPr>
            </w:pPr>
            <w:r>
              <w:rPr>
                <w:lang w:val="fr-FR"/>
              </w:rPr>
              <w:t>Plateforme des Nations Unies pour la promotion d’une connectivité et d’une mobilité durables dans les transports intérieurs régionaux et interrégionaux</w:t>
            </w:r>
          </w:p>
        </w:tc>
        <w:tc>
          <w:tcPr>
            <w:tcW w:w="3194" w:type="dxa"/>
            <w:shd w:val="clear" w:color="auto" w:fill="auto"/>
          </w:tcPr>
          <w:p w14:paraId="024B61EE" w14:textId="77777777" w:rsidR="000661F7" w:rsidRPr="00ED06D8" w:rsidRDefault="000661F7" w:rsidP="0094269B">
            <w:pPr>
              <w:spacing w:before="40" w:after="120"/>
              <w:ind w:right="113"/>
              <w:rPr>
                <w:lang w:val="fr-FR"/>
              </w:rPr>
            </w:pPr>
            <w:r>
              <w:rPr>
                <w:lang w:val="fr-FR"/>
              </w:rPr>
              <w:t>Voir les informations relatives aux tâches 5.20 à 5.24</w:t>
            </w:r>
          </w:p>
        </w:tc>
        <w:tc>
          <w:tcPr>
            <w:tcW w:w="2500" w:type="dxa"/>
            <w:shd w:val="clear" w:color="auto" w:fill="auto"/>
          </w:tcPr>
          <w:p w14:paraId="20F88FC6" w14:textId="77777777" w:rsidR="000661F7" w:rsidRPr="00ED06D8" w:rsidRDefault="000661F7" w:rsidP="0094269B">
            <w:pPr>
              <w:spacing w:before="40" w:after="120"/>
              <w:ind w:right="113"/>
              <w:rPr>
                <w:lang w:val="fr-FR"/>
              </w:rPr>
            </w:pPr>
          </w:p>
        </w:tc>
        <w:tc>
          <w:tcPr>
            <w:tcW w:w="1667" w:type="dxa"/>
            <w:shd w:val="clear" w:color="auto" w:fill="auto"/>
          </w:tcPr>
          <w:p w14:paraId="7AB06E21" w14:textId="77777777" w:rsidR="000661F7" w:rsidRPr="00ED06D8" w:rsidRDefault="000661F7" w:rsidP="0094269B">
            <w:pPr>
              <w:spacing w:before="40" w:after="120"/>
              <w:ind w:right="113"/>
              <w:rPr>
                <w:lang w:val="fr-FR"/>
              </w:rPr>
            </w:pPr>
          </w:p>
        </w:tc>
      </w:tr>
      <w:tr w:rsidR="000661F7" w:rsidRPr="00D466A5" w14:paraId="73B14C45" w14:textId="77777777" w:rsidTr="0094269B">
        <w:tc>
          <w:tcPr>
            <w:tcW w:w="500" w:type="dxa"/>
            <w:shd w:val="clear" w:color="auto" w:fill="auto"/>
          </w:tcPr>
          <w:p w14:paraId="3FEB8C73" w14:textId="77777777" w:rsidR="000661F7" w:rsidRPr="008A3E6B" w:rsidRDefault="000661F7" w:rsidP="0094269B">
            <w:pPr>
              <w:spacing w:before="40" w:after="120"/>
              <w:ind w:right="113"/>
              <w:rPr>
                <w:b/>
                <w:bCs/>
              </w:rPr>
            </w:pPr>
            <w:r>
              <w:rPr>
                <w:b/>
                <w:bCs/>
                <w:lang w:val="fr-FR"/>
              </w:rPr>
              <w:t>4.</w:t>
            </w:r>
          </w:p>
        </w:tc>
        <w:tc>
          <w:tcPr>
            <w:tcW w:w="9139" w:type="dxa"/>
            <w:gridSpan w:val="4"/>
            <w:shd w:val="clear" w:color="auto" w:fill="auto"/>
          </w:tcPr>
          <w:p w14:paraId="4A77DEF5" w14:textId="2EA891A9" w:rsidR="000661F7" w:rsidRPr="00ED06D8" w:rsidRDefault="000661F7" w:rsidP="0094269B">
            <w:pPr>
              <w:spacing w:before="40" w:after="120"/>
              <w:ind w:right="113"/>
              <w:rPr>
                <w:b/>
                <w:bCs/>
                <w:lang w:val="fr-FR"/>
              </w:rPr>
            </w:pPr>
            <w:r>
              <w:rPr>
                <w:b/>
                <w:bCs/>
                <w:lang w:val="fr-FR"/>
              </w:rPr>
              <w:t>Mesures découlant des décisions relatives à l’adoption de la Stratégie</w:t>
            </w:r>
          </w:p>
        </w:tc>
      </w:tr>
      <w:tr w:rsidR="000661F7" w:rsidRPr="00D466A5" w14:paraId="2E133975" w14:textId="77777777" w:rsidTr="0094269B">
        <w:tc>
          <w:tcPr>
            <w:tcW w:w="500" w:type="dxa"/>
            <w:shd w:val="clear" w:color="auto" w:fill="auto"/>
          </w:tcPr>
          <w:p w14:paraId="73C7E927" w14:textId="77777777" w:rsidR="000661F7" w:rsidRPr="0067484D" w:rsidRDefault="000661F7" w:rsidP="0094269B">
            <w:pPr>
              <w:spacing w:before="40" w:after="120"/>
              <w:ind w:right="113"/>
            </w:pPr>
            <w:r>
              <w:rPr>
                <w:lang w:val="fr-FR"/>
              </w:rPr>
              <w:t>4.1</w:t>
            </w:r>
          </w:p>
        </w:tc>
        <w:tc>
          <w:tcPr>
            <w:tcW w:w="1778" w:type="dxa"/>
            <w:shd w:val="clear" w:color="auto" w:fill="auto"/>
          </w:tcPr>
          <w:p w14:paraId="57486132" w14:textId="77777777" w:rsidR="000661F7" w:rsidRPr="00ED06D8" w:rsidRDefault="000661F7" w:rsidP="0094269B">
            <w:pPr>
              <w:spacing w:before="40" w:after="120"/>
              <w:ind w:right="113"/>
              <w:rPr>
                <w:lang w:val="fr-FR"/>
              </w:rPr>
            </w:pPr>
            <w:r>
              <w:rPr>
                <w:lang w:val="fr-FR"/>
              </w:rPr>
              <w:t>Harmoniser les plans de travail des groupes de travail avec la Stratégie</w:t>
            </w:r>
          </w:p>
        </w:tc>
        <w:tc>
          <w:tcPr>
            <w:tcW w:w="3194" w:type="dxa"/>
            <w:shd w:val="clear" w:color="auto" w:fill="auto"/>
          </w:tcPr>
          <w:p w14:paraId="0EC5A7E3" w14:textId="04D495C2" w:rsidR="000661F7" w:rsidRPr="00ED06D8" w:rsidRDefault="000661F7" w:rsidP="0094269B">
            <w:pPr>
              <w:spacing w:before="40" w:after="120"/>
              <w:ind w:right="113"/>
              <w:rPr>
                <w:lang w:val="fr-FR"/>
              </w:rPr>
            </w:pPr>
            <w:r>
              <w:rPr>
                <w:lang w:val="fr-FR"/>
              </w:rPr>
              <w:t>Le 26 juin 2019, le Président du Comité et le Directeur de la Division des transports durables de la CEE ont envoyé une lettre aux présidents de tous les groupes de travail et comités d’administration pour leur demander d’harmoniser les activités des groupes de travail avec la Stratégie.</w:t>
            </w:r>
            <w:r>
              <w:t xml:space="preserve"> </w:t>
            </w:r>
            <w:r w:rsidRPr="00C33721">
              <w:rPr>
                <w:b/>
                <w:bCs/>
                <w:lang w:val="fr-FR"/>
              </w:rPr>
              <w:t xml:space="preserve">Une lettre similaire signée conjointement par le Président du </w:t>
            </w:r>
            <w:r>
              <w:rPr>
                <w:b/>
                <w:bCs/>
                <w:lang w:val="fr-FR"/>
              </w:rPr>
              <w:t>Comité</w:t>
            </w:r>
            <w:r w:rsidRPr="00C33721">
              <w:rPr>
                <w:b/>
                <w:bCs/>
                <w:lang w:val="fr-FR"/>
              </w:rPr>
              <w:t xml:space="preserve"> et le Directeur de la Division a été envoyée en avril 2022, après l</w:t>
            </w:r>
            <w:r>
              <w:rPr>
                <w:b/>
                <w:bCs/>
                <w:lang w:val="fr-FR"/>
              </w:rPr>
              <w:t>’</w:t>
            </w:r>
            <w:r w:rsidRPr="00C33721">
              <w:rPr>
                <w:b/>
                <w:bCs/>
                <w:lang w:val="fr-FR"/>
              </w:rPr>
              <w:t>approbation du mandat révisé du Comité par le Conseil économique et social et l</w:t>
            </w:r>
            <w:r>
              <w:rPr>
                <w:b/>
                <w:bCs/>
                <w:lang w:val="fr-FR"/>
              </w:rPr>
              <w:t>’</w:t>
            </w:r>
            <w:r w:rsidRPr="00C33721">
              <w:rPr>
                <w:b/>
                <w:bCs/>
                <w:lang w:val="fr-FR"/>
              </w:rPr>
              <w:t xml:space="preserve">entrée en vigueur du Règlement intérieur du Comité le 16 février 2022, pour demander, entre autres, aux groupes de travail concernés </w:t>
            </w:r>
            <w:r>
              <w:rPr>
                <w:b/>
                <w:bCs/>
                <w:lang w:val="fr-FR"/>
              </w:rPr>
              <w:t>d’harmoniser</w:t>
            </w:r>
            <w:r w:rsidRPr="00C33721">
              <w:rPr>
                <w:b/>
                <w:bCs/>
                <w:lang w:val="fr-FR"/>
              </w:rPr>
              <w:t xml:space="preserve"> leur Règlement intérieur </w:t>
            </w:r>
            <w:r>
              <w:rPr>
                <w:b/>
                <w:bCs/>
                <w:lang w:val="fr-FR"/>
              </w:rPr>
              <w:t>avec</w:t>
            </w:r>
            <w:r w:rsidRPr="00C33721">
              <w:rPr>
                <w:b/>
                <w:bCs/>
                <w:lang w:val="fr-FR"/>
              </w:rPr>
              <w:t xml:space="preserve"> celui du </w:t>
            </w:r>
            <w:r>
              <w:rPr>
                <w:b/>
                <w:bCs/>
                <w:lang w:val="fr-FR"/>
              </w:rPr>
              <w:t>Comité</w:t>
            </w:r>
            <w:r w:rsidRPr="00C33721">
              <w:rPr>
                <w:b/>
                <w:bCs/>
                <w:lang w:val="fr-FR"/>
              </w:rPr>
              <w:t>.</w:t>
            </w:r>
          </w:p>
          <w:p w14:paraId="4FC67872" w14:textId="77777777" w:rsidR="000661F7" w:rsidRPr="00ED06D8" w:rsidRDefault="000661F7" w:rsidP="0094269B">
            <w:pPr>
              <w:spacing w:before="40" w:after="120"/>
              <w:ind w:right="113"/>
              <w:rPr>
                <w:lang w:val="fr-FR"/>
              </w:rPr>
            </w:pPr>
            <w:r>
              <w:rPr>
                <w:lang w:val="fr-FR"/>
              </w:rPr>
              <w:t>Le secrétariat a présenté aux groupes de travail des exposés sur la Stratégie.</w:t>
            </w:r>
          </w:p>
          <w:p w14:paraId="0C07841C" w14:textId="50BBA0C3" w:rsidR="000661F7" w:rsidRPr="00ED06D8" w:rsidRDefault="000661F7" w:rsidP="0094269B">
            <w:pPr>
              <w:spacing w:before="40" w:after="120"/>
              <w:ind w:right="113"/>
              <w:rPr>
                <w:lang w:val="fr-FR"/>
              </w:rPr>
            </w:pPr>
            <w:r>
              <w:rPr>
                <w:lang w:val="fr-FR"/>
              </w:rPr>
              <w:t>Il a été demandé aux groupes de travail et aux comités d’administration de soumettre leurs propositions d’harmonisation au plus tard à la mi</w:t>
            </w:r>
            <w:r>
              <w:rPr>
                <w:lang w:val="fr-FR"/>
              </w:rPr>
              <w:noBreakHyphen/>
              <w:t xml:space="preserve">2020. </w:t>
            </w:r>
          </w:p>
          <w:p w14:paraId="1763DFB8" w14:textId="6BECCCA6" w:rsidR="000661F7" w:rsidRPr="00ED06D8" w:rsidRDefault="000661F7" w:rsidP="0094269B">
            <w:pPr>
              <w:spacing w:before="40" w:after="120"/>
              <w:ind w:right="113"/>
              <w:rPr>
                <w:lang w:val="fr-FR"/>
              </w:rPr>
            </w:pPr>
            <w:bookmarkStart w:id="1" w:name="_Hlk42097977"/>
            <w:r>
              <w:rPr>
                <w:lang w:val="fr-FR"/>
              </w:rPr>
              <w:t>- WP.1 : Le WP.1 a examiné la concordance de ses activités avec la Stratégie du Comité. À l’issue de cet examen, il a adopté le document informel n</w:t>
            </w:r>
            <w:r>
              <w:rPr>
                <w:vertAlign w:val="superscript"/>
                <w:lang w:val="fr-FR"/>
              </w:rPr>
              <w:t>o</w:t>
            </w:r>
            <w:r>
              <w:rPr>
                <w:lang w:val="fr-FR"/>
              </w:rPr>
              <w:t xml:space="preserve"> 4 (mars 2020), dans lequel </w:t>
            </w:r>
            <w:r>
              <w:rPr>
                <w:lang w:val="fr-FR"/>
              </w:rPr>
              <w:lastRenderedPageBreak/>
              <w:t xml:space="preserve">figure le plan d’harmonisation de ses activités avec la Stratégie. </w:t>
            </w:r>
            <w:bookmarkEnd w:id="1"/>
          </w:p>
          <w:p w14:paraId="6D8A5C80" w14:textId="0BB57F91" w:rsidR="000661F7" w:rsidRPr="00ED06D8" w:rsidRDefault="000661F7" w:rsidP="0094269B">
            <w:pPr>
              <w:spacing w:before="40" w:after="120"/>
              <w:ind w:right="113"/>
              <w:rPr>
                <w:lang w:val="fr-FR"/>
              </w:rPr>
            </w:pPr>
            <w:r>
              <w:rPr>
                <w:lang w:val="fr-FR"/>
              </w:rPr>
              <w:t xml:space="preserve">- WP.5 : Le Comité a été informé à sa quatre-vingt-deuxième session (ECE/TRANS/294, par. 47) que le WP.5 avait harmonisé son programme de travail avec la Stratégie. </w:t>
            </w:r>
            <w:r w:rsidRPr="00445181">
              <w:rPr>
                <w:rFonts w:eastAsia="Times New Roman"/>
                <w:lang w:val="fr-FR" w:eastAsia="fr-FR"/>
              </w:rPr>
              <w:t xml:space="preserve">Le </w:t>
            </w:r>
            <w:r>
              <w:rPr>
                <w:rFonts w:eastAsia="Times New Roman"/>
                <w:lang w:val="fr-FR" w:eastAsia="fr-FR"/>
              </w:rPr>
              <w:t>Comité</w:t>
            </w:r>
            <w:r w:rsidRPr="00445181">
              <w:rPr>
                <w:rFonts w:eastAsia="Times New Roman"/>
                <w:lang w:val="fr-FR" w:eastAsia="fr-FR"/>
              </w:rPr>
              <w:t xml:space="preserve"> a décidé à sa quatre-vingt-troisième session, de charger le WP.5 d</w:t>
            </w:r>
            <w:r>
              <w:rPr>
                <w:rFonts w:eastAsia="Times New Roman"/>
                <w:lang w:val="fr-FR" w:eastAsia="fr-FR"/>
              </w:rPr>
              <w:t>’</w:t>
            </w:r>
            <w:r w:rsidRPr="00445181">
              <w:rPr>
                <w:rFonts w:eastAsia="Times New Roman"/>
                <w:lang w:val="fr-FR" w:eastAsia="fr-FR"/>
              </w:rPr>
              <w:t>examiner les questions relatives au transport intermodal de passagers au sein des villes et au</w:t>
            </w:r>
            <w:r w:rsidRPr="00445181">
              <w:rPr>
                <w:rFonts w:eastAsia="Times New Roman"/>
                <w:lang w:val="fr-FR" w:eastAsia="fr-FR"/>
              </w:rPr>
              <w:noBreakHyphen/>
              <w:t>delà.</w:t>
            </w:r>
          </w:p>
          <w:p w14:paraId="700B7F5A" w14:textId="43DF99C1" w:rsidR="000661F7" w:rsidRPr="00ED06D8" w:rsidRDefault="000661F7" w:rsidP="0094269B">
            <w:pPr>
              <w:spacing w:before="40" w:after="120"/>
              <w:ind w:right="113"/>
              <w:rPr>
                <w:lang w:val="fr-FR"/>
              </w:rPr>
            </w:pPr>
            <w:r>
              <w:rPr>
                <w:lang w:val="fr-FR"/>
              </w:rPr>
              <w:t xml:space="preserve">- WP.6 : Pour l’essentiel, le plan de travail du WP.6 est déjà en phase avec la Stratégie, puisqu’il vise à améliorer la collecte, la validation et la diffusion des données afin de produire des statistiques précises, qui permettent de fonder sur des données factuelles la prise de décisions dans le domaine des transports. En outre, le WP.6 contribue à la réalisation de tous les ODD, en particulier des cibles 3.6, 9.1 et 11.2, en produisant des données précises et comparables sur les cibles en lien avec ses activités, de sorte que les progrès accomplis puissent être mesurés. </w:t>
            </w:r>
            <w:r w:rsidRPr="00443566">
              <w:rPr>
                <w:rFonts w:eastAsia="Times New Roman"/>
                <w:lang w:val="fr-FR" w:eastAsia="fr-FR"/>
              </w:rPr>
              <w:t xml:space="preserve">Le WP.6 a </w:t>
            </w:r>
            <w:r>
              <w:rPr>
                <w:rFonts w:eastAsia="Times New Roman"/>
                <w:lang w:val="fr-FR" w:eastAsia="fr-FR"/>
              </w:rPr>
              <w:t>proposé</w:t>
            </w:r>
            <w:r w:rsidRPr="00445181">
              <w:rPr>
                <w:rFonts w:eastAsia="Times New Roman"/>
                <w:lang w:val="fr-FR" w:eastAsia="fr-FR"/>
              </w:rPr>
              <w:t xml:space="preserve"> en 2021 un mandat révisé qui fait explicitement concorder ses activités avec la Stratégie (</w:t>
            </w:r>
            <w:r w:rsidRPr="007831D2">
              <w:rPr>
                <w:rFonts w:eastAsia="Times New Roman"/>
                <w:b/>
                <w:bCs/>
                <w:lang w:val="fr-FR" w:eastAsia="fr-FR"/>
              </w:rPr>
              <w:t>document</w:t>
            </w:r>
            <w:r w:rsidRPr="007831D2">
              <w:rPr>
                <w:rFonts w:eastAsia="Times New Roman"/>
                <w:lang w:val="fr-FR" w:eastAsia="fr-FR"/>
              </w:rPr>
              <w:t xml:space="preserve"> ECE/TRANS/WP.6/2021/3</w:t>
            </w:r>
            <w:r w:rsidRPr="00445181">
              <w:rPr>
                <w:rFonts w:eastAsia="Times New Roman"/>
                <w:lang w:val="fr-FR" w:eastAsia="fr-FR"/>
              </w:rPr>
              <w:t>) (</w:t>
            </w:r>
            <w:r w:rsidR="007831D2" w:rsidRPr="007831D2">
              <w:rPr>
                <w:rFonts w:eastAsia="Times New Roman"/>
                <w:strike/>
                <w:lang w:val="fr-FR" w:eastAsia="fr-FR"/>
              </w:rPr>
              <w:t xml:space="preserve">soumis à l’approbation du </w:t>
            </w:r>
            <w:proofErr w:type="spellStart"/>
            <w:r w:rsidR="007831D2">
              <w:rPr>
                <w:rFonts w:eastAsia="Times New Roman"/>
                <w:strike/>
                <w:lang w:val="fr-FR" w:eastAsia="fr-FR"/>
              </w:rPr>
              <w:t>C</w:t>
            </w:r>
            <w:r w:rsidR="007831D2" w:rsidRPr="007831D2">
              <w:rPr>
                <w:rFonts w:eastAsia="Times New Roman"/>
                <w:strike/>
                <w:lang w:val="fr-FR" w:eastAsia="fr-FR"/>
              </w:rPr>
              <w:t>omité</w:t>
            </w:r>
            <w:r w:rsidRPr="00445181">
              <w:rPr>
                <w:rFonts w:eastAsia="Times New Roman"/>
                <w:b/>
                <w:bCs/>
                <w:lang w:val="fr-FR" w:eastAsia="fr-FR"/>
              </w:rPr>
              <w:t>adopté</w:t>
            </w:r>
            <w:proofErr w:type="spellEnd"/>
            <w:r w:rsidRPr="00445181">
              <w:rPr>
                <w:rFonts w:eastAsia="Times New Roman"/>
                <w:b/>
                <w:bCs/>
                <w:lang w:val="fr-FR" w:eastAsia="fr-FR"/>
              </w:rPr>
              <w:t xml:space="preserve"> par </w:t>
            </w:r>
            <w:r w:rsidRPr="00302E0A">
              <w:rPr>
                <w:rFonts w:eastAsia="Times New Roman"/>
                <w:b/>
                <w:bCs/>
                <w:lang w:val="fr-FR" w:eastAsia="fr-FR"/>
              </w:rPr>
              <w:t xml:space="preserve">le </w:t>
            </w:r>
            <w:r>
              <w:rPr>
                <w:rFonts w:eastAsia="Times New Roman"/>
                <w:b/>
                <w:bCs/>
                <w:lang w:val="fr-FR" w:eastAsia="fr-FR"/>
              </w:rPr>
              <w:t>Comité</w:t>
            </w:r>
            <w:r w:rsidRPr="00302E0A">
              <w:rPr>
                <w:rFonts w:eastAsia="Times New Roman"/>
                <w:b/>
                <w:bCs/>
                <w:lang w:val="fr-FR" w:eastAsia="fr-FR"/>
              </w:rPr>
              <w:t xml:space="preserve"> </w:t>
            </w:r>
            <w:r w:rsidRPr="004A4CCE">
              <w:rPr>
                <w:rFonts w:eastAsia="Times New Roman"/>
                <w:b/>
                <w:bCs/>
                <w:lang w:val="fr-FR" w:eastAsia="fr-FR"/>
              </w:rPr>
              <w:t>en février 2022</w:t>
            </w:r>
            <w:r w:rsidRPr="004A4CCE">
              <w:rPr>
                <w:rFonts w:eastAsia="Times New Roman"/>
                <w:lang w:val="fr-FR" w:eastAsia="fr-FR"/>
              </w:rPr>
              <w:t>),</w:t>
            </w:r>
            <w:r>
              <w:rPr>
                <w:rFonts w:eastAsia="Times New Roman"/>
                <w:lang w:val="fr-FR" w:eastAsia="fr-FR"/>
              </w:rPr>
              <w:t xml:space="preserve"> et </w:t>
            </w:r>
            <w:r w:rsidRPr="004A4CCE">
              <w:rPr>
                <w:rFonts w:eastAsia="Times New Roman"/>
                <w:lang w:val="fr-FR" w:eastAsia="fr-FR"/>
              </w:rPr>
              <w:t>intégré la Stratégie dans son programme de travail (ECE/TRANS/WP.6/2021/6).</w:t>
            </w:r>
          </w:p>
          <w:p w14:paraId="04218C6C" w14:textId="086E20CF" w:rsidR="000661F7" w:rsidRPr="00ED06D8" w:rsidRDefault="000661F7" w:rsidP="0094269B">
            <w:pPr>
              <w:spacing w:before="40" w:after="120"/>
              <w:ind w:right="113"/>
              <w:rPr>
                <w:lang w:val="fr-FR"/>
              </w:rPr>
            </w:pPr>
            <w:r w:rsidRPr="00BD5E4B">
              <w:rPr>
                <w:lang w:val="fr-FR"/>
              </w:rPr>
              <w:t>- WP.11</w:t>
            </w:r>
            <w:r>
              <w:rPr>
                <w:lang w:val="fr-FR"/>
              </w:rPr>
              <w:t> : Le WP.11 a examiné la Stratégie du Comité à l’horizon 2030 à sa soixante-seizième session (ECE/TRANS/WP.11/243, par.</w:t>
            </w:r>
            <w:r w:rsidR="00675BA2">
              <w:rPr>
                <w:lang w:val="fr-FR"/>
              </w:rPr>
              <w:t> </w:t>
            </w:r>
            <w:r>
              <w:rPr>
                <w:lang w:val="fr-FR"/>
              </w:rPr>
              <w:t xml:space="preserve">8 à 18), approuvé les projets de recommandations du Comité et estimé que ses travaux étaient déjà pleinement conformes à la Stratégie. </w:t>
            </w:r>
            <w:r w:rsidRPr="00D46839">
              <w:rPr>
                <w:rFonts w:eastAsia="Times New Roman"/>
                <w:lang w:val="fr-FR" w:eastAsia="fr-FR"/>
              </w:rPr>
              <w:t>À sa soixante-dix-septième session, le WP.11 a pris note de</w:t>
            </w:r>
            <w:r>
              <w:rPr>
                <w:rFonts w:eastAsia="Times New Roman"/>
                <w:lang w:val="fr-FR" w:eastAsia="fr-FR"/>
              </w:rPr>
              <w:t xml:space="preserve"> l’action menée par le</w:t>
            </w:r>
            <w:r w:rsidRPr="00D46839">
              <w:rPr>
                <w:rFonts w:eastAsia="Times New Roman"/>
                <w:lang w:val="fr-FR" w:eastAsia="fr-FR"/>
              </w:rPr>
              <w:t xml:space="preserve"> </w:t>
            </w:r>
            <w:r>
              <w:rPr>
                <w:rFonts w:eastAsia="Times New Roman"/>
                <w:lang w:val="fr-FR" w:eastAsia="fr-FR"/>
              </w:rPr>
              <w:t>Comité</w:t>
            </w:r>
            <w:r w:rsidRPr="00D46839">
              <w:rPr>
                <w:rFonts w:eastAsia="Times New Roman"/>
                <w:lang w:val="fr-FR" w:eastAsia="fr-FR"/>
              </w:rPr>
              <w:t xml:space="preserve"> </w:t>
            </w:r>
            <w:r>
              <w:rPr>
                <w:rFonts w:eastAsia="Times New Roman"/>
                <w:lang w:val="fr-FR" w:eastAsia="fr-FR"/>
              </w:rPr>
              <w:t xml:space="preserve">pour appliquer </w:t>
            </w:r>
            <w:r w:rsidRPr="004B0CED">
              <w:rPr>
                <w:rFonts w:eastAsia="Times New Roman"/>
                <w:lang w:val="fr-FR" w:eastAsia="fr-FR"/>
              </w:rPr>
              <w:t xml:space="preserve">la Stratégie </w:t>
            </w:r>
            <w:r w:rsidRPr="00D46839">
              <w:rPr>
                <w:rFonts w:eastAsia="Times New Roman"/>
                <w:lang w:val="fr-FR" w:eastAsia="fr-FR"/>
              </w:rPr>
              <w:t>à l</w:t>
            </w:r>
            <w:r>
              <w:rPr>
                <w:rFonts w:eastAsia="Times New Roman"/>
                <w:lang w:val="fr-FR" w:eastAsia="fr-FR"/>
              </w:rPr>
              <w:t>’</w:t>
            </w:r>
            <w:r w:rsidRPr="00D46839">
              <w:rPr>
                <w:rFonts w:eastAsia="Times New Roman"/>
                <w:lang w:val="fr-FR" w:eastAsia="fr-FR"/>
              </w:rPr>
              <w:t xml:space="preserve">horizon 2030 et des mesures requises dans le cadre de cette </w:t>
            </w:r>
            <w:r>
              <w:rPr>
                <w:rFonts w:eastAsia="Times New Roman"/>
                <w:lang w:val="fr-FR" w:eastAsia="fr-FR"/>
              </w:rPr>
              <w:t>action</w:t>
            </w:r>
            <w:r w:rsidRPr="00D46839">
              <w:rPr>
                <w:rFonts w:eastAsia="Times New Roman"/>
                <w:lang w:val="fr-FR" w:eastAsia="fr-FR"/>
              </w:rPr>
              <w:t xml:space="preserve">, </w:t>
            </w:r>
            <w:r>
              <w:rPr>
                <w:rFonts w:eastAsia="Times New Roman"/>
                <w:lang w:val="fr-FR" w:eastAsia="fr-FR"/>
              </w:rPr>
              <w:t xml:space="preserve">tels que </w:t>
            </w:r>
            <w:r w:rsidRPr="00D46839">
              <w:rPr>
                <w:rFonts w:eastAsia="Times New Roman"/>
                <w:lang w:val="fr-FR" w:eastAsia="fr-FR"/>
              </w:rPr>
              <w:t>présentés dans le document ECE/TRANS/2021/3, conformément aux débats tenus à sa soixante-seizième session.</w:t>
            </w:r>
            <w:r w:rsidRPr="00302E0A">
              <w:rPr>
                <w:rFonts w:eastAsia="Times New Roman"/>
                <w:lang w:val="fr-FR" w:eastAsia="fr-FR"/>
              </w:rPr>
              <w:t xml:space="preserve"> </w:t>
            </w:r>
            <w:r w:rsidRPr="00462042">
              <w:rPr>
                <w:rFonts w:eastAsia="Times New Roman"/>
                <w:b/>
                <w:bCs/>
                <w:lang w:val="fr-FR" w:eastAsia="fr-FR"/>
              </w:rPr>
              <w:t>Les</w:t>
            </w:r>
            <w:r w:rsidR="00675BA2">
              <w:rPr>
                <w:rFonts w:eastAsia="Times New Roman"/>
                <w:b/>
                <w:bCs/>
                <w:lang w:val="fr-FR" w:eastAsia="fr-FR"/>
              </w:rPr>
              <w:t> </w:t>
            </w:r>
            <w:r w:rsidRPr="00462042">
              <w:rPr>
                <w:rFonts w:eastAsia="Times New Roman"/>
                <w:b/>
                <w:bCs/>
                <w:lang w:val="fr-FR" w:eastAsia="fr-FR"/>
              </w:rPr>
              <w:t xml:space="preserve">délégations </w:t>
            </w:r>
            <w:r>
              <w:rPr>
                <w:rFonts w:eastAsia="Times New Roman"/>
                <w:b/>
                <w:bCs/>
                <w:lang w:val="fr-FR" w:eastAsia="fr-FR"/>
              </w:rPr>
              <w:t xml:space="preserve">n’ont pas </w:t>
            </w:r>
            <w:r>
              <w:rPr>
                <w:rFonts w:eastAsia="Times New Roman"/>
                <w:b/>
                <w:bCs/>
                <w:lang w:val="fr-FR" w:eastAsia="fr-FR"/>
              </w:rPr>
              <w:lastRenderedPageBreak/>
              <w:t xml:space="preserve">communiqué d’observations jusqu’à présent. </w:t>
            </w:r>
          </w:p>
          <w:p w14:paraId="1614ADEE" w14:textId="5F6E4440" w:rsidR="000661F7" w:rsidRPr="00ED06D8" w:rsidRDefault="000661F7" w:rsidP="0094269B">
            <w:pPr>
              <w:spacing w:before="40" w:after="120"/>
              <w:ind w:right="113"/>
              <w:rPr>
                <w:lang w:val="fr-FR"/>
              </w:rPr>
            </w:pPr>
            <w:r w:rsidRPr="00D66798">
              <w:rPr>
                <w:lang w:val="fr-FR"/>
              </w:rPr>
              <w:t>- WP.15</w:t>
            </w:r>
            <w:r>
              <w:rPr>
                <w:lang w:val="fr-FR"/>
              </w:rPr>
              <w:t> :</w:t>
            </w:r>
            <w:r w:rsidRPr="00D66798">
              <w:rPr>
                <w:lang w:val="fr-FR"/>
              </w:rPr>
              <w:t xml:space="preserve"> Le WP.15 a examiné la </w:t>
            </w:r>
            <w:r>
              <w:rPr>
                <w:lang w:val="fr-FR"/>
              </w:rPr>
              <w:t>Stratégie</w:t>
            </w:r>
            <w:r w:rsidRPr="00D66798">
              <w:rPr>
                <w:lang w:val="fr-FR"/>
              </w:rPr>
              <w:t xml:space="preserve"> du </w:t>
            </w:r>
            <w:r>
              <w:rPr>
                <w:lang w:val="fr-FR"/>
              </w:rPr>
              <w:t>Comité</w:t>
            </w:r>
            <w:r w:rsidRPr="00D66798">
              <w:rPr>
                <w:lang w:val="fr-FR"/>
              </w:rPr>
              <w:t xml:space="preserve"> à l</w:t>
            </w:r>
            <w:r>
              <w:rPr>
                <w:lang w:val="fr-FR"/>
              </w:rPr>
              <w:t>’</w:t>
            </w:r>
            <w:r w:rsidRPr="00D66798">
              <w:rPr>
                <w:lang w:val="fr-FR"/>
              </w:rPr>
              <w:t>horizon 203</w:t>
            </w:r>
            <w:r>
              <w:rPr>
                <w:lang w:val="fr-FR"/>
              </w:rPr>
              <w:t>0 à sa 107</w:t>
            </w:r>
            <w:r>
              <w:rPr>
                <w:vertAlign w:val="superscript"/>
                <w:lang w:val="fr-FR"/>
              </w:rPr>
              <w:t>e</w:t>
            </w:r>
            <w:r>
              <w:rPr>
                <w:lang w:val="fr-FR"/>
              </w:rPr>
              <w:t xml:space="preserve"> session (ECE/TRANS/WP.15/248, par.</w:t>
            </w:r>
            <w:r w:rsidR="00675BA2">
              <w:rPr>
                <w:lang w:val="fr-FR"/>
              </w:rPr>
              <w:t> </w:t>
            </w:r>
            <w:r>
              <w:rPr>
                <w:lang w:val="fr-FR"/>
              </w:rPr>
              <w:t xml:space="preserve">9 à 15), approuvé les projets de recommandations du Comité et estimé que ses travaux étaient déjà pleinement conformes à la Stratégie. Étant donné que le programme de travail du WP.15 englobe ceux du WP.15/AC.1 et du WP.15/AC.2, l’harmonisation des travaux du WP.15 avec la Stratégie du Comité vaut aussi pour les activités de l’AC.1 et de l’AC.2. </w:t>
            </w:r>
            <w:r w:rsidRPr="004A4CCE">
              <w:rPr>
                <w:rFonts w:eastAsia="Times New Roman"/>
                <w:lang w:val="fr-FR" w:eastAsia="fr-FR"/>
              </w:rPr>
              <w:t>À sa 109</w:t>
            </w:r>
            <w:r w:rsidRPr="004A4CCE">
              <w:rPr>
                <w:rFonts w:eastAsia="Times New Roman"/>
                <w:vertAlign w:val="superscript"/>
                <w:lang w:val="fr-FR" w:eastAsia="fr-FR"/>
              </w:rPr>
              <w:t>e</w:t>
            </w:r>
            <w:r w:rsidR="00675BA2">
              <w:rPr>
                <w:rFonts w:eastAsia="Times New Roman"/>
                <w:lang w:val="fr-FR" w:eastAsia="fr-FR"/>
              </w:rPr>
              <w:t> </w:t>
            </w:r>
            <w:r w:rsidRPr="004A4CCE">
              <w:rPr>
                <w:rFonts w:eastAsia="Times New Roman"/>
                <w:lang w:val="fr-FR" w:eastAsia="fr-FR"/>
              </w:rPr>
              <w:t xml:space="preserve">session (mai 2021), le WP.15 a noté avec intérêt les travaux relatifs à </w:t>
            </w:r>
            <w:r>
              <w:rPr>
                <w:rFonts w:eastAsia="Times New Roman"/>
                <w:lang w:val="fr-FR" w:eastAsia="fr-FR"/>
              </w:rPr>
              <w:t>l’application</w:t>
            </w:r>
            <w:r w:rsidRPr="004A4CCE">
              <w:rPr>
                <w:rFonts w:eastAsia="Times New Roman"/>
                <w:lang w:val="fr-FR" w:eastAsia="fr-FR"/>
              </w:rPr>
              <w:t xml:space="preserve"> de la Stratégie du Comité à l</w:t>
            </w:r>
            <w:r>
              <w:rPr>
                <w:rFonts w:eastAsia="Times New Roman"/>
                <w:lang w:val="fr-FR" w:eastAsia="fr-FR"/>
              </w:rPr>
              <w:t>’</w:t>
            </w:r>
            <w:r w:rsidRPr="004A4CCE">
              <w:rPr>
                <w:rFonts w:eastAsia="Times New Roman"/>
                <w:lang w:val="fr-FR" w:eastAsia="fr-FR"/>
              </w:rPr>
              <w:t>horizon 2030 et les actions requises listées dans le document ECE/TRANS/2021/3.</w:t>
            </w:r>
            <w:r w:rsidRPr="00FB08E5">
              <w:rPr>
                <w:rFonts w:eastAsia="Times New Roman"/>
                <w:lang w:val="fr-FR" w:eastAsia="fr-FR"/>
              </w:rPr>
              <w:t xml:space="preserve"> </w:t>
            </w:r>
            <w:r w:rsidRPr="004A4CCE">
              <w:rPr>
                <w:rFonts w:eastAsia="Times New Roman"/>
                <w:lang w:val="fr-FR" w:eastAsia="fr-FR"/>
              </w:rPr>
              <w:t>Les délégations ont été invitées à envoyer au Président, si elles le souhaitaient, leurs observations et propositions d</w:t>
            </w:r>
            <w:r>
              <w:rPr>
                <w:rFonts w:eastAsia="Times New Roman"/>
                <w:lang w:val="fr-FR" w:eastAsia="fr-FR"/>
              </w:rPr>
              <w:t>’</w:t>
            </w:r>
            <w:r w:rsidRPr="004A4CCE">
              <w:rPr>
                <w:rFonts w:eastAsia="Times New Roman"/>
                <w:lang w:val="fr-FR" w:eastAsia="fr-FR"/>
              </w:rPr>
              <w:t>ajouts et de modifications au tableau « État d</w:t>
            </w:r>
            <w:r>
              <w:rPr>
                <w:rFonts w:eastAsia="Times New Roman"/>
                <w:lang w:val="fr-FR" w:eastAsia="fr-FR"/>
              </w:rPr>
              <w:t>’</w:t>
            </w:r>
            <w:r w:rsidRPr="004A4CCE">
              <w:rPr>
                <w:rFonts w:eastAsia="Times New Roman"/>
                <w:lang w:val="fr-FR" w:eastAsia="fr-FR"/>
              </w:rPr>
              <w:t>avancement et prochaines étapes ».</w:t>
            </w:r>
            <w:r w:rsidRPr="00FB08E5">
              <w:rPr>
                <w:rFonts w:eastAsia="Times New Roman"/>
                <w:lang w:val="fr-FR" w:eastAsia="fr-FR"/>
              </w:rPr>
              <w:t xml:space="preserve"> </w:t>
            </w:r>
            <w:r w:rsidRPr="004A4CCE">
              <w:rPr>
                <w:rFonts w:eastAsia="Times New Roman"/>
                <w:lang w:val="fr-FR" w:eastAsia="fr-FR"/>
              </w:rPr>
              <w:t>Aucune observation n</w:t>
            </w:r>
            <w:r>
              <w:rPr>
                <w:rFonts w:eastAsia="Times New Roman"/>
                <w:lang w:val="fr-FR" w:eastAsia="fr-FR"/>
              </w:rPr>
              <w:t>’</w:t>
            </w:r>
            <w:r w:rsidRPr="004A4CCE">
              <w:rPr>
                <w:rFonts w:eastAsia="Times New Roman"/>
                <w:lang w:val="fr-FR" w:eastAsia="fr-FR"/>
              </w:rPr>
              <w:t>a été reçue dans le délai imparti.</w:t>
            </w:r>
          </w:p>
          <w:p w14:paraId="32613AC2" w14:textId="15DD669A" w:rsidR="000661F7" w:rsidRPr="00ED06D8" w:rsidRDefault="000661F7" w:rsidP="0094269B">
            <w:pPr>
              <w:spacing w:before="40" w:after="120"/>
              <w:ind w:right="113"/>
              <w:rPr>
                <w:lang w:val="fr-FR"/>
              </w:rPr>
            </w:pPr>
            <w:bookmarkStart w:id="2" w:name="_Hlk55374973"/>
            <w:r>
              <w:rPr>
                <w:lang w:val="fr-FR"/>
              </w:rPr>
              <w:t xml:space="preserve">- </w:t>
            </w:r>
            <w:r w:rsidRPr="00BD5E4B">
              <w:rPr>
                <w:lang w:val="fr-FR"/>
              </w:rPr>
              <w:t>WP.</w:t>
            </w:r>
            <w:r>
              <w:rPr>
                <w:lang w:val="fr-FR"/>
              </w:rPr>
              <w:t xml:space="preserve">24 : Le WP.24 a approuvé un programme de travail harmonisé avec la Stratégie. Il s’emploie à favoriser la connectivité intermodale des transports de marchandises et la mobilité dans ce domaine. Il a confirmé que ses travaux ne portaient pas sur la mobilité intermodale des passagers. </w:t>
            </w:r>
            <w:r w:rsidRPr="004A4CCE">
              <w:rPr>
                <w:rFonts w:eastAsia="Times New Roman"/>
                <w:lang w:val="fr-FR" w:eastAsia="fr-FR"/>
              </w:rPr>
              <w:t>Le WP.24 a révisé son mandat à sa soixante-quatrième session (octobre 2021)</w:t>
            </w:r>
            <w:r>
              <w:rPr>
                <w:rFonts w:eastAsia="Times New Roman"/>
                <w:lang w:val="fr-FR" w:eastAsia="fr-FR"/>
              </w:rPr>
              <w:t>.</w:t>
            </w:r>
            <w:r w:rsidRPr="00CA67B5">
              <w:rPr>
                <w:rFonts w:eastAsia="Times New Roman"/>
                <w:b/>
                <w:bCs/>
                <w:lang w:val="fr-FR" w:eastAsia="fr-FR"/>
              </w:rPr>
              <w:t xml:space="preserve"> </w:t>
            </w:r>
            <w:r w:rsidRPr="00FB08E5">
              <w:rPr>
                <w:rFonts w:eastAsia="Times New Roman"/>
                <w:b/>
                <w:bCs/>
                <w:lang w:val="fr-FR" w:eastAsia="fr-FR"/>
              </w:rPr>
              <w:t>Le Comité a adopté ce mandat à sa quatre</w:t>
            </w:r>
            <w:r w:rsidR="00675BA2">
              <w:rPr>
                <w:rFonts w:eastAsia="Times New Roman"/>
                <w:b/>
                <w:bCs/>
                <w:lang w:val="fr-FR" w:eastAsia="fr-FR"/>
              </w:rPr>
              <w:noBreakHyphen/>
            </w:r>
            <w:r w:rsidRPr="00FB08E5">
              <w:rPr>
                <w:rFonts w:eastAsia="Times New Roman"/>
                <w:b/>
                <w:bCs/>
                <w:lang w:val="fr-FR" w:eastAsia="fr-FR"/>
              </w:rPr>
              <w:t>vingt</w:t>
            </w:r>
            <w:r w:rsidR="00675BA2">
              <w:rPr>
                <w:rFonts w:eastAsia="Times New Roman"/>
                <w:b/>
                <w:bCs/>
                <w:lang w:val="fr-FR" w:eastAsia="fr-FR"/>
              </w:rPr>
              <w:noBreakHyphen/>
            </w:r>
            <w:r w:rsidRPr="00FB08E5">
              <w:rPr>
                <w:rFonts w:eastAsia="Times New Roman"/>
                <w:b/>
                <w:bCs/>
                <w:lang w:val="fr-FR" w:eastAsia="fr-FR"/>
              </w:rPr>
              <w:t xml:space="preserve">quatrième session (février 2022). </w:t>
            </w:r>
            <w:r w:rsidRPr="00D46839">
              <w:rPr>
                <w:rFonts w:eastAsia="Times New Roman"/>
                <w:lang w:val="fr-FR" w:eastAsia="fr-FR"/>
              </w:rPr>
              <w:t xml:space="preserve">Le mandat révisé fait directement référence </w:t>
            </w:r>
            <w:r>
              <w:rPr>
                <w:rFonts w:eastAsia="Times New Roman"/>
                <w:lang w:val="fr-FR" w:eastAsia="fr-FR"/>
              </w:rPr>
              <w:t>à la contribution</w:t>
            </w:r>
            <w:r w:rsidRPr="00D46839">
              <w:rPr>
                <w:rFonts w:eastAsia="Times New Roman"/>
                <w:lang w:val="fr-FR" w:eastAsia="fr-FR"/>
              </w:rPr>
              <w:t xml:space="preserve"> du WP.24 à </w:t>
            </w:r>
            <w:r>
              <w:rPr>
                <w:rFonts w:eastAsia="Times New Roman"/>
                <w:lang w:val="fr-FR" w:eastAsia="fr-FR"/>
              </w:rPr>
              <w:t>l’application</w:t>
            </w:r>
            <w:r w:rsidRPr="00D46839">
              <w:rPr>
                <w:rFonts w:eastAsia="Times New Roman"/>
                <w:lang w:val="fr-FR" w:eastAsia="fr-FR"/>
              </w:rPr>
              <w:t xml:space="preserve"> de la Stratégie du </w:t>
            </w:r>
            <w:r>
              <w:rPr>
                <w:rFonts w:eastAsia="Times New Roman"/>
                <w:lang w:val="fr-FR" w:eastAsia="fr-FR"/>
              </w:rPr>
              <w:t>Comité</w:t>
            </w:r>
            <w:r w:rsidRPr="00D46839">
              <w:rPr>
                <w:rFonts w:eastAsia="Times New Roman"/>
                <w:lang w:val="fr-FR" w:eastAsia="fr-FR"/>
              </w:rPr>
              <w:t xml:space="preserve"> et aux tâches pertinentes pour le WP.24 qu</w:t>
            </w:r>
            <w:r>
              <w:rPr>
                <w:rFonts w:eastAsia="Times New Roman"/>
                <w:lang w:val="fr-FR" w:eastAsia="fr-FR"/>
              </w:rPr>
              <w:t>’</w:t>
            </w:r>
            <w:r w:rsidRPr="00D46839">
              <w:rPr>
                <w:rFonts w:eastAsia="Times New Roman"/>
                <w:lang w:val="fr-FR" w:eastAsia="fr-FR"/>
              </w:rPr>
              <w:t>elle contient.</w:t>
            </w:r>
          </w:p>
          <w:bookmarkEnd w:id="2"/>
          <w:p w14:paraId="57180043" w14:textId="77777777" w:rsidR="000661F7" w:rsidRPr="00ED06D8" w:rsidRDefault="000661F7" w:rsidP="0094269B">
            <w:pPr>
              <w:spacing w:before="40" w:after="120"/>
              <w:ind w:right="113"/>
              <w:rPr>
                <w:lang w:val="fr-FR"/>
              </w:rPr>
            </w:pPr>
            <w:r>
              <w:rPr>
                <w:lang w:val="fr-FR"/>
              </w:rPr>
              <w:t xml:space="preserve">- </w:t>
            </w:r>
            <w:r w:rsidRPr="00BD5E4B">
              <w:rPr>
                <w:lang w:val="fr-FR"/>
              </w:rPr>
              <w:t>WP.</w:t>
            </w:r>
            <w:r>
              <w:rPr>
                <w:lang w:val="fr-FR"/>
              </w:rPr>
              <w:t xml:space="preserve">29 : Le WP.29 a approuvé un programme de travail harmonisé avec la Stratégie et est en train de hiérarchiser les activités de ses six </w:t>
            </w:r>
            <w:r>
              <w:rPr>
                <w:lang w:val="fr-FR"/>
              </w:rPr>
              <w:lastRenderedPageBreak/>
              <w:t xml:space="preserve">groupes de travail subsidiaires par ordre de priorité </w:t>
            </w:r>
            <w:r w:rsidRPr="00D46839">
              <w:rPr>
                <w:b/>
                <w:bCs/>
                <w:lang w:val="fr-FR"/>
              </w:rPr>
              <w:t>(ECE/TRANS/WP.29/2022/1 et Rev.1).</w:t>
            </w:r>
          </w:p>
          <w:p w14:paraId="4ECEF7BC" w14:textId="2AB99C26" w:rsidR="000661F7" w:rsidRPr="00C33721" w:rsidRDefault="000661F7" w:rsidP="0094269B">
            <w:pPr>
              <w:spacing w:before="40" w:after="120"/>
              <w:ind w:right="113"/>
              <w:rPr>
                <w:b/>
                <w:bCs/>
                <w:lang w:val="fr-FR"/>
              </w:rPr>
            </w:pPr>
            <w:r>
              <w:rPr>
                <w:lang w:val="fr-FR"/>
              </w:rPr>
              <w:t xml:space="preserve">- </w:t>
            </w:r>
            <w:r w:rsidRPr="00BD5E4B">
              <w:rPr>
                <w:lang w:val="fr-FR"/>
              </w:rPr>
              <w:t>WP.</w:t>
            </w:r>
            <w:r>
              <w:rPr>
                <w:lang w:val="fr-FR"/>
              </w:rPr>
              <w:t>30 : À sa 153</w:t>
            </w:r>
            <w:r>
              <w:rPr>
                <w:vertAlign w:val="superscript"/>
                <w:lang w:val="fr-FR"/>
              </w:rPr>
              <w:t>e</w:t>
            </w:r>
            <w:r>
              <w:rPr>
                <w:lang w:val="fr-FR"/>
              </w:rPr>
              <w:t xml:space="preserve"> session (octobre 2019), le WP.30 a examiné le document</w:t>
            </w:r>
            <w:r w:rsidRPr="00D5725A">
              <w:rPr>
                <w:spacing w:val="-4"/>
                <w:lang w:val="fr-FR"/>
              </w:rPr>
              <w:t xml:space="preserve"> ECE/TRANS/WP.30/2019/8 </w:t>
            </w:r>
            <w:r>
              <w:rPr>
                <w:lang w:val="fr-FR"/>
              </w:rPr>
              <w:t xml:space="preserve">(et Corr.1), dans lequel figure une liste des tâches qu’il doit accomplir pour harmoniser ses travaux avec la Stratégie. Il s’est déclaré prêt, en principe, à faciliter l’application de la Stratégie, et donc accepté provisoirement le calendrier proposé pour les tâches à accomplir, en se réservant la possibilité d’un réexamen ultérieur (ECE/TRANS/WP.30/306, par. 5). </w:t>
            </w:r>
            <w:r w:rsidRPr="00C33721">
              <w:rPr>
                <w:b/>
                <w:bCs/>
                <w:lang w:val="fr-FR"/>
              </w:rPr>
              <w:t>À sa 161</w:t>
            </w:r>
            <w:r w:rsidRPr="00C33721">
              <w:rPr>
                <w:b/>
                <w:bCs/>
                <w:vertAlign w:val="superscript"/>
                <w:lang w:val="fr-FR"/>
              </w:rPr>
              <w:t>e</w:t>
            </w:r>
            <w:r w:rsidRPr="00C33721">
              <w:rPr>
                <w:b/>
                <w:bCs/>
                <w:lang w:val="fr-FR"/>
              </w:rPr>
              <w:t xml:space="preserve"> session (octobre 2022), le WP.30 a demandé au secrétariat d</w:t>
            </w:r>
            <w:r>
              <w:rPr>
                <w:b/>
                <w:bCs/>
                <w:lang w:val="fr-FR"/>
              </w:rPr>
              <w:t>’</w:t>
            </w:r>
            <w:r w:rsidRPr="00C33721">
              <w:rPr>
                <w:b/>
                <w:bCs/>
                <w:lang w:val="fr-FR"/>
              </w:rPr>
              <w:t xml:space="preserve">établir, pour examen à sa session suivante, un document comparant le nouveau mandat du </w:t>
            </w:r>
            <w:r>
              <w:rPr>
                <w:b/>
                <w:bCs/>
                <w:lang w:val="fr-FR"/>
              </w:rPr>
              <w:t>Comité</w:t>
            </w:r>
            <w:r w:rsidRPr="00C33721">
              <w:rPr>
                <w:b/>
                <w:bCs/>
                <w:lang w:val="fr-FR"/>
              </w:rPr>
              <w:t xml:space="preserve"> avec le mandat actuel du WP.30, afin de déterminer s</w:t>
            </w:r>
            <w:r>
              <w:rPr>
                <w:b/>
                <w:bCs/>
                <w:lang w:val="fr-FR"/>
              </w:rPr>
              <w:t>’</w:t>
            </w:r>
            <w:r w:rsidRPr="00C33721">
              <w:rPr>
                <w:b/>
                <w:bCs/>
                <w:lang w:val="fr-FR"/>
              </w:rPr>
              <w:t>il y avait lieu de procéder à des ajustements (ECE/TRANS/WP.30/322, par. 6).</w:t>
            </w:r>
          </w:p>
          <w:p w14:paraId="7502C8A0" w14:textId="10C987E1" w:rsidR="000661F7" w:rsidRPr="00ED06D8" w:rsidRDefault="000661F7" w:rsidP="0094269B">
            <w:pPr>
              <w:spacing w:before="40" w:after="120"/>
              <w:ind w:right="113"/>
              <w:rPr>
                <w:lang w:val="fr-FR"/>
              </w:rPr>
            </w:pPr>
            <w:r>
              <w:rPr>
                <w:lang w:val="fr-FR"/>
              </w:rPr>
              <w:t xml:space="preserve">- SC.1 : Le SC.1 a harmonisé son programme de travail avec la Stratégie et apporté à son ordre du jour des modifications, qui prendront effet à sa </w:t>
            </w:r>
            <w:r w:rsidRPr="00D46839">
              <w:rPr>
                <w:lang w:val="fr-FR"/>
              </w:rPr>
              <w:t>115</w:t>
            </w:r>
            <w:r w:rsidRPr="00D46839">
              <w:rPr>
                <w:vertAlign w:val="superscript"/>
                <w:lang w:val="fr-FR"/>
              </w:rPr>
              <w:t>e</w:t>
            </w:r>
            <w:r>
              <w:rPr>
                <w:lang w:val="fr-FR"/>
              </w:rPr>
              <w:t xml:space="preserve"> session, pour tenir compte de cette harmonisation. Le</w:t>
            </w:r>
            <w:r w:rsidR="00175D9C">
              <w:rPr>
                <w:lang w:val="fr-FR"/>
              </w:rPr>
              <w:t> </w:t>
            </w:r>
            <w:r>
              <w:rPr>
                <w:lang w:val="fr-FR"/>
              </w:rPr>
              <w:t xml:space="preserve">Comité a été informé </w:t>
            </w:r>
            <w:r w:rsidRPr="00D46839">
              <w:rPr>
                <w:lang w:val="fr-FR"/>
              </w:rPr>
              <w:t>de ces changements</w:t>
            </w:r>
            <w:r w:rsidRPr="00621B8A">
              <w:rPr>
                <w:lang w:val="fr-FR"/>
              </w:rPr>
              <w:t xml:space="preserve"> </w:t>
            </w:r>
            <w:r>
              <w:rPr>
                <w:lang w:val="fr-FR"/>
              </w:rPr>
              <w:t>à sa quatre</w:t>
            </w:r>
            <w:r>
              <w:rPr>
                <w:lang w:val="fr-FR"/>
              </w:rPr>
              <w:noBreakHyphen/>
              <w:t>vingt</w:t>
            </w:r>
            <w:r w:rsidR="00175D9C">
              <w:rPr>
                <w:lang w:val="fr-FR"/>
              </w:rPr>
              <w:noBreakHyphen/>
            </w:r>
            <w:r>
              <w:rPr>
                <w:lang w:val="fr-FR"/>
              </w:rPr>
              <w:t>deuxième session.</w:t>
            </w:r>
          </w:p>
          <w:p w14:paraId="06D7A075" w14:textId="25AB71CF" w:rsidR="000661F7" w:rsidRPr="00C33721" w:rsidRDefault="000661F7" w:rsidP="0094269B">
            <w:pPr>
              <w:spacing w:before="40" w:after="120"/>
              <w:ind w:right="113"/>
              <w:rPr>
                <w:b/>
                <w:bCs/>
                <w:lang w:val="fr-FR"/>
              </w:rPr>
            </w:pPr>
            <w:r>
              <w:rPr>
                <w:lang w:val="fr-FR"/>
              </w:rPr>
              <w:t xml:space="preserve">- SC.2 : Le Comité a été informé à sa quatre-vingt-deuxième session que le SC.2 avait harmonisé son programme de travail avec la Stratégie. </w:t>
            </w:r>
            <w:r>
              <w:rPr>
                <w:rFonts w:eastAsia="Times New Roman"/>
                <w:lang w:val="fr-FR" w:eastAsia="fr-FR"/>
              </w:rPr>
              <w:t>Dans une</w:t>
            </w:r>
            <w:r w:rsidRPr="00D46839">
              <w:rPr>
                <w:rFonts w:eastAsia="Times New Roman"/>
                <w:lang w:val="fr-FR" w:eastAsia="fr-FR"/>
              </w:rPr>
              <w:t xml:space="preserve"> étape suivante, le SC.2 a également actualisé son mandat pour refléter l</w:t>
            </w:r>
            <w:r>
              <w:rPr>
                <w:rFonts w:eastAsia="Times New Roman"/>
                <w:lang w:val="fr-FR" w:eastAsia="fr-FR"/>
              </w:rPr>
              <w:t>’harmonisation</w:t>
            </w:r>
            <w:r w:rsidRPr="00D46839">
              <w:rPr>
                <w:rFonts w:eastAsia="Times New Roman"/>
                <w:lang w:val="fr-FR" w:eastAsia="fr-FR"/>
              </w:rPr>
              <w:t xml:space="preserve"> de son programme de travail </w:t>
            </w:r>
            <w:r>
              <w:rPr>
                <w:rFonts w:eastAsia="Times New Roman"/>
                <w:lang w:val="fr-FR" w:eastAsia="fr-FR"/>
              </w:rPr>
              <w:t>avec</w:t>
            </w:r>
            <w:r w:rsidRPr="00D46839">
              <w:rPr>
                <w:rFonts w:eastAsia="Times New Roman"/>
                <w:lang w:val="fr-FR" w:eastAsia="fr-FR"/>
              </w:rPr>
              <w:t xml:space="preserve"> la Stratégie.</w:t>
            </w:r>
            <w:r w:rsidRPr="00D46839">
              <w:rPr>
                <w:b/>
                <w:bCs/>
              </w:rPr>
              <w:t xml:space="preserve"> </w:t>
            </w:r>
            <w:r w:rsidRPr="00D46839">
              <w:rPr>
                <w:rFonts w:eastAsia="Times New Roman"/>
                <w:b/>
                <w:bCs/>
                <w:lang w:val="fr-FR" w:eastAsia="fr-FR"/>
              </w:rPr>
              <w:t xml:space="preserve">Le SC.2 a confirmé que son mandat actuel était </w:t>
            </w:r>
            <w:r>
              <w:rPr>
                <w:rFonts w:eastAsia="Times New Roman"/>
                <w:b/>
                <w:bCs/>
                <w:lang w:val="fr-FR" w:eastAsia="fr-FR"/>
              </w:rPr>
              <w:t>en phase avec</w:t>
            </w:r>
            <w:r w:rsidRPr="00D46839">
              <w:rPr>
                <w:rFonts w:eastAsia="Times New Roman"/>
                <w:b/>
                <w:bCs/>
                <w:lang w:val="fr-FR" w:eastAsia="fr-FR"/>
              </w:rPr>
              <w:t xml:space="preserve"> celui du </w:t>
            </w:r>
            <w:r>
              <w:rPr>
                <w:rFonts w:eastAsia="Times New Roman"/>
                <w:b/>
                <w:bCs/>
                <w:lang w:val="fr-FR" w:eastAsia="fr-FR"/>
              </w:rPr>
              <w:t>Comité,</w:t>
            </w:r>
            <w:r w:rsidRPr="00C33721">
              <w:rPr>
                <w:rFonts w:eastAsia="Times New Roman"/>
                <w:b/>
                <w:bCs/>
                <w:lang w:val="fr-FR" w:eastAsia="fr-FR"/>
              </w:rPr>
              <w:t xml:space="preserve"> et</w:t>
            </w:r>
            <w:r>
              <w:rPr>
                <w:rFonts w:eastAsia="Times New Roman"/>
                <w:b/>
                <w:bCs/>
                <w:lang w:val="fr-FR" w:eastAsia="fr-FR"/>
              </w:rPr>
              <w:t xml:space="preserve"> il</w:t>
            </w:r>
            <w:r w:rsidRPr="00C33721">
              <w:rPr>
                <w:rFonts w:eastAsia="Times New Roman"/>
                <w:b/>
                <w:bCs/>
                <w:lang w:val="fr-FR" w:eastAsia="fr-FR"/>
              </w:rPr>
              <w:t xml:space="preserve"> a </w:t>
            </w:r>
            <w:r>
              <w:rPr>
                <w:rFonts w:eastAsia="Times New Roman"/>
                <w:b/>
                <w:bCs/>
                <w:lang w:val="fr-FR" w:eastAsia="fr-FR"/>
              </w:rPr>
              <w:t>fait</w:t>
            </w:r>
            <w:r w:rsidRPr="00C33721">
              <w:rPr>
                <w:rFonts w:eastAsia="Times New Roman"/>
                <w:b/>
                <w:bCs/>
                <w:lang w:val="fr-FR" w:eastAsia="fr-FR"/>
              </w:rPr>
              <w:t xml:space="preserve"> une autre </w:t>
            </w:r>
            <w:r>
              <w:rPr>
                <w:rFonts w:eastAsia="Times New Roman"/>
                <w:b/>
                <w:bCs/>
                <w:lang w:val="fr-FR" w:eastAsia="fr-FR"/>
              </w:rPr>
              <w:t>modification</w:t>
            </w:r>
            <w:r w:rsidRPr="00C33721">
              <w:rPr>
                <w:rFonts w:eastAsia="Times New Roman"/>
                <w:b/>
                <w:bCs/>
                <w:lang w:val="fr-FR" w:eastAsia="fr-FR"/>
              </w:rPr>
              <w:t xml:space="preserve"> mineure pour prendre en compte la création de son Règlement intérieur. Le mandat actualisé et le nouveau Règlement intérieur </w:t>
            </w:r>
            <w:r>
              <w:rPr>
                <w:rFonts w:eastAsia="Times New Roman"/>
                <w:b/>
                <w:bCs/>
                <w:lang w:val="fr-FR" w:eastAsia="fr-FR"/>
              </w:rPr>
              <w:t xml:space="preserve">ont été soumis au </w:t>
            </w:r>
            <w:r w:rsidRPr="00F57627">
              <w:rPr>
                <w:rFonts w:eastAsia="Times New Roman"/>
                <w:b/>
                <w:bCs/>
                <w:lang w:val="fr-FR" w:eastAsia="fr-FR"/>
              </w:rPr>
              <w:t xml:space="preserve">Comité </w:t>
            </w:r>
            <w:r>
              <w:rPr>
                <w:rFonts w:eastAsia="Times New Roman"/>
                <w:b/>
                <w:bCs/>
                <w:lang w:val="fr-FR" w:eastAsia="fr-FR"/>
              </w:rPr>
              <w:t xml:space="preserve">pour </w:t>
            </w:r>
            <w:r w:rsidRPr="00C33721">
              <w:rPr>
                <w:rFonts w:eastAsia="Times New Roman"/>
                <w:b/>
                <w:bCs/>
                <w:lang w:val="fr-FR" w:eastAsia="fr-FR"/>
              </w:rPr>
              <w:t>adopt</w:t>
            </w:r>
            <w:r>
              <w:rPr>
                <w:rFonts w:eastAsia="Times New Roman"/>
                <w:b/>
                <w:bCs/>
                <w:lang w:val="fr-FR" w:eastAsia="fr-FR"/>
              </w:rPr>
              <w:t>ion</w:t>
            </w:r>
            <w:r w:rsidRPr="00C33721">
              <w:rPr>
                <w:rFonts w:eastAsia="Times New Roman"/>
                <w:b/>
                <w:bCs/>
                <w:lang w:val="fr-FR" w:eastAsia="fr-FR"/>
              </w:rPr>
              <w:t xml:space="preserve"> en février 2023.</w:t>
            </w:r>
          </w:p>
          <w:p w14:paraId="19336593" w14:textId="0E01F5EF" w:rsidR="000661F7" w:rsidRPr="00ED06D8" w:rsidRDefault="000661F7" w:rsidP="0094269B">
            <w:pPr>
              <w:spacing w:before="40" w:after="120"/>
              <w:ind w:right="113"/>
              <w:rPr>
                <w:lang w:val="fr-FR"/>
              </w:rPr>
            </w:pPr>
            <w:r>
              <w:rPr>
                <w:lang w:val="fr-FR"/>
              </w:rPr>
              <w:lastRenderedPageBreak/>
              <w:t>- SC.3 : Le Comité a été informé à sa quatre-vingt-deuxième session (ECE/TRANS/294, par. 112) que le SC.3 avait harmonisé son programme de travail avec la Stratégie. Dans une</w:t>
            </w:r>
            <w:r w:rsidRPr="00D46839">
              <w:rPr>
                <w:lang w:val="fr-FR"/>
              </w:rPr>
              <w:t xml:space="preserve"> étape</w:t>
            </w:r>
            <w:r>
              <w:rPr>
                <w:lang w:val="fr-FR"/>
              </w:rPr>
              <w:t xml:space="preserve"> ultérieure</w:t>
            </w:r>
            <w:r w:rsidRPr="00D46839">
              <w:rPr>
                <w:lang w:val="fr-FR"/>
              </w:rPr>
              <w:t xml:space="preserve">, le SC.3 </w:t>
            </w:r>
            <w:r w:rsidRPr="00D46839">
              <w:rPr>
                <w:b/>
                <w:bCs/>
                <w:lang w:val="fr-FR"/>
              </w:rPr>
              <w:t xml:space="preserve">a actualisé </w:t>
            </w:r>
            <w:r w:rsidRPr="00D46839">
              <w:rPr>
                <w:lang w:val="fr-FR"/>
              </w:rPr>
              <w:t xml:space="preserve">son mandat </w:t>
            </w:r>
            <w:r>
              <w:rPr>
                <w:lang w:val="fr-FR"/>
              </w:rPr>
              <w:t>de façon à ce que</w:t>
            </w:r>
            <w:r w:rsidRPr="00D46839">
              <w:rPr>
                <w:lang w:val="fr-FR"/>
              </w:rPr>
              <w:t xml:space="preserve"> son programme de travail </w:t>
            </w:r>
            <w:r>
              <w:rPr>
                <w:lang w:val="fr-FR"/>
              </w:rPr>
              <w:t>soit conforme à</w:t>
            </w:r>
            <w:r w:rsidRPr="00D46839">
              <w:rPr>
                <w:lang w:val="fr-FR"/>
              </w:rPr>
              <w:t xml:space="preserve"> la Stratégie.</w:t>
            </w:r>
            <w:r>
              <w:rPr>
                <w:lang w:val="fr-FR"/>
              </w:rPr>
              <w:t xml:space="preserve"> </w:t>
            </w:r>
            <w:r>
              <w:rPr>
                <w:b/>
                <w:bCs/>
                <w:lang w:val="fr-FR"/>
              </w:rPr>
              <w:t>L’un et l’autre</w:t>
            </w:r>
            <w:r w:rsidRPr="00F61E9D">
              <w:rPr>
                <w:b/>
                <w:bCs/>
                <w:lang w:val="fr-FR"/>
              </w:rPr>
              <w:t xml:space="preserve"> </w:t>
            </w:r>
            <w:r w:rsidRPr="00C33721">
              <w:rPr>
                <w:b/>
                <w:bCs/>
                <w:lang w:val="fr-FR"/>
              </w:rPr>
              <w:t>ont été adoptés par le Comité à sa quatre</w:t>
            </w:r>
            <w:r w:rsidR="00175D9C">
              <w:rPr>
                <w:b/>
                <w:bCs/>
                <w:lang w:val="fr-FR"/>
              </w:rPr>
              <w:noBreakHyphen/>
            </w:r>
            <w:r w:rsidRPr="00C33721">
              <w:rPr>
                <w:b/>
                <w:bCs/>
                <w:lang w:val="fr-FR"/>
              </w:rPr>
              <w:t>vingt-quatrième session (février 2022).</w:t>
            </w:r>
            <w:r>
              <w:rPr>
                <w:lang w:val="fr-FR"/>
              </w:rPr>
              <w:t xml:space="preserve"> </w:t>
            </w:r>
          </w:p>
        </w:tc>
        <w:tc>
          <w:tcPr>
            <w:tcW w:w="2500" w:type="dxa"/>
            <w:shd w:val="clear" w:color="auto" w:fill="auto"/>
          </w:tcPr>
          <w:p w14:paraId="63CC6D4D" w14:textId="413B7684" w:rsidR="000661F7" w:rsidRPr="00ED06D8" w:rsidRDefault="000661F7" w:rsidP="0094269B">
            <w:pPr>
              <w:spacing w:before="40" w:after="120"/>
              <w:ind w:right="113"/>
              <w:rPr>
                <w:lang w:val="fr-FR"/>
              </w:rPr>
            </w:pPr>
            <w:r w:rsidRPr="00D46839">
              <w:rPr>
                <w:rFonts w:eastAsia="Times New Roman"/>
                <w:lang w:val="fr-FR" w:eastAsia="fr-FR"/>
              </w:rPr>
              <w:lastRenderedPageBreak/>
              <w:t xml:space="preserve">Conformément à ce que le </w:t>
            </w:r>
            <w:r>
              <w:rPr>
                <w:rFonts w:eastAsia="Times New Roman"/>
                <w:lang w:val="fr-FR" w:eastAsia="fr-FR"/>
              </w:rPr>
              <w:t>Comité</w:t>
            </w:r>
            <w:r w:rsidRPr="00D46839">
              <w:rPr>
                <w:rFonts w:eastAsia="Times New Roman"/>
                <w:lang w:val="fr-FR" w:eastAsia="fr-FR"/>
              </w:rPr>
              <w:t xml:space="preserve"> a décidé à sa quatre</w:t>
            </w:r>
            <w:r w:rsidRPr="00D46839">
              <w:rPr>
                <w:rFonts w:eastAsia="Times New Roman"/>
                <w:lang w:val="fr-FR" w:eastAsia="fr-FR"/>
              </w:rPr>
              <w:noBreakHyphen/>
              <w:t xml:space="preserve">vingt-troisième session, les « prochaines étapes » déterminent les travaux à mener </w:t>
            </w:r>
            <w:r>
              <w:rPr>
                <w:rFonts w:eastAsia="Times New Roman"/>
                <w:lang w:val="fr-FR" w:eastAsia="fr-FR"/>
              </w:rPr>
              <w:t>pour faciliter l’application</w:t>
            </w:r>
            <w:r w:rsidRPr="00D46839">
              <w:rPr>
                <w:rFonts w:eastAsia="Times New Roman"/>
                <w:lang w:val="fr-FR" w:eastAsia="fr-FR"/>
              </w:rPr>
              <w:t xml:space="preserve"> de la Stratégie.</w:t>
            </w:r>
            <w:r w:rsidRPr="00CB5C3D">
              <w:rPr>
                <w:rFonts w:eastAsia="Times New Roman"/>
                <w:lang w:val="fr-FR" w:eastAsia="fr-FR"/>
              </w:rPr>
              <w:t xml:space="preserve"> </w:t>
            </w:r>
            <w:r w:rsidRPr="00D46839">
              <w:rPr>
                <w:rFonts w:eastAsia="Times New Roman"/>
                <w:lang w:val="fr-FR" w:eastAsia="fr-FR"/>
              </w:rPr>
              <w:t xml:space="preserve">Ces étapes peuvent être ajustées si le </w:t>
            </w:r>
            <w:r>
              <w:rPr>
                <w:rFonts w:eastAsia="Times New Roman"/>
                <w:lang w:val="fr-FR" w:eastAsia="fr-FR"/>
              </w:rPr>
              <w:t>Comité</w:t>
            </w:r>
            <w:r w:rsidRPr="00D46839">
              <w:rPr>
                <w:rFonts w:eastAsia="Times New Roman"/>
                <w:lang w:val="fr-FR" w:eastAsia="fr-FR"/>
              </w:rPr>
              <w:t xml:space="preserve"> en décide ainsi, sur la base de propositions faites par le secrétariat en consultation avec le Bureau et les groupes de travail.</w:t>
            </w:r>
          </w:p>
        </w:tc>
        <w:tc>
          <w:tcPr>
            <w:tcW w:w="1667" w:type="dxa"/>
            <w:shd w:val="clear" w:color="auto" w:fill="auto"/>
          </w:tcPr>
          <w:p w14:paraId="348A05F4" w14:textId="77777777" w:rsidR="000661F7" w:rsidRPr="00ED06D8" w:rsidRDefault="000661F7" w:rsidP="0094269B">
            <w:pPr>
              <w:spacing w:before="40" w:after="120"/>
              <w:ind w:right="113"/>
              <w:rPr>
                <w:lang w:val="fr-FR"/>
              </w:rPr>
            </w:pPr>
            <w:r>
              <w:rPr>
                <w:lang w:val="fr-FR"/>
              </w:rPr>
              <w:t xml:space="preserve">Le secrétariat du Comité et tous les Secrétaires des groupes de travail </w:t>
            </w:r>
          </w:p>
        </w:tc>
      </w:tr>
      <w:tr w:rsidR="000661F7" w:rsidRPr="00D466A5" w14:paraId="16BAA672" w14:textId="77777777" w:rsidTr="0094269B">
        <w:tc>
          <w:tcPr>
            <w:tcW w:w="500" w:type="dxa"/>
            <w:shd w:val="clear" w:color="auto" w:fill="auto"/>
          </w:tcPr>
          <w:p w14:paraId="329012D9" w14:textId="77777777" w:rsidR="000661F7" w:rsidRPr="00682945" w:rsidRDefault="000661F7" w:rsidP="0094269B">
            <w:pPr>
              <w:spacing w:before="40" w:after="80"/>
              <w:ind w:right="113"/>
            </w:pPr>
            <w:r w:rsidRPr="00682945">
              <w:rPr>
                <w:lang w:val="fr-FR"/>
              </w:rPr>
              <w:lastRenderedPageBreak/>
              <w:t>4.2</w:t>
            </w:r>
          </w:p>
        </w:tc>
        <w:tc>
          <w:tcPr>
            <w:tcW w:w="1778" w:type="dxa"/>
            <w:shd w:val="clear" w:color="auto" w:fill="auto"/>
          </w:tcPr>
          <w:p w14:paraId="5C2FE466" w14:textId="77777777" w:rsidR="000661F7" w:rsidRPr="00682945" w:rsidRDefault="000661F7" w:rsidP="0094269B">
            <w:pPr>
              <w:spacing w:before="40" w:after="80"/>
              <w:ind w:right="113"/>
              <w:rPr>
                <w:lang w:val="fr-FR"/>
              </w:rPr>
            </w:pPr>
            <w:r w:rsidRPr="00682945">
              <w:rPr>
                <w:lang w:val="fr-FR"/>
              </w:rPr>
              <w:t xml:space="preserve">Adapter la </w:t>
            </w:r>
            <w:r>
              <w:rPr>
                <w:lang w:val="fr-FR"/>
              </w:rPr>
              <w:t>Stratégie</w:t>
            </w:r>
            <w:r w:rsidRPr="00682945">
              <w:rPr>
                <w:lang w:val="fr-FR"/>
              </w:rPr>
              <w:t xml:space="preserve"> et ses priorités si nécessaire</w:t>
            </w:r>
          </w:p>
        </w:tc>
        <w:tc>
          <w:tcPr>
            <w:tcW w:w="3194" w:type="dxa"/>
            <w:shd w:val="clear" w:color="auto" w:fill="auto"/>
          </w:tcPr>
          <w:p w14:paraId="345A0787" w14:textId="0F145B06" w:rsidR="000661F7" w:rsidRPr="00682945" w:rsidRDefault="000661F7" w:rsidP="0094269B">
            <w:pPr>
              <w:spacing w:before="40" w:after="80"/>
              <w:ind w:right="113"/>
              <w:rPr>
                <w:lang w:val="fr-FR"/>
              </w:rPr>
            </w:pPr>
            <w:r w:rsidRPr="00682945">
              <w:rPr>
                <w:lang w:val="fr-FR"/>
              </w:rPr>
              <w:t>La pandémie de COVID-19 a considérablement perturbé les transports intérieurs internationaux et le transport urbain. Toutefois, une évaluation de ses répercussions a été menée et, jusqu</w:t>
            </w:r>
            <w:r>
              <w:rPr>
                <w:lang w:val="fr-FR"/>
              </w:rPr>
              <w:t>’</w:t>
            </w:r>
            <w:r w:rsidRPr="00682945">
              <w:rPr>
                <w:lang w:val="fr-FR"/>
              </w:rPr>
              <w:t>à présent, il ne s</w:t>
            </w:r>
            <w:r>
              <w:rPr>
                <w:lang w:val="fr-FR"/>
              </w:rPr>
              <w:t>’</w:t>
            </w:r>
            <w:r w:rsidRPr="00682945">
              <w:rPr>
                <w:lang w:val="fr-FR"/>
              </w:rPr>
              <w:t xml:space="preserve">est pas avéré nécessaire de modifier la </w:t>
            </w:r>
            <w:r>
              <w:rPr>
                <w:lang w:val="fr-FR"/>
              </w:rPr>
              <w:t>Stratégie</w:t>
            </w:r>
            <w:r w:rsidRPr="00682945">
              <w:rPr>
                <w:lang w:val="fr-FR"/>
              </w:rPr>
              <w:t>. D</w:t>
            </w:r>
            <w:r>
              <w:rPr>
                <w:lang w:val="fr-FR"/>
              </w:rPr>
              <w:t>’</w:t>
            </w:r>
            <w:r w:rsidRPr="00682945">
              <w:rPr>
                <w:lang w:val="fr-FR"/>
              </w:rPr>
              <w:t xml:space="preserve">éventuelles mesures à prendre au lendemain de la pandémie pourraient être abordées au titre des tâches prioritaires 5.5, 5.6, 5.9, 5.14, 5.15, 5.20, 5.22 et 5.23. </w:t>
            </w:r>
          </w:p>
          <w:p w14:paraId="7CDFA426" w14:textId="77777777" w:rsidR="000661F7" w:rsidRPr="00682945" w:rsidRDefault="000661F7" w:rsidP="0094269B">
            <w:pPr>
              <w:spacing w:before="40" w:after="80"/>
              <w:ind w:right="113"/>
              <w:rPr>
                <w:lang w:val="fr-FR"/>
              </w:rPr>
            </w:pPr>
            <w:r w:rsidRPr="00682945">
              <w:rPr>
                <w:lang w:val="fr-FR"/>
              </w:rPr>
              <w:t xml:space="preserve">Des ajustements pourraient être proposés au besoin. </w:t>
            </w:r>
          </w:p>
        </w:tc>
        <w:tc>
          <w:tcPr>
            <w:tcW w:w="2500" w:type="dxa"/>
            <w:shd w:val="clear" w:color="auto" w:fill="auto"/>
          </w:tcPr>
          <w:p w14:paraId="2AA94B67" w14:textId="3705660F" w:rsidR="000661F7" w:rsidRPr="00682945" w:rsidRDefault="000661F7" w:rsidP="0094269B">
            <w:pPr>
              <w:spacing w:before="40" w:after="80"/>
              <w:ind w:right="113"/>
              <w:rPr>
                <w:lang w:val="fr-FR"/>
              </w:rPr>
            </w:pPr>
            <w:r w:rsidRPr="00682945">
              <w:rPr>
                <w:lang w:val="fr-FR"/>
              </w:rPr>
              <w:t>Suivre l</w:t>
            </w:r>
            <w:r>
              <w:rPr>
                <w:lang w:val="fr-FR"/>
              </w:rPr>
              <w:t>’</w:t>
            </w:r>
            <w:r w:rsidRPr="00682945">
              <w:rPr>
                <w:lang w:val="fr-FR"/>
              </w:rPr>
              <w:t xml:space="preserve">évolution des transports intérieurs et proposer des ajustements de la </w:t>
            </w:r>
            <w:r>
              <w:rPr>
                <w:lang w:val="fr-FR"/>
              </w:rPr>
              <w:t>Stratégie</w:t>
            </w:r>
            <w:r w:rsidRPr="00682945">
              <w:rPr>
                <w:lang w:val="fr-FR"/>
              </w:rPr>
              <w:t xml:space="preserve"> si nécessaire.</w:t>
            </w:r>
          </w:p>
        </w:tc>
        <w:tc>
          <w:tcPr>
            <w:tcW w:w="1667" w:type="dxa"/>
            <w:shd w:val="clear" w:color="auto" w:fill="auto"/>
          </w:tcPr>
          <w:p w14:paraId="3BBE832A" w14:textId="77777777" w:rsidR="000661F7" w:rsidRPr="00682945" w:rsidRDefault="000661F7" w:rsidP="0094269B">
            <w:pPr>
              <w:spacing w:before="40" w:after="80"/>
              <w:ind w:right="113"/>
              <w:rPr>
                <w:lang w:val="fr-FR"/>
              </w:rPr>
            </w:pPr>
            <w:r w:rsidRPr="00682945">
              <w:rPr>
                <w:lang w:val="fr-FR"/>
              </w:rPr>
              <w:t xml:space="preserve">Le secrétariat du </w:t>
            </w:r>
            <w:r>
              <w:rPr>
                <w:lang w:val="fr-FR"/>
              </w:rPr>
              <w:t>Comité</w:t>
            </w:r>
            <w:r w:rsidRPr="00682945">
              <w:rPr>
                <w:lang w:val="fr-FR"/>
              </w:rPr>
              <w:t xml:space="preserve"> et les </w:t>
            </w:r>
            <w:r>
              <w:rPr>
                <w:lang w:val="fr-FR"/>
              </w:rPr>
              <w:t>s</w:t>
            </w:r>
            <w:r w:rsidRPr="00682945">
              <w:rPr>
                <w:lang w:val="fr-FR"/>
              </w:rPr>
              <w:t xml:space="preserve">ecrétaires des </w:t>
            </w:r>
            <w:r>
              <w:rPr>
                <w:lang w:val="fr-FR"/>
              </w:rPr>
              <w:t>groupe</w:t>
            </w:r>
            <w:r w:rsidRPr="00682945">
              <w:rPr>
                <w:lang w:val="fr-FR"/>
              </w:rPr>
              <w:t>s de travail concernés</w:t>
            </w:r>
          </w:p>
        </w:tc>
      </w:tr>
      <w:tr w:rsidR="000661F7" w:rsidRPr="0067484D" w14:paraId="0B820E3B" w14:textId="77777777" w:rsidTr="0094269B">
        <w:tc>
          <w:tcPr>
            <w:tcW w:w="500" w:type="dxa"/>
            <w:shd w:val="clear" w:color="auto" w:fill="auto"/>
          </w:tcPr>
          <w:p w14:paraId="11902222" w14:textId="77777777" w:rsidR="000661F7" w:rsidRPr="0067484D" w:rsidRDefault="000661F7" w:rsidP="0094269B">
            <w:pPr>
              <w:spacing w:before="40" w:after="80"/>
              <w:ind w:right="113"/>
            </w:pPr>
            <w:r>
              <w:rPr>
                <w:lang w:val="fr-FR"/>
              </w:rPr>
              <w:t>4.3</w:t>
            </w:r>
          </w:p>
        </w:tc>
        <w:tc>
          <w:tcPr>
            <w:tcW w:w="1778" w:type="dxa"/>
            <w:shd w:val="clear" w:color="auto" w:fill="auto"/>
          </w:tcPr>
          <w:p w14:paraId="617A2719" w14:textId="77777777" w:rsidR="000661F7" w:rsidRPr="00ED06D8" w:rsidRDefault="000661F7" w:rsidP="0094269B">
            <w:pPr>
              <w:spacing w:before="40" w:after="80"/>
              <w:ind w:right="113"/>
              <w:rPr>
                <w:lang w:val="fr-FR"/>
              </w:rPr>
            </w:pPr>
            <w:r>
              <w:rPr>
                <w:lang w:val="fr-FR"/>
              </w:rPr>
              <w:t xml:space="preserve">Modifier le règlement intérieur du Comité </w:t>
            </w:r>
          </w:p>
        </w:tc>
        <w:tc>
          <w:tcPr>
            <w:tcW w:w="3194" w:type="dxa"/>
            <w:shd w:val="clear" w:color="auto" w:fill="auto"/>
          </w:tcPr>
          <w:p w14:paraId="3C82CC78" w14:textId="7C44800D" w:rsidR="000661F7" w:rsidRDefault="000661F7" w:rsidP="00175D9C">
            <w:pPr>
              <w:spacing w:before="40" w:after="80"/>
              <w:ind w:right="113"/>
              <w:rPr>
                <w:b/>
                <w:bCs/>
                <w:lang w:val="fr-FR"/>
              </w:rPr>
            </w:pPr>
            <w:r w:rsidRPr="00C631A5">
              <w:rPr>
                <w:spacing w:val="-4"/>
                <w:lang w:val="fr-FR"/>
              </w:rPr>
              <w:t xml:space="preserve">Le </w:t>
            </w:r>
            <w:r>
              <w:rPr>
                <w:spacing w:val="-4"/>
                <w:lang w:val="fr-FR"/>
              </w:rPr>
              <w:t>Comité</w:t>
            </w:r>
            <w:r w:rsidRPr="00C631A5">
              <w:rPr>
                <w:spacing w:val="-4"/>
                <w:lang w:val="fr-FR"/>
              </w:rPr>
              <w:t xml:space="preserve"> a adopté son </w:t>
            </w:r>
            <w:r>
              <w:rPr>
                <w:spacing w:val="-4"/>
                <w:lang w:val="fr-FR"/>
              </w:rPr>
              <w:t>R</w:t>
            </w:r>
            <w:r w:rsidRPr="00C631A5">
              <w:rPr>
                <w:spacing w:val="-4"/>
                <w:lang w:val="fr-FR"/>
              </w:rPr>
              <w:t>èglement intérieur et son mandat révisé respectivement en février 2020 et en février 2019. Le secrétariat a envoyé des notes d</w:t>
            </w:r>
            <w:r>
              <w:rPr>
                <w:spacing w:val="-4"/>
                <w:lang w:val="fr-FR"/>
              </w:rPr>
              <w:t>’</w:t>
            </w:r>
            <w:r w:rsidRPr="00C631A5">
              <w:rPr>
                <w:spacing w:val="-4"/>
                <w:lang w:val="fr-FR"/>
              </w:rPr>
              <w:t>information aux principaux membres de l</w:t>
            </w:r>
            <w:r>
              <w:rPr>
                <w:spacing w:val="-4"/>
                <w:lang w:val="fr-FR"/>
              </w:rPr>
              <w:t>’</w:t>
            </w:r>
            <w:r w:rsidRPr="00C631A5">
              <w:rPr>
                <w:spacing w:val="-4"/>
                <w:lang w:val="fr-FR"/>
              </w:rPr>
              <w:t xml:space="preserve">ECOSOC. </w:t>
            </w:r>
            <w:r w:rsidRPr="007C1380">
              <w:rPr>
                <w:lang w:val="fr-FR"/>
              </w:rPr>
              <w:t xml:space="preserve">Le secrétariat a </w:t>
            </w:r>
            <w:r>
              <w:rPr>
                <w:lang w:val="fr-FR"/>
              </w:rPr>
              <w:t xml:space="preserve">également </w:t>
            </w:r>
            <w:r w:rsidRPr="007C1380">
              <w:rPr>
                <w:lang w:val="fr-FR"/>
              </w:rPr>
              <w:t>présenté un exposé aux membres du Conseil économique et social</w:t>
            </w:r>
            <w:r>
              <w:rPr>
                <w:lang w:val="fr-FR"/>
              </w:rPr>
              <w:t xml:space="preserve"> et </w:t>
            </w:r>
            <w:r w:rsidRPr="007C1380">
              <w:rPr>
                <w:lang w:val="fr-FR"/>
              </w:rPr>
              <w:t>fourni des notes d</w:t>
            </w:r>
            <w:r>
              <w:rPr>
                <w:lang w:val="fr-FR"/>
              </w:rPr>
              <w:t>’</w:t>
            </w:r>
            <w:r w:rsidRPr="007C1380">
              <w:rPr>
                <w:lang w:val="fr-FR"/>
              </w:rPr>
              <w:t xml:space="preserve">information actualisées et un soutien général aux délibérations des États Membres en vue </w:t>
            </w:r>
            <w:r>
              <w:rPr>
                <w:lang w:val="fr-FR"/>
              </w:rPr>
              <w:t xml:space="preserve">des </w:t>
            </w:r>
            <w:r w:rsidRPr="007C1380">
              <w:rPr>
                <w:lang w:val="fr-FR"/>
              </w:rPr>
              <w:t>préparati</w:t>
            </w:r>
            <w:r>
              <w:rPr>
                <w:lang w:val="fr-FR"/>
              </w:rPr>
              <w:t>fs</w:t>
            </w:r>
            <w:r w:rsidRPr="007C1380">
              <w:rPr>
                <w:lang w:val="fr-FR"/>
              </w:rPr>
              <w:t xml:space="preserve"> de la session de 2021 du Conseil, ainsi qu</w:t>
            </w:r>
            <w:r>
              <w:rPr>
                <w:lang w:val="fr-FR"/>
              </w:rPr>
              <w:t>’</w:t>
            </w:r>
            <w:r w:rsidRPr="007C1380">
              <w:rPr>
                <w:lang w:val="fr-FR"/>
              </w:rPr>
              <w:t>après celle-ci pour l</w:t>
            </w:r>
            <w:r>
              <w:rPr>
                <w:lang w:val="fr-FR"/>
              </w:rPr>
              <w:t>’</w:t>
            </w:r>
            <w:r w:rsidRPr="007C1380">
              <w:rPr>
                <w:lang w:val="fr-FR"/>
              </w:rPr>
              <w:t>application des décisions pertinentes de celui-ci.</w:t>
            </w:r>
            <w:r>
              <w:t xml:space="preserve"> </w:t>
            </w:r>
            <w:r w:rsidRPr="00092694">
              <w:rPr>
                <w:b/>
                <w:bCs/>
                <w:lang w:val="fr-FR"/>
              </w:rPr>
              <w:t xml:space="preserve">Le secrétariat a travaillé en étroite collaboration avec les </w:t>
            </w:r>
            <w:r w:rsidRPr="00175D9C">
              <w:rPr>
                <w:b/>
                <w:bCs/>
                <w:lang w:val="fr-FR"/>
              </w:rPr>
              <w:t>membres du Bureau élus pour la période 2020-2021 et la Présidente de la Commission économique pour</w:t>
            </w:r>
            <w:r w:rsidRPr="00092694">
              <w:rPr>
                <w:b/>
                <w:bCs/>
                <w:lang w:val="fr-FR"/>
              </w:rPr>
              <w:t xml:space="preserve"> l</w:t>
            </w:r>
            <w:r>
              <w:rPr>
                <w:b/>
                <w:bCs/>
                <w:lang w:val="fr-FR"/>
              </w:rPr>
              <w:t>’</w:t>
            </w:r>
            <w:r w:rsidRPr="00092694">
              <w:rPr>
                <w:b/>
                <w:bCs/>
                <w:lang w:val="fr-FR"/>
              </w:rPr>
              <w:t xml:space="preserve">Europe, dont les contributions et le soutien ont été précieux pour </w:t>
            </w:r>
            <w:r w:rsidRPr="00092694">
              <w:rPr>
                <w:b/>
                <w:bCs/>
                <w:lang w:val="fr-FR"/>
              </w:rPr>
              <w:lastRenderedPageBreak/>
              <w:t>l</w:t>
            </w:r>
            <w:r>
              <w:rPr>
                <w:b/>
                <w:bCs/>
                <w:lang w:val="fr-FR"/>
              </w:rPr>
              <w:t>’</w:t>
            </w:r>
            <w:r w:rsidRPr="00092694">
              <w:rPr>
                <w:b/>
                <w:bCs/>
                <w:lang w:val="fr-FR"/>
              </w:rPr>
              <w:t>approbation du mandat révisé du</w:t>
            </w:r>
            <w:r w:rsidRPr="00175D9C">
              <w:rPr>
                <w:b/>
                <w:bCs/>
                <w:lang w:val="fr-FR"/>
              </w:rPr>
              <w:t xml:space="preserve"> </w:t>
            </w:r>
            <w:r w:rsidRPr="00EB39DF">
              <w:rPr>
                <w:b/>
                <w:bCs/>
                <w:lang w:val="fr-FR"/>
              </w:rPr>
              <w:t>Comité par le Conseil économique et social.</w:t>
            </w:r>
          </w:p>
          <w:p w14:paraId="00EAEC31" w14:textId="2CF931FD" w:rsidR="000661F7" w:rsidRDefault="000661F7" w:rsidP="0094269B">
            <w:pPr>
              <w:spacing w:before="40" w:after="120"/>
              <w:ind w:right="113"/>
              <w:rPr>
                <w:b/>
                <w:bCs/>
              </w:rPr>
            </w:pPr>
            <w:r w:rsidRPr="004770C6">
              <w:rPr>
                <w:b/>
                <w:bCs/>
              </w:rPr>
              <w:t>Par la suite, le projet</w:t>
            </w:r>
            <w:r w:rsidRPr="00C33721">
              <w:rPr>
                <w:b/>
                <w:bCs/>
              </w:rPr>
              <w:t xml:space="preserve"> de résolution du Conseil économique et social intitulé </w:t>
            </w:r>
            <w:r>
              <w:rPr>
                <w:b/>
                <w:bCs/>
              </w:rPr>
              <w:t>« </w:t>
            </w:r>
            <w:r w:rsidRPr="00C33721">
              <w:rPr>
                <w:b/>
                <w:bCs/>
              </w:rPr>
              <w:t>Mandat révisé du Comité des transports intérieurs de la Commission économique pour l</w:t>
            </w:r>
            <w:r>
              <w:rPr>
                <w:b/>
                <w:bCs/>
              </w:rPr>
              <w:t>’</w:t>
            </w:r>
            <w:r w:rsidRPr="00C33721">
              <w:rPr>
                <w:b/>
                <w:bCs/>
              </w:rPr>
              <w:t>Europe</w:t>
            </w:r>
            <w:r>
              <w:rPr>
                <w:b/>
                <w:bCs/>
              </w:rPr>
              <w:t> »</w:t>
            </w:r>
            <w:r w:rsidRPr="00C33721">
              <w:rPr>
                <w:b/>
                <w:bCs/>
              </w:rPr>
              <w:t xml:space="preserve"> (document E/2022/L.4) a été adopté le 16 février 2022 en tant que résolution 2022/2 du Conseil. Le mandat révisé du Comité des transports intérieurs peut être consulté dans le document ECE/TRANS/316/Add.2 en anglais</w:t>
            </w:r>
            <w:r>
              <w:rPr>
                <w:b/>
                <w:bCs/>
              </w:rPr>
              <w:t>,</w:t>
            </w:r>
            <w:r w:rsidRPr="00C33721">
              <w:rPr>
                <w:b/>
                <w:bCs/>
              </w:rPr>
              <w:t xml:space="preserve"> </w:t>
            </w:r>
            <w:r>
              <w:rPr>
                <w:b/>
                <w:bCs/>
              </w:rPr>
              <w:t xml:space="preserve">en </w:t>
            </w:r>
            <w:r w:rsidRPr="00C33721">
              <w:rPr>
                <w:b/>
                <w:bCs/>
              </w:rPr>
              <w:t>arab</w:t>
            </w:r>
            <w:r>
              <w:rPr>
                <w:b/>
                <w:bCs/>
              </w:rPr>
              <w:t>e,</w:t>
            </w:r>
            <w:r w:rsidRPr="00C33721">
              <w:rPr>
                <w:b/>
                <w:bCs/>
              </w:rPr>
              <w:t xml:space="preserve"> </w:t>
            </w:r>
            <w:r>
              <w:rPr>
                <w:b/>
                <w:bCs/>
              </w:rPr>
              <w:t xml:space="preserve">en </w:t>
            </w:r>
            <w:r w:rsidRPr="00C33721">
              <w:rPr>
                <w:b/>
                <w:bCs/>
              </w:rPr>
              <w:t>chinois</w:t>
            </w:r>
            <w:r>
              <w:rPr>
                <w:b/>
                <w:bCs/>
              </w:rPr>
              <w:t>,</w:t>
            </w:r>
            <w:r w:rsidRPr="00C33721">
              <w:rPr>
                <w:b/>
                <w:bCs/>
              </w:rPr>
              <w:t xml:space="preserve"> </w:t>
            </w:r>
            <w:r>
              <w:rPr>
                <w:b/>
                <w:bCs/>
              </w:rPr>
              <w:t xml:space="preserve">en </w:t>
            </w:r>
            <w:r w:rsidRPr="00C33721">
              <w:rPr>
                <w:b/>
                <w:bCs/>
              </w:rPr>
              <w:t>espagnol</w:t>
            </w:r>
            <w:r>
              <w:rPr>
                <w:b/>
                <w:bCs/>
              </w:rPr>
              <w:t xml:space="preserve">, en </w:t>
            </w:r>
            <w:r w:rsidRPr="00C33721">
              <w:rPr>
                <w:b/>
                <w:bCs/>
              </w:rPr>
              <w:t xml:space="preserve">français et </w:t>
            </w:r>
            <w:r>
              <w:rPr>
                <w:b/>
                <w:bCs/>
              </w:rPr>
              <w:t xml:space="preserve">en </w:t>
            </w:r>
            <w:r w:rsidRPr="00C33721">
              <w:rPr>
                <w:b/>
                <w:bCs/>
              </w:rPr>
              <w:t>russe.</w:t>
            </w:r>
          </w:p>
          <w:p w14:paraId="4F73CA0C" w14:textId="1703B360" w:rsidR="000661F7" w:rsidRPr="00F20D99" w:rsidRDefault="000661F7" w:rsidP="0094269B">
            <w:pPr>
              <w:spacing w:before="40" w:after="120"/>
              <w:ind w:right="113"/>
              <w:rPr>
                <w:b/>
                <w:bCs/>
              </w:rPr>
            </w:pPr>
            <w:r w:rsidRPr="00F20D99">
              <w:rPr>
                <w:b/>
                <w:bCs/>
              </w:rPr>
              <w:t>Lors de l</w:t>
            </w:r>
            <w:r>
              <w:rPr>
                <w:b/>
                <w:bCs/>
              </w:rPr>
              <w:t>’</w:t>
            </w:r>
            <w:r w:rsidRPr="00F20D99">
              <w:rPr>
                <w:b/>
                <w:bCs/>
              </w:rPr>
              <w:t>entrée en vigueur du mandat révisé du Comité, le 16</w:t>
            </w:r>
            <w:r>
              <w:rPr>
                <w:b/>
                <w:bCs/>
              </w:rPr>
              <w:t> </w:t>
            </w:r>
            <w:r w:rsidRPr="00F20D99">
              <w:rPr>
                <w:b/>
                <w:bCs/>
              </w:rPr>
              <w:t>février 2022, le Règlement intérieur du Comité, tel qu</w:t>
            </w:r>
            <w:r>
              <w:rPr>
                <w:b/>
                <w:bCs/>
              </w:rPr>
              <w:t>’</w:t>
            </w:r>
            <w:r w:rsidRPr="00F20D99">
              <w:rPr>
                <w:b/>
                <w:bCs/>
              </w:rPr>
              <w:t xml:space="preserve">il figure </w:t>
            </w:r>
            <w:r>
              <w:rPr>
                <w:b/>
                <w:bCs/>
              </w:rPr>
              <w:t>à l’</w:t>
            </w:r>
            <w:r w:rsidRPr="00F20D99">
              <w:rPr>
                <w:b/>
                <w:bCs/>
              </w:rPr>
              <w:t>annexe III</w:t>
            </w:r>
            <w:r>
              <w:rPr>
                <w:b/>
                <w:bCs/>
              </w:rPr>
              <w:t xml:space="preserve"> du </w:t>
            </w:r>
            <w:r w:rsidRPr="00F20D99">
              <w:rPr>
                <w:b/>
                <w:bCs/>
              </w:rPr>
              <w:t>document ECE/TRANS/294, est également entré en vigueur.</w:t>
            </w:r>
          </w:p>
          <w:p w14:paraId="281B1BAF" w14:textId="4174DC31" w:rsidR="000661F7" w:rsidRPr="007C1380" w:rsidRDefault="000661F7" w:rsidP="0094269B">
            <w:pPr>
              <w:spacing w:before="40" w:after="120"/>
              <w:ind w:right="113"/>
            </w:pPr>
            <w:r w:rsidRPr="007C1380">
              <w:rPr>
                <w:lang w:val="fr-FR"/>
              </w:rPr>
              <w:t>À sa 109</w:t>
            </w:r>
            <w:r w:rsidRPr="007C1380">
              <w:rPr>
                <w:vertAlign w:val="superscript"/>
                <w:lang w:val="fr-FR"/>
              </w:rPr>
              <w:t>e</w:t>
            </w:r>
            <w:r w:rsidRPr="007C1380">
              <w:rPr>
                <w:lang w:val="fr-FR"/>
              </w:rPr>
              <w:t xml:space="preserve"> session (mai 2021), le WP.15 a étudié une comparaison entre son règlement intérieur et celui adopté par le </w:t>
            </w:r>
            <w:r>
              <w:rPr>
                <w:lang w:val="fr-FR"/>
              </w:rPr>
              <w:t>Comité</w:t>
            </w:r>
            <w:r w:rsidRPr="007C1380">
              <w:rPr>
                <w:lang w:val="fr-FR"/>
              </w:rPr>
              <w:t xml:space="preserve"> (ECE/TRANS/WP.15/2021/2).</w:t>
            </w:r>
            <w:r w:rsidRPr="00F20D99">
              <w:rPr>
                <w:lang w:val="fr-FR"/>
              </w:rPr>
              <w:t xml:space="preserve"> </w:t>
            </w:r>
            <w:r w:rsidRPr="007C1380">
              <w:rPr>
                <w:lang w:val="fr-FR"/>
              </w:rPr>
              <w:t>Le</w:t>
            </w:r>
            <w:r w:rsidR="004770C6">
              <w:rPr>
                <w:lang w:val="fr-FR"/>
              </w:rPr>
              <w:t> </w:t>
            </w:r>
            <w:r w:rsidRPr="007C1380">
              <w:rPr>
                <w:lang w:val="fr-FR"/>
              </w:rPr>
              <w:t>WP.15 a conclu qu</w:t>
            </w:r>
            <w:r>
              <w:rPr>
                <w:lang w:val="fr-FR"/>
              </w:rPr>
              <w:t>’</w:t>
            </w:r>
            <w:r w:rsidRPr="007C1380">
              <w:rPr>
                <w:lang w:val="fr-FR"/>
              </w:rPr>
              <w:t>il n</w:t>
            </w:r>
            <w:r>
              <w:rPr>
                <w:lang w:val="fr-FR"/>
              </w:rPr>
              <w:t>’</w:t>
            </w:r>
            <w:r w:rsidRPr="007C1380">
              <w:rPr>
                <w:lang w:val="fr-FR"/>
              </w:rPr>
              <w:t>était pas nécessaire de modifier immédiatement son règlement intérieur.</w:t>
            </w:r>
            <w:r w:rsidRPr="00F20D99">
              <w:rPr>
                <w:lang w:val="fr-FR"/>
              </w:rPr>
              <w:t xml:space="preserve"> </w:t>
            </w:r>
            <w:r w:rsidRPr="007C1380">
              <w:rPr>
                <w:lang w:val="fr-FR"/>
              </w:rPr>
              <w:t>Voir le rapport ECE/TRANS/WP.15/253, par. 58.</w:t>
            </w:r>
            <w:r w:rsidRPr="00F20D99">
              <w:rPr>
                <w:b/>
                <w:bCs/>
                <w:lang w:val="fr-FR"/>
              </w:rPr>
              <w:t xml:space="preserve"> À</w:t>
            </w:r>
            <w:r w:rsidR="004770C6">
              <w:rPr>
                <w:b/>
                <w:bCs/>
                <w:lang w:val="fr-FR"/>
              </w:rPr>
              <w:t> </w:t>
            </w:r>
            <w:r w:rsidRPr="00F20D99">
              <w:rPr>
                <w:b/>
                <w:bCs/>
                <w:lang w:val="fr-FR"/>
              </w:rPr>
              <w:t>sa trente-neuvième session (janvier 2022), le Comité de sécurité de l</w:t>
            </w:r>
            <w:r>
              <w:rPr>
                <w:b/>
                <w:bCs/>
                <w:lang w:val="fr-FR"/>
              </w:rPr>
              <w:t>’</w:t>
            </w:r>
            <w:r w:rsidRPr="00F20D99">
              <w:rPr>
                <w:b/>
                <w:bCs/>
                <w:lang w:val="fr-FR"/>
              </w:rPr>
              <w:t>ADN (WP.15/AC.2) a examiné et adopté son Règlement intérieur qui a été révisé à la quarantième session (août 2022) (voir ECE/TRANS/WP.15/AC.2/80/</w:t>
            </w:r>
            <w:r w:rsidR="004770C6">
              <w:rPr>
                <w:b/>
                <w:bCs/>
                <w:lang w:val="fr-FR"/>
              </w:rPr>
              <w:br/>
            </w:r>
            <w:r w:rsidRPr="00F20D99">
              <w:rPr>
                <w:b/>
                <w:bCs/>
                <w:lang w:val="fr-FR"/>
              </w:rPr>
              <w:t>Add.1/Rev.1).</w:t>
            </w:r>
          </w:p>
          <w:p w14:paraId="3301C80A" w14:textId="3D786A93" w:rsidR="000661F7" w:rsidRDefault="000661F7" w:rsidP="0094269B">
            <w:pPr>
              <w:spacing w:before="40" w:after="80"/>
              <w:ind w:right="113"/>
              <w:rPr>
                <w:b/>
                <w:bCs/>
              </w:rPr>
            </w:pPr>
            <w:r w:rsidRPr="007C1380">
              <w:rPr>
                <w:lang w:val="fr-FR"/>
              </w:rPr>
              <w:t>Le WP.11 a pris note du paragraphe</w:t>
            </w:r>
            <w:r w:rsidR="004770C6">
              <w:rPr>
                <w:lang w:val="fr-FR"/>
              </w:rPr>
              <w:t> </w:t>
            </w:r>
            <w:r w:rsidRPr="007C1380">
              <w:rPr>
                <w:lang w:val="fr-FR"/>
              </w:rPr>
              <w:t xml:space="preserve">18 du rapport ECE/TRANS/294 du </w:t>
            </w:r>
            <w:r>
              <w:rPr>
                <w:lang w:val="fr-FR"/>
              </w:rPr>
              <w:t>Comité</w:t>
            </w:r>
            <w:r w:rsidRPr="007C1380">
              <w:rPr>
                <w:lang w:val="fr-FR"/>
              </w:rPr>
              <w:t>, sur le règlement intérieur des groupes de travail.</w:t>
            </w:r>
            <w:r w:rsidRPr="00F20D99">
              <w:rPr>
                <w:lang w:val="fr-FR"/>
              </w:rPr>
              <w:t xml:space="preserve"> </w:t>
            </w:r>
            <w:r w:rsidRPr="007C1380">
              <w:rPr>
                <w:lang w:val="fr-FR"/>
              </w:rPr>
              <w:t>Afin de faire en sorte que les règles régissant la participation à ses sessions et l</w:t>
            </w:r>
            <w:r>
              <w:rPr>
                <w:lang w:val="fr-FR"/>
              </w:rPr>
              <w:t>’</w:t>
            </w:r>
            <w:r w:rsidRPr="007C1380">
              <w:rPr>
                <w:lang w:val="fr-FR"/>
              </w:rPr>
              <w:t>adoption d</w:t>
            </w:r>
            <w:r>
              <w:rPr>
                <w:lang w:val="fr-FR"/>
              </w:rPr>
              <w:t>’</w:t>
            </w:r>
            <w:r w:rsidRPr="007C1380">
              <w:rPr>
                <w:lang w:val="fr-FR"/>
              </w:rPr>
              <w:t xml:space="preserve">amendements correspondent à celles récemment adoptées pour le </w:t>
            </w:r>
            <w:r>
              <w:rPr>
                <w:lang w:val="fr-FR"/>
              </w:rPr>
              <w:t>Comité</w:t>
            </w:r>
            <w:r w:rsidRPr="007C1380">
              <w:rPr>
                <w:lang w:val="fr-FR"/>
              </w:rPr>
              <w:t xml:space="preserve">, le WP.11 a demandé au secrétariat de faire pour la </w:t>
            </w:r>
            <w:r>
              <w:rPr>
                <w:lang w:val="fr-FR"/>
              </w:rPr>
              <w:t>session suivante</w:t>
            </w:r>
            <w:r w:rsidRPr="007C1380">
              <w:rPr>
                <w:lang w:val="fr-FR"/>
              </w:rPr>
              <w:t xml:space="preserve"> une comparaison entre le règlement intérieur du Comité </w:t>
            </w:r>
            <w:r w:rsidRPr="007C1380">
              <w:rPr>
                <w:lang w:val="fr-FR"/>
              </w:rPr>
              <w:lastRenderedPageBreak/>
              <w:t>et le sien sur ces points.</w:t>
            </w:r>
            <w:r>
              <w:t xml:space="preserve"> </w:t>
            </w:r>
            <w:r w:rsidRPr="000949B0">
              <w:rPr>
                <w:b/>
                <w:bCs/>
              </w:rPr>
              <w:t>À sa soixante-dix-huitième session (mai 2022) et après avoir examiné la comparaison établie par le secrétariat, le Groupe de travail a estimé qu</w:t>
            </w:r>
            <w:r>
              <w:rPr>
                <w:b/>
                <w:bCs/>
              </w:rPr>
              <w:t>’</w:t>
            </w:r>
            <w:r w:rsidRPr="000949B0">
              <w:rPr>
                <w:b/>
                <w:bCs/>
              </w:rPr>
              <w:t>il n</w:t>
            </w:r>
            <w:r>
              <w:rPr>
                <w:b/>
                <w:bCs/>
              </w:rPr>
              <w:t>’</w:t>
            </w:r>
            <w:r w:rsidRPr="000949B0">
              <w:rPr>
                <w:b/>
                <w:bCs/>
              </w:rPr>
              <w:t xml:space="preserve">était pas nécessaire de modifier immédiatement son Règlement intérieur. Les délégations </w:t>
            </w:r>
            <w:r>
              <w:rPr>
                <w:b/>
                <w:bCs/>
              </w:rPr>
              <w:t xml:space="preserve">qui </w:t>
            </w:r>
            <w:r w:rsidRPr="000949B0">
              <w:rPr>
                <w:b/>
                <w:bCs/>
              </w:rPr>
              <w:t>souhait</w:t>
            </w:r>
            <w:r>
              <w:rPr>
                <w:b/>
                <w:bCs/>
              </w:rPr>
              <w:t>eraie</w:t>
            </w:r>
            <w:r w:rsidRPr="000949B0">
              <w:rPr>
                <w:b/>
                <w:bCs/>
              </w:rPr>
              <w:t xml:space="preserve">nt présenter des propositions </w:t>
            </w:r>
            <w:r>
              <w:rPr>
                <w:b/>
                <w:bCs/>
              </w:rPr>
              <w:t>d’amendement a</w:t>
            </w:r>
            <w:r w:rsidRPr="000949B0">
              <w:rPr>
                <w:b/>
                <w:bCs/>
              </w:rPr>
              <w:t xml:space="preserve">u Règlement intérieur pourraient le faire sur la base du Règlement intérieur du </w:t>
            </w:r>
            <w:r>
              <w:rPr>
                <w:b/>
                <w:bCs/>
              </w:rPr>
              <w:t>Comité</w:t>
            </w:r>
            <w:r w:rsidRPr="000949B0">
              <w:rPr>
                <w:b/>
                <w:bCs/>
              </w:rPr>
              <w:t>.</w:t>
            </w:r>
          </w:p>
          <w:p w14:paraId="6663FBB3" w14:textId="58A89952" w:rsidR="000661F7" w:rsidRDefault="000661F7" w:rsidP="0094269B">
            <w:pPr>
              <w:spacing w:before="40" w:after="80"/>
              <w:ind w:right="113"/>
              <w:rPr>
                <w:b/>
                <w:bCs/>
                <w:spacing w:val="-4"/>
                <w:lang w:val="fr-FR"/>
              </w:rPr>
            </w:pPr>
            <w:r w:rsidRPr="00C33721">
              <w:rPr>
                <w:b/>
                <w:bCs/>
                <w:spacing w:val="-4"/>
                <w:lang w:val="fr-FR"/>
              </w:rPr>
              <w:t>À sa soixante-sixième session (12</w:t>
            </w:r>
            <w:r w:rsidR="004770C6">
              <w:rPr>
                <w:b/>
                <w:bCs/>
                <w:spacing w:val="-4"/>
                <w:lang w:val="fr-FR"/>
              </w:rPr>
              <w:noBreakHyphen/>
            </w:r>
            <w:r w:rsidRPr="00C33721">
              <w:rPr>
                <w:b/>
                <w:bCs/>
                <w:spacing w:val="-4"/>
                <w:lang w:val="fr-FR"/>
              </w:rPr>
              <w:t>14</w:t>
            </w:r>
            <w:r w:rsidR="004770C6">
              <w:rPr>
                <w:b/>
                <w:bCs/>
                <w:spacing w:val="-4"/>
                <w:lang w:val="fr-FR"/>
              </w:rPr>
              <w:t> </w:t>
            </w:r>
            <w:r w:rsidRPr="00C33721">
              <w:rPr>
                <w:b/>
                <w:bCs/>
                <w:spacing w:val="-4"/>
                <w:lang w:val="fr-FR"/>
              </w:rPr>
              <w:t>octobre 2022), le SC.3 a établi son nouveau Règlement intérieur (ECE/TRANS/SC.3/2022/14)</w:t>
            </w:r>
            <w:r>
              <w:rPr>
                <w:b/>
                <w:bCs/>
                <w:spacing w:val="-4"/>
                <w:lang w:val="fr-FR"/>
              </w:rPr>
              <w:t xml:space="preserve"> et </w:t>
            </w:r>
            <w:r w:rsidRPr="00C33721">
              <w:rPr>
                <w:b/>
                <w:bCs/>
                <w:spacing w:val="-4"/>
                <w:lang w:val="fr-FR"/>
              </w:rPr>
              <w:t xml:space="preserve">recommandé au </w:t>
            </w:r>
            <w:r>
              <w:rPr>
                <w:b/>
                <w:bCs/>
                <w:spacing w:val="-4"/>
                <w:lang w:val="fr-FR"/>
              </w:rPr>
              <w:t>Comité</w:t>
            </w:r>
            <w:r w:rsidRPr="00C33721">
              <w:rPr>
                <w:b/>
                <w:bCs/>
                <w:spacing w:val="-4"/>
                <w:lang w:val="fr-FR"/>
              </w:rPr>
              <w:t xml:space="preserve"> de l</w:t>
            </w:r>
            <w:r>
              <w:rPr>
                <w:b/>
                <w:bCs/>
                <w:spacing w:val="-4"/>
                <w:lang w:val="fr-FR"/>
              </w:rPr>
              <w:t>’</w:t>
            </w:r>
            <w:r w:rsidRPr="00C33721">
              <w:rPr>
                <w:b/>
                <w:bCs/>
                <w:spacing w:val="-4"/>
                <w:lang w:val="fr-FR"/>
              </w:rPr>
              <w:t>adopter à sa quatre-vingt-cinquième session.</w:t>
            </w:r>
          </w:p>
          <w:p w14:paraId="24BBFA97" w14:textId="77777777" w:rsidR="000661F7" w:rsidRDefault="000661F7" w:rsidP="0094269B">
            <w:pPr>
              <w:spacing w:before="40" w:after="80"/>
              <w:ind w:right="113"/>
            </w:pPr>
            <w:r w:rsidRPr="000949B0">
              <w:rPr>
                <w:b/>
                <w:bCs/>
                <w:spacing w:val="-4"/>
                <w:lang w:val="fr-FR"/>
              </w:rPr>
              <w:t xml:space="preserve">À sa soixante-cinquième session (octobre 2022), le WP.24 a établi son nouveau Règlement intérieur sur la base du dernier Règlement intérieur du </w:t>
            </w:r>
            <w:r>
              <w:rPr>
                <w:b/>
                <w:bCs/>
                <w:spacing w:val="-4"/>
                <w:lang w:val="fr-FR"/>
              </w:rPr>
              <w:t>Comité</w:t>
            </w:r>
            <w:r w:rsidRPr="000949B0">
              <w:rPr>
                <w:b/>
                <w:bCs/>
                <w:spacing w:val="-4"/>
                <w:lang w:val="fr-FR"/>
              </w:rPr>
              <w:t>. Ce Règlement du WP.24 est soumis à la quatre-vingt-cinquième session du Comité pour adoption.</w:t>
            </w:r>
            <w:r>
              <w:t xml:space="preserve"> </w:t>
            </w:r>
          </w:p>
          <w:p w14:paraId="5A89304C" w14:textId="77777777" w:rsidR="000661F7" w:rsidRPr="007C1380" w:rsidRDefault="000661F7" w:rsidP="0094269B">
            <w:pPr>
              <w:spacing w:before="40" w:after="80"/>
              <w:ind w:right="113"/>
              <w:rPr>
                <w:b/>
                <w:bCs/>
                <w:spacing w:val="-4"/>
                <w:lang w:val="fr-FR"/>
              </w:rPr>
            </w:pPr>
            <w:r w:rsidRPr="000949B0">
              <w:rPr>
                <w:b/>
                <w:bCs/>
                <w:spacing w:val="-4"/>
                <w:lang w:val="fr-FR"/>
              </w:rPr>
              <w:t>Voir la tâche 4.1 pour le</w:t>
            </w:r>
            <w:r>
              <w:rPr>
                <w:b/>
                <w:bCs/>
                <w:spacing w:val="-4"/>
                <w:lang w:val="fr-FR"/>
              </w:rPr>
              <w:t xml:space="preserve"> bilan </w:t>
            </w:r>
            <w:r w:rsidRPr="000949B0">
              <w:rPr>
                <w:b/>
                <w:bCs/>
                <w:spacing w:val="-4"/>
                <w:lang w:val="fr-FR"/>
              </w:rPr>
              <w:t>en ce qui concerne le SC.2</w:t>
            </w:r>
            <w:r>
              <w:rPr>
                <w:b/>
                <w:bCs/>
                <w:spacing w:val="-4"/>
                <w:lang w:val="fr-FR"/>
              </w:rPr>
              <w:t xml:space="preserve"> </w:t>
            </w:r>
            <w:r w:rsidRPr="000949B0">
              <w:rPr>
                <w:b/>
                <w:bCs/>
                <w:spacing w:val="-4"/>
                <w:lang w:val="fr-FR"/>
              </w:rPr>
              <w:t>dans ce domaine.</w:t>
            </w:r>
          </w:p>
        </w:tc>
        <w:tc>
          <w:tcPr>
            <w:tcW w:w="2500" w:type="dxa"/>
            <w:shd w:val="clear" w:color="auto" w:fill="auto"/>
          </w:tcPr>
          <w:p w14:paraId="5C0EAB59" w14:textId="272A3BEB" w:rsidR="000661F7" w:rsidRPr="00ED06D8" w:rsidRDefault="000661F7" w:rsidP="0094269B">
            <w:pPr>
              <w:spacing w:before="40" w:after="80"/>
              <w:ind w:right="113"/>
              <w:rPr>
                <w:lang w:val="fr-FR"/>
              </w:rPr>
            </w:pPr>
            <w:r>
              <w:rPr>
                <w:lang w:val="fr-FR"/>
              </w:rPr>
              <w:lastRenderedPageBreak/>
              <w:t xml:space="preserve">Promouvoir et appuyer le mandat du Comité de sorte qu’il soit examiné d’un œil favorable par </w:t>
            </w:r>
            <w:r w:rsidRPr="007C1380">
              <w:rPr>
                <w:b/>
                <w:bCs/>
                <w:lang w:val="fr-FR"/>
              </w:rPr>
              <w:t xml:space="preserve">le Conseil économique et social </w:t>
            </w:r>
            <w:r w:rsidRPr="00C33721">
              <w:rPr>
                <w:b/>
                <w:bCs/>
                <w:lang w:val="fr-FR"/>
              </w:rPr>
              <w:t xml:space="preserve">puis </w:t>
            </w:r>
            <w:r>
              <w:rPr>
                <w:b/>
                <w:bCs/>
                <w:lang w:val="fr-FR"/>
              </w:rPr>
              <w:t>appliqué</w:t>
            </w:r>
            <w:r w:rsidRPr="00C33721">
              <w:rPr>
                <w:b/>
                <w:bCs/>
                <w:lang w:val="fr-FR"/>
              </w:rPr>
              <w:t xml:space="preserve"> (voir l</w:t>
            </w:r>
            <w:r>
              <w:rPr>
                <w:b/>
                <w:bCs/>
                <w:lang w:val="fr-FR"/>
              </w:rPr>
              <w:t>’</w:t>
            </w:r>
            <w:r w:rsidRPr="00C33721">
              <w:rPr>
                <w:b/>
                <w:bCs/>
                <w:lang w:val="fr-FR"/>
              </w:rPr>
              <w:t>état d</w:t>
            </w:r>
            <w:r>
              <w:rPr>
                <w:b/>
                <w:bCs/>
                <w:lang w:val="fr-FR"/>
              </w:rPr>
              <w:t>’</w:t>
            </w:r>
            <w:r w:rsidRPr="00C33721">
              <w:rPr>
                <w:b/>
                <w:bCs/>
                <w:lang w:val="fr-FR"/>
              </w:rPr>
              <w:t>avancement). Dans le prolongement</w:t>
            </w:r>
            <w:r>
              <w:rPr>
                <w:b/>
                <w:bCs/>
                <w:lang w:val="fr-FR"/>
              </w:rPr>
              <w:t> :</w:t>
            </w:r>
            <w:r w:rsidRPr="00C33721">
              <w:rPr>
                <w:b/>
                <w:bCs/>
                <w:lang w:val="fr-FR"/>
              </w:rPr>
              <w:t xml:space="preserve"> rendre opérationnels le mandat et le Règlement intérieur du Comité et </w:t>
            </w:r>
            <w:r>
              <w:rPr>
                <w:b/>
                <w:bCs/>
                <w:lang w:val="fr-FR"/>
              </w:rPr>
              <w:t>faire procéder aux</w:t>
            </w:r>
            <w:r w:rsidRPr="00C33721">
              <w:rPr>
                <w:b/>
                <w:bCs/>
                <w:lang w:val="fr-FR"/>
              </w:rPr>
              <w:t xml:space="preserve"> adaptations nécessaires </w:t>
            </w:r>
            <w:r>
              <w:rPr>
                <w:b/>
                <w:bCs/>
                <w:lang w:val="fr-FR"/>
              </w:rPr>
              <w:t>dans le</w:t>
            </w:r>
            <w:r w:rsidRPr="00C33721">
              <w:rPr>
                <w:b/>
                <w:bCs/>
                <w:lang w:val="fr-FR"/>
              </w:rPr>
              <w:t xml:space="preserve"> mandat et </w:t>
            </w:r>
            <w:r>
              <w:rPr>
                <w:b/>
                <w:bCs/>
                <w:lang w:val="fr-FR"/>
              </w:rPr>
              <w:t xml:space="preserve">le </w:t>
            </w:r>
            <w:r w:rsidRPr="00C33721">
              <w:rPr>
                <w:b/>
                <w:bCs/>
                <w:lang w:val="fr-FR"/>
              </w:rPr>
              <w:t xml:space="preserve">Règlement intérieur par les </w:t>
            </w:r>
            <w:r w:rsidRPr="00114B48">
              <w:rPr>
                <w:b/>
                <w:bCs/>
                <w:lang w:val="fr-FR"/>
              </w:rPr>
              <w:t>organes subsidiaires</w:t>
            </w:r>
            <w:r w:rsidRPr="00C33721">
              <w:rPr>
                <w:b/>
                <w:bCs/>
                <w:lang w:val="fr-FR"/>
              </w:rPr>
              <w:t xml:space="preserve"> du Comité</w:t>
            </w:r>
            <w:r w:rsidRPr="00937BDD">
              <w:rPr>
                <w:rStyle w:val="Appelnotedebasdep"/>
              </w:rPr>
              <w:footnoteReference w:id="2"/>
            </w:r>
          </w:p>
        </w:tc>
        <w:tc>
          <w:tcPr>
            <w:tcW w:w="1667" w:type="dxa"/>
            <w:shd w:val="clear" w:color="auto" w:fill="auto"/>
          </w:tcPr>
          <w:p w14:paraId="39D06A12" w14:textId="77777777" w:rsidR="000661F7" w:rsidRPr="0067484D" w:rsidRDefault="000661F7" w:rsidP="0094269B">
            <w:pPr>
              <w:spacing w:before="40" w:after="80"/>
              <w:ind w:right="113"/>
            </w:pPr>
            <w:r>
              <w:rPr>
                <w:lang w:val="fr-FR"/>
              </w:rPr>
              <w:t xml:space="preserve">Le secrétariat du Comité </w:t>
            </w:r>
          </w:p>
        </w:tc>
      </w:tr>
      <w:tr w:rsidR="000661F7" w:rsidRPr="00D466A5" w14:paraId="4570BF69" w14:textId="77777777" w:rsidTr="0094269B">
        <w:tc>
          <w:tcPr>
            <w:tcW w:w="500" w:type="dxa"/>
            <w:shd w:val="clear" w:color="auto" w:fill="auto"/>
          </w:tcPr>
          <w:p w14:paraId="1768B12C" w14:textId="77777777" w:rsidR="000661F7" w:rsidRPr="0067484D" w:rsidRDefault="000661F7" w:rsidP="0094269B">
            <w:pPr>
              <w:spacing w:before="40" w:after="80"/>
              <w:ind w:right="113"/>
            </w:pPr>
            <w:r>
              <w:rPr>
                <w:lang w:val="fr-FR"/>
              </w:rPr>
              <w:lastRenderedPageBreak/>
              <w:t>4.4</w:t>
            </w:r>
          </w:p>
        </w:tc>
        <w:tc>
          <w:tcPr>
            <w:tcW w:w="1778" w:type="dxa"/>
            <w:shd w:val="clear" w:color="auto" w:fill="auto"/>
          </w:tcPr>
          <w:p w14:paraId="2661A041" w14:textId="77777777" w:rsidR="000661F7" w:rsidRPr="00ED06D8" w:rsidRDefault="000661F7" w:rsidP="0094269B">
            <w:pPr>
              <w:spacing w:before="40" w:after="80"/>
              <w:ind w:right="113"/>
              <w:rPr>
                <w:lang w:val="fr-FR"/>
              </w:rPr>
            </w:pPr>
            <w:r>
              <w:rPr>
                <w:lang w:val="fr-FR"/>
              </w:rPr>
              <w:t>Promouvoir la mise en application de la Stratégie</w:t>
            </w:r>
          </w:p>
        </w:tc>
        <w:tc>
          <w:tcPr>
            <w:tcW w:w="3194" w:type="dxa"/>
            <w:shd w:val="clear" w:color="auto" w:fill="auto"/>
          </w:tcPr>
          <w:p w14:paraId="0A4DAB18" w14:textId="63B84DCD" w:rsidR="000661F7" w:rsidRPr="00173EA7" w:rsidRDefault="000661F7" w:rsidP="0094269B">
            <w:pPr>
              <w:spacing w:before="40" w:after="80"/>
              <w:ind w:right="113"/>
              <w:rPr>
                <w:lang w:val="fr-FR"/>
              </w:rPr>
            </w:pPr>
            <w:r w:rsidRPr="007C1380">
              <w:rPr>
                <w:rFonts w:eastAsia="Times New Roman"/>
                <w:lang w:val="fr-FR" w:eastAsia="fr-FR"/>
              </w:rPr>
              <w:t>Les groupes de travail s</w:t>
            </w:r>
            <w:r>
              <w:rPr>
                <w:rFonts w:eastAsia="Times New Roman"/>
                <w:lang w:val="fr-FR" w:eastAsia="fr-FR"/>
              </w:rPr>
              <w:t>’s’emploient activement à mettre</w:t>
            </w:r>
            <w:r w:rsidRPr="007C1380">
              <w:rPr>
                <w:rFonts w:eastAsia="Times New Roman"/>
                <w:lang w:val="fr-FR" w:eastAsia="fr-FR"/>
              </w:rPr>
              <w:t xml:space="preserve"> la Stratégie</w:t>
            </w:r>
            <w:r>
              <w:rPr>
                <w:rFonts w:eastAsia="Times New Roman"/>
                <w:lang w:val="fr-FR" w:eastAsia="fr-FR"/>
              </w:rPr>
              <w:t xml:space="preserve"> en application</w:t>
            </w:r>
            <w:r w:rsidRPr="007C1380">
              <w:rPr>
                <w:rFonts w:eastAsia="Times New Roman"/>
                <w:lang w:val="fr-FR" w:eastAsia="fr-FR"/>
              </w:rPr>
              <w:t>.</w:t>
            </w:r>
            <w:r w:rsidRPr="00173EA7">
              <w:rPr>
                <w:rFonts w:eastAsia="Times New Roman"/>
                <w:lang w:val="fr-FR" w:eastAsia="fr-FR"/>
              </w:rPr>
              <w:t xml:space="preserve"> </w:t>
            </w:r>
            <w:r w:rsidRPr="00173EA7">
              <w:rPr>
                <w:rFonts w:eastAsia="Times New Roman"/>
                <w:b/>
                <w:bCs/>
                <w:lang w:val="fr-FR" w:eastAsia="fr-FR"/>
              </w:rPr>
              <w:t xml:space="preserve">Les </w:t>
            </w:r>
            <w:r>
              <w:rPr>
                <w:rFonts w:eastAsia="Times New Roman"/>
                <w:b/>
                <w:bCs/>
                <w:lang w:val="fr-FR" w:eastAsia="fr-FR"/>
              </w:rPr>
              <w:t>Pr</w:t>
            </w:r>
            <w:r w:rsidRPr="00173EA7">
              <w:rPr>
                <w:rFonts w:eastAsia="Times New Roman"/>
                <w:b/>
                <w:bCs/>
                <w:lang w:val="fr-FR" w:eastAsia="fr-FR"/>
              </w:rPr>
              <w:t xml:space="preserve">ésidents des groupes de travail ont été </w:t>
            </w:r>
            <w:r w:rsidRPr="00F42044">
              <w:rPr>
                <w:rFonts w:eastAsia="Times New Roman"/>
                <w:b/>
                <w:bCs/>
                <w:lang w:val="fr-FR" w:eastAsia="fr-FR"/>
              </w:rPr>
              <w:t>invités à continuer d’appliquer les mes</w:t>
            </w:r>
            <w:r w:rsidRPr="00173EA7">
              <w:rPr>
                <w:rFonts w:eastAsia="Times New Roman"/>
                <w:b/>
                <w:bCs/>
                <w:lang w:val="fr-FR" w:eastAsia="fr-FR"/>
              </w:rPr>
              <w:t xml:space="preserve">ures approuvées par le Comité à sa quatre-vingt-troisième session et maintenues inchangées à sa quatre-vingt-quatrième session pour faire </w:t>
            </w:r>
            <w:r>
              <w:rPr>
                <w:rFonts w:eastAsia="Times New Roman"/>
                <w:b/>
                <w:bCs/>
                <w:lang w:val="fr-FR" w:eastAsia="fr-FR"/>
              </w:rPr>
              <w:t>progresser</w:t>
            </w:r>
            <w:r w:rsidRPr="00173EA7">
              <w:rPr>
                <w:rFonts w:eastAsia="Times New Roman"/>
                <w:b/>
                <w:bCs/>
                <w:lang w:val="fr-FR" w:eastAsia="fr-FR"/>
              </w:rPr>
              <w:t xml:space="preserve"> la mise en </w:t>
            </w:r>
            <w:r>
              <w:rPr>
                <w:rFonts w:eastAsia="Times New Roman"/>
                <w:b/>
                <w:bCs/>
                <w:lang w:val="fr-FR" w:eastAsia="fr-FR"/>
              </w:rPr>
              <w:t>application</w:t>
            </w:r>
            <w:r w:rsidRPr="00173EA7">
              <w:rPr>
                <w:rFonts w:eastAsia="Times New Roman"/>
                <w:b/>
                <w:bCs/>
                <w:lang w:val="fr-FR" w:eastAsia="fr-FR"/>
              </w:rPr>
              <w:t xml:space="preserve"> de la Stratégie. Comme en 2021, une nouvelle lettre a été envoyée aux présidents </w:t>
            </w:r>
            <w:r>
              <w:rPr>
                <w:rFonts w:eastAsia="Times New Roman"/>
                <w:b/>
                <w:bCs/>
                <w:lang w:val="fr-FR" w:eastAsia="fr-FR"/>
              </w:rPr>
              <w:t xml:space="preserve">le </w:t>
            </w:r>
            <w:r w:rsidRPr="00173EA7">
              <w:rPr>
                <w:rFonts w:eastAsia="Times New Roman"/>
                <w:b/>
                <w:bCs/>
                <w:lang w:val="fr-FR" w:eastAsia="fr-FR"/>
              </w:rPr>
              <w:t>3 mai 202</w:t>
            </w:r>
            <w:r>
              <w:rPr>
                <w:rFonts w:eastAsia="Times New Roman"/>
                <w:b/>
                <w:bCs/>
                <w:lang w:val="fr-FR" w:eastAsia="fr-FR"/>
              </w:rPr>
              <w:t>2</w:t>
            </w:r>
            <w:r w:rsidRPr="00173EA7">
              <w:rPr>
                <w:rFonts w:eastAsia="Times New Roman"/>
                <w:b/>
                <w:bCs/>
                <w:lang w:val="fr-FR" w:eastAsia="fr-FR"/>
              </w:rPr>
              <w:t xml:space="preserve"> pour les inviter à </w:t>
            </w:r>
            <w:r>
              <w:rPr>
                <w:rFonts w:eastAsia="Times New Roman"/>
                <w:b/>
                <w:bCs/>
                <w:lang w:val="fr-FR" w:eastAsia="fr-FR"/>
              </w:rPr>
              <w:t>continuer d’appliquer</w:t>
            </w:r>
            <w:r w:rsidRPr="00173EA7">
              <w:rPr>
                <w:rFonts w:eastAsia="Times New Roman"/>
                <w:b/>
                <w:bCs/>
                <w:lang w:val="fr-FR" w:eastAsia="fr-FR"/>
              </w:rPr>
              <w:t xml:space="preserve"> la Stratégie.</w:t>
            </w:r>
          </w:p>
        </w:tc>
        <w:tc>
          <w:tcPr>
            <w:tcW w:w="2500" w:type="dxa"/>
            <w:shd w:val="clear" w:color="auto" w:fill="auto"/>
          </w:tcPr>
          <w:p w14:paraId="60A96426" w14:textId="308DA829" w:rsidR="000661F7" w:rsidRPr="00C631A5" w:rsidRDefault="000661F7" w:rsidP="0094269B">
            <w:pPr>
              <w:spacing w:before="40" w:after="80"/>
              <w:ind w:right="113"/>
              <w:rPr>
                <w:spacing w:val="-2"/>
                <w:lang w:val="fr-FR"/>
              </w:rPr>
            </w:pPr>
            <w:r w:rsidRPr="004A4CCE">
              <w:rPr>
                <w:rFonts w:eastAsia="Times New Roman"/>
                <w:lang w:val="fr-FR" w:eastAsia="fr-FR"/>
              </w:rPr>
              <w:t>Les groupes de travail continueront à coordonner leur action et à organiser</w:t>
            </w:r>
            <w:r w:rsidRPr="00173EA7">
              <w:rPr>
                <w:rFonts w:eastAsia="Times New Roman"/>
                <w:lang w:val="fr-FR" w:eastAsia="fr-FR"/>
              </w:rPr>
              <w:t xml:space="preserve"> </w:t>
            </w:r>
            <w:r w:rsidRPr="00C631A5">
              <w:rPr>
                <w:spacing w:val="-2"/>
                <w:lang w:val="fr-FR"/>
              </w:rPr>
              <w:t xml:space="preserve">régulièrement des réunions </w:t>
            </w:r>
            <w:r w:rsidRPr="004B0CED">
              <w:rPr>
                <w:spacing w:val="-2"/>
                <w:lang w:val="fr-FR"/>
              </w:rPr>
              <w:t>pour que la Stratégie soit complètement appliquée et pour mettre leur action en conformité avec elle</w:t>
            </w:r>
            <w:r w:rsidRPr="00C631A5">
              <w:rPr>
                <w:spacing w:val="-2"/>
                <w:lang w:val="fr-FR"/>
              </w:rPr>
              <w:t xml:space="preserve">. Les </w:t>
            </w:r>
            <w:r>
              <w:rPr>
                <w:spacing w:val="-2"/>
                <w:lang w:val="fr-FR"/>
              </w:rPr>
              <w:t>président</w:t>
            </w:r>
            <w:r w:rsidRPr="00C631A5">
              <w:rPr>
                <w:spacing w:val="-2"/>
                <w:lang w:val="fr-FR"/>
              </w:rPr>
              <w:t xml:space="preserve">s des </w:t>
            </w:r>
            <w:r>
              <w:rPr>
                <w:spacing w:val="-2"/>
                <w:lang w:val="fr-FR"/>
              </w:rPr>
              <w:t>groupe</w:t>
            </w:r>
            <w:r w:rsidRPr="00C631A5">
              <w:rPr>
                <w:spacing w:val="-2"/>
                <w:lang w:val="fr-FR"/>
              </w:rPr>
              <w:t xml:space="preserve">s de travail et le Président du </w:t>
            </w:r>
            <w:r>
              <w:rPr>
                <w:spacing w:val="-2"/>
                <w:lang w:val="fr-FR"/>
              </w:rPr>
              <w:t>Comité</w:t>
            </w:r>
            <w:r w:rsidRPr="00C631A5">
              <w:rPr>
                <w:spacing w:val="-2"/>
                <w:lang w:val="fr-FR"/>
              </w:rPr>
              <w:t xml:space="preserve"> pourraient tenir des réunions (virtuelles) pour convenir d</w:t>
            </w:r>
            <w:r>
              <w:rPr>
                <w:spacing w:val="-2"/>
                <w:lang w:val="fr-FR"/>
              </w:rPr>
              <w:t>’</w:t>
            </w:r>
            <w:r w:rsidRPr="00C631A5">
              <w:rPr>
                <w:spacing w:val="-2"/>
                <w:lang w:val="fr-FR"/>
              </w:rPr>
              <w:t xml:space="preserve">activités ou de tâches communes. </w:t>
            </w:r>
          </w:p>
        </w:tc>
        <w:tc>
          <w:tcPr>
            <w:tcW w:w="1667" w:type="dxa"/>
            <w:shd w:val="clear" w:color="auto" w:fill="auto"/>
          </w:tcPr>
          <w:p w14:paraId="5D73FAFE" w14:textId="77777777" w:rsidR="000661F7" w:rsidRPr="00ED06D8" w:rsidRDefault="000661F7" w:rsidP="0094269B">
            <w:pPr>
              <w:spacing w:before="40" w:after="80"/>
              <w:ind w:right="113"/>
              <w:rPr>
                <w:lang w:val="fr-FR"/>
              </w:rPr>
            </w:pPr>
            <w:r>
              <w:rPr>
                <w:lang w:val="fr-FR"/>
              </w:rPr>
              <w:t xml:space="preserve">Le secrétariat du Comité et tous les secrétaires des groupes de travail </w:t>
            </w:r>
          </w:p>
        </w:tc>
      </w:tr>
      <w:tr w:rsidR="000661F7" w:rsidRPr="0067484D" w14:paraId="706E4766" w14:textId="77777777" w:rsidTr="0094269B">
        <w:tc>
          <w:tcPr>
            <w:tcW w:w="500" w:type="dxa"/>
            <w:shd w:val="clear" w:color="auto" w:fill="auto"/>
          </w:tcPr>
          <w:p w14:paraId="116BF085" w14:textId="77777777" w:rsidR="000661F7" w:rsidRPr="0067484D" w:rsidRDefault="000661F7" w:rsidP="0094269B">
            <w:pPr>
              <w:spacing w:before="40" w:after="100"/>
              <w:ind w:right="113"/>
            </w:pPr>
            <w:r>
              <w:rPr>
                <w:lang w:val="fr-FR"/>
              </w:rPr>
              <w:t>4.5</w:t>
            </w:r>
          </w:p>
        </w:tc>
        <w:tc>
          <w:tcPr>
            <w:tcW w:w="1778" w:type="dxa"/>
            <w:shd w:val="clear" w:color="auto" w:fill="auto"/>
          </w:tcPr>
          <w:p w14:paraId="74F6DBD4" w14:textId="77777777" w:rsidR="000661F7" w:rsidRPr="00ED06D8" w:rsidRDefault="000661F7" w:rsidP="0094269B">
            <w:pPr>
              <w:spacing w:before="40" w:after="100"/>
              <w:ind w:right="113"/>
              <w:rPr>
                <w:lang w:val="fr-FR"/>
              </w:rPr>
            </w:pPr>
            <w:r>
              <w:rPr>
                <w:lang w:val="fr-FR"/>
              </w:rPr>
              <w:t>Adapter la session annuelle du Comité si nécessaire</w:t>
            </w:r>
          </w:p>
        </w:tc>
        <w:tc>
          <w:tcPr>
            <w:tcW w:w="3194" w:type="dxa"/>
            <w:shd w:val="clear" w:color="auto" w:fill="auto"/>
          </w:tcPr>
          <w:p w14:paraId="3D5C5917" w14:textId="7664FAB9" w:rsidR="000661F7" w:rsidRPr="00ED06D8" w:rsidRDefault="000661F7" w:rsidP="0094269B">
            <w:pPr>
              <w:spacing w:before="40" w:after="100"/>
              <w:ind w:right="113"/>
              <w:rPr>
                <w:lang w:val="fr-FR"/>
              </w:rPr>
            </w:pPr>
            <w:r>
              <w:rPr>
                <w:lang w:val="fr-FR"/>
              </w:rPr>
              <w:t xml:space="preserve">L’ordre du jour du Comité a été adapté conformément aux priorités et au plan d’action définis dans le cadre de la Stratégie. Les points existants de l’ordre du jour ont été réorganisés compte tenu des priorités de la </w:t>
            </w:r>
            <w:r>
              <w:rPr>
                <w:lang w:val="fr-FR"/>
              </w:rPr>
              <w:lastRenderedPageBreak/>
              <w:t xml:space="preserve">Stratégie et de nouveaux points ont été ajoutés. </w:t>
            </w:r>
          </w:p>
          <w:p w14:paraId="1AD2919D" w14:textId="77777777" w:rsidR="000661F7" w:rsidRPr="00ED06D8" w:rsidRDefault="000661F7" w:rsidP="0094269B">
            <w:pPr>
              <w:spacing w:before="40" w:after="100"/>
              <w:ind w:right="113"/>
              <w:rPr>
                <w:lang w:val="fr-FR"/>
              </w:rPr>
            </w:pPr>
            <w:r>
              <w:rPr>
                <w:lang w:val="fr-FR"/>
              </w:rPr>
              <w:t>Voir aussi les tâches 5.18 et 5.19.</w:t>
            </w:r>
          </w:p>
        </w:tc>
        <w:tc>
          <w:tcPr>
            <w:tcW w:w="2500" w:type="dxa"/>
            <w:shd w:val="clear" w:color="auto" w:fill="auto"/>
          </w:tcPr>
          <w:p w14:paraId="1B28E7BD" w14:textId="232435B0" w:rsidR="000661F7" w:rsidRPr="00ED06D8" w:rsidRDefault="000661F7" w:rsidP="0094269B">
            <w:pPr>
              <w:spacing w:before="40" w:after="100"/>
              <w:ind w:right="113"/>
              <w:rPr>
                <w:lang w:val="fr-FR"/>
              </w:rPr>
            </w:pPr>
            <w:r>
              <w:rPr>
                <w:lang w:val="fr-FR"/>
              </w:rPr>
              <w:lastRenderedPageBreak/>
              <w:t>Continuer de réfléchir, avec le Bureau, aux modifications à apporter à l’organisation de la session du Comité pour mieux faciliter l’application de la Stratégie et la prise de décisions du Comité.</w:t>
            </w:r>
          </w:p>
        </w:tc>
        <w:tc>
          <w:tcPr>
            <w:tcW w:w="1667" w:type="dxa"/>
            <w:shd w:val="clear" w:color="auto" w:fill="auto"/>
          </w:tcPr>
          <w:p w14:paraId="0B4EFDE1" w14:textId="77777777" w:rsidR="000661F7" w:rsidRPr="0067484D" w:rsidRDefault="000661F7" w:rsidP="0094269B">
            <w:pPr>
              <w:spacing w:before="40" w:after="100"/>
              <w:ind w:right="113"/>
            </w:pPr>
            <w:r>
              <w:rPr>
                <w:lang w:val="fr-FR"/>
              </w:rPr>
              <w:t xml:space="preserve">Le secrétariat du Comité </w:t>
            </w:r>
          </w:p>
        </w:tc>
      </w:tr>
      <w:tr w:rsidR="000661F7" w:rsidRPr="00D466A5" w14:paraId="41832C0B" w14:textId="77777777" w:rsidTr="0094269B">
        <w:tc>
          <w:tcPr>
            <w:tcW w:w="500" w:type="dxa"/>
            <w:shd w:val="clear" w:color="auto" w:fill="auto"/>
          </w:tcPr>
          <w:p w14:paraId="51B609C4" w14:textId="77777777" w:rsidR="000661F7" w:rsidRPr="0067484D" w:rsidRDefault="000661F7" w:rsidP="0094269B">
            <w:pPr>
              <w:spacing w:before="40" w:after="120"/>
              <w:ind w:right="113"/>
            </w:pPr>
            <w:r>
              <w:rPr>
                <w:lang w:val="fr-FR"/>
              </w:rPr>
              <w:t>4.6</w:t>
            </w:r>
          </w:p>
        </w:tc>
        <w:tc>
          <w:tcPr>
            <w:tcW w:w="1778" w:type="dxa"/>
            <w:shd w:val="clear" w:color="auto" w:fill="auto"/>
          </w:tcPr>
          <w:p w14:paraId="4FA18BD4" w14:textId="295AB768" w:rsidR="000661F7" w:rsidRPr="00ED06D8" w:rsidRDefault="000661F7" w:rsidP="0094269B">
            <w:pPr>
              <w:spacing w:before="40" w:after="120"/>
              <w:ind w:right="113"/>
              <w:rPr>
                <w:lang w:val="fr-FR"/>
              </w:rPr>
            </w:pPr>
            <w:r>
              <w:rPr>
                <w:lang w:val="fr-FR"/>
              </w:rPr>
              <w:t>Tenir des consultations et nouer des relations de coopération avec d’autres commissions régionales de l’ONU</w:t>
            </w:r>
          </w:p>
        </w:tc>
        <w:tc>
          <w:tcPr>
            <w:tcW w:w="3194" w:type="dxa"/>
            <w:shd w:val="clear" w:color="auto" w:fill="auto"/>
          </w:tcPr>
          <w:p w14:paraId="037E25E0" w14:textId="4A1E6090" w:rsidR="000661F7" w:rsidRPr="00ED06D8" w:rsidRDefault="000661F7" w:rsidP="0094269B">
            <w:pPr>
              <w:spacing w:before="40" w:after="120"/>
              <w:ind w:right="113"/>
              <w:rPr>
                <w:lang w:val="fr-FR"/>
              </w:rPr>
            </w:pPr>
            <w:r>
              <w:rPr>
                <w:lang w:val="fr-FR"/>
              </w:rPr>
              <w:t>La Division des transports durables coopère activement avec d’autres commissions régionales de l’ONU. Le</w:t>
            </w:r>
            <w:r w:rsidR="00BB645B">
              <w:rPr>
                <w:lang w:val="fr-FR"/>
              </w:rPr>
              <w:t> </w:t>
            </w:r>
            <w:r>
              <w:rPr>
                <w:lang w:val="fr-FR"/>
              </w:rPr>
              <w:t xml:space="preserve">Directeur de la Division a fait connaître la Stratégie auprès de ses homologues d’autres commissions régionales et leur a proposé de mettre en place une coopération. La Division a associé d’autres commissions régionales à ses projets et initiatives. Toutes les commissions régionales ont participé au projet du Compte de l’ONU pour le développement sur l’élaboration d’indicateurs de connectivité pour des transports intérieurs durables et à la création de l’Observatoire sur l’état du franchissement des frontières en raison de la COVID-19, ainsi qu’à des activités relatives à la sécurité routière, notamment à des études de performance en matière de sécurité routière. La CEE et la Commission économique et sociale pour l’Asie et le Pacifique (CESAP) collaborent également sur la question de la connectivité des transports entre l’Europe et l’Asie. </w:t>
            </w:r>
          </w:p>
          <w:p w14:paraId="197FBE65" w14:textId="2AA39420" w:rsidR="000661F7" w:rsidRDefault="000661F7" w:rsidP="0094269B">
            <w:pPr>
              <w:spacing w:before="40" w:after="120"/>
              <w:ind w:right="113"/>
              <w:rPr>
                <w:lang w:val="fr-FR"/>
              </w:rPr>
            </w:pPr>
            <w:r>
              <w:rPr>
                <w:lang w:val="fr-FR"/>
              </w:rPr>
              <w:t>La Division des transports durables de la CEE et la Commission économique et sociale pour l’Asie occidentale (CESAO) œuvrent ensemble à la création de l’Observatoire international des infrastructures de transport.</w:t>
            </w:r>
          </w:p>
          <w:p w14:paraId="54B7EF20" w14:textId="39401156" w:rsidR="000661F7" w:rsidRPr="00B133B8" w:rsidRDefault="000661F7" w:rsidP="0094269B">
            <w:pPr>
              <w:kinsoku/>
              <w:overflowPunct/>
              <w:autoSpaceDE/>
              <w:autoSpaceDN/>
              <w:adjustRightInd/>
              <w:snapToGrid/>
              <w:spacing w:before="40" w:after="120"/>
              <w:ind w:right="113"/>
              <w:rPr>
                <w:rFonts w:eastAsia="Times New Roman"/>
                <w:bCs/>
                <w:lang w:eastAsia="fr-FR"/>
              </w:rPr>
            </w:pPr>
            <w:r w:rsidRPr="00B133B8">
              <w:rPr>
                <w:rFonts w:eastAsia="Times New Roman"/>
                <w:bCs/>
                <w:spacing w:val="-2"/>
                <w:lang w:val="fr-FR" w:eastAsia="fr-FR"/>
              </w:rPr>
              <w:t xml:space="preserve">La CEA, la CESAP et la CESAO ont participé à la quatre-vingt-troisième session du </w:t>
            </w:r>
            <w:r>
              <w:rPr>
                <w:rFonts w:eastAsia="Times New Roman"/>
                <w:bCs/>
                <w:spacing w:val="-2"/>
                <w:lang w:val="fr-FR" w:eastAsia="fr-FR"/>
              </w:rPr>
              <w:t>Comité</w:t>
            </w:r>
            <w:r w:rsidRPr="00B133B8">
              <w:rPr>
                <w:rFonts w:eastAsia="Times New Roman"/>
                <w:bCs/>
                <w:spacing w:val="-2"/>
                <w:lang w:val="fr-FR" w:eastAsia="fr-FR"/>
              </w:rPr>
              <w:t>.</w:t>
            </w:r>
            <w:r w:rsidRPr="00B133B8">
              <w:rPr>
                <w:rFonts w:eastAsia="Times New Roman"/>
                <w:bCs/>
                <w:lang w:val="fr-FR" w:eastAsia="fr-FR"/>
              </w:rPr>
              <w:t xml:space="preserve"> Dans le cadre du dialogue du </w:t>
            </w:r>
            <w:r>
              <w:rPr>
                <w:rFonts w:eastAsia="Times New Roman"/>
                <w:bCs/>
                <w:lang w:val="fr-FR" w:eastAsia="fr-FR"/>
              </w:rPr>
              <w:t>Comité</w:t>
            </w:r>
            <w:r w:rsidRPr="00B133B8">
              <w:rPr>
                <w:rFonts w:eastAsia="Times New Roman"/>
                <w:bCs/>
                <w:lang w:val="fr-FR" w:eastAsia="fr-FR"/>
              </w:rPr>
              <w:t xml:space="preserve"> avec les commissions régionales de l</w:t>
            </w:r>
            <w:r>
              <w:rPr>
                <w:rFonts w:eastAsia="Times New Roman"/>
                <w:bCs/>
                <w:lang w:val="fr-FR" w:eastAsia="fr-FR"/>
              </w:rPr>
              <w:t>’</w:t>
            </w:r>
            <w:r w:rsidRPr="00B133B8">
              <w:rPr>
                <w:rFonts w:eastAsia="Times New Roman"/>
                <w:bCs/>
                <w:lang w:val="fr-FR" w:eastAsia="fr-FR"/>
              </w:rPr>
              <w:t>ONU sur les activités en cours relatives aux transports intérieurs, la CESAP a informé le Comité de ce qui se passait dans sa région dans ce domaine.</w:t>
            </w:r>
          </w:p>
          <w:p w14:paraId="2F5D6E93" w14:textId="5121AA0A" w:rsidR="000661F7" w:rsidRDefault="000661F7" w:rsidP="0094269B">
            <w:pPr>
              <w:spacing w:before="40" w:after="120"/>
              <w:ind w:right="113"/>
              <w:rPr>
                <w:rFonts w:eastAsia="Times New Roman"/>
                <w:b/>
                <w:bCs/>
                <w:lang w:val="fr-FR" w:eastAsia="fr-FR"/>
              </w:rPr>
            </w:pPr>
            <w:r w:rsidRPr="00EB05E4">
              <w:rPr>
                <w:rFonts w:eastAsia="Times New Roman"/>
                <w:b/>
                <w:bCs/>
                <w:lang w:val="fr-FR" w:eastAsia="fr-FR"/>
              </w:rPr>
              <w:t>La CEA, la CEPALC, la CESAO et la CESAP ont participé à la quatre</w:t>
            </w:r>
            <w:r w:rsidR="005B46ED">
              <w:rPr>
                <w:rFonts w:eastAsia="Times New Roman"/>
                <w:b/>
                <w:bCs/>
                <w:lang w:val="fr-FR" w:eastAsia="fr-FR"/>
              </w:rPr>
              <w:noBreakHyphen/>
            </w:r>
            <w:r w:rsidRPr="00EB05E4">
              <w:rPr>
                <w:rFonts w:eastAsia="Times New Roman"/>
                <w:b/>
                <w:bCs/>
                <w:lang w:val="fr-FR" w:eastAsia="fr-FR"/>
              </w:rPr>
              <w:t xml:space="preserve">vingt-quatrième session du </w:t>
            </w:r>
            <w:r>
              <w:rPr>
                <w:rFonts w:eastAsia="Times New Roman"/>
                <w:b/>
                <w:bCs/>
                <w:lang w:val="fr-FR" w:eastAsia="fr-FR"/>
              </w:rPr>
              <w:t>Comité</w:t>
            </w:r>
            <w:r w:rsidRPr="00EB05E4">
              <w:rPr>
                <w:rFonts w:eastAsia="Times New Roman"/>
                <w:b/>
                <w:bCs/>
                <w:lang w:val="fr-FR" w:eastAsia="fr-FR"/>
              </w:rPr>
              <w:t xml:space="preserve"> et ont informé celui-ci des activités de transport intérieur dans leurs régions respectives, </w:t>
            </w:r>
            <w:r w:rsidRPr="00EB05E4">
              <w:rPr>
                <w:rFonts w:eastAsia="Times New Roman"/>
                <w:b/>
                <w:bCs/>
                <w:lang w:val="fr-FR" w:eastAsia="fr-FR"/>
              </w:rPr>
              <w:lastRenderedPageBreak/>
              <w:t>conformément au point 11 d) de l</w:t>
            </w:r>
            <w:r>
              <w:rPr>
                <w:rFonts w:eastAsia="Times New Roman"/>
                <w:b/>
                <w:bCs/>
                <w:lang w:val="fr-FR" w:eastAsia="fr-FR"/>
              </w:rPr>
              <w:t>’</w:t>
            </w:r>
            <w:r w:rsidRPr="00EB05E4">
              <w:rPr>
                <w:rFonts w:eastAsia="Times New Roman"/>
                <w:b/>
                <w:bCs/>
                <w:lang w:val="fr-FR" w:eastAsia="fr-FR"/>
              </w:rPr>
              <w:t>ordre du jour (ECE/TRANS/315).</w:t>
            </w:r>
          </w:p>
          <w:p w14:paraId="2E67CFFA" w14:textId="47147604" w:rsidR="000661F7" w:rsidRPr="00B133B8" w:rsidRDefault="000661F7" w:rsidP="0094269B">
            <w:pPr>
              <w:spacing w:before="40" w:after="120"/>
              <w:ind w:right="113"/>
              <w:rPr>
                <w:rFonts w:eastAsia="Times New Roman"/>
                <w:lang w:val="fr-FR" w:eastAsia="fr-FR"/>
              </w:rPr>
            </w:pPr>
            <w:r w:rsidRPr="00B133B8">
              <w:rPr>
                <w:rFonts w:eastAsia="Times New Roman"/>
                <w:lang w:val="fr-FR" w:eastAsia="fr-FR"/>
              </w:rPr>
              <w:t>Toutes les commissions régionales de l</w:t>
            </w:r>
            <w:r>
              <w:rPr>
                <w:rFonts w:eastAsia="Times New Roman"/>
                <w:lang w:val="fr-FR" w:eastAsia="fr-FR"/>
              </w:rPr>
              <w:t>’</w:t>
            </w:r>
            <w:r w:rsidRPr="00B133B8">
              <w:rPr>
                <w:rFonts w:eastAsia="Times New Roman"/>
                <w:lang w:val="fr-FR" w:eastAsia="fr-FR"/>
              </w:rPr>
              <w:t>ONU ont participé, à la session annuelle du WP.5 tenue en septembre 2021, au débat sur un point de l</w:t>
            </w:r>
            <w:r>
              <w:rPr>
                <w:rFonts w:eastAsia="Times New Roman"/>
                <w:lang w:val="fr-FR" w:eastAsia="fr-FR"/>
              </w:rPr>
              <w:t>’</w:t>
            </w:r>
            <w:r w:rsidRPr="00B133B8">
              <w:rPr>
                <w:rFonts w:eastAsia="Times New Roman"/>
                <w:lang w:val="fr-FR" w:eastAsia="fr-FR"/>
              </w:rPr>
              <w:t>ordre du jour consacré à des consultations sur la connectivité interrégionale durable des transports.</w:t>
            </w:r>
            <w:r w:rsidRPr="00EB05E4">
              <w:rPr>
                <w:rFonts w:eastAsia="Times New Roman"/>
                <w:lang w:val="fr-FR" w:eastAsia="fr-FR"/>
              </w:rPr>
              <w:t xml:space="preserve"> </w:t>
            </w:r>
            <w:r w:rsidRPr="00B133B8">
              <w:rPr>
                <w:rFonts w:eastAsia="Times New Roman"/>
                <w:lang w:val="fr-FR" w:eastAsia="fr-FR"/>
              </w:rPr>
              <w:t>Le WP.5 s</w:t>
            </w:r>
            <w:r>
              <w:rPr>
                <w:rFonts w:eastAsia="Times New Roman"/>
                <w:lang w:val="fr-FR" w:eastAsia="fr-FR"/>
              </w:rPr>
              <w:t>’</w:t>
            </w:r>
            <w:r w:rsidRPr="00B133B8">
              <w:rPr>
                <w:rFonts w:eastAsia="Times New Roman"/>
                <w:lang w:val="fr-FR" w:eastAsia="fr-FR"/>
              </w:rPr>
              <w:t>est félicité de ces consultations, estimant qu</w:t>
            </w:r>
            <w:r>
              <w:rPr>
                <w:rFonts w:eastAsia="Times New Roman"/>
                <w:lang w:val="fr-FR" w:eastAsia="fr-FR"/>
              </w:rPr>
              <w:t>’</w:t>
            </w:r>
            <w:r w:rsidRPr="00B133B8">
              <w:rPr>
                <w:rFonts w:eastAsia="Times New Roman"/>
                <w:lang w:val="fr-FR" w:eastAsia="fr-FR"/>
              </w:rPr>
              <w:t xml:space="preserve">elles avaient contribué à </w:t>
            </w:r>
            <w:r>
              <w:rPr>
                <w:rFonts w:eastAsia="Times New Roman"/>
                <w:lang w:val="fr-FR" w:eastAsia="fr-FR"/>
              </w:rPr>
              <w:t>l’application</w:t>
            </w:r>
            <w:r w:rsidRPr="00B133B8">
              <w:rPr>
                <w:rFonts w:eastAsia="Times New Roman"/>
                <w:lang w:val="fr-FR" w:eastAsia="fr-FR"/>
              </w:rPr>
              <w:t xml:space="preserve"> de la Stratégie du </w:t>
            </w:r>
            <w:r>
              <w:rPr>
                <w:rFonts w:eastAsia="Times New Roman"/>
                <w:lang w:val="fr-FR" w:eastAsia="fr-FR"/>
              </w:rPr>
              <w:t>Comité</w:t>
            </w:r>
            <w:r w:rsidRPr="00B133B8">
              <w:rPr>
                <w:rFonts w:eastAsia="Times New Roman"/>
                <w:lang w:val="fr-FR" w:eastAsia="fr-FR"/>
              </w:rPr>
              <w:t xml:space="preserve"> et en particulier de ses dispositions concernant la connectivité interrégionale. Il a invité le secrétariat à continuer à organiser et à faciliter de telles consultations sur des sujets ciblés d</w:t>
            </w:r>
            <w:r>
              <w:rPr>
                <w:rFonts w:eastAsia="Times New Roman"/>
                <w:lang w:val="fr-FR" w:eastAsia="fr-FR"/>
              </w:rPr>
              <w:t>’</w:t>
            </w:r>
            <w:r w:rsidRPr="00B133B8">
              <w:rPr>
                <w:rFonts w:eastAsia="Times New Roman"/>
                <w:lang w:val="fr-FR" w:eastAsia="fr-FR"/>
              </w:rPr>
              <w:t>intérêt interrégional, si possible en coopération avec les autres commissions régionales ainsi qu</w:t>
            </w:r>
            <w:r>
              <w:rPr>
                <w:rFonts w:eastAsia="Times New Roman"/>
                <w:lang w:val="fr-FR" w:eastAsia="fr-FR"/>
              </w:rPr>
              <w:t>’</w:t>
            </w:r>
            <w:r w:rsidRPr="00B133B8">
              <w:rPr>
                <w:rFonts w:eastAsia="Times New Roman"/>
                <w:lang w:val="fr-FR" w:eastAsia="fr-FR"/>
              </w:rPr>
              <w:t>avec d</w:t>
            </w:r>
            <w:r>
              <w:rPr>
                <w:rFonts w:eastAsia="Times New Roman"/>
                <w:lang w:val="fr-FR" w:eastAsia="fr-FR"/>
              </w:rPr>
              <w:t>’</w:t>
            </w:r>
            <w:r w:rsidRPr="00B133B8">
              <w:rPr>
                <w:rFonts w:eastAsia="Times New Roman"/>
                <w:lang w:val="fr-FR" w:eastAsia="fr-FR"/>
              </w:rPr>
              <w:t>autres organisations régionales et interrégionales et des représentants de projets pertinents.</w:t>
            </w:r>
          </w:p>
          <w:p w14:paraId="5FA263BD" w14:textId="51A6F7D1" w:rsidR="000661F7" w:rsidRDefault="000661F7" w:rsidP="0094269B">
            <w:pPr>
              <w:spacing w:before="40" w:after="120"/>
              <w:ind w:right="113"/>
              <w:rPr>
                <w:rFonts w:eastAsia="Times New Roman"/>
                <w:b/>
                <w:bCs/>
                <w:lang w:val="fr-FR" w:eastAsia="fr-FR"/>
              </w:rPr>
            </w:pPr>
            <w:r w:rsidRPr="007E2187">
              <w:rPr>
                <w:rFonts w:eastAsia="Times New Roman"/>
                <w:b/>
                <w:bCs/>
                <w:lang w:val="fr-FR" w:eastAsia="fr-FR"/>
              </w:rPr>
              <w:t>Un atelier sur l</w:t>
            </w:r>
            <w:r>
              <w:rPr>
                <w:rFonts w:eastAsia="Times New Roman"/>
                <w:b/>
                <w:bCs/>
                <w:lang w:val="fr-FR" w:eastAsia="fr-FR"/>
              </w:rPr>
              <w:t>’</w:t>
            </w:r>
            <w:r w:rsidRPr="007E2187">
              <w:rPr>
                <w:rFonts w:eastAsia="Times New Roman"/>
                <w:b/>
                <w:bCs/>
                <w:lang w:val="fr-FR" w:eastAsia="fr-FR"/>
              </w:rPr>
              <w:t>assurance transfrontière pour les véhicules à moteur a été organisé conjointement par la CEA, la CE</w:t>
            </w:r>
            <w:r>
              <w:rPr>
                <w:rFonts w:eastAsia="Times New Roman"/>
                <w:b/>
                <w:bCs/>
                <w:lang w:val="fr-FR" w:eastAsia="fr-FR"/>
              </w:rPr>
              <w:t>E,</w:t>
            </w:r>
            <w:r w:rsidRPr="007E2187">
              <w:rPr>
                <w:rFonts w:eastAsia="Times New Roman"/>
                <w:b/>
                <w:bCs/>
                <w:lang w:val="fr-FR" w:eastAsia="fr-FR"/>
              </w:rPr>
              <w:t xml:space="preserve"> la CEPALC, la CESAP et la CESAO, dans le cadre de la 117</w:t>
            </w:r>
            <w:r w:rsidRPr="00C33721">
              <w:rPr>
                <w:rFonts w:eastAsia="Times New Roman"/>
                <w:b/>
                <w:bCs/>
                <w:vertAlign w:val="superscript"/>
                <w:lang w:val="fr-FR" w:eastAsia="fr-FR"/>
              </w:rPr>
              <w:t>e</w:t>
            </w:r>
            <w:r>
              <w:rPr>
                <w:rFonts w:eastAsia="Times New Roman"/>
                <w:b/>
                <w:bCs/>
                <w:lang w:val="fr-FR" w:eastAsia="fr-FR"/>
              </w:rPr>
              <w:t> </w:t>
            </w:r>
            <w:r w:rsidRPr="007E2187">
              <w:rPr>
                <w:rFonts w:eastAsia="Times New Roman"/>
                <w:b/>
                <w:bCs/>
                <w:lang w:val="fr-FR" w:eastAsia="fr-FR"/>
              </w:rPr>
              <w:t>session du SC.1, le 19 octobre 2022. Les participants ont recommandé qu</w:t>
            </w:r>
            <w:r>
              <w:rPr>
                <w:rFonts w:eastAsia="Times New Roman"/>
                <w:b/>
                <w:bCs/>
                <w:lang w:val="fr-FR" w:eastAsia="fr-FR"/>
              </w:rPr>
              <w:t>’</w:t>
            </w:r>
            <w:r w:rsidRPr="007E2187">
              <w:rPr>
                <w:rFonts w:eastAsia="Times New Roman"/>
                <w:b/>
                <w:bCs/>
                <w:lang w:val="fr-FR" w:eastAsia="fr-FR"/>
              </w:rPr>
              <w:t>un autre atelier soit organisé en 2023 afin de poursuivre l</w:t>
            </w:r>
            <w:r>
              <w:rPr>
                <w:rFonts w:eastAsia="Times New Roman"/>
                <w:b/>
                <w:bCs/>
                <w:lang w:val="fr-FR" w:eastAsia="fr-FR"/>
              </w:rPr>
              <w:t>’</w:t>
            </w:r>
            <w:r w:rsidRPr="007E2187">
              <w:rPr>
                <w:rFonts w:eastAsia="Times New Roman"/>
                <w:b/>
                <w:bCs/>
                <w:lang w:val="fr-FR" w:eastAsia="fr-FR"/>
              </w:rPr>
              <w:t>échange d</w:t>
            </w:r>
            <w:r>
              <w:rPr>
                <w:rFonts w:eastAsia="Times New Roman"/>
                <w:b/>
                <w:bCs/>
                <w:lang w:val="fr-FR" w:eastAsia="fr-FR"/>
              </w:rPr>
              <w:t>’</w:t>
            </w:r>
            <w:r w:rsidRPr="007E2187">
              <w:rPr>
                <w:rFonts w:eastAsia="Times New Roman"/>
                <w:b/>
                <w:bCs/>
                <w:lang w:val="fr-FR" w:eastAsia="fr-FR"/>
              </w:rPr>
              <w:t>expériences et de recenser les problèmes communs et les solutions potentielles pour renforcer encore la coopération entre les systèmes de cartes</w:t>
            </w:r>
            <w:r>
              <w:rPr>
                <w:rFonts w:eastAsia="Times New Roman"/>
                <w:b/>
                <w:bCs/>
                <w:lang w:val="fr-FR" w:eastAsia="fr-FR"/>
              </w:rPr>
              <w:t xml:space="preserve"> d’assurance</w:t>
            </w:r>
            <w:r w:rsidRPr="007E2187">
              <w:rPr>
                <w:rFonts w:eastAsia="Times New Roman"/>
                <w:b/>
                <w:bCs/>
                <w:lang w:val="fr-FR" w:eastAsia="fr-FR"/>
              </w:rPr>
              <w:t>.</w:t>
            </w:r>
          </w:p>
          <w:p w14:paraId="73D93328" w14:textId="0A4B210E" w:rsidR="000661F7" w:rsidRDefault="000661F7" w:rsidP="0094269B">
            <w:pPr>
              <w:spacing w:before="40" w:after="120"/>
              <w:ind w:right="113"/>
              <w:rPr>
                <w:rFonts w:eastAsia="Times New Roman"/>
                <w:b/>
                <w:bCs/>
                <w:lang w:val="fr-FR" w:eastAsia="fr-FR"/>
              </w:rPr>
            </w:pPr>
            <w:r w:rsidRPr="007E2187">
              <w:rPr>
                <w:rFonts w:eastAsia="Times New Roman"/>
                <w:b/>
                <w:bCs/>
                <w:lang w:val="fr-FR" w:eastAsia="fr-FR"/>
              </w:rPr>
              <w:t>Le 5 septembre 2022, un atelier interrégional sur les possibilités et les difficultés de l</w:t>
            </w:r>
            <w:r>
              <w:rPr>
                <w:rFonts w:eastAsia="Times New Roman"/>
                <w:b/>
                <w:bCs/>
                <w:lang w:val="fr-FR" w:eastAsia="fr-FR"/>
              </w:rPr>
              <w:t>’</w:t>
            </w:r>
            <w:r w:rsidRPr="007E2187">
              <w:rPr>
                <w:rFonts w:eastAsia="Times New Roman"/>
                <w:b/>
                <w:bCs/>
                <w:lang w:val="fr-FR" w:eastAsia="fr-FR"/>
              </w:rPr>
              <w:t>électrification de la mobilité urbaine dans les domaines des transports, de l</w:t>
            </w:r>
            <w:r>
              <w:rPr>
                <w:rFonts w:eastAsia="Times New Roman"/>
                <w:b/>
                <w:bCs/>
                <w:lang w:val="fr-FR" w:eastAsia="fr-FR"/>
              </w:rPr>
              <w:t>’</w:t>
            </w:r>
            <w:r w:rsidRPr="007E2187">
              <w:rPr>
                <w:rFonts w:eastAsia="Times New Roman"/>
                <w:b/>
                <w:bCs/>
                <w:lang w:val="fr-FR" w:eastAsia="fr-FR"/>
              </w:rPr>
              <w:t>énergie et de l</w:t>
            </w:r>
            <w:r>
              <w:rPr>
                <w:rFonts w:eastAsia="Times New Roman"/>
                <w:b/>
                <w:bCs/>
                <w:lang w:val="fr-FR" w:eastAsia="fr-FR"/>
              </w:rPr>
              <w:t>’</w:t>
            </w:r>
            <w:r w:rsidRPr="007E2187">
              <w:rPr>
                <w:rFonts w:eastAsia="Times New Roman"/>
                <w:b/>
                <w:bCs/>
                <w:lang w:val="fr-FR" w:eastAsia="fr-FR"/>
              </w:rPr>
              <w:t>aménagement du territoire a été organisé dans le cadre du module d</w:t>
            </w:r>
            <w:r>
              <w:rPr>
                <w:rFonts w:eastAsia="Times New Roman"/>
                <w:b/>
                <w:bCs/>
                <w:lang w:val="fr-FR" w:eastAsia="fr-FR"/>
              </w:rPr>
              <w:t>’</w:t>
            </w:r>
            <w:r w:rsidRPr="007E2187">
              <w:rPr>
                <w:rFonts w:eastAsia="Times New Roman"/>
                <w:b/>
                <w:bCs/>
                <w:lang w:val="fr-FR" w:eastAsia="fr-FR"/>
              </w:rPr>
              <w:t>activités du Groupe de travail consacré à la mobilité urbain</w:t>
            </w:r>
            <w:r>
              <w:rPr>
                <w:rFonts w:eastAsia="Times New Roman"/>
                <w:b/>
                <w:bCs/>
                <w:lang w:val="fr-FR" w:eastAsia="fr-FR"/>
              </w:rPr>
              <w:t>e,</w:t>
            </w:r>
            <w:r w:rsidRPr="007E2187">
              <w:rPr>
                <w:rFonts w:eastAsia="Times New Roman"/>
                <w:b/>
                <w:bCs/>
                <w:lang w:val="fr-FR" w:eastAsia="fr-FR"/>
              </w:rPr>
              <w:t xml:space="preserve"> au cyclisme et aux transports publics durables. À la CE</w:t>
            </w:r>
            <w:r>
              <w:rPr>
                <w:rFonts w:eastAsia="Times New Roman"/>
                <w:b/>
                <w:bCs/>
                <w:lang w:val="fr-FR" w:eastAsia="fr-FR"/>
              </w:rPr>
              <w:t>E,</w:t>
            </w:r>
            <w:r w:rsidRPr="007E2187">
              <w:rPr>
                <w:rFonts w:eastAsia="Times New Roman"/>
                <w:b/>
                <w:bCs/>
                <w:lang w:val="fr-FR" w:eastAsia="fr-FR"/>
              </w:rPr>
              <w:t xml:space="preserve"> l</w:t>
            </w:r>
            <w:r>
              <w:rPr>
                <w:rFonts w:eastAsia="Times New Roman"/>
                <w:b/>
                <w:bCs/>
                <w:lang w:val="fr-FR" w:eastAsia="fr-FR"/>
              </w:rPr>
              <w:t>’</w:t>
            </w:r>
            <w:r w:rsidRPr="007E2187">
              <w:rPr>
                <w:rFonts w:eastAsia="Times New Roman"/>
                <w:b/>
                <w:bCs/>
                <w:lang w:val="fr-FR" w:eastAsia="fr-FR"/>
              </w:rPr>
              <w:t>atelier a été coorganisé par la Division des transports durables, la Division de l</w:t>
            </w:r>
            <w:r>
              <w:rPr>
                <w:rFonts w:eastAsia="Times New Roman"/>
                <w:b/>
                <w:bCs/>
                <w:lang w:val="fr-FR" w:eastAsia="fr-FR"/>
              </w:rPr>
              <w:t>’</w:t>
            </w:r>
            <w:r w:rsidRPr="007E2187">
              <w:rPr>
                <w:rFonts w:eastAsia="Times New Roman"/>
                <w:b/>
                <w:bCs/>
                <w:lang w:val="fr-FR" w:eastAsia="fr-FR"/>
              </w:rPr>
              <w:t xml:space="preserve">énergie durable et la </w:t>
            </w:r>
            <w:r w:rsidRPr="007E2187">
              <w:rPr>
                <w:rFonts w:eastAsia="Times New Roman"/>
                <w:b/>
                <w:bCs/>
                <w:lang w:val="fr-FR" w:eastAsia="fr-FR"/>
              </w:rPr>
              <w:lastRenderedPageBreak/>
              <w:t>Section du logement et de l</w:t>
            </w:r>
            <w:r>
              <w:rPr>
                <w:rFonts w:eastAsia="Times New Roman"/>
                <w:b/>
                <w:bCs/>
                <w:lang w:val="fr-FR" w:eastAsia="fr-FR"/>
              </w:rPr>
              <w:t>’</w:t>
            </w:r>
            <w:r w:rsidRPr="007E2187">
              <w:rPr>
                <w:rFonts w:eastAsia="Times New Roman"/>
                <w:b/>
                <w:bCs/>
                <w:lang w:val="fr-FR" w:eastAsia="fr-FR"/>
              </w:rPr>
              <w:t>aménagement du territoire. L</w:t>
            </w:r>
            <w:r>
              <w:rPr>
                <w:rFonts w:eastAsia="Times New Roman"/>
                <w:b/>
                <w:bCs/>
                <w:lang w:val="fr-FR" w:eastAsia="fr-FR"/>
              </w:rPr>
              <w:t>’</w:t>
            </w:r>
            <w:r w:rsidRPr="007E2187">
              <w:rPr>
                <w:rFonts w:eastAsia="Times New Roman"/>
                <w:b/>
                <w:bCs/>
                <w:lang w:val="fr-FR" w:eastAsia="fr-FR"/>
              </w:rPr>
              <w:t xml:space="preserve">atelier a </w:t>
            </w:r>
            <w:r>
              <w:rPr>
                <w:rFonts w:eastAsia="Times New Roman"/>
                <w:b/>
                <w:bCs/>
                <w:lang w:val="fr-FR" w:eastAsia="fr-FR"/>
              </w:rPr>
              <w:t xml:space="preserve">également </w:t>
            </w:r>
            <w:r w:rsidRPr="007E2187">
              <w:rPr>
                <w:rFonts w:eastAsia="Times New Roman"/>
                <w:b/>
                <w:bCs/>
                <w:lang w:val="fr-FR" w:eastAsia="fr-FR"/>
              </w:rPr>
              <w:t>été soutenu par les quatre autres commissions régionales de l</w:t>
            </w:r>
            <w:r>
              <w:rPr>
                <w:rFonts w:eastAsia="Times New Roman"/>
                <w:b/>
                <w:bCs/>
                <w:lang w:val="fr-FR" w:eastAsia="fr-FR"/>
              </w:rPr>
              <w:t>’</w:t>
            </w:r>
            <w:r w:rsidRPr="007E2187">
              <w:rPr>
                <w:rFonts w:eastAsia="Times New Roman"/>
                <w:b/>
                <w:bCs/>
                <w:lang w:val="fr-FR" w:eastAsia="fr-FR"/>
              </w:rPr>
              <w:t>ONU</w:t>
            </w:r>
            <w:r>
              <w:rPr>
                <w:rFonts w:eastAsia="Times New Roman"/>
                <w:b/>
                <w:bCs/>
                <w:lang w:val="fr-FR" w:eastAsia="fr-FR"/>
              </w:rPr>
              <w:t> :</w:t>
            </w:r>
            <w:r w:rsidRPr="007E2187">
              <w:rPr>
                <w:rFonts w:eastAsia="Times New Roman"/>
                <w:b/>
                <w:bCs/>
                <w:lang w:val="fr-FR" w:eastAsia="fr-FR"/>
              </w:rPr>
              <w:t xml:space="preserve"> CESAP, CESAO, CEA et CEPALC.</w:t>
            </w:r>
          </w:p>
          <w:p w14:paraId="1E835F9A" w14:textId="06DD37A1" w:rsidR="000661F7" w:rsidRPr="00D63499" w:rsidRDefault="000661F7" w:rsidP="0094269B">
            <w:pPr>
              <w:spacing w:before="40" w:after="120"/>
              <w:ind w:right="113"/>
              <w:rPr>
                <w:rFonts w:eastAsia="Times New Roman"/>
                <w:b/>
                <w:bCs/>
                <w:lang w:val="fr-FR" w:eastAsia="fr-FR"/>
              </w:rPr>
            </w:pPr>
            <w:r w:rsidRPr="007E2187">
              <w:rPr>
                <w:rFonts w:eastAsia="Times New Roman"/>
                <w:b/>
                <w:bCs/>
                <w:lang w:val="fr-FR" w:eastAsia="fr-FR"/>
              </w:rPr>
              <w:t>Les centres régionaux ont été invités et ont participé aux exposés et ateliers régionaux de LearnITC</w:t>
            </w:r>
            <w:r>
              <w:rPr>
                <w:rFonts w:eastAsia="Times New Roman"/>
                <w:b/>
                <w:bCs/>
                <w:lang w:val="fr-FR" w:eastAsia="fr-FR"/>
              </w:rPr>
              <w:t>,</w:t>
            </w:r>
            <w:r w:rsidRPr="007E2187">
              <w:rPr>
                <w:rFonts w:eastAsia="Times New Roman"/>
                <w:b/>
                <w:bCs/>
                <w:lang w:val="fr-FR" w:eastAsia="fr-FR"/>
              </w:rPr>
              <w:t xml:space="preserve"> la plateforme d</w:t>
            </w:r>
            <w:r>
              <w:rPr>
                <w:rFonts w:eastAsia="Times New Roman"/>
                <w:b/>
                <w:bCs/>
                <w:lang w:val="fr-FR" w:eastAsia="fr-FR"/>
              </w:rPr>
              <w:t>’</w:t>
            </w:r>
            <w:r w:rsidRPr="007E2187">
              <w:rPr>
                <w:rFonts w:eastAsia="Times New Roman"/>
                <w:b/>
                <w:bCs/>
                <w:lang w:val="fr-FR" w:eastAsia="fr-FR"/>
              </w:rPr>
              <w:t>apprentissage en ligne sur la connectivité des transports intérieurs et du commerce.</w:t>
            </w:r>
          </w:p>
        </w:tc>
        <w:tc>
          <w:tcPr>
            <w:tcW w:w="2500" w:type="dxa"/>
            <w:shd w:val="clear" w:color="auto" w:fill="auto"/>
          </w:tcPr>
          <w:p w14:paraId="30F7476D" w14:textId="4DBD325E" w:rsidR="000661F7" w:rsidRPr="00ED06D8" w:rsidRDefault="000661F7" w:rsidP="0094269B">
            <w:pPr>
              <w:spacing w:before="40" w:after="120"/>
              <w:ind w:right="113"/>
              <w:rPr>
                <w:lang w:val="fr-FR"/>
              </w:rPr>
            </w:pPr>
            <w:r>
              <w:rPr>
                <w:lang w:val="fr-FR"/>
              </w:rPr>
              <w:lastRenderedPageBreak/>
              <w:t>Poursuivre et resserrer la collaboration avec d’autres commissions régionales de l’ONU.</w:t>
            </w:r>
          </w:p>
        </w:tc>
        <w:tc>
          <w:tcPr>
            <w:tcW w:w="1667" w:type="dxa"/>
            <w:shd w:val="clear" w:color="auto" w:fill="auto"/>
          </w:tcPr>
          <w:p w14:paraId="197BE815" w14:textId="77777777" w:rsidR="000661F7" w:rsidRPr="00ED06D8" w:rsidRDefault="000661F7" w:rsidP="0094269B">
            <w:pPr>
              <w:spacing w:before="40" w:after="120"/>
              <w:ind w:right="113"/>
              <w:rPr>
                <w:lang w:val="fr-FR"/>
              </w:rPr>
            </w:pPr>
            <w:r>
              <w:rPr>
                <w:lang w:val="fr-FR"/>
              </w:rPr>
              <w:t xml:space="preserve">Le secrétariat du Comité, en collaboration avec les secrétariats des groupes de travail concernés </w:t>
            </w:r>
          </w:p>
        </w:tc>
      </w:tr>
      <w:tr w:rsidR="000661F7" w:rsidRPr="00D466A5" w14:paraId="7E60B6BA" w14:textId="77777777" w:rsidTr="0094269B">
        <w:tc>
          <w:tcPr>
            <w:tcW w:w="500" w:type="dxa"/>
            <w:shd w:val="clear" w:color="auto" w:fill="auto"/>
          </w:tcPr>
          <w:p w14:paraId="603D8799" w14:textId="77777777" w:rsidR="000661F7" w:rsidRPr="008A3E6B" w:rsidRDefault="000661F7" w:rsidP="0094269B">
            <w:pPr>
              <w:spacing w:before="40" w:after="120"/>
              <w:ind w:right="113"/>
              <w:rPr>
                <w:b/>
                <w:bCs/>
              </w:rPr>
            </w:pPr>
            <w:r>
              <w:rPr>
                <w:b/>
                <w:bCs/>
                <w:lang w:val="fr-FR"/>
              </w:rPr>
              <w:lastRenderedPageBreak/>
              <w:t>5.</w:t>
            </w:r>
          </w:p>
        </w:tc>
        <w:tc>
          <w:tcPr>
            <w:tcW w:w="9139" w:type="dxa"/>
            <w:gridSpan w:val="4"/>
            <w:shd w:val="clear" w:color="auto" w:fill="auto"/>
          </w:tcPr>
          <w:p w14:paraId="3387DE1C" w14:textId="77777777" w:rsidR="000661F7" w:rsidRPr="00ED06D8" w:rsidRDefault="000661F7" w:rsidP="0094269B">
            <w:pPr>
              <w:spacing w:before="40" w:after="120"/>
              <w:ind w:right="113"/>
              <w:rPr>
                <w:b/>
                <w:bCs/>
                <w:lang w:val="fr-FR"/>
              </w:rPr>
            </w:pPr>
            <w:r>
              <w:rPr>
                <w:b/>
                <w:bCs/>
                <w:lang w:val="fr-FR"/>
              </w:rPr>
              <w:t>Mesures tirées de la liste des priorités</w:t>
            </w:r>
            <w:r>
              <w:rPr>
                <w:lang w:val="fr-FR"/>
              </w:rPr>
              <w:t xml:space="preserve"> </w:t>
            </w:r>
          </w:p>
        </w:tc>
      </w:tr>
      <w:tr w:rsidR="000661F7" w:rsidRPr="00D466A5" w14:paraId="141827D8" w14:textId="77777777" w:rsidTr="0094269B">
        <w:tc>
          <w:tcPr>
            <w:tcW w:w="500" w:type="dxa"/>
            <w:shd w:val="clear" w:color="auto" w:fill="auto"/>
          </w:tcPr>
          <w:p w14:paraId="5F4F069D" w14:textId="77777777" w:rsidR="000661F7" w:rsidRPr="0067484D" w:rsidRDefault="000661F7" w:rsidP="0094269B">
            <w:pPr>
              <w:spacing w:before="40" w:after="120"/>
              <w:ind w:right="113"/>
            </w:pPr>
            <w:r>
              <w:rPr>
                <w:lang w:val="fr-FR"/>
              </w:rPr>
              <w:t>5.1</w:t>
            </w:r>
          </w:p>
        </w:tc>
        <w:tc>
          <w:tcPr>
            <w:tcW w:w="1778" w:type="dxa"/>
            <w:shd w:val="clear" w:color="auto" w:fill="auto"/>
          </w:tcPr>
          <w:p w14:paraId="75BD976A" w14:textId="7C10AC5E" w:rsidR="000661F7" w:rsidRPr="00ED06D8" w:rsidRDefault="000661F7" w:rsidP="0094269B">
            <w:pPr>
              <w:spacing w:before="40" w:after="120"/>
              <w:ind w:right="113"/>
              <w:rPr>
                <w:lang w:val="fr-FR"/>
              </w:rPr>
            </w:pPr>
            <w:r>
              <w:rPr>
                <w:lang w:val="fr-FR"/>
              </w:rPr>
              <w:t>Assurer le service et l’administration des instruments juridiques</w:t>
            </w:r>
          </w:p>
        </w:tc>
        <w:tc>
          <w:tcPr>
            <w:tcW w:w="3194" w:type="dxa"/>
            <w:shd w:val="clear" w:color="auto" w:fill="auto"/>
          </w:tcPr>
          <w:p w14:paraId="0566AA4F" w14:textId="1171E030" w:rsidR="000661F7" w:rsidRDefault="000661F7" w:rsidP="0094269B">
            <w:pPr>
              <w:spacing w:before="40" w:after="120"/>
              <w:ind w:right="113"/>
              <w:rPr>
                <w:lang w:val="fr-FR"/>
              </w:rPr>
            </w:pPr>
            <w:r>
              <w:rPr>
                <w:lang w:val="fr-FR"/>
              </w:rPr>
              <w:t>Les groupes de travail et les comités d’administration assurent l’administration des instruments juridiques qui relèvent de leur compétence. Il s’agit pour les groupes de travail d’évaluer et de réviser ces instruments. Ainsi, à sa 154</w:t>
            </w:r>
            <w:r>
              <w:rPr>
                <w:vertAlign w:val="superscript"/>
                <w:lang w:val="fr-FR"/>
              </w:rPr>
              <w:t>e</w:t>
            </w:r>
            <w:r>
              <w:rPr>
                <w:lang w:val="fr-FR"/>
              </w:rPr>
              <w:t xml:space="preserve"> session, le WP.30 a entamé une évaluation des 17</w:t>
            </w:r>
            <w:r w:rsidR="00D63499">
              <w:rPr>
                <w:lang w:val="fr-FR"/>
              </w:rPr>
              <w:t> </w:t>
            </w:r>
            <w:r>
              <w:rPr>
                <w:lang w:val="fr-FR"/>
              </w:rPr>
              <w:t>instruments juridiques qui relèvent de sa compétence. Il et notamment étudié la possibilité de les modifier (voir ECE/TRANS/WP.30/308, par.</w:t>
            </w:r>
            <w:r w:rsidR="00D63499">
              <w:rPr>
                <w:lang w:val="fr-FR"/>
              </w:rPr>
              <w:t> </w:t>
            </w:r>
            <w:r>
              <w:rPr>
                <w:lang w:val="fr-FR"/>
              </w:rPr>
              <w:t>6, et ECE/TRANS/WP.30/</w:t>
            </w:r>
            <w:r w:rsidR="00D63499">
              <w:rPr>
                <w:lang w:val="fr-FR"/>
              </w:rPr>
              <w:br/>
            </w:r>
            <w:r>
              <w:rPr>
                <w:lang w:val="fr-FR"/>
              </w:rPr>
              <w:t>2020/1).</w:t>
            </w:r>
          </w:p>
          <w:p w14:paraId="4EA04249" w14:textId="45D40D36" w:rsidR="000661F7" w:rsidRDefault="000661F7" w:rsidP="0094269B">
            <w:pPr>
              <w:spacing w:before="40" w:after="120"/>
              <w:ind w:right="113"/>
              <w:rPr>
                <w:b/>
                <w:bCs/>
                <w:lang w:val="fr-FR"/>
              </w:rPr>
            </w:pPr>
            <w:r w:rsidRPr="00B133B8">
              <w:rPr>
                <w:lang w:val="fr-FR"/>
              </w:rPr>
              <w:t>Le SC.2 continue à modifier et à mettre à jour l</w:t>
            </w:r>
            <w:r>
              <w:rPr>
                <w:lang w:val="fr-FR"/>
              </w:rPr>
              <w:t>’</w:t>
            </w:r>
            <w:r w:rsidRPr="00B133B8">
              <w:rPr>
                <w:lang w:val="fr-FR"/>
              </w:rPr>
              <w:t>Accord européen sur les grandes lignes internationales de chemin de fer (AGC) pour s</w:t>
            </w:r>
            <w:r>
              <w:rPr>
                <w:lang w:val="fr-FR"/>
              </w:rPr>
              <w:t>’</w:t>
            </w:r>
            <w:r w:rsidRPr="00B133B8">
              <w:rPr>
                <w:lang w:val="fr-FR"/>
              </w:rPr>
              <w:t>assurer qu</w:t>
            </w:r>
            <w:r>
              <w:rPr>
                <w:lang w:val="fr-FR"/>
              </w:rPr>
              <w:t>’</w:t>
            </w:r>
            <w:r w:rsidRPr="00B133B8">
              <w:rPr>
                <w:lang w:val="fr-FR"/>
              </w:rPr>
              <w:t>il est conforme aux prescriptions actuelles.</w:t>
            </w:r>
            <w:r w:rsidRPr="000023E0">
              <w:rPr>
                <w:lang w:val="fr-FR"/>
              </w:rPr>
              <w:t xml:space="preserve"> </w:t>
            </w:r>
            <w:r w:rsidRPr="00B133B8">
              <w:rPr>
                <w:lang w:val="fr-FR"/>
              </w:rPr>
              <w:t>Dans sa révision 4, qui vient d</w:t>
            </w:r>
            <w:r>
              <w:rPr>
                <w:lang w:val="fr-FR"/>
              </w:rPr>
              <w:t>’</w:t>
            </w:r>
            <w:r w:rsidRPr="00B133B8">
              <w:rPr>
                <w:lang w:val="fr-FR"/>
              </w:rPr>
              <w:t>être publié</w:t>
            </w:r>
            <w:r>
              <w:rPr>
                <w:lang w:val="fr-FR"/>
              </w:rPr>
              <w:t>e,</w:t>
            </w:r>
            <w:r w:rsidRPr="00B133B8">
              <w:rPr>
                <w:lang w:val="fr-FR"/>
              </w:rPr>
              <w:t xml:space="preserve"> l</w:t>
            </w:r>
            <w:r>
              <w:rPr>
                <w:lang w:val="fr-FR"/>
              </w:rPr>
              <w:t>’</w:t>
            </w:r>
            <w:r w:rsidRPr="00B133B8">
              <w:rPr>
                <w:lang w:val="fr-FR"/>
              </w:rPr>
              <w:t>AGC s</w:t>
            </w:r>
            <w:r>
              <w:rPr>
                <w:lang w:val="fr-FR"/>
              </w:rPr>
              <w:t>’</w:t>
            </w:r>
            <w:r w:rsidRPr="00B133B8">
              <w:rPr>
                <w:lang w:val="fr-FR"/>
              </w:rPr>
              <w:t>accompagne désormais d</w:t>
            </w:r>
            <w:r>
              <w:rPr>
                <w:lang w:val="fr-FR"/>
              </w:rPr>
              <w:t>’</w:t>
            </w:r>
            <w:r w:rsidRPr="00B133B8">
              <w:rPr>
                <w:lang w:val="fr-FR"/>
              </w:rPr>
              <w:t>un document expliquant les avantages qu</w:t>
            </w:r>
            <w:r>
              <w:rPr>
                <w:lang w:val="fr-FR"/>
              </w:rPr>
              <w:t>’</w:t>
            </w:r>
            <w:r w:rsidRPr="00B133B8">
              <w:rPr>
                <w:lang w:val="fr-FR"/>
              </w:rPr>
              <w:t>il y a à en devenir partie contractante et la procédure à suivre pour le devenir.</w:t>
            </w:r>
            <w:r>
              <w:t xml:space="preserve"> </w:t>
            </w:r>
            <w:r w:rsidRPr="000023E0">
              <w:rPr>
                <w:b/>
                <w:bCs/>
                <w:lang w:val="fr-FR"/>
              </w:rPr>
              <w:t>D</w:t>
            </w:r>
            <w:r>
              <w:rPr>
                <w:b/>
                <w:bCs/>
                <w:lang w:val="fr-FR"/>
              </w:rPr>
              <w:t>’</w:t>
            </w:r>
            <w:r w:rsidRPr="000023E0">
              <w:rPr>
                <w:b/>
                <w:bCs/>
                <w:lang w:val="fr-FR"/>
              </w:rPr>
              <w:t>autres amendements ont été proposés par la Géorgie et la Lituani</w:t>
            </w:r>
            <w:r>
              <w:rPr>
                <w:b/>
                <w:bCs/>
                <w:lang w:val="fr-FR"/>
              </w:rPr>
              <w:t>e,</w:t>
            </w:r>
            <w:r w:rsidRPr="000023E0">
              <w:rPr>
                <w:b/>
                <w:bCs/>
                <w:lang w:val="fr-FR"/>
              </w:rPr>
              <w:t xml:space="preserve"> ceux de la Géorgie étant déjà entrés en vigueur. Les travaux se poursuivent pour </w:t>
            </w:r>
            <w:r>
              <w:rPr>
                <w:b/>
                <w:bCs/>
                <w:lang w:val="fr-FR"/>
              </w:rPr>
              <w:t>établi</w:t>
            </w:r>
            <w:r w:rsidRPr="000023E0">
              <w:rPr>
                <w:b/>
                <w:bCs/>
                <w:lang w:val="fr-FR"/>
              </w:rPr>
              <w:t xml:space="preserve">r les </w:t>
            </w:r>
            <w:r>
              <w:rPr>
                <w:b/>
                <w:bCs/>
                <w:lang w:val="fr-FR"/>
              </w:rPr>
              <w:t xml:space="preserve">amendements à </w:t>
            </w:r>
            <w:r w:rsidRPr="000023E0">
              <w:rPr>
                <w:b/>
                <w:bCs/>
                <w:lang w:val="fr-FR"/>
              </w:rPr>
              <w:t>l</w:t>
            </w:r>
            <w:r>
              <w:rPr>
                <w:b/>
                <w:bCs/>
                <w:lang w:val="fr-FR"/>
              </w:rPr>
              <w:t>’</w:t>
            </w:r>
            <w:r w:rsidRPr="000023E0">
              <w:rPr>
                <w:b/>
                <w:bCs/>
                <w:lang w:val="fr-FR"/>
              </w:rPr>
              <w:t>AGC afin de l</w:t>
            </w:r>
            <w:r>
              <w:rPr>
                <w:b/>
                <w:bCs/>
                <w:lang w:val="fr-FR"/>
              </w:rPr>
              <w:t>’</w:t>
            </w:r>
            <w:r w:rsidRPr="000023E0">
              <w:rPr>
                <w:b/>
                <w:bCs/>
                <w:lang w:val="fr-FR"/>
              </w:rPr>
              <w:t>actualiser et le moderniser de manière qu</w:t>
            </w:r>
            <w:r>
              <w:rPr>
                <w:b/>
                <w:bCs/>
                <w:lang w:val="fr-FR"/>
              </w:rPr>
              <w:t>’</w:t>
            </w:r>
            <w:r w:rsidRPr="000023E0">
              <w:rPr>
                <w:b/>
                <w:bCs/>
                <w:lang w:val="fr-FR"/>
              </w:rPr>
              <w:t>il porte aussi sur les gares de voyageurs (voir plus loin la tâche 5.4).</w:t>
            </w:r>
          </w:p>
          <w:p w14:paraId="751BBD16" w14:textId="20F35169" w:rsidR="000661F7" w:rsidRPr="00B133B8" w:rsidRDefault="000661F7" w:rsidP="00D63499">
            <w:pPr>
              <w:spacing w:before="40" w:after="120"/>
              <w:ind w:right="113"/>
            </w:pPr>
            <w:r w:rsidRPr="00B133B8">
              <w:rPr>
                <w:lang w:val="fr-FR"/>
              </w:rPr>
              <w:t>Le WP.24 a adopté des amendements à l</w:t>
            </w:r>
            <w:r>
              <w:rPr>
                <w:lang w:val="fr-FR"/>
              </w:rPr>
              <w:t>’</w:t>
            </w:r>
            <w:r w:rsidRPr="00B133B8">
              <w:rPr>
                <w:lang w:val="fr-FR"/>
              </w:rPr>
              <w:t xml:space="preserve">Accord européen sur les grandes lignes de transport international </w:t>
            </w:r>
            <w:r w:rsidRPr="00B133B8">
              <w:rPr>
                <w:lang w:val="fr-FR"/>
              </w:rPr>
              <w:lastRenderedPageBreak/>
              <w:t>combiné et les installations connexes (AGTC)</w:t>
            </w:r>
            <w:r>
              <w:rPr>
                <w:lang w:val="fr-FR"/>
              </w:rPr>
              <w:t> :</w:t>
            </w:r>
          </w:p>
          <w:p w14:paraId="4431FBA3" w14:textId="32EC0D53" w:rsidR="000661F7" w:rsidRPr="00B133B8" w:rsidRDefault="000661F7" w:rsidP="0094269B">
            <w:pPr>
              <w:spacing w:before="40" w:after="120"/>
              <w:ind w:right="113"/>
            </w:pPr>
            <w:r w:rsidRPr="00B133B8">
              <w:rPr>
                <w:lang w:val="fr-FR"/>
              </w:rPr>
              <w:t xml:space="preserve">- </w:t>
            </w:r>
            <w:r>
              <w:rPr>
                <w:lang w:val="fr-FR"/>
              </w:rPr>
              <w:t>E</w:t>
            </w:r>
            <w:r w:rsidRPr="00B133B8">
              <w:rPr>
                <w:lang w:val="fr-FR"/>
              </w:rPr>
              <w:t>n octobre 2020, suite aux propositions faites par l</w:t>
            </w:r>
            <w:r>
              <w:rPr>
                <w:lang w:val="fr-FR"/>
              </w:rPr>
              <w:t>’</w:t>
            </w:r>
            <w:r w:rsidRPr="00B133B8">
              <w:rPr>
                <w:lang w:val="fr-FR"/>
              </w:rPr>
              <w:t>Allemagn</w:t>
            </w:r>
            <w:r>
              <w:rPr>
                <w:lang w:val="fr-FR"/>
              </w:rPr>
              <w:t>e,</w:t>
            </w:r>
            <w:r w:rsidRPr="00B133B8">
              <w:rPr>
                <w:lang w:val="fr-FR"/>
              </w:rPr>
              <w:t xml:space="preserve"> l</w:t>
            </w:r>
            <w:r>
              <w:rPr>
                <w:lang w:val="fr-FR"/>
              </w:rPr>
              <w:t>’</w:t>
            </w:r>
            <w:r w:rsidRPr="00B133B8">
              <w:rPr>
                <w:lang w:val="fr-FR"/>
              </w:rPr>
              <w:t>Autrich</w:t>
            </w:r>
            <w:r>
              <w:rPr>
                <w:lang w:val="fr-FR"/>
              </w:rPr>
              <w:t>e,</w:t>
            </w:r>
            <w:r w:rsidRPr="00B133B8">
              <w:rPr>
                <w:lang w:val="fr-FR"/>
              </w:rPr>
              <w:t xml:space="preserve"> la Croati</w:t>
            </w:r>
            <w:r>
              <w:rPr>
                <w:lang w:val="fr-FR"/>
              </w:rPr>
              <w:t>e,</w:t>
            </w:r>
            <w:r w:rsidRPr="00B133B8">
              <w:rPr>
                <w:lang w:val="fr-FR"/>
              </w:rPr>
              <w:t xml:space="preserve"> la Grèce et la Tchéquie</w:t>
            </w:r>
            <w:r>
              <w:rPr>
                <w:lang w:val="fr-FR"/>
              </w:rPr>
              <w:t> ;</w:t>
            </w:r>
          </w:p>
          <w:p w14:paraId="4C8F85CA" w14:textId="7B9D7815" w:rsidR="000661F7" w:rsidRDefault="000661F7" w:rsidP="0094269B">
            <w:pPr>
              <w:spacing w:before="40" w:after="120"/>
              <w:ind w:right="113"/>
              <w:rPr>
                <w:lang w:val="fr-FR"/>
              </w:rPr>
            </w:pPr>
            <w:r w:rsidRPr="00B133B8">
              <w:rPr>
                <w:lang w:val="fr-FR"/>
              </w:rPr>
              <w:t xml:space="preserve">- </w:t>
            </w:r>
            <w:r>
              <w:rPr>
                <w:lang w:val="fr-FR"/>
              </w:rPr>
              <w:t>E</w:t>
            </w:r>
            <w:r w:rsidRPr="00B133B8">
              <w:rPr>
                <w:lang w:val="fr-FR"/>
              </w:rPr>
              <w:t>n octobre 2021, suite aux propositions faites par la Croati</w:t>
            </w:r>
            <w:r>
              <w:rPr>
                <w:lang w:val="fr-FR"/>
              </w:rPr>
              <w:t>e,</w:t>
            </w:r>
            <w:r w:rsidRPr="00B133B8">
              <w:rPr>
                <w:lang w:val="fr-FR"/>
              </w:rPr>
              <w:t xml:space="preserve"> la Fédération de Russi</w:t>
            </w:r>
            <w:r>
              <w:rPr>
                <w:lang w:val="fr-FR"/>
              </w:rPr>
              <w:t>e,</w:t>
            </w:r>
            <w:r w:rsidRPr="00B133B8">
              <w:rPr>
                <w:lang w:val="fr-FR"/>
              </w:rPr>
              <w:t xml:space="preserve"> la Géorgie (à l</w:t>
            </w:r>
            <w:r>
              <w:rPr>
                <w:lang w:val="fr-FR"/>
              </w:rPr>
              <w:t>’</w:t>
            </w:r>
            <w:r w:rsidRPr="00B133B8">
              <w:rPr>
                <w:lang w:val="fr-FR"/>
              </w:rPr>
              <w:t>exception d</w:t>
            </w:r>
            <w:r>
              <w:rPr>
                <w:lang w:val="fr-FR"/>
              </w:rPr>
              <w:t>’</w:t>
            </w:r>
            <w:r w:rsidRPr="00B133B8">
              <w:rPr>
                <w:lang w:val="fr-FR"/>
              </w:rPr>
              <w:t>un amendement à C</w:t>
            </w:r>
            <w:r w:rsidRPr="00B133B8">
              <w:rPr>
                <w:lang w:val="fr-FR"/>
              </w:rPr>
              <w:noBreakHyphen/>
              <w:t>E 99) et la Pologne.</w:t>
            </w:r>
            <w:r w:rsidRPr="000023E0">
              <w:rPr>
                <w:lang w:val="fr-FR"/>
              </w:rPr>
              <w:t xml:space="preserve"> </w:t>
            </w:r>
            <w:r w:rsidRPr="00B133B8">
              <w:rPr>
                <w:lang w:val="fr-FR"/>
              </w:rPr>
              <w:t>Les amendements proposés par la Géorgie et la Pologne renforceront la cohérence entre l</w:t>
            </w:r>
            <w:r>
              <w:rPr>
                <w:lang w:val="fr-FR"/>
              </w:rPr>
              <w:t>’</w:t>
            </w:r>
            <w:r w:rsidRPr="00B133B8">
              <w:rPr>
                <w:lang w:val="fr-FR"/>
              </w:rPr>
              <w:t>AGTC et l</w:t>
            </w:r>
            <w:r>
              <w:rPr>
                <w:lang w:val="fr-FR"/>
              </w:rPr>
              <w:t>’</w:t>
            </w:r>
            <w:r w:rsidRPr="00B133B8">
              <w:rPr>
                <w:lang w:val="fr-FR"/>
              </w:rPr>
              <w:t>AGC</w:t>
            </w:r>
            <w:r>
              <w:rPr>
                <w:lang w:val="fr-FR"/>
              </w:rPr>
              <w:t> ;</w:t>
            </w:r>
          </w:p>
          <w:p w14:paraId="390C6D9A" w14:textId="77777777" w:rsidR="000661F7" w:rsidRPr="000023E0" w:rsidRDefault="000661F7" w:rsidP="0094269B">
            <w:pPr>
              <w:spacing w:before="40" w:after="120"/>
              <w:ind w:right="113"/>
              <w:rPr>
                <w:b/>
                <w:bCs/>
              </w:rPr>
            </w:pPr>
            <w:r w:rsidRPr="000023E0">
              <w:rPr>
                <w:b/>
                <w:bCs/>
              </w:rPr>
              <w:t xml:space="preserve">- </w:t>
            </w:r>
            <w:r>
              <w:rPr>
                <w:b/>
                <w:bCs/>
              </w:rPr>
              <w:t>E</w:t>
            </w:r>
            <w:r w:rsidRPr="000023E0">
              <w:rPr>
                <w:b/>
                <w:bCs/>
              </w:rPr>
              <w:t>n octobre 2022, à la suite des amendements proposés par le Danemark et la Lituanie (les spécificités des amendements adoptés figurent dans le rapport de la soixante-cinquième session).</w:t>
            </w:r>
          </w:p>
          <w:p w14:paraId="2CD570E8" w14:textId="53C601F1" w:rsidR="000661F7" w:rsidRPr="00B133B8" w:rsidRDefault="000661F7" w:rsidP="0094269B">
            <w:pPr>
              <w:spacing w:before="40" w:after="120"/>
              <w:ind w:right="113"/>
            </w:pPr>
            <w:r w:rsidRPr="00B133B8">
              <w:rPr>
                <w:lang w:val="fr-FR"/>
              </w:rPr>
              <w:t xml:space="preserve">À sa soixante-quatrième session, en octobre 2021, le WP.24 a établi un mécanisme de suivi de </w:t>
            </w:r>
            <w:r>
              <w:rPr>
                <w:lang w:val="fr-FR"/>
              </w:rPr>
              <w:t>l’application</w:t>
            </w:r>
            <w:r w:rsidRPr="00B133B8">
              <w:rPr>
                <w:lang w:val="fr-FR"/>
              </w:rPr>
              <w:t xml:space="preserve"> de la Convention.</w:t>
            </w:r>
            <w:r w:rsidRPr="000023E0">
              <w:rPr>
                <w:lang w:val="fr-FR"/>
              </w:rPr>
              <w:t xml:space="preserve"> </w:t>
            </w:r>
            <w:r w:rsidRPr="00B133B8">
              <w:rPr>
                <w:lang w:val="fr-FR"/>
              </w:rPr>
              <w:t>À cette fin, le WP.24 a décidé de créer, dans un système d</w:t>
            </w:r>
            <w:r>
              <w:rPr>
                <w:lang w:val="fr-FR"/>
              </w:rPr>
              <w:t>’</w:t>
            </w:r>
            <w:r w:rsidRPr="00B133B8">
              <w:rPr>
                <w:lang w:val="fr-FR"/>
              </w:rPr>
              <w:t>information géographiqu</w:t>
            </w:r>
            <w:r>
              <w:rPr>
                <w:lang w:val="fr-FR"/>
              </w:rPr>
              <w:t>e,</w:t>
            </w:r>
            <w:r w:rsidRPr="00B133B8">
              <w:rPr>
                <w:lang w:val="fr-FR"/>
              </w:rPr>
              <w:t xml:space="preserve"> un inventaire des lignes AGTC et des installations connexes permettant de contrôler les paramètres techniques obtenus par rapport à ceux définis dans l</w:t>
            </w:r>
            <w:r>
              <w:rPr>
                <w:lang w:val="fr-FR"/>
              </w:rPr>
              <w:t>’</w:t>
            </w:r>
            <w:r w:rsidRPr="00B133B8">
              <w:rPr>
                <w:lang w:val="fr-FR"/>
              </w:rPr>
              <w:t>AGTC.</w:t>
            </w:r>
          </w:p>
          <w:p w14:paraId="13594475" w14:textId="42E685F4" w:rsidR="000661F7" w:rsidRPr="00B133B8" w:rsidRDefault="000661F7" w:rsidP="0094269B">
            <w:pPr>
              <w:spacing w:before="40" w:after="120"/>
              <w:ind w:right="113"/>
            </w:pPr>
            <w:r w:rsidRPr="00B133B8">
              <w:rPr>
                <w:lang w:val="fr-FR"/>
              </w:rPr>
              <w:t>Le WP.29/AC.4 a facilité l</w:t>
            </w:r>
            <w:r>
              <w:rPr>
                <w:lang w:val="fr-FR"/>
              </w:rPr>
              <w:t>’</w:t>
            </w:r>
            <w:r w:rsidRPr="00B133B8">
              <w:rPr>
                <w:lang w:val="fr-FR"/>
              </w:rPr>
              <w:t>adoption d</w:t>
            </w:r>
            <w:r>
              <w:rPr>
                <w:lang w:val="fr-FR"/>
              </w:rPr>
              <w:t>’</w:t>
            </w:r>
            <w:r w:rsidRPr="00B133B8">
              <w:rPr>
                <w:lang w:val="fr-FR"/>
              </w:rPr>
              <w:t>amendements à l</w:t>
            </w:r>
            <w:r>
              <w:rPr>
                <w:lang w:val="fr-FR"/>
              </w:rPr>
              <w:t>’</w:t>
            </w:r>
            <w:r w:rsidRPr="00B133B8">
              <w:rPr>
                <w:lang w:val="fr-FR"/>
              </w:rPr>
              <w:t>Accord concernant le</w:t>
            </w:r>
            <w:r>
              <w:rPr>
                <w:lang w:val="fr-FR"/>
              </w:rPr>
              <w:t xml:space="preserve"> </w:t>
            </w:r>
            <w:r w:rsidRPr="00B133B8">
              <w:rPr>
                <w:lang w:val="fr-FR"/>
              </w:rPr>
              <w:t>contrôle technique périodique des véhicules (Accord de 1997), comprenant diverses définitions et l</w:t>
            </w:r>
            <w:r>
              <w:rPr>
                <w:lang w:val="fr-FR"/>
              </w:rPr>
              <w:t>’</w:t>
            </w:r>
            <w:r w:rsidRPr="00B133B8">
              <w:rPr>
                <w:lang w:val="fr-FR"/>
              </w:rPr>
              <w:t>introduction d</w:t>
            </w:r>
            <w:r>
              <w:rPr>
                <w:lang w:val="fr-FR"/>
              </w:rPr>
              <w:t>’</w:t>
            </w:r>
            <w:r w:rsidRPr="00B133B8">
              <w:rPr>
                <w:lang w:val="fr-FR"/>
              </w:rPr>
              <w:t>éléments visant à améliorer encore les procédures de contrôle.</w:t>
            </w:r>
            <w:r w:rsidRPr="000023E0">
              <w:rPr>
                <w:lang w:val="fr-FR"/>
              </w:rPr>
              <w:t xml:space="preserve"> </w:t>
            </w:r>
          </w:p>
          <w:p w14:paraId="62A3FD9D" w14:textId="220CF6D3" w:rsidR="000661F7" w:rsidRPr="00B133B8" w:rsidRDefault="000661F7" w:rsidP="0094269B">
            <w:pPr>
              <w:spacing w:before="40" w:after="120"/>
              <w:ind w:right="113"/>
            </w:pPr>
            <w:r w:rsidRPr="00B133B8">
              <w:rPr>
                <w:lang w:val="fr-FR"/>
              </w:rPr>
              <w:t>À partir de sa 154</w:t>
            </w:r>
            <w:r w:rsidRPr="00B133B8">
              <w:rPr>
                <w:vertAlign w:val="superscript"/>
                <w:lang w:val="fr-FR"/>
              </w:rPr>
              <w:t>e</w:t>
            </w:r>
            <w:r w:rsidRPr="00B133B8">
              <w:rPr>
                <w:lang w:val="fr-FR"/>
              </w:rPr>
              <w:t xml:space="preserve"> session (février 2020), le WP.30 a commencé à examiner chacun des 17 instruments juridiques relevant de sa compétenc</w:t>
            </w:r>
            <w:r>
              <w:rPr>
                <w:lang w:val="fr-FR"/>
              </w:rPr>
              <w:t>e,</w:t>
            </w:r>
            <w:r w:rsidRPr="00B133B8">
              <w:rPr>
                <w:lang w:val="fr-FR"/>
              </w:rPr>
              <w:t xml:space="preserve"> l</w:t>
            </w:r>
            <w:r>
              <w:rPr>
                <w:lang w:val="fr-FR"/>
              </w:rPr>
              <w:t>’</w:t>
            </w:r>
            <w:r w:rsidRPr="00B133B8">
              <w:rPr>
                <w:lang w:val="fr-FR"/>
              </w:rPr>
              <w:t>objectif étant d</w:t>
            </w:r>
            <w:r>
              <w:rPr>
                <w:lang w:val="fr-FR"/>
              </w:rPr>
              <w:t>’</w:t>
            </w:r>
            <w:r w:rsidRPr="00B133B8">
              <w:rPr>
                <w:lang w:val="fr-FR"/>
              </w:rPr>
              <w:t>évaluer la pertinence actuelle de chacun et ses possibilités d</w:t>
            </w:r>
            <w:r>
              <w:rPr>
                <w:lang w:val="fr-FR"/>
              </w:rPr>
              <w:t>’</w:t>
            </w:r>
            <w:r w:rsidRPr="00B133B8">
              <w:rPr>
                <w:lang w:val="fr-FR"/>
              </w:rPr>
              <w:t>extension (en cours).</w:t>
            </w:r>
          </w:p>
          <w:p w14:paraId="48456A51" w14:textId="38689D37" w:rsidR="000661F7" w:rsidRPr="00B133B8" w:rsidRDefault="000661F7" w:rsidP="0094269B">
            <w:pPr>
              <w:pStyle w:val="SingleTxtG"/>
              <w:ind w:left="0" w:right="113"/>
              <w:jc w:val="left"/>
            </w:pPr>
            <w:r w:rsidRPr="00B133B8">
              <w:rPr>
                <w:lang w:val="fr-FR"/>
              </w:rPr>
              <w:t>À sa 158</w:t>
            </w:r>
            <w:r w:rsidRPr="00B133B8">
              <w:rPr>
                <w:vertAlign w:val="superscript"/>
                <w:lang w:val="fr-FR"/>
              </w:rPr>
              <w:t>e</w:t>
            </w:r>
            <w:r w:rsidRPr="00B133B8">
              <w:rPr>
                <w:lang w:val="fr-FR"/>
              </w:rPr>
              <w:t xml:space="preserve"> session (octobre 2021), le WP.30 a confirmé que l</w:t>
            </w:r>
            <w:r>
              <w:rPr>
                <w:lang w:val="fr-FR"/>
              </w:rPr>
              <w:t>’</w:t>
            </w:r>
            <w:r w:rsidRPr="00B133B8">
              <w:rPr>
                <w:lang w:val="fr-FR"/>
              </w:rPr>
              <w:t>exercice en cours avait été util</w:t>
            </w:r>
            <w:r>
              <w:rPr>
                <w:lang w:val="fr-FR"/>
              </w:rPr>
              <w:t>e,</w:t>
            </w:r>
            <w:r w:rsidRPr="00B133B8">
              <w:rPr>
                <w:lang w:val="fr-FR"/>
              </w:rPr>
              <w:t xml:space="preserve"> car il avait mis en évidence des problèmes dans l</w:t>
            </w:r>
            <w:r>
              <w:rPr>
                <w:lang w:val="fr-FR"/>
              </w:rPr>
              <w:t>’</w:t>
            </w:r>
            <w:r w:rsidRPr="00B133B8">
              <w:rPr>
                <w:lang w:val="fr-FR"/>
              </w:rPr>
              <w:t xml:space="preserve">application de divers instruments juridiques, lesquels avaient conduit à </w:t>
            </w:r>
            <w:r w:rsidRPr="00B133B8">
              <w:rPr>
                <w:lang w:val="fr-FR"/>
              </w:rPr>
              <w:lastRenderedPageBreak/>
              <w:t>un examen de la pertinence de ces instruments au niveau national, et parfois même à des dénonciations.</w:t>
            </w:r>
            <w:r w:rsidRPr="000023E0">
              <w:rPr>
                <w:lang w:val="fr-FR"/>
              </w:rPr>
              <w:t xml:space="preserve"> </w:t>
            </w:r>
            <w:r w:rsidRPr="00B133B8">
              <w:rPr>
                <w:lang w:val="fr-FR"/>
              </w:rPr>
              <w:t>Bien qu</w:t>
            </w:r>
            <w:r>
              <w:rPr>
                <w:lang w:val="fr-FR"/>
              </w:rPr>
              <w:t>’</w:t>
            </w:r>
            <w:r w:rsidRPr="00B133B8">
              <w:rPr>
                <w:lang w:val="fr-FR"/>
              </w:rPr>
              <w:t>il eût été établi que certains instruments avaient perdu leur pertinence ou semblaient être dépassés par des instruments plus récents, élaborés sous l</w:t>
            </w:r>
            <w:r>
              <w:rPr>
                <w:lang w:val="fr-FR"/>
              </w:rPr>
              <w:t>’</w:t>
            </w:r>
            <w:r w:rsidRPr="00B133B8">
              <w:rPr>
                <w:lang w:val="fr-FR"/>
              </w:rPr>
              <w:t>égide des Nations Unies ou d</w:t>
            </w:r>
            <w:r>
              <w:rPr>
                <w:lang w:val="fr-FR"/>
              </w:rPr>
              <w:t>’</w:t>
            </w:r>
            <w:r w:rsidRPr="00B133B8">
              <w:rPr>
                <w:lang w:val="fr-FR"/>
              </w:rPr>
              <w:t>autres organisations internationales, telles que l</w:t>
            </w:r>
            <w:r>
              <w:rPr>
                <w:lang w:val="fr-FR"/>
              </w:rPr>
              <w:t>’</w:t>
            </w:r>
            <w:r w:rsidRPr="00B133B8">
              <w:rPr>
                <w:lang w:val="fr-FR"/>
              </w:rPr>
              <w:t>Organisation mondiale des douanes (OMD) notamment, le Groupe de travail a estimé que ces instruments devaient être conservés, sachant qu</w:t>
            </w:r>
            <w:r>
              <w:rPr>
                <w:lang w:val="fr-FR"/>
              </w:rPr>
              <w:t>’</w:t>
            </w:r>
            <w:r w:rsidRPr="00B133B8">
              <w:rPr>
                <w:lang w:val="fr-FR"/>
              </w:rPr>
              <w:t>ils avaient très bien pu servir de base à l</w:t>
            </w:r>
            <w:r>
              <w:rPr>
                <w:lang w:val="fr-FR"/>
              </w:rPr>
              <w:t>’</w:t>
            </w:r>
            <w:r w:rsidRPr="00B133B8">
              <w:rPr>
                <w:lang w:val="fr-FR"/>
              </w:rPr>
              <w:t>élaboration d</w:t>
            </w:r>
            <w:r>
              <w:rPr>
                <w:lang w:val="fr-FR"/>
              </w:rPr>
              <w:t>’</w:t>
            </w:r>
            <w:r w:rsidRPr="00B133B8">
              <w:rPr>
                <w:lang w:val="fr-FR"/>
              </w:rPr>
              <w:t>instruments plus récents et qu</w:t>
            </w:r>
            <w:r>
              <w:rPr>
                <w:lang w:val="fr-FR"/>
              </w:rPr>
              <w:t>’</w:t>
            </w:r>
            <w:r w:rsidRPr="00B133B8">
              <w:rPr>
                <w:lang w:val="fr-FR"/>
              </w:rPr>
              <w:t>ils restaient donc utiles.</w:t>
            </w:r>
            <w:r w:rsidRPr="000023E0">
              <w:rPr>
                <w:lang w:val="fr-FR"/>
              </w:rPr>
              <w:t xml:space="preserve"> </w:t>
            </w:r>
            <w:r w:rsidRPr="00B133B8">
              <w:rPr>
                <w:lang w:val="fr-FR"/>
              </w:rPr>
              <w:t>Dans le même temps, et exactement pour la même raison, le WP.30 a jugé qu</w:t>
            </w:r>
            <w:r>
              <w:rPr>
                <w:lang w:val="fr-FR"/>
              </w:rPr>
              <w:t>’</w:t>
            </w:r>
            <w:r w:rsidRPr="00B133B8">
              <w:rPr>
                <w:lang w:val="fr-FR"/>
              </w:rPr>
              <w:t>il n</w:t>
            </w:r>
            <w:r>
              <w:rPr>
                <w:lang w:val="fr-FR"/>
              </w:rPr>
              <w:t>’</w:t>
            </w:r>
            <w:r w:rsidRPr="00B133B8">
              <w:rPr>
                <w:lang w:val="fr-FR"/>
              </w:rPr>
              <w:t>était pas justifié et qu</w:t>
            </w:r>
            <w:r>
              <w:rPr>
                <w:lang w:val="fr-FR"/>
              </w:rPr>
              <w:t>’</w:t>
            </w:r>
            <w:r w:rsidRPr="00B133B8">
              <w:rPr>
                <w:lang w:val="fr-FR"/>
              </w:rPr>
              <w:t>il pouvait même être risqué de les modifier ou de les adapter aux réalités actuelles, car cela pourrait compromettre la construction de textes législatifs plus récents qui s</w:t>
            </w:r>
            <w:r>
              <w:rPr>
                <w:lang w:val="fr-FR"/>
              </w:rPr>
              <w:t>’</w:t>
            </w:r>
            <w:r w:rsidRPr="00B133B8">
              <w:rPr>
                <w:lang w:val="fr-FR"/>
              </w:rPr>
              <w:t>en inspiraient.</w:t>
            </w:r>
          </w:p>
          <w:p w14:paraId="2A0C900D" w14:textId="7D86E983" w:rsidR="000661F7" w:rsidRPr="00B133B8" w:rsidRDefault="000661F7" w:rsidP="0094269B">
            <w:pPr>
              <w:pStyle w:val="SingleTxtG"/>
              <w:ind w:left="0" w:right="113"/>
              <w:jc w:val="left"/>
            </w:pPr>
            <w:r w:rsidRPr="00B133B8">
              <w:rPr>
                <w:lang w:val="fr-FR"/>
              </w:rPr>
              <w:t>Le WP.30</w:t>
            </w:r>
            <w:r>
              <w:rPr>
                <w:lang w:val="fr-FR"/>
              </w:rPr>
              <w:t xml:space="preserve"> étant </w:t>
            </w:r>
            <w:r w:rsidRPr="00B133B8">
              <w:rPr>
                <w:lang w:val="fr-FR"/>
              </w:rPr>
              <w:t>d</w:t>
            </w:r>
            <w:r>
              <w:rPr>
                <w:lang w:val="fr-FR"/>
              </w:rPr>
              <w:t>’</w:t>
            </w:r>
            <w:r w:rsidRPr="00B133B8">
              <w:rPr>
                <w:lang w:val="fr-FR"/>
              </w:rPr>
              <w:t>avis que l</w:t>
            </w:r>
            <w:r>
              <w:rPr>
                <w:lang w:val="fr-FR"/>
              </w:rPr>
              <w:t>’</w:t>
            </w:r>
            <w:r w:rsidRPr="00B133B8">
              <w:rPr>
                <w:lang w:val="fr-FR"/>
              </w:rPr>
              <w:t>exercice en cours devait être considéré comme achevé</w:t>
            </w:r>
            <w:r>
              <w:rPr>
                <w:lang w:val="fr-FR"/>
              </w:rPr>
              <w:t xml:space="preserve">, il </w:t>
            </w:r>
            <w:r w:rsidR="004B4EB0">
              <w:rPr>
                <w:lang w:val="fr-FR"/>
              </w:rPr>
              <w:t>a</w:t>
            </w:r>
            <w:r>
              <w:rPr>
                <w:lang w:val="fr-FR"/>
              </w:rPr>
              <w:t xml:space="preserve"> </w:t>
            </w:r>
            <w:r w:rsidRPr="00B133B8">
              <w:rPr>
                <w:lang w:val="fr-FR"/>
              </w:rPr>
              <w:t>prié le secrétariat d</w:t>
            </w:r>
            <w:r>
              <w:rPr>
                <w:lang w:val="fr-FR"/>
              </w:rPr>
              <w:t>’</w:t>
            </w:r>
            <w:r w:rsidRPr="00B133B8">
              <w:rPr>
                <w:lang w:val="fr-FR"/>
              </w:rPr>
              <w:t>en rendre compte au Comité des transports intérieurs à sa session de février 2022 (ECE/TRANS/WP.30/316 (projet), par. 8 et 9)</w:t>
            </w:r>
            <w:r w:rsidRPr="00B133B8">
              <w:rPr>
                <w:b/>
                <w:bCs/>
                <w:lang w:val="fr-FR"/>
              </w:rPr>
              <w:t>, ce qui a été fait</w:t>
            </w:r>
            <w:r w:rsidRPr="00B133B8">
              <w:rPr>
                <w:lang w:val="fr-FR"/>
              </w:rPr>
              <w:t>.</w:t>
            </w:r>
          </w:p>
          <w:p w14:paraId="3EFF0868" w14:textId="4FA0F71D" w:rsidR="000661F7" w:rsidRPr="00B133B8" w:rsidRDefault="000661F7" w:rsidP="0094269B">
            <w:pPr>
              <w:spacing w:before="40" w:after="120"/>
              <w:ind w:right="113"/>
            </w:pPr>
            <w:r w:rsidRPr="00B133B8">
              <w:rPr>
                <w:lang w:val="fr-FR"/>
              </w:rPr>
              <w:t xml:space="preserve">Le WP.29/AC.4 </w:t>
            </w:r>
            <w:r>
              <w:rPr>
                <w:lang w:val="fr-FR"/>
              </w:rPr>
              <w:t xml:space="preserve">a </w:t>
            </w:r>
            <w:r w:rsidRPr="00B133B8">
              <w:rPr>
                <w:lang w:val="fr-FR"/>
              </w:rPr>
              <w:t>travaill</w:t>
            </w:r>
            <w:r>
              <w:rPr>
                <w:lang w:val="fr-FR"/>
              </w:rPr>
              <w:t>é</w:t>
            </w:r>
            <w:r w:rsidRPr="00B133B8">
              <w:rPr>
                <w:lang w:val="fr-FR"/>
              </w:rPr>
              <w:t xml:space="preserve"> sur un document-cadre définissant un modèle de conformité permanente des véhicules aux prescriptions en matière de sécurité et de respect de l</w:t>
            </w:r>
            <w:r>
              <w:rPr>
                <w:lang w:val="fr-FR"/>
              </w:rPr>
              <w:t>’</w:t>
            </w:r>
            <w:r w:rsidRPr="00B133B8">
              <w:rPr>
                <w:lang w:val="fr-FR"/>
              </w:rPr>
              <w:t>environnement.</w:t>
            </w:r>
            <w:r>
              <w:t xml:space="preserve"> </w:t>
            </w:r>
            <w:r w:rsidRPr="00BB2747">
              <w:rPr>
                <w:b/>
                <w:bCs/>
                <w:lang w:val="fr-FR"/>
              </w:rPr>
              <w:t>À sa 187</w:t>
            </w:r>
            <w:r w:rsidRPr="00C33721">
              <w:rPr>
                <w:b/>
                <w:bCs/>
                <w:vertAlign w:val="superscript"/>
                <w:lang w:val="fr-FR"/>
              </w:rPr>
              <w:t>e</w:t>
            </w:r>
            <w:r w:rsidRPr="00BB2747">
              <w:rPr>
                <w:b/>
                <w:bCs/>
                <w:lang w:val="fr-FR"/>
              </w:rPr>
              <w:t xml:space="preserve"> session, le WP.29 a approuvé le document</w:t>
            </w:r>
            <w:r w:rsidR="004B4EB0">
              <w:rPr>
                <w:b/>
                <w:bCs/>
                <w:lang w:val="fr-FR"/>
              </w:rPr>
              <w:noBreakHyphen/>
            </w:r>
            <w:r w:rsidRPr="00BB2747">
              <w:rPr>
                <w:b/>
                <w:bCs/>
                <w:lang w:val="fr-FR"/>
              </w:rPr>
              <w:t>cadre relatif à la conformité des véhicules pendant leur durée de vie (ECE/TRANS/WP.29/2022/145).</w:t>
            </w:r>
          </w:p>
          <w:p w14:paraId="58F254C6" w14:textId="2DCC9BA6" w:rsidR="000661F7" w:rsidRPr="00BB2747" w:rsidRDefault="000661F7" w:rsidP="0094269B">
            <w:pPr>
              <w:spacing w:before="40" w:after="120"/>
              <w:ind w:right="113"/>
              <w:rPr>
                <w:lang w:val="fr-FR"/>
              </w:rPr>
            </w:pPr>
            <w:r w:rsidRPr="00B133B8">
              <w:rPr>
                <w:lang w:val="fr-FR"/>
              </w:rPr>
              <w:t>Le SC.3 et le SC.3/WP.3 ont continué à collecter des informations sur l</w:t>
            </w:r>
            <w:r>
              <w:rPr>
                <w:lang w:val="fr-FR"/>
              </w:rPr>
              <w:t>’</w:t>
            </w:r>
            <w:r w:rsidRPr="00B133B8">
              <w:rPr>
                <w:lang w:val="fr-FR"/>
              </w:rPr>
              <w:t>application de l</w:t>
            </w:r>
            <w:r>
              <w:rPr>
                <w:lang w:val="fr-FR"/>
              </w:rPr>
              <w:t>’</w:t>
            </w:r>
            <w:r w:rsidRPr="00B133B8">
              <w:rPr>
                <w:lang w:val="fr-FR"/>
              </w:rPr>
              <w:t>Accord européen sur les grandes voies navigables d</w:t>
            </w:r>
            <w:r>
              <w:rPr>
                <w:lang w:val="fr-FR"/>
              </w:rPr>
              <w:t>’</w:t>
            </w:r>
            <w:r w:rsidRPr="00B133B8">
              <w:rPr>
                <w:lang w:val="fr-FR"/>
              </w:rPr>
              <w:t>importance internationale (AGN).</w:t>
            </w:r>
            <w:r w:rsidRPr="00BB2747">
              <w:rPr>
                <w:lang w:val="fr-FR"/>
              </w:rPr>
              <w:t xml:space="preserve"> </w:t>
            </w:r>
            <w:r w:rsidRPr="00B133B8">
              <w:rPr>
                <w:lang w:val="fr-FR"/>
              </w:rPr>
              <w:t>La mise à jour la plus récente (Révision 4) a été adoptée en 2017 et est entrée en vigueur en 2018.</w:t>
            </w:r>
            <w:r>
              <w:t xml:space="preserve"> </w:t>
            </w:r>
            <w:r w:rsidRPr="00BB2747">
              <w:rPr>
                <w:b/>
                <w:bCs/>
                <w:lang w:val="fr-FR"/>
              </w:rPr>
              <w:t xml:space="preserve">Au cours de la période 2018-2022, cinq </w:t>
            </w:r>
            <w:r w:rsidRPr="00BB2747">
              <w:rPr>
                <w:b/>
                <w:bCs/>
                <w:lang w:val="fr-FR"/>
              </w:rPr>
              <w:lastRenderedPageBreak/>
              <w:t>modifications de l</w:t>
            </w:r>
            <w:r>
              <w:rPr>
                <w:b/>
                <w:bCs/>
                <w:lang w:val="fr-FR"/>
              </w:rPr>
              <w:t>’</w:t>
            </w:r>
            <w:r w:rsidRPr="00BB2747">
              <w:rPr>
                <w:b/>
                <w:bCs/>
                <w:lang w:val="fr-FR"/>
              </w:rPr>
              <w:t>Inventaire des normes et paramètres principaux du réseau de voies navigables E (</w:t>
            </w:r>
            <w:r>
              <w:rPr>
                <w:b/>
                <w:bCs/>
                <w:lang w:val="fr-FR"/>
              </w:rPr>
              <w:t>L</w:t>
            </w:r>
            <w:r w:rsidRPr="00BB2747">
              <w:rPr>
                <w:b/>
                <w:bCs/>
                <w:lang w:val="fr-FR"/>
              </w:rPr>
              <w:t>ivre bleu) ont été adoptées</w:t>
            </w:r>
            <w:r>
              <w:rPr>
                <w:b/>
                <w:bCs/>
                <w:lang w:val="fr-FR"/>
              </w:rPr>
              <w:t xml:space="preserve">. </w:t>
            </w:r>
            <w:r w:rsidRPr="00B133B8">
              <w:rPr>
                <w:lang w:val="fr-FR"/>
              </w:rPr>
              <w:t>Les feuilles de route pour l</w:t>
            </w:r>
            <w:r>
              <w:rPr>
                <w:lang w:val="fr-FR"/>
              </w:rPr>
              <w:t>’</w:t>
            </w:r>
            <w:r w:rsidRPr="00B133B8">
              <w:rPr>
                <w:lang w:val="fr-FR"/>
              </w:rPr>
              <w:t>adhésion à l</w:t>
            </w:r>
            <w:r>
              <w:rPr>
                <w:lang w:val="fr-FR"/>
              </w:rPr>
              <w:t>’</w:t>
            </w:r>
            <w:r w:rsidRPr="00B133B8">
              <w:rPr>
                <w:lang w:val="fr-FR"/>
              </w:rPr>
              <w:t>AGN et pour l</w:t>
            </w:r>
            <w:r>
              <w:rPr>
                <w:lang w:val="fr-FR"/>
              </w:rPr>
              <w:t>’</w:t>
            </w:r>
            <w:r w:rsidRPr="00B133B8">
              <w:rPr>
                <w:lang w:val="fr-FR"/>
              </w:rPr>
              <w:t>acceptation et l</w:t>
            </w:r>
            <w:r>
              <w:rPr>
                <w:lang w:val="fr-FR"/>
              </w:rPr>
              <w:t>’</w:t>
            </w:r>
            <w:r w:rsidRPr="00B133B8">
              <w:rPr>
                <w:lang w:val="fr-FR"/>
              </w:rPr>
              <w:t>application de la résolution n</w:t>
            </w:r>
            <w:r w:rsidR="00E66164">
              <w:rPr>
                <w:vertAlign w:val="superscript"/>
                <w:lang w:val="fr-FR"/>
              </w:rPr>
              <w:t>o</w:t>
            </w:r>
            <w:r w:rsidR="00E66164" w:rsidRPr="00E66164">
              <w:rPr>
                <w:lang w:val="fr-FR"/>
              </w:rPr>
              <w:t> </w:t>
            </w:r>
            <w:r w:rsidRPr="00B133B8">
              <w:rPr>
                <w:lang w:val="fr-FR"/>
              </w:rPr>
              <w:t>40 ont été adoptées en 2018-2019.</w:t>
            </w:r>
          </w:p>
          <w:p w14:paraId="63AB0559" w14:textId="3E75D3E8" w:rsidR="000661F7" w:rsidRDefault="000661F7" w:rsidP="0094269B">
            <w:pPr>
              <w:spacing w:before="40" w:after="120"/>
              <w:ind w:right="113"/>
              <w:rPr>
                <w:b/>
                <w:bCs/>
                <w:lang w:val="fr-FR"/>
              </w:rPr>
            </w:pPr>
            <w:r w:rsidRPr="00711E18">
              <w:rPr>
                <w:b/>
                <w:bCs/>
                <w:lang w:val="fr-FR"/>
              </w:rPr>
              <w:t>Le 23 juin 2021, un atelier sur la mise en place d</w:t>
            </w:r>
            <w:r>
              <w:rPr>
                <w:b/>
                <w:bCs/>
                <w:lang w:val="fr-FR"/>
              </w:rPr>
              <w:t>’</w:t>
            </w:r>
            <w:r w:rsidRPr="00711E18">
              <w:rPr>
                <w:b/>
                <w:bCs/>
                <w:lang w:val="fr-FR"/>
              </w:rPr>
              <w:t>un cadre réglementaire international solide visant à accroître l</w:t>
            </w:r>
            <w:r>
              <w:rPr>
                <w:b/>
                <w:bCs/>
                <w:lang w:val="fr-FR"/>
              </w:rPr>
              <w:t>’</w:t>
            </w:r>
            <w:r w:rsidRPr="00711E18">
              <w:rPr>
                <w:b/>
                <w:bCs/>
                <w:lang w:val="fr-FR"/>
              </w:rPr>
              <w:t>efficacité et la sécurité des transports par voie navigable s</w:t>
            </w:r>
            <w:r>
              <w:rPr>
                <w:b/>
                <w:bCs/>
                <w:lang w:val="fr-FR"/>
              </w:rPr>
              <w:t>’</w:t>
            </w:r>
            <w:r w:rsidRPr="00711E18">
              <w:rPr>
                <w:b/>
                <w:bCs/>
                <w:lang w:val="fr-FR"/>
              </w:rPr>
              <w:t>est tenu lors de la cinquante-neuvième session du SC.3/WP.3. Les participants ont examiné les possibilités d</w:t>
            </w:r>
            <w:r>
              <w:rPr>
                <w:b/>
                <w:bCs/>
                <w:lang w:val="fr-FR"/>
              </w:rPr>
              <w:t>’</w:t>
            </w:r>
            <w:r w:rsidRPr="00711E18">
              <w:rPr>
                <w:b/>
                <w:bCs/>
                <w:lang w:val="fr-FR"/>
              </w:rPr>
              <w:t>améliorer le cadre réglementaire international, de faciliter l</w:t>
            </w:r>
            <w:r>
              <w:rPr>
                <w:b/>
                <w:bCs/>
                <w:lang w:val="fr-FR"/>
              </w:rPr>
              <w:t>’</w:t>
            </w:r>
            <w:r w:rsidRPr="00711E18">
              <w:rPr>
                <w:b/>
                <w:bCs/>
                <w:lang w:val="fr-FR"/>
              </w:rPr>
              <w:t xml:space="preserve">adhésion aux instruments juridiques et leur </w:t>
            </w:r>
            <w:r>
              <w:rPr>
                <w:b/>
                <w:bCs/>
                <w:lang w:val="fr-FR"/>
              </w:rPr>
              <w:t>application,</w:t>
            </w:r>
            <w:r w:rsidRPr="00711E18">
              <w:rPr>
                <w:b/>
                <w:bCs/>
                <w:lang w:val="fr-FR"/>
              </w:rPr>
              <w:t xml:space="preserve"> et d</w:t>
            </w:r>
            <w:r>
              <w:rPr>
                <w:b/>
                <w:bCs/>
                <w:lang w:val="fr-FR"/>
              </w:rPr>
              <w:t>’</w:t>
            </w:r>
            <w:r w:rsidRPr="00711E18">
              <w:rPr>
                <w:b/>
                <w:bCs/>
                <w:lang w:val="fr-FR"/>
              </w:rPr>
              <w:t>accroître l</w:t>
            </w:r>
            <w:r>
              <w:rPr>
                <w:b/>
                <w:bCs/>
                <w:lang w:val="fr-FR"/>
              </w:rPr>
              <w:t>’</w:t>
            </w:r>
            <w:r w:rsidRPr="00711E18">
              <w:rPr>
                <w:b/>
                <w:bCs/>
                <w:lang w:val="fr-FR"/>
              </w:rPr>
              <w:t>efficacité des conventions et accords internationaux relevant du Comité.</w:t>
            </w:r>
          </w:p>
          <w:p w14:paraId="32F903DF" w14:textId="11FE8DF0" w:rsidR="000661F7" w:rsidRPr="00C33721" w:rsidRDefault="000661F7" w:rsidP="0094269B">
            <w:pPr>
              <w:spacing w:before="40" w:after="120"/>
              <w:ind w:right="113"/>
              <w:rPr>
                <w:b/>
                <w:bCs/>
                <w:lang w:val="fr-FR"/>
              </w:rPr>
            </w:pPr>
            <w:r w:rsidRPr="00711E18">
              <w:rPr>
                <w:b/>
                <w:bCs/>
                <w:lang w:val="fr-FR"/>
              </w:rPr>
              <w:t xml:space="preserve">Le 12 octobre 2022, dans le cadre de la soixante-sixième session du SC.3, </w:t>
            </w:r>
            <w:r>
              <w:rPr>
                <w:b/>
                <w:bCs/>
                <w:lang w:val="fr-FR"/>
              </w:rPr>
              <w:t>celui-ci</w:t>
            </w:r>
            <w:r w:rsidRPr="00711E18">
              <w:rPr>
                <w:b/>
                <w:bCs/>
                <w:lang w:val="fr-FR"/>
              </w:rPr>
              <w:t xml:space="preserve"> et le WP.24 ont organisé conjointement</w:t>
            </w:r>
            <w:r>
              <w:rPr>
                <w:b/>
                <w:bCs/>
                <w:lang w:val="fr-FR"/>
              </w:rPr>
              <w:t> :</w:t>
            </w:r>
            <w:r w:rsidRPr="00711E18">
              <w:rPr>
                <w:b/>
                <w:bCs/>
                <w:lang w:val="fr-FR"/>
              </w:rPr>
              <w:t xml:space="preserve"> a)</w:t>
            </w:r>
            <w:r w:rsidR="00E66164">
              <w:rPr>
                <w:b/>
                <w:bCs/>
                <w:lang w:val="fr-FR"/>
              </w:rPr>
              <w:t> </w:t>
            </w:r>
            <w:r w:rsidRPr="00711E18">
              <w:rPr>
                <w:b/>
                <w:bCs/>
                <w:lang w:val="fr-FR"/>
              </w:rPr>
              <w:t xml:space="preserve">un atelier sur le développement du transport de conteneurs </w:t>
            </w:r>
            <w:r>
              <w:rPr>
                <w:b/>
                <w:bCs/>
                <w:lang w:val="fr-FR"/>
              </w:rPr>
              <w:t>par</w:t>
            </w:r>
            <w:r w:rsidRPr="00711E18">
              <w:rPr>
                <w:b/>
                <w:bCs/>
                <w:lang w:val="fr-FR"/>
              </w:rPr>
              <w:t xml:space="preserve"> voie</w:t>
            </w:r>
            <w:r>
              <w:rPr>
                <w:b/>
                <w:bCs/>
                <w:lang w:val="fr-FR"/>
              </w:rPr>
              <w:t>s</w:t>
            </w:r>
            <w:r w:rsidRPr="00711E18">
              <w:rPr>
                <w:b/>
                <w:bCs/>
                <w:lang w:val="fr-FR"/>
              </w:rPr>
              <w:t xml:space="preserve"> naviga</w:t>
            </w:r>
            <w:r>
              <w:rPr>
                <w:b/>
                <w:bCs/>
                <w:lang w:val="fr-FR"/>
              </w:rPr>
              <w:t>bles</w:t>
            </w:r>
            <w:r w:rsidRPr="00711E18">
              <w:rPr>
                <w:b/>
                <w:bCs/>
                <w:lang w:val="fr-FR"/>
              </w:rPr>
              <w:t>, qui a été axé sur la situation actuell</w:t>
            </w:r>
            <w:r>
              <w:rPr>
                <w:b/>
                <w:bCs/>
                <w:lang w:val="fr-FR"/>
              </w:rPr>
              <w:t>e</w:t>
            </w:r>
            <w:r w:rsidR="00E66164">
              <w:rPr>
                <w:b/>
                <w:bCs/>
                <w:lang w:val="fr-FR"/>
              </w:rPr>
              <w:t>,</w:t>
            </w:r>
            <w:r w:rsidRPr="00711E18">
              <w:rPr>
                <w:b/>
                <w:bCs/>
                <w:lang w:val="fr-FR"/>
              </w:rPr>
              <w:t xml:space="preserve"> les possibilités et les perspectives de développement du transport de conteneurs sur les voies navigables </w:t>
            </w:r>
            <w:r>
              <w:rPr>
                <w:b/>
                <w:bCs/>
                <w:lang w:val="fr-FR"/>
              </w:rPr>
              <w:t>d’</w:t>
            </w:r>
            <w:r w:rsidRPr="00711E18">
              <w:rPr>
                <w:b/>
                <w:bCs/>
                <w:lang w:val="fr-FR"/>
              </w:rPr>
              <w:t>Europ</w:t>
            </w:r>
            <w:r>
              <w:rPr>
                <w:b/>
                <w:bCs/>
                <w:lang w:val="fr-FR"/>
              </w:rPr>
              <w:t>e</w:t>
            </w:r>
            <w:r w:rsidRPr="00711E18">
              <w:rPr>
                <w:b/>
                <w:bCs/>
                <w:lang w:val="fr-FR"/>
              </w:rPr>
              <w:t xml:space="preserve"> </w:t>
            </w:r>
            <w:r>
              <w:rPr>
                <w:b/>
                <w:bCs/>
                <w:lang w:val="fr-FR"/>
              </w:rPr>
              <w:t>de</w:t>
            </w:r>
            <w:r w:rsidRPr="00711E18">
              <w:rPr>
                <w:b/>
                <w:bCs/>
                <w:lang w:val="fr-FR"/>
              </w:rPr>
              <w:t xml:space="preserve"> la région de la mer Caspienne et </w:t>
            </w:r>
            <w:r>
              <w:rPr>
                <w:b/>
                <w:bCs/>
                <w:lang w:val="fr-FR"/>
              </w:rPr>
              <w:t>de</w:t>
            </w:r>
            <w:r w:rsidRPr="00711E18">
              <w:rPr>
                <w:b/>
                <w:bCs/>
                <w:lang w:val="fr-FR"/>
              </w:rPr>
              <w:t xml:space="preserve"> Chin</w:t>
            </w:r>
            <w:r>
              <w:rPr>
                <w:b/>
                <w:bCs/>
                <w:lang w:val="fr-FR"/>
              </w:rPr>
              <w:t>e</w:t>
            </w:r>
            <w:r w:rsidR="00E66164">
              <w:rPr>
                <w:b/>
                <w:bCs/>
                <w:lang w:val="fr-FR"/>
              </w:rPr>
              <w:t> ;</w:t>
            </w:r>
            <w:r w:rsidRPr="00711E18">
              <w:rPr>
                <w:b/>
                <w:bCs/>
                <w:lang w:val="fr-FR"/>
              </w:rPr>
              <w:t xml:space="preserve"> et b) une table ronde sur les moyens de faciliter l</w:t>
            </w:r>
            <w:r>
              <w:rPr>
                <w:b/>
                <w:bCs/>
                <w:lang w:val="fr-FR"/>
              </w:rPr>
              <w:t>’harmonisation</w:t>
            </w:r>
            <w:r w:rsidRPr="00711E18">
              <w:rPr>
                <w:b/>
                <w:bCs/>
                <w:lang w:val="fr-FR"/>
              </w:rPr>
              <w:t xml:space="preserve"> du Protocole sur le transport combiné par voie navigable </w:t>
            </w:r>
            <w:r>
              <w:rPr>
                <w:b/>
                <w:bCs/>
                <w:lang w:val="fr-FR"/>
              </w:rPr>
              <w:t>avec</w:t>
            </w:r>
            <w:r w:rsidRPr="00711E18">
              <w:rPr>
                <w:b/>
                <w:bCs/>
                <w:lang w:val="fr-FR"/>
              </w:rPr>
              <w:t xml:space="preserve"> l</w:t>
            </w:r>
            <w:r>
              <w:rPr>
                <w:b/>
                <w:bCs/>
                <w:lang w:val="fr-FR"/>
              </w:rPr>
              <w:t>’</w:t>
            </w:r>
            <w:r w:rsidRPr="00711E18">
              <w:rPr>
                <w:b/>
                <w:bCs/>
                <w:lang w:val="fr-FR"/>
              </w:rPr>
              <w:t>AGTC et l</w:t>
            </w:r>
            <w:r>
              <w:rPr>
                <w:b/>
                <w:bCs/>
                <w:lang w:val="fr-FR"/>
              </w:rPr>
              <w:t>’</w:t>
            </w:r>
            <w:r w:rsidRPr="00711E18">
              <w:rPr>
                <w:b/>
                <w:bCs/>
                <w:lang w:val="fr-FR"/>
              </w:rPr>
              <w:t>AGN. Parmi les sujets abordés figuraient les obstacles à l</w:t>
            </w:r>
            <w:r>
              <w:rPr>
                <w:b/>
                <w:bCs/>
                <w:lang w:val="fr-FR"/>
              </w:rPr>
              <w:t>’</w:t>
            </w:r>
            <w:r w:rsidRPr="00711E18">
              <w:rPr>
                <w:b/>
                <w:bCs/>
                <w:lang w:val="fr-FR"/>
              </w:rPr>
              <w:t xml:space="preserve">adhésion </w:t>
            </w:r>
            <w:r>
              <w:rPr>
                <w:b/>
                <w:bCs/>
                <w:lang w:val="fr-FR"/>
              </w:rPr>
              <w:t>aux</w:t>
            </w:r>
            <w:r w:rsidRPr="00711E18">
              <w:rPr>
                <w:b/>
                <w:bCs/>
                <w:lang w:val="fr-FR"/>
              </w:rPr>
              <w:t xml:space="preserve"> instruments juridiques et à l</w:t>
            </w:r>
            <w:r>
              <w:rPr>
                <w:b/>
                <w:bCs/>
                <w:lang w:val="fr-FR"/>
              </w:rPr>
              <w:t>eur</w:t>
            </w:r>
            <w:r w:rsidRPr="00711E18">
              <w:rPr>
                <w:b/>
                <w:bCs/>
                <w:lang w:val="fr-FR"/>
              </w:rPr>
              <w:t xml:space="preserve"> </w:t>
            </w:r>
            <w:r>
              <w:rPr>
                <w:b/>
                <w:bCs/>
                <w:lang w:val="fr-FR"/>
              </w:rPr>
              <w:t>application</w:t>
            </w:r>
            <w:r w:rsidR="00E66164">
              <w:rPr>
                <w:b/>
                <w:bCs/>
                <w:lang w:val="fr-FR"/>
              </w:rPr>
              <w:t>,</w:t>
            </w:r>
            <w:r w:rsidRPr="00711E18">
              <w:rPr>
                <w:b/>
                <w:bCs/>
                <w:lang w:val="fr-FR"/>
              </w:rPr>
              <w:t xml:space="preserve"> l</w:t>
            </w:r>
            <w:r>
              <w:rPr>
                <w:b/>
                <w:bCs/>
                <w:lang w:val="fr-FR"/>
              </w:rPr>
              <w:t>’</w:t>
            </w:r>
            <w:r w:rsidRPr="00711E18">
              <w:rPr>
                <w:b/>
                <w:bCs/>
                <w:lang w:val="fr-FR"/>
              </w:rPr>
              <w:t>utilisation efficace des instruments de contrôle et l</w:t>
            </w:r>
            <w:r>
              <w:rPr>
                <w:b/>
                <w:bCs/>
                <w:lang w:val="fr-FR"/>
              </w:rPr>
              <w:t>’harmonisation</w:t>
            </w:r>
            <w:r w:rsidRPr="00711E18">
              <w:rPr>
                <w:b/>
                <w:bCs/>
                <w:lang w:val="fr-FR"/>
              </w:rPr>
              <w:t xml:space="preserve"> des deux instruments juridiques. Les</w:t>
            </w:r>
            <w:r w:rsidR="00E66164">
              <w:rPr>
                <w:b/>
                <w:bCs/>
                <w:lang w:val="fr-FR"/>
              </w:rPr>
              <w:t> </w:t>
            </w:r>
            <w:r w:rsidRPr="00711E18">
              <w:rPr>
                <w:b/>
                <w:bCs/>
                <w:lang w:val="fr-FR"/>
              </w:rPr>
              <w:t>participants ont convenu que la meilleure façon d</w:t>
            </w:r>
            <w:r>
              <w:rPr>
                <w:b/>
                <w:bCs/>
                <w:lang w:val="fr-FR"/>
              </w:rPr>
              <w:t>’</w:t>
            </w:r>
            <w:r w:rsidRPr="00711E18">
              <w:rPr>
                <w:b/>
                <w:bCs/>
                <w:lang w:val="fr-FR"/>
              </w:rPr>
              <w:t>assurer l</w:t>
            </w:r>
            <w:r>
              <w:rPr>
                <w:b/>
                <w:bCs/>
                <w:lang w:val="fr-FR"/>
              </w:rPr>
              <w:t>’harmonisation</w:t>
            </w:r>
            <w:r w:rsidRPr="00711E18">
              <w:rPr>
                <w:b/>
                <w:bCs/>
                <w:lang w:val="fr-FR"/>
              </w:rPr>
              <w:t xml:space="preserve"> entre les instruments juridiques pourrait être une gestion ou un suivi conjoint du </w:t>
            </w:r>
            <w:r>
              <w:rPr>
                <w:b/>
                <w:bCs/>
                <w:lang w:val="fr-FR"/>
              </w:rPr>
              <w:t>P</w:t>
            </w:r>
            <w:r w:rsidRPr="00711E18">
              <w:rPr>
                <w:b/>
                <w:bCs/>
                <w:lang w:val="fr-FR"/>
              </w:rPr>
              <w:t xml:space="preserve">rotocole par le SC.3 et le WP.24. Les participants ont </w:t>
            </w:r>
            <w:r w:rsidRPr="00711E18">
              <w:rPr>
                <w:b/>
                <w:bCs/>
                <w:lang w:val="fr-FR"/>
              </w:rPr>
              <w:lastRenderedPageBreak/>
              <w:t>également recommandé au WP.24 d</w:t>
            </w:r>
            <w:r>
              <w:rPr>
                <w:b/>
                <w:bCs/>
                <w:lang w:val="fr-FR"/>
              </w:rPr>
              <w:t>’</w:t>
            </w:r>
            <w:r w:rsidRPr="00711E18">
              <w:rPr>
                <w:b/>
                <w:bCs/>
                <w:lang w:val="fr-FR"/>
              </w:rPr>
              <w:t xml:space="preserve">appliquer </w:t>
            </w:r>
            <w:r w:rsidRPr="00811563">
              <w:rPr>
                <w:b/>
                <w:bCs/>
                <w:lang w:val="fr-FR"/>
              </w:rPr>
              <w:t>le plan par étapes</w:t>
            </w:r>
            <w:r w:rsidRPr="00711E18">
              <w:rPr>
                <w:b/>
                <w:bCs/>
                <w:lang w:val="fr-FR"/>
              </w:rPr>
              <w:t xml:space="preserve"> pour l</w:t>
            </w:r>
            <w:r>
              <w:rPr>
                <w:b/>
                <w:bCs/>
                <w:lang w:val="fr-FR"/>
              </w:rPr>
              <w:t>’</w:t>
            </w:r>
            <w:r w:rsidRPr="00711E18">
              <w:rPr>
                <w:b/>
                <w:bCs/>
                <w:lang w:val="fr-FR"/>
              </w:rPr>
              <w:t>adhésion au Protocole</w:t>
            </w:r>
            <w:r>
              <w:rPr>
                <w:b/>
                <w:bCs/>
                <w:lang w:val="fr-FR"/>
              </w:rPr>
              <w:t xml:space="preserve"> </w:t>
            </w:r>
            <w:r w:rsidRPr="00711E18">
              <w:rPr>
                <w:b/>
                <w:bCs/>
                <w:lang w:val="fr-FR"/>
              </w:rPr>
              <w:t xml:space="preserve">établie par les deux secrétariats. Une résolution visant à faciliter le développement du transport de conteneurs </w:t>
            </w:r>
            <w:r>
              <w:rPr>
                <w:b/>
                <w:bCs/>
                <w:lang w:val="fr-FR"/>
              </w:rPr>
              <w:t>par</w:t>
            </w:r>
            <w:r w:rsidRPr="00711E18">
              <w:rPr>
                <w:b/>
                <w:bCs/>
                <w:lang w:val="fr-FR"/>
              </w:rPr>
              <w:t xml:space="preserve"> voie navigable a été convenue entre le SC.3 et le WP.24 et est soumise au Comité pour adoption.</w:t>
            </w:r>
          </w:p>
          <w:p w14:paraId="16164201" w14:textId="034AE43D" w:rsidR="000661F7" w:rsidRPr="00ED06D8" w:rsidRDefault="000661F7" w:rsidP="0094269B">
            <w:pPr>
              <w:spacing w:before="40" w:after="120"/>
              <w:ind w:right="113"/>
              <w:rPr>
                <w:lang w:val="fr-FR"/>
              </w:rPr>
            </w:pPr>
            <w:r>
              <w:rPr>
                <w:lang w:val="fr-FR"/>
              </w:rPr>
              <w:t>Dans le cadre des mesures destinées à faciliter la compréhension et l’application des instruments juridiques, les groupes de travail et les comités d’administration s’efforcent de faire en sorte que les instruments de portée mondiale soient disponibles dans les six langues officielles de l’ONU.</w:t>
            </w:r>
          </w:p>
          <w:p w14:paraId="6EEED87B" w14:textId="0A62EE83" w:rsidR="000661F7" w:rsidRPr="00ED06D8" w:rsidRDefault="000661F7" w:rsidP="0094269B">
            <w:pPr>
              <w:spacing w:before="40" w:after="120"/>
              <w:ind w:right="113"/>
              <w:rPr>
                <w:lang w:val="fr-FR"/>
              </w:rPr>
            </w:pPr>
            <w:r>
              <w:rPr>
                <w:lang w:val="fr-FR"/>
              </w:rPr>
              <w:t xml:space="preserve">Les groupes de travail et les comités d’administration travaillent ensemble afin d’assurer la cohérence nécessaire entre certains instruments juridiques, comme c’est le cas du WP.15 et du WP.29 pour le Règlement ONU </w:t>
            </w:r>
            <w:r w:rsidRPr="00682945">
              <w:rPr>
                <w:rFonts w:eastAsia="MS Mincho"/>
                <w:lang w:val="fr-FR"/>
              </w:rPr>
              <w:t>n</w:t>
            </w:r>
            <w:r w:rsidRPr="00682945">
              <w:rPr>
                <w:rFonts w:eastAsia="MS Mincho"/>
                <w:vertAlign w:val="superscript"/>
                <w:lang w:val="fr-FR"/>
              </w:rPr>
              <w:t>o</w:t>
            </w:r>
            <w:r w:rsidRPr="00E66164">
              <w:rPr>
                <w:lang w:val="fr-FR"/>
              </w:rPr>
              <w:t> </w:t>
            </w:r>
            <w:r>
              <w:rPr>
                <w:lang w:val="fr-FR"/>
              </w:rPr>
              <w:t xml:space="preserve">105 sur les véhicules destinés au transport de marchandises dangereuses, ou du WP.15 et du WP.1 pour la signalisation routière relative aux marchandises dangereuses. </w:t>
            </w:r>
          </w:p>
          <w:p w14:paraId="5BF3E8C2" w14:textId="532DE44F" w:rsidR="000661F7" w:rsidRDefault="000661F7" w:rsidP="0094269B">
            <w:pPr>
              <w:spacing w:before="40" w:after="120"/>
              <w:ind w:right="113"/>
              <w:rPr>
                <w:lang w:val="fr-FR"/>
              </w:rPr>
            </w:pPr>
            <w:r>
              <w:rPr>
                <w:lang w:val="fr-FR"/>
              </w:rPr>
              <w:t>Les groupes de travail concernés formulent des recommandations pour renforcer la mise en conformité des lois nationales avec les instruments juridiques. Le WP.15 a par exemple recommandé l’harmonisation des lois nationales sur le transport des marchandises dangereuses avec l’ADR pour faciliter l’application effective de celui-ci et améliorer la sécurité routière. Il a encouragé le Comité à adopter cette recommandation.</w:t>
            </w:r>
          </w:p>
          <w:p w14:paraId="373540E8" w14:textId="611CC549" w:rsidR="000661F7" w:rsidRPr="00B133B8" w:rsidRDefault="000661F7" w:rsidP="0094269B">
            <w:pPr>
              <w:spacing w:before="40" w:after="120"/>
              <w:ind w:right="113"/>
            </w:pPr>
            <w:r w:rsidRPr="00B133B8">
              <w:rPr>
                <w:lang w:val="fr-FR"/>
              </w:rPr>
              <w:t>La résolution R.E.6 a été mise à jour par le WP.29/AC.4 avec l</w:t>
            </w:r>
            <w:r>
              <w:rPr>
                <w:lang w:val="fr-FR"/>
              </w:rPr>
              <w:t>’</w:t>
            </w:r>
            <w:r w:rsidRPr="00B133B8">
              <w:rPr>
                <w:lang w:val="fr-FR"/>
              </w:rPr>
              <w:t>ajout de dispositions relatives aux contrôles techniques routiers des véhicules utilitaires, qui exigent que ceux-ci soient bien entretenus en permanence, c</w:t>
            </w:r>
            <w:r>
              <w:rPr>
                <w:lang w:val="fr-FR"/>
              </w:rPr>
              <w:t>’</w:t>
            </w:r>
            <w:r w:rsidRPr="00B133B8">
              <w:rPr>
                <w:lang w:val="fr-FR"/>
              </w:rPr>
              <w:t>est-à-dire également dans les intervalles entre les contrôles obligatoires.</w:t>
            </w:r>
            <w:r w:rsidRPr="00711E18">
              <w:rPr>
                <w:lang w:val="fr-FR"/>
              </w:rPr>
              <w:t xml:space="preserve"> </w:t>
            </w:r>
            <w:r w:rsidRPr="00B133B8">
              <w:rPr>
                <w:lang w:val="fr-FR"/>
              </w:rPr>
              <w:t>Le WP.29/AC.4 a proposé un système d</w:t>
            </w:r>
            <w:r>
              <w:rPr>
                <w:lang w:val="fr-FR"/>
              </w:rPr>
              <w:t>’</w:t>
            </w:r>
            <w:r w:rsidRPr="00B133B8">
              <w:rPr>
                <w:lang w:val="fr-FR"/>
              </w:rPr>
              <w:t xml:space="preserve">évaluation des risques </w:t>
            </w:r>
            <w:r>
              <w:rPr>
                <w:lang w:val="fr-FR"/>
              </w:rPr>
              <w:t>à l’intention d</w:t>
            </w:r>
            <w:r w:rsidRPr="00B133B8">
              <w:rPr>
                <w:lang w:val="fr-FR"/>
              </w:rPr>
              <w:t xml:space="preserve">es exploitants, </w:t>
            </w:r>
            <w:r w:rsidRPr="00B133B8">
              <w:rPr>
                <w:lang w:val="fr-FR"/>
              </w:rPr>
              <w:lastRenderedPageBreak/>
              <w:t>basé sur les renseignements obtenus au cours des activités d</w:t>
            </w:r>
            <w:r>
              <w:rPr>
                <w:lang w:val="fr-FR"/>
              </w:rPr>
              <w:t>’</w:t>
            </w:r>
            <w:r w:rsidRPr="00B133B8">
              <w:rPr>
                <w:lang w:val="fr-FR"/>
              </w:rPr>
              <w:t>inspection.</w:t>
            </w:r>
            <w:r w:rsidRPr="00711E18">
              <w:rPr>
                <w:lang w:val="fr-FR"/>
              </w:rPr>
              <w:t xml:space="preserve"> </w:t>
            </w:r>
          </w:p>
          <w:p w14:paraId="1107C360" w14:textId="46BC61A6" w:rsidR="000661F7" w:rsidRDefault="000661F7" w:rsidP="0094269B">
            <w:pPr>
              <w:spacing w:before="40" w:after="120"/>
              <w:ind w:right="113"/>
              <w:rPr>
                <w:b/>
                <w:bCs/>
                <w:lang w:val="fr-FR"/>
              </w:rPr>
            </w:pPr>
            <w:r w:rsidRPr="00B133B8">
              <w:rPr>
                <w:lang w:val="fr-FR"/>
              </w:rPr>
              <w:t>Comme convenu par le WP.15 à sa 109</w:t>
            </w:r>
            <w:r w:rsidRPr="00B133B8">
              <w:rPr>
                <w:vertAlign w:val="superscript"/>
                <w:lang w:val="fr-FR"/>
              </w:rPr>
              <w:t>e</w:t>
            </w:r>
            <w:r w:rsidRPr="00B133B8">
              <w:rPr>
                <w:lang w:val="fr-FR"/>
              </w:rPr>
              <w:t xml:space="preserve"> session (mai 2021), le secrétariat a établi une version révisée </w:t>
            </w:r>
            <w:r>
              <w:rPr>
                <w:lang w:val="fr-FR"/>
              </w:rPr>
              <w:t>du plan par étapes</w:t>
            </w:r>
            <w:r w:rsidRPr="00B133B8">
              <w:rPr>
                <w:lang w:val="fr-FR"/>
              </w:rPr>
              <w:t xml:space="preserve"> pour l</w:t>
            </w:r>
            <w:r>
              <w:rPr>
                <w:lang w:val="fr-FR"/>
              </w:rPr>
              <w:t>’</w:t>
            </w:r>
            <w:r w:rsidRPr="00B133B8">
              <w:rPr>
                <w:lang w:val="fr-FR"/>
              </w:rPr>
              <w:t>adhésion à l</w:t>
            </w:r>
            <w:r>
              <w:rPr>
                <w:lang w:val="fr-FR"/>
              </w:rPr>
              <w:t>’</w:t>
            </w:r>
            <w:r w:rsidRPr="00B133B8">
              <w:rPr>
                <w:lang w:val="fr-FR"/>
              </w:rPr>
              <w:t xml:space="preserve">ADR et </w:t>
            </w:r>
            <w:r>
              <w:rPr>
                <w:lang w:val="fr-FR"/>
              </w:rPr>
              <w:t>son application</w:t>
            </w:r>
            <w:r w:rsidRPr="00B133B8">
              <w:rPr>
                <w:lang w:val="fr-FR"/>
              </w:rPr>
              <w:t xml:space="preserve"> (ECE/TRANS/WP.15/2021/15).</w:t>
            </w:r>
            <w:r w:rsidRPr="00C90DA1">
              <w:rPr>
                <w:lang w:val="fr-FR"/>
              </w:rPr>
              <w:t xml:space="preserve"> </w:t>
            </w:r>
            <w:r w:rsidRPr="004A4CCE">
              <w:rPr>
                <w:lang w:val="fr-FR"/>
              </w:rPr>
              <w:t>À sa 110</w:t>
            </w:r>
            <w:r w:rsidRPr="004A4CCE">
              <w:rPr>
                <w:vertAlign w:val="superscript"/>
                <w:lang w:val="fr-FR"/>
              </w:rPr>
              <w:t>e</w:t>
            </w:r>
            <w:r w:rsidRPr="004A4CCE">
              <w:rPr>
                <w:lang w:val="fr-FR"/>
              </w:rPr>
              <w:t xml:space="preserve"> session, le WP.15 </w:t>
            </w:r>
            <w:r w:rsidRPr="00C90DA1">
              <w:rPr>
                <w:b/>
                <w:bCs/>
                <w:lang w:val="fr-FR"/>
              </w:rPr>
              <w:t xml:space="preserve">a adopté la proposition de </w:t>
            </w:r>
            <w:r>
              <w:rPr>
                <w:b/>
                <w:bCs/>
                <w:lang w:val="fr-FR"/>
              </w:rPr>
              <w:t>plan par étapes</w:t>
            </w:r>
            <w:r w:rsidRPr="00C90DA1">
              <w:rPr>
                <w:b/>
                <w:bCs/>
                <w:lang w:val="fr-FR"/>
              </w:rPr>
              <w:t xml:space="preserve"> pour l</w:t>
            </w:r>
            <w:r>
              <w:rPr>
                <w:b/>
                <w:bCs/>
                <w:lang w:val="fr-FR"/>
              </w:rPr>
              <w:t>’</w:t>
            </w:r>
            <w:r w:rsidRPr="00C90DA1">
              <w:rPr>
                <w:b/>
                <w:bCs/>
                <w:lang w:val="fr-FR"/>
              </w:rPr>
              <w:t>adhésion à l</w:t>
            </w:r>
            <w:r>
              <w:rPr>
                <w:b/>
                <w:bCs/>
                <w:lang w:val="fr-FR"/>
              </w:rPr>
              <w:t>’</w:t>
            </w:r>
            <w:r w:rsidRPr="00C90DA1">
              <w:rPr>
                <w:b/>
                <w:bCs/>
                <w:lang w:val="fr-FR"/>
              </w:rPr>
              <w:t>ADR avec des modifications supplémentaires</w:t>
            </w:r>
            <w:r>
              <w:rPr>
                <w:b/>
                <w:bCs/>
                <w:lang w:val="fr-FR"/>
              </w:rPr>
              <w:t xml:space="preserve"> et </w:t>
            </w:r>
            <w:r w:rsidRPr="00C90DA1">
              <w:rPr>
                <w:b/>
                <w:bCs/>
                <w:lang w:val="fr-FR"/>
              </w:rPr>
              <w:t xml:space="preserve">demandé au secrétariat </w:t>
            </w:r>
            <w:r w:rsidRPr="007831D2">
              <w:rPr>
                <w:b/>
                <w:bCs/>
                <w:lang w:val="fr-FR"/>
              </w:rPr>
              <w:t>de la publier sous forme électronique</w:t>
            </w:r>
            <w:r>
              <w:rPr>
                <w:b/>
                <w:bCs/>
                <w:lang w:val="fr-FR"/>
              </w:rPr>
              <w:t>.</w:t>
            </w:r>
          </w:p>
          <w:p w14:paraId="71DEEB1A" w14:textId="77777777" w:rsidR="000661F7" w:rsidRDefault="000661F7" w:rsidP="0094269B">
            <w:pPr>
              <w:spacing w:before="40" w:after="120"/>
              <w:ind w:right="113"/>
              <w:rPr>
                <w:b/>
                <w:bCs/>
              </w:rPr>
            </w:pPr>
            <w:r w:rsidRPr="00C90DA1">
              <w:rPr>
                <w:b/>
                <w:bCs/>
              </w:rPr>
              <w:t>À sa quatre-vingt-quatrième session, le Comité a approuvé la demande du WP.15 de publier une version électronique d</w:t>
            </w:r>
            <w:r>
              <w:rPr>
                <w:b/>
                <w:bCs/>
              </w:rPr>
              <w:t xml:space="preserve">u </w:t>
            </w:r>
            <w:r w:rsidRPr="00632A90">
              <w:rPr>
                <w:b/>
                <w:bCs/>
              </w:rPr>
              <w:t>plan par étapes</w:t>
            </w:r>
            <w:r w:rsidRPr="00C90DA1">
              <w:rPr>
                <w:b/>
                <w:bCs/>
              </w:rPr>
              <w:t xml:space="preserve"> révisé et de l</w:t>
            </w:r>
            <w:r>
              <w:rPr>
                <w:b/>
                <w:bCs/>
              </w:rPr>
              <w:t>e publier</w:t>
            </w:r>
            <w:r w:rsidRPr="00C90DA1">
              <w:rPr>
                <w:b/>
                <w:bCs/>
              </w:rPr>
              <w:t xml:space="preserve"> sur le site Web de la CEE.</w:t>
            </w:r>
          </w:p>
          <w:p w14:paraId="0FEE2B40" w14:textId="77777777" w:rsidR="000661F7" w:rsidRPr="000855B5" w:rsidRDefault="000661F7" w:rsidP="0094269B">
            <w:pPr>
              <w:spacing w:before="40" w:after="120"/>
              <w:ind w:right="113"/>
              <w:rPr>
                <w:b/>
                <w:bCs/>
              </w:rPr>
            </w:pPr>
            <w:r w:rsidRPr="00C90DA1">
              <w:rPr>
                <w:b/>
                <w:bCs/>
              </w:rPr>
              <w:t xml:space="preserve">La version électronique </w:t>
            </w:r>
            <w:r>
              <w:rPr>
                <w:b/>
                <w:bCs/>
              </w:rPr>
              <w:t>du plan par étapes révisé</w:t>
            </w:r>
            <w:r w:rsidRPr="00C90DA1">
              <w:rPr>
                <w:b/>
                <w:bCs/>
              </w:rPr>
              <w:t xml:space="preserve"> a été publiée en anglais</w:t>
            </w:r>
            <w:r>
              <w:rPr>
                <w:b/>
                <w:bCs/>
              </w:rPr>
              <w:t xml:space="preserve">e, </w:t>
            </w:r>
            <w:r w:rsidRPr="00C90DA1">
              <w:rPr>
                <w:b/>
                <w:bCs/>
              </w:rPr>
              <w:t xml:space="preserve">français et </w:t>
            </w:r>
            <w:r>
              <w:rPr>
                <w:b/>
                <w:bCs/>
              </w:rPr>
              <w:t xml:space="preserve">en </w:t>
            </w:r>
            <w:r w:rsidRPr="00C90DA1">
              <w:rPr>
                <w:b/>
                <w:bCs/>
              </w:rPr>
              <w:t>russe et diffusée sur le site Web de la CEE en [octobre 2022].</w:t>
            </w:r>
          </w:p>
          <w:p w14:paraId="3EFDF1D2" w14:textId="77777777" w:rsidR="000661F7" w:rsidRPr="004A4CCE" w:rsidRDefault="000661F7" w:rsidP="0094269B">
            <w:pPr>
              <w:spacing w:before="40" w:after="120"/>
              <w:ind w:right="113"/>
              <w:rPr>
                <w:lang w:val="fr-FR"/>
              </w:rPr>
            </w:pPr>
            <w:r w:rsidRPr="004A4CCE">
              <w:rPr>
                <w:lang w:val="fr-FR"/>
              </w:rPr>
              <w:t>Le WP.15 continuera à collaborer avec le WP.1 et le WP.29 pour assurer la cohérence entre certains instruments juridiques.</w:t>
            </w:r>
          </w:p>
          <w:p w14:paraId="2F32C847" w14:textId="4D663E97" w:rsidR="000661F7" w:rsidRPr="004A4CCE" w:rsidRDefault="000661F7" w:rsidP="0094269B">
            <w:pPr>
              <w:spacing w:before="40" w:after="120"/>
              <w:ind w:right="113"/>
              <w:rPr>
                <w:b/>
                <w:bCs/>
                <w:lang w:val="fr-FR"/>
              </w:rPr>
            </w:pPr>
            <w:r w:rsidRPr="00C90DA1">
              <w:rPr>
                <w:b/>
                <w:bCs/>
                <w:lang w:val="fr-FR"/>
              </w:rPr>
              <w:t>À sa 117</w:t>
            </w:r>
            <w:r w:rsidRPr="00C33721">
              <w:rPr>
                <w:b/>
                <w:bCs/>
                <w:vertAlign w:val="superscript"/>
                <w:lang w:val="fr-FR"/>
              </w:rPr>
              <w:t>e</w:t>
            </w:r>
            <w:r w:rsidRPr="00C90DA1">
              <w:rPr>
                <w:b/>
                <w:bCs/>
                <w:lang w:val="fr-FR"/>
              </w:rPr>
              <w:t xml:space="preserve"> session, le SC.1 a décidé de commencer l</w:t>
            </w:r>
            <w:r>
              <w:rPr>
                <w:b/>
                <w:bCs/>
                <w:lang w:val="fr-FR"/>
              </w:rPr>
              <w:t>’</w:t>
            </w:r>
            <w:r w:rsidRPr="00C90DA1">
              <w:rPr>
                <w:b/>
                <w:bCs/>
                <w:lang w:val="fr-FR"/>
              </w:rPr>
              <w:t>examen des onze instruments juridiques qu</w:t>
            </w:r>
            <w:r>
              <w:rPr>
                <w:b/>
                <w:bCs/>
                <w:lang w:val="fr-FR"/>
              </w:rPr>
              <w:t>’</w:t>
            </w:r>
            <w:r w:rsidRPr="00C90DA1">
              <w:rPr>
                <w:b/>
                <w:bCs/>
                <w:lang w:val="fr-FR"/>
              </w:rPr>
              <w:t>il administre à sa session suivant</w:t>
            </w:r>
            <w:r>
              <w:rPr>
                <w:b/>
                <w:bCs/>
                <w:lang w:val="fr-FR"/>
              </w:rPr>
              <w:t xml:space="preserve">e et </w:t>
            </w:r>
            <w:r w:rsidRPr="00C90DA1">
              <w:rPr>
                <w:b/>
                <w:bCs/>
                <w:lang w:val="fr-FR"/>
              </w:rPr>
              <w:t>demandé au secrétariat de préparer un exposé ou un document pour faciliter les débats.</w:t>
            </w:r>
          </w:p>
        </w:tc>
        <w:tc>
          <w:tcPr>
            <w:tcW w:w="2500" w:type="dxa"/>
            <w:shd w:val="clear" w:color="auto" w:fill="auto"/>
          </w:tcPr>
          <w:p w14:paraId="4A3A0E1B" w14:textId="4AF36C34" w:rsidR="000661F7" w:rsidRPr="00ED06D8" w:rsidRDefault="000661F7" w:rsidP="0094269B">
            <w:pPr>
              <w:spacing w:before="40" w:after="120"/>
              <w:ind w:right="113"/>
              <w:rPr>
                <w:lang w:val="fr-FR"/>
              </w:rPr>
            </w:pPr>
            <w:r>
              <w:rPr>
                <w:lang w:val="fr-FR"/>
              </w:rPr>
              <w:lastRenderedPageBreak/>
              <w:t>1. Continuer d’assurer l’administration des instruments juridiques et de les modifier au besoin. Il</w:t>
            </w:r>
            <w:r w:rsidR="00D63499">
              <w:rPr>
                <w:lang w:val="fr-FR"/>
              </w:rPr>
              <w:t> </w:t>
            </w:r>
            <w:r>
              <w:rPr>
                <w:lang w:val="fr-FR"/>
              </w:rPr>
              <w:t xml:space="preserve">s’agit d’examiner ces instruments, de les évaluer et de proposer des mises à jour pour les actualiser, ainsi que de définir des stratégies pour encourager les membres existants à en reprendre l’application et favoriser l’adhésion de nouveaux membres. </w:t>
            </w:r>
          </w:p>
          <w:p w14:paraId="303BF222" w14:textId="7B20F0F6" w:rsidR="000661F7" w:rsidRPr="00ED06D8" w:rsidRDefault="000661F7" w:rsidP="0094269B">
            <w:pPr>
              <w:spacing w:before="40" w:after="120"/>
              <w:ind w:right="113"/>
              <w:rPr>
                <w:lang w:val="fr-FR"/>
              </w:rPr>
            </w:pPr>
            <w:r>
              <w:rPr>
                <w:lang w:val="fr-FR"/>
              </w:rPr>
              <w:t xml:space="preserve">2. S’employer à obtenir de l’Assemblée générale ou de l’ECOSOC un mandat pour la traduction des documents relatifs aux instruments juridiques de portée mondiale dans les six langues officielles de l’ONU. </w:t>
            </w:r>
          </w:p>
          <w:p w14:paraId="06C4D168" w14:textId="77777777" w:rsidR="000661F7" w:rsidRPr="00ED06D8" w:rsidRDefault="000661F7" w:rsidP="0094269B">
            <w:pPr>
              <w:spacing w:before="40" w:after="120"/>
              <w:ind w:right="113"/>
              <w:rPr>
                <w:lang w:val="fr-FR"/>
              </w:rPr>
            </w:pPr>
            <w:r>
              <w:rPr>
                <w:lang w:val="fr-FR"/>
              </w:rPr>
              <w:t>3. Poursuivre la collaboration nécessaire pour assurer la cohérence entre certains instruments juridiques.</w:t>
            </w:r>
          </w:p>
          <w:p w14:paraId="47A22818" w14:textId="6D79F57B" w:rsidR="000661F7" w:rsidRPr="00ED06D8" w:rsidRDefault="000661F7" w:rsidP="0094269B">
            <w:pPr>
              <w:spacing w:before="40" w:after="120"/>
              <w:ind w:right="113"/>
              <w:rPr>
                <w:lang w:val="fr-FR"/>
              </w:rPr>
            </w:pPr>
            <w:r>
              <w:rPr>
                <w:lang w:val="fr-FR"/>
              </w:rPr>
              <w:t xml:space="preserve">4. Continuer de formuler des recommandations sur l’application des instruments juridiques et étudier les moyens de renforcer le suivi de cette application. </w:t>
            </w:r>
          </w:p>
        </w:tc>
        <w:tc>
          <w:tcPr>
            <w:tcW w:w="1667" w:type="dxa"/>
            <w:shd w:val="clear" w:color="auto" w:fill="auto"/>
          </w:tcPr>
          <w:p w14:paraId="32E90C18" w14:textId="67C15E1B" w:rsidR="000661F7" w:rsidRPr="00ED06D8" w:rsidRDefault="000661F7" w:rsidP="0094269B">
            <w:pPr>
              <w:spacing w:before="40" w:after="120"/>
              <w:ind w:right="113"/>
              <w:rPr>
                <w:lang w:val="fr-FR"/>
              </w:rPr>
            </w:pPr>
            <w:r>
              <w:rPr>
                <w:lang w:val="fr-FR"/>
              </w:rPr>
              <w:t>1. Les secrétaires des Groupes de travail et des comités d’administration</w:t>
            </w:r>
          </w:p>
          <w:p w14:paraId="3181B35C" w14:textId="77777777" w:rsidR="000661F7" w:rsidRPr="00ED06D8" w:rsidRDefault="000661F7" w:rsidP="0094269B">
            <w:pPr>
              <w:spacing w:before="40" w:after="120"/>
              <w:ind w:right="113"/>
              <w:rPr>
                <w:lang w:val="fr-FR"/>
              </w:rPr>
            </w:pPr>
            <w:r>
              <w:rPr>
                <w:lang w:val="fr-FR"/>
              </w:rPr>
              <w:t>2. Le secrétariat du Comité</w:t>
            </w:r>
          </w:p>
          <w:p w14:paraId="57CAA491" w14:textId="513A060A" w:rsidR="000661F7" w:rsidRPr="00ED06D8" w:rsidRDefault="000661F7" w:rsidP="0094269B">
            <w:pPr>
              <w:spacing w:before="40" w:after="120"/>
              <w:ind w:right="113"/>
              <w:rPr>
                <w:lang w:val="fr-FR"/>
              </w:rPr>
            </w:pPr>
            <w:r>
              <w:rPr>
                <w:lang w:val="fr-FR"/>
              </w:rPr>
              <w:t>3-4. Les secrétaires des groupes de travail et comités d’administration concernés</w:t>
            </w:r>
          </w:p>
        </w:tc>
      </w:tr>
      <w:tr w:rsidR="000661F7" w:rsidRPr="0067484D" w14:paraId="2BF37BBF" w14:textId="77777777" w:rsidTr="0094269B">
        <w:tc>
          <w:tcPr>
            <w:tcW w:w="500" w:type="dxa"/>
            <w:shd w:val="clear" w:color="auto" w:fill="auto"/>
          </w:tcPr>
          <w:p w14:paraId="7DBD42C9" w14:textId="77777777" w:rsidR="000661F7" w:rsidRPr="0067484D" w:rsidRDefault="000661F7" w:rsidP="0094269B">
            <w:pPr>
              <w:spacing w:before="40" w:after="120"/>
              <w:ind w:right="113"/>
            </w:pPr>
            <w:r>
              <w:rPr>
                <w:lang w:val="fr-FR"/>
              </w:rPr>
              <w:lastRenderedPageBreak/>
              <w:t>5.2</w:t>
            </w:r>
          </w:p>
        </w:tc>
        <w:tc>
          <w:tcPr>
            <w:tcW w:w="1778" w:type="dxa"/>
            <w:shd w:val="clear" w:color="auto" w:fill="auto"/>
          </w:tcPr>
          <w:p w14:paraId="60B8177F" w14:textId="77777777" w:rsidR="000661F7" w:rsidRPr="00ED06D8" w:rsidRDefault="000661F7" w:rsidP="0094269B">
            <w:pPr>
              <w:spacing w:before="40" w:after="120"/>
              <w:ind w:right="113"/>
              <w:rPr>
                <w:lang w:val="fr-FR"/>
              </w:rPr>
            </w:pPr>
            <w:r>
              <w:rPr>
                <w:lang w:val="fr-FR"/>
              </w:rPr>
              <w:t>Modifier le mandat du Comité (en 2020)</w:t>
            </w:r>
          </w:p>
        </w:tc>
        <w:tc>
          <w:tcPr>
            <w:tcW w:w="3194" w:type="dxa"/>
            <w:shd w:val="clear" w:color="auto" w:fill="auto"/>
          </w:tcPr>
          <w:p w14:paraId="116A545B" w14:textId="77777777" w:rsidR="000661F7" w:rsidRPr="00ED06D8" w:rsidRDefault="000661F7" w:rsidP="0094269B">
            <w:pPr>
              <w:spacing w:before="40" w:after="120"/>
              <w:ind w:right="113"/>
              <w:rPr>
                <w:lang w:val="fr-FR"/>
              </w:rPr>
            </w:pPr>
            <w:r>
              <w:rPr>
                <w:lang w:val="fr-FR"/>
              </w:rPr>
              <w:t xml:space="preserve">Voir les informations relatives à la tâche 4.3. </w:t>
            </w:r>
          </w:p>
        </w:tc>
        <w:tc>
          <w:tcPr>
            <w:tcW w:w="2500" w:type="dxa"/>
            <w:shd w:val="clear" w:color="auto" w:fill="auto"/>
          </w:tcPr>
          <w:p w14:paraId="3732EC25" w14:textId="77777777" w:rsidR="000661F7" w:rsidRPr="00ED06D8" w:rsidRDefault="000661F7" w:rsidP="0094269B">
            <w:pPr>
              <w:spacing w:before="40" w:after="120"/>
              <w:ind w:right="113"/>
              <w:rPr>
                <w:lang w:val="fr-FR"/>
              </w:rPr>
            </w:pPr>
          </w:p>
        </w:tc>
        <w:tc>
          <w:tcPr>
            <w:tcW w:w="1667" w:type="dxa"/>
            <w:shd w:val="clear" w:color="auto" w:fill="auto"/>
          </w:tcPr>
          <w:p w14:paraId="379A0D0D" w14:textId="77777777" w:rsidR="000661F7" w:rsidRPr="0067484D" w:rsidRDefault="000661F7" w:rsidP="0094269B">
            <w:pPr>
              <w:spacing w:before="40" w:after="120"/>
              <w:ind w:right="113"/>
            </w:pPr>
            <w:r>
              <w:rPr>
                <w:lang w:val="fr-FR"/>
              </w:rPr>
              <w:t>Le secrétariat du Comité</w:t>
            </w:r>
          </w:p>
        </w:tc>
      </w:tr>
      <w:tr w:rsidR="000661F7" w:rsidRPr="00D466A5" w14:paraId="1AEA2D9A" w14:textId="77777777" w:rsidTr="0094269B">
        <w:tc>
          <w:tcPr>
            <w:tcW w:w="500" w:type="dxa"/>
            <w:shd w:val="clear" w:color="auto" w:fill="auto"/>
          </w:tcPr>
          <w:p w14:paraId="36DF27ED" w14:textId="77777777" w:rsidR="000661F7" w:rsidRPr="0067484D" w:rsidRDefault="000661F7" w:rsidP="0094269B">
            <w:pPr>
              <w:spacing w:before="40" w:after="120"/>
              <w:ind w:right="113"/>
            </w:pPr>
            <w:r>
              <w:rPr>
                <w:lang w:val="fr-FR"/>
              </w:rPr>
              <w:t>5.3</w:t>
            </w:r>
          </w:p>
        </w:tc>
        <w:tc>
          <w:tcPr>
            <w:tcW w:w="1778" w:type="dxa"/>
            <w:shd w:val="clear" w:color="auto" w:fill="auto"/>
          </w:tcPr>
          <w:p w14:paraId="2A0B8B43" w14:textId="635D2134" w:rsidR="000661F7" w:rsidRPr="00ED06D8" w:rsidRDefault="000661F7" w:rsidP="0094269B">
            <w:pPr>
              <w:spacing w:before="40" w:after="120"/>
              <w:ind w:right="113"/>
              <w:rPr>
                <w:lang w:val="fr-FR"/>
              </w:rPr>
            </w:pPr>
            <w:r>
              <w:rPr>
                <w:lang w:val="fr-FR"/>
              </w:rPr>
              <w:t xml:space="preserve">Modifier les instruments juridiques auxquels l’adhésion est entravée par des obstacles géographiques ou procéduraux </w:t>
            </w:r>
            <w:r w:rsidR="00722EC0">
              <w:rPr>
                <w:lang w:val="fr-FR"/>
              </w:rPr>
              <w:br/>
            </w:r>
            <w:r>
              <w:rPr>
                <w:lang w:val="fr-FR"/>
              </w:rPr>
              <w:t>(d’ici à 2025)</w:t>
            </w:r>
          </w:p>
        </w:tc>
        <w:tc>
          <w:tcPr>
            <w:tcW w:w="3194" w:type="dxa"/>
            <w:shd w:val="clear" w:color="auto" w:fill="auto"/>
          </w:tcPr>
          <w:p w14:paraId="17EA4CDA" w14:textId="6158E3D8" w:rsidR="000661F7" w:rsidRDefault="000661F7" w:rsidP="0094269B">
            <w:pPr>
              <w:spacing w:before="40" w:after="120"/>
              <w:ind w:right="113"/>
              <w:rPr>
                <w:lang w:val="fr-FR"/>
              </w:rPr>
            </w:pPr>
            <w:r>
              <w:rPr>
                <w:lang w:val="fr-FR"/>
              </w:rPr>
              <w:t xml:space="preserve">L’adjectif « européen » a été supprimé du titre de l’ADR. L’Accord était déjà ouvert à l’adhésion de tous les États Membres de l’ONU, mais cette modification pourrait faciliter l’adhésion de ceux pour lesquels la mention de l’adjectif « européen » pouvait être un obstacle. Elle </w:t>
            </w:r>
            <w:r w:rsidRPr="00BD1CA4">
              <w:rPr>
                <w:lang w:val="fr-FR"/>
              </w:rPr>
              <w:t>est entrée</w:t>
            </w:r>
            <w:r>
              <w:rPr>
                <w:lang w:val="fr-FR"/>
              </w:rPr>
              <w:t xml:space="preserve"> en vigueur le 1</w:t>
            </w:r>
            <w:r>
              <w:rPr>
                <w:vertAlign w:val="superscript"/>
                <w:lang w:val="fr-FR"/>
              </w:rPr>
              <w:t>er</w:t>
            </w:r>
            <w:r>
              <w:rPr>
                <w:lang w:val="fr-FR"/>
              </w:rPr>
              <w:t xml:space="preserve"> janvier 2021.</w:t>
            </w:r>
          </w:p>
          <w:p w14:paraId="129313ED" w14:textId="0968C0A5" w:rsidR="000661F7" w:rsidRPr="00C90DA1" w:rsidRDefault="000661F7" w:rsidP="0094269B">
            <w:pPr>
              <w:spacing w:before="40" w:after="120"/>
              <w:ind w:right="113"/>
              <w:rPr>
                <w:lang w:val="fr-FR"/>
              </w:rPr>
            </w:pPr>
            <w:r w:rsidRPr="004A4CCE">
              <w:rPr>
                <w:lang w:val="fr-FR"/>
              </w:rPr>
              <w:t>Accord de 1997 sur le contrôle technique périodique des véhicules</w:t>
            </w:r>
            <w:r>
              <w:rPr>
                <w:lang w:val="fr-FR"/>
              </w:rPr>
              <w:t> :</w:t>
            </w:r>
            <w:r w:rsidRPr="00BD1CA4">
              <w:rPr>
                <w:lang w:val="fr-FR"/>
              </w:rPr>
              <w:t xml:space="preserve"> en 2019, la référence à l</w:t>
            </w:r>
            <w:r>
              <w:rPr>
                <w:lang w:val="fr-FR"/>
              </w:rPr>
              <w:t>’</w:t>
            </w:r>
            <w:r w:rsidRPr="00BD1CA4">
              <w:rPr>
                <w:lang w:val="fr-FR"/>
              </w:rPr>
              <w:t xml:space="preserve">Europe dans le préambule a été supprimée par un </w:t>
            </w:r>
            <w:r w:rsidRPr="00BD1CA4">
              <w:rPr>
                <w:lang w:val="fr-FR"/>
              </w:rPr>
              <w:lastRenderedPageBreak/>
              <w:t>amendement, afin de souligner la portée mondiale de l</w:t>
            </w:r>
            <w:r>
              <w:rPr>
                <w:lang w:val="fr-FR"/>
              </w:rPr>
              <w:t>’</w:t>
            </w:r>
            <w:r w:rsidRPr="00BD1CA4">
              <w:rPr>
                <w:lang w:val="fr-FR"/>
              </w:rPr>
              <w:t>Accord.</w:t>
            </w:r>
          </w:p>
          <w:p w14:paraId="2F701E93" w14:textId="179DC2C6" w:rsidR="000661F7" w:rsidRDefault="000661F7" w:rsidP="0094269B">
            <w:pPr>
              <w:spacing w:before="40" w:after="120"/>
              <w:ind w:right="113"/>
              <w:rPr>
                <w:lang w:val="fr-FR"/>
              </w:rPr>
            </w:pPr>
            <w:r>
              <w:rPr>
                <w:lang w:val="fr-FR"/>
              </w:rPr>
              <w:t>Le WP.1 a déjà rejeté de manière informelle les modifications des conditions d’adhésion aux Accords européens complétant les deux Conventions de 1968. Néanmoins, d’ici à 2025, il débattra à nouveau de la modification des clauses finales de ces instruments juridiques et d’autres.</w:t>
            </w:r>
          </w:p>
          <w:p w14:paraId="7B51BF12" w14:textId="667C123A" w:rsidR="000661F7" w:rsidRPr="00BD1CA4" w:rsidRDefault="000661F7" w:rsidP="0094269B">
            <w:pPr>
              <w:spacing w:before="40" w:after="120"/>
              <w:ind w:right="113"/>
              <w:rPr>
                <w:color w:val="000000" w:themeColor="text1"/>
              </w:rPr>
            </w:pPr>
            <w:r w:rsidRPr="00BD1CA4">
              <w:rPr>
                <w:lang w:val="fr-FR"/>
              </w:rPr>
              <w:t>À sa 116</w:t>
            </w:r>
            <w:r w:rsidRPr="00BD1CA4">
              <w:rPr>
                <w:vertAlign w:val="superscript"/>
                <w:lang w:val="fr-FR"/>
              </w:rPr>
              <w:t>e</w:t>
            </w:r>
            <w:r w:rsidRPr="00BD1CA4">
              <w:rPr>
                <w:lang w:val="fr-FR"/>
              </w:rPr>
              <w:t xml:space="preserve"> session, le SC.1 a exprimé son soutien à une Partie contractante à l</w:t>
            </w:r>
            <w:r>
              <w:rPr>
                <w:lang w:val="fr-FR"/>
              </w:rPr>
              <w:t>’</w:t>
            </w:r>
            <w:r w:rsidRPr="00BD1CA4">
              <w:rPr>
                <w:lang w:val="fr-FR"/>
              </w:rPr>
              <w:t>Accord européen relatif au travail des équipages des véhicules effectuant des transports internationaux par route (AETR) souhaitant ouvrir l</w:t>
            </w:r>
            <w:r>
              <w:rPr>
                <w:lang w:val="fr-FR"/>
              </w:rPr>
              <w:t>’</w:t>
            </w:r>
            <w:r w:rsidRPr="00BD1CA4">
              <w:rPr>
                <w:lang w:val="fr-FR"/>
              </w:rPr>
              <w:t>Accord au niveau mondial et l</w:t>
            </w:r>
            <w:r>
              <w:rPr>
                <w:lang w:val="fr-FR"/>
              </w:rPr>
              <w:t>’</w:t>
            </w:r>
            <w:r w:rsidRPr="00BD1CA4">
              <w:rPr>
                <w:lang w:val="fr-FR"/>
              </w:rPr>
              <w:t>a encouragée à soumettre officiellement une proposition d</w:t>
            </w:r>
            <w:r>
              <w:rPr>
                <w:lang w:val="fr-FR"/>
              </w:rPr>
              <w:t>’</w:t>
            </w:r>
            <w:r w:rsidRPr="00BD1CA4">
              <w:rPr>
                <w:lang w:val="fr-FR"/>
              </w:rPr>
              <w:t xml:space="preserve">amendement </w:t>
            </w:r>
            <w:r>
              <w:rPr>
                <w:lang w:val="fr-FR"/>
              </w:rPr>
              <w:t>à</w:t>
            </w:r>
            <w:r w:rsidRPr="00BD1CA4">
              <w:rPr>
                <w:lang w:val="fr-FR"/>
              </w:rPr>
              <w:t xml:space="preserve"> l</w:t>
            </w:r>
            <w:r>
              <w:rPr>
                <w:lang w:val="fr-FR"/>
              </w:rPr>
              <w:t>’</w:t>
            </w:r>
            <w:r w:rsidRPr="00BD1CA4">
              <w:rPr>
                <w:lang w:val="fr-FR"/>
              </w:rPr>
              <w:t>article 14 en ce sens.</w:t>
            </w:r>
            <w:r>
              <w:rPr>
                <w:b/>
                <w:bCs/>
                <w:lang w:val="fr-FR"/>
              </w:rPr>
              <w:t xml:space="preserve"> Aucune</w:t>
            </w:r>
            <w:r w:rsidRPr="00BD1CA4">
              <w:rPr>
                <w:b/>
                <w:bCs/>
                <w:lang w:val="fr-FR"/>
              </w:rPr>
              <w:t xml:space="preserve"> proposition d</w:t>
            </w:r>
            <w:r>
              <w:rPr>
                <w:b/>
                <w:bCs/>
                <w:lang w:val="fr-FR"/>
              </w:rPr>
              <w:t>’</w:t>
            </w:r>
            <w:r w:rsidRPr="00C33721">
              <w:rPr>
                <w:b/>
                <w:bCs/>
                <w:lang w:val="fr-FR"/>
              </w:rPr>
              <w:t>amendement n</w:t>
            </w:r>
            <w:r>
              <w:rPr>
                <w:b/>
                <w:bCs/>
                <w:lang w:val="fr-FR"/>
              </w:rPr>
              <w:t>’</w:t>
            </w:r>
            <w:r w:rsidRPr="00C33721">
              <w:rPr>
                <w:b/>
                <w:bCs/>
                <w:lang w:val="fr-FR"/>
              </w:rPr>
              <w:t>a encore été soumise. Le SC.1 et son groupe d</w:t>
            </w:r>
            <w:r>
              <w:rPr>
                <w:b/>
                <w:bCs/>
                <w:lang w:val="fr-FR"/>
              </w:rPr>
              <w:t>’</w:t>
            </w:r>
            <w:r w:rsidRPr="00C33721">
              <w:rPr>
                <w:b/>
                <w:bCs/>
                <w:lang w:val="fr-FR"/>
              </w:rPr>
              <w:t>experts de l</w:t>
            </w:r>
            <w:r>
              <w:rPr>
                <w:b/>
                <w:bCs/>
                <w:lang w:val="fr-FR"/>
              </w:rPr>
              <w:t>’</w:t>
            </w:r>
            <w:r w:rsidRPr="00C33721">
              <w:rPr>
                <w:b/>
                <w:bCs/>
                <w:lang w:val="fr-FR"/>
              </w:rPr>
              <w:t xml:space="preserve">AETR continueront à débattre de cette question </w:t>
            </w:r>
            <w:r>
              <w:rPr>
                <w:b/>
                <w:bCs/>
                <w:lang w:val="fr-FR"/>
              </w:rPr>
              <w:t>lors de</w:t>
            </w:r>
            <w:r w:rsidRPr="00C33721">
              <w:rPr>
                <w:b/>
                <w:bCs/>
                <w:lang w:val="fr-FR"/>
              </w:rPr>
              <w:t xml:space="preserve"> leurs sessions jusqu</w:t>
            </w:r>
            <w:r>
              <w:rPr>
                <w:b/>
                <w:bCs/>
                <w:lang w:val="fr-FR"/>
              </w:rPr>
              <w:t>’</w:t>
            </w:r>
            <w:r w:rsidRPr="00C33721">
              <w:rPr>
                <w:b/>
                <w:bCs/>
                <w:lang w:val="fr-FR"/>
              </w:rPr>
              <w:t>à ce qu</w:t>
            </w:r>
            <w:r>
              <w:rPr>
                <w:b/>
                <w:bCs/>
                <w:lang w:val="fr-FR"/>
              </w:rPr>
              <w:t>’</w:t>
            </w:r>
            <w:r w:rsidRPr="00BD1CA4">
              <w:rPr>
                <w:b/>
                <w:bCs/>
                <w:lang w:val="fr-FR"/>
              </w:rPr>
              <w:t>une Partie contractante</w:t>
            </w:r>
            <w:r>
              <w:rPr>
                <w:b/>
                <w:bCs/>
                <w:lang w:val="fr-FR"/>
              </w:rPr>
              <w:t xml:space="preserve"> prenne l’initiative</w:t>
            </w:r>
            <w:r w:rsidRPr="00BD1CA4">
              <w:rPr>
                <w:b/>
                <w:bCs/>
                <w:lang w:val="fr-FR"/>
              </w:rPr>
              <w:t>.</w:t>
            </w:r>
          </w:p>
          <w:p w14:paraId="7269AC8B" w14:textId="4305A7D8" w:rsidR="000661F7" w:rsidRPr="00323B98" w:rsidRDefault="000661F7" w:rsidP="0094269B">
            <w:pPr>
              <w:spacing w:before="40" w:after="120"/>
              <w:ind w:right="113"/>
              <w:rPr>
                <w:color w:val="000000" w:themeColor="text1"/>
              </w:rPr>
            </w:pPr>
            <w:r w:rsidRPr="00BD1CA4">
              <w:rPr>
                <w:lang w:val="fr-FR"/>
              </w:rPr>
              <w:t>Le SC.1 a entamé des discussions visant à déterminer s</w:t>
            </w:r>
            <w:r>
              <w:rPr>
                <w:lang w:val="fr-FR"/>
              </w:rPr>
              <w:t>’</w:t>
            </w:r>
            <w:r w:rsidRPr="00BD1CA4">
              <w:rPr>
                <w:lang w:val="fr-FR"/>
              </w:rPr>
              <w:t>il serait approprié d</w:t>
            </w:r>
            <w:r>
              <w:rPr>
                <w:lang w:val="fr-FR"/>
              </w:rPr>
              <w:t>’</w:t>
            </w:r>
            <w:r w:rsidRPr="00BD1CA4">
              <w:rPr>
                <w:lang w:val="fr-FR"/>
              </w:rPr>
              <w:t>ouvrir l</w:t>
            </w:r>
            <w:r>
              <w:rPr>
                <w:lang w:val="fr-FR"/>
              </w:rPr>
              <w:t>’</w:t>
            </w:r>
            <w:r w:rsidRPr="00BD1CA4">
              <w:rPr>
                <w:lang w:val="fr-FR"/>
              </w:rPr>
              <w:t>Accord européen sur les grandes routes de trafic international (AGR) à l</w:t>
            </w:r>
            <w:r>
              <w:rPr>
                <w:lang w:val="fr-FR"/>
              </w:rPr>
              <w:t>’</w:t>
            </w:r>
            <w:r w:rsidRPr="00BD1CA4">
              <w:rPr>
                <w:lang w:val="fr-FR"/>
              </w:rPr>
              <w:t>adhésion d</w:t>
            </w:r>
            <w:r>
              <w:rPr>
                <w:lang w:val="fr-FR"/>
              </w:rPr>
              <w:t>’</w:t>
            </w:r>
            <w:r w:rsidRPr="00BD1CA4">
              <w:rPr>
                <w:lang w:val="fr-FR"/>
              </w:rPr>
              <w:t>États non membres de la CEE.</w:t>
            </w:r>
            <w:r w:rsidRPr="00AD3567">
              <w:rPr>
                <w:lang w:val="fr-FR"/>
              </w:rPr>
              <w:t xml:space="preserve"> </w:t>
            </w:r>
            <w:r w:rsidRPr="00C33721">
              <w:rPr>
                <w:b/>
                <w:bCs/>
                <w:lang w:val="fr-FR"/>
              </w:rPr>
              <w:t>Pour faciliter la poursuite des débats</w:t>
            </w:r>
            <w:r>
              <w:rPr>
                <w:b/>
                <w:bCs/>
                <w:lang w:val="fr-FR"/>
              </w:rPr>
              <w:t>,</w:t>
            </w:r>
            <w:r w:rsidRPr="00C33721">
              <w:rPr>
                <w:b/>
                <w:bCs/>
                <w:lang w:val="fr-FR"/>
              </w:rPr>
              <w:t xml:space="preserve"> </w:t>
            </w:r>
            <w:r>
              <w:rPr>
                <w:b/>
                <w:bCs/>
                <w:lang w:val="fr-FR"/>
              </w:rPr>
              <w:t>à la demande</w:t>
            </w:r>
            <w:r w:rsidRPr="00C33721">
              <w:rPr>
                <w:b/>
                <w:bCs/>
                <w:lang w:val="fr-FR"/>
              </w:rPr>
              <w:t xml:space="preserve"> </w:t>
            </w:r>
            <w:r w:rsidRPr="005734FD">
              <w:rPr>
                <w:strike/>
                <w:lang w:val="fr-FR"/>
              </w:rPr>
              <w:t>117</w:t>
            </w:r>
            <w:r w:rsidRPr="00F935C0">
              <w:rPr>
                <w:strike/>
                <w:vertAlign w:val="superscript"/>
                <w:lang w:val="fr-FR"/>
              </w:rPr>
              <w:t>e</w:t>
            </w:r>
            <w:r w:rsidRPr="005734FD">
              <w:rPr>
                <w:strike/>
                <w:lang w:val="fr-FR"/>
              </w:rPr>
              <w:t xml:space="preserve"> session </w:t>
            </w:r>
            <w:r w:rsidRPr="00C33721">
              <w:rPr>
                <w:b/>
                <w:bCs/>
                <w:lang w:val="fr-FR"/>
              </w:rPr>
              <w:t xml:space="preserve">du SC.1, </w:t>
            </w:r>
            <w:r w:rsidRPr="00082CA7">
              <w:rPr>
                <w:b/>
                <w:bCs/>
                <w:lang w:val="fr-FR"/>
              </w:rPr>
              <w:t xml:space="preserve">le secrétariat </w:t>
            </w:r>
            <w:r w:rsidRPr="005734FD">
              <w:rPr>
                <w:strike/>
                <w:lang w:val="fr-FR"/>
              </w:rPr>
              <w:t xml:space="preserve">invitera les représentants des autres commissions régionales </w:t>
            </w:r>
            <w:r w:rsidRPr="00F935C0">
              <w:rPr>
                <w:strike/>
                <w:lang w:val="fr-FR"/>
              </w:rPr>
              <w:t>leurs accords régionaux équivalents</w:t>
            </w:r>
            <w:r w:rsidRPr="00C33721">
              <w:rPr>
                <w:b/>
                <w:bCs/>
                <w:lang w:val="fr-FR"/>
              </w:rPr>
              <w:t xml:space="preserve"> a invité la CESAP à présenter</w:t>
            </w:r>
            <w:r>
              <w:rPr>
                <w:b/>
                <w:bCs/>
                <w:lang w:val="fr-FR"/>
              </w:rPr>
              <w:t xml:space="preserve"> </w:t>
            </w:r>
            <w:r w:rsidRPr="00C33721">
              <w:rPr>
                <w:b/>
                <w:bCs/>
                <w:lang w:val="fr-FR"/>
              </w:rPr>
              <w:t>l</w:t>
            </w:r>
            <w:r>
              <w:rPr>
                <w:b/>
                <w:bCs/>
                <w:lang w:val="fr-FR"/>
              </w:rPr>
              <w:t>’</w:t>
            </w:r>
            <w:r w:rsidRPr="00C33721">
              <w:rPr>
                <w:b/>
                <w:bCs/>
                <w:lang w:val="fr-FR"/>
              </w:rPr>
              <w:t>Accord intergouvernemental sur le réseau routier asiatique à la 117</w:t>
            </w:r>
            <w:r w:rsidRPr="00C33721">
              <w:rPr>
                <w:b/>
                <w:bCs/>
                <w:vertAlign w:val="superscript"/>
                <w:lang w:val="fr-FR"/>
              </w:rPr>
              <w:t>e</w:t>
            </w:r>
            <w:r w:rsidRPr="00C33721">
              <w:rPr>
                <w:b/>
                <w:bCs/>
                <w:lang w:val="fr-FR"/>
              </w:rPr>
              <w:t xml:space="preserve"> session du SC.1. </w:t>
            </w:r>
            <w:r>
              <w:rPr>
                <w:b/>
                <w:bCs/>
                <w:lang w:val="fr-FR"/>
              </w:rPr>
              <w:t>Celui-ci</w:t>
            </w:r>
            <w:r w:rsidRPr="00C33721">
              <w:rPr>
                <w:b/>
                <w:bCs/>
                <w:lang w:val="fr-FR"/>
              </w:rPr>
              <w:t xml:space="preserve"> a accueilli favorablement cet exposé</w:t>
            </w:r>
            <w:r>
              <w:rPr>
                <w:b/>
                <w:bCs/>
                <w:lang w:val="fr-FR"/>
              </w:rPr>
              <w:t xml:space="preserve"> et </w:t>
            </w:r>
            <w:r w:rsidRPr="00C33721">
              <w:rPr>
                <w:b/>
                <w:bCs/>
                <w:lang w:val="fr-FR"/>
              </w:rPr>
              <w:t>demandé au secrétariat d</w:t>
            </w:r>
            <w:r>
              <w:rPr>
                <w:b/>
                <w:bCs/>
                <w:lang w:val="fr-FR"/>
              </w:rPr>
              <w:t>’</w:t>
            </w:r>
            <w:r w:rsidRPr="00C33721">
              <w:rPr>
                <w:b/>
                <w:bCs/>
                <w:lang w:val="fr-FR"/>
              </w:rPr>
              <w:t>inviter d</w:t>
            </w:r>
            <w:r>
              <w:rPr>
                <w:b/>
                <w:bCs/>
                <w:lang w:val="fr-FR"/>
              </w:rPr>
              <w:t>’</w:t>
            </w:r>
            <w:r w:rsidRPr="00C33721">
              <w:rPr>
                <w:b/>
                <w:bCs/>
                <w:lang w:val="fr-FR"/>
              </w:rPr>
              <w:t>autres commissions régionales de l</w:t>
            </w:r>
            <w:r>
              <w:rPr>
                <w:b/>
                <w:bCs/>
                <w:lang w:val="fr-FR"/>
              </w:rPr>
              <w:t>’</w:t>
            </w:r>
            <w:r w:rsidRPr="00C33721">
              <w:rPr>
                <w:b/>
                <w:bCs/>
                <w:lang w:val="fr-FR"/>
              </w:rPr>
              <w:t>ONU à présenter d</w:t>
            </w:r>
            <w:r>
              <w:rPr>
                <w:b/>
                <w:bCs/>
                <w:lang w:val="fr-FR"/>
              </w:rPr>
              <w:t>’</w:t>
            </w:r>
            <w:r w:rsidRPr="00C33721">
              <w:rPr>
                <w:b/>
                <w:bCs/>
                <w:lang w:val="fr-FR"/>
              </w:rPr>
              <w:t xml:space="preserve">autres accords régionaux </w:t>
            </w:r>
            <w:r>
              <w:rPr>
                <w:b/>
                <w:bCs/>
                <w:lang w:val="fr-FR"/>
              </w:rPr>
              <w:t>à</w:t>
            </w:r>
            <w:r w:rsidRPr="00C33721">
              <w:rPr>
                <w:b/>
                <w:bCs/>
                <w:lang w:val="fr-FR"/>
              </w:rPr>
              <w:t xml:space="preserve"> sa session suivante. Le</w:t>
            </w:r>
            <w:r w:rsidR="00155950">
              <w:rPr>
                <w:b/>
                <w:bCs/>
                <w:lang w:val="fr-FR"/>
              </w:rPr>
              <w:t> </w:t>
            </w:r>
            <w:r w:rsidRPr="00C33721">
              <w:rPr>
                <w:b/>
                <w:bCs/>
                <w:lang w:val="fr-FR"/>
              </w:rPr>
              <w:t>Président a également rappelé aux participants du SC.1 de consulter leurs capitales sur l</w:t>
            </w:r>
            <w:r>
              <w:rPr>
                <w:b/>
                <w:bCs/>
                <w:lang w:val="fr-FR"/>
              </w:rPr>
              <w:t>’</w:t>
            </w:r>
            <w:r w:rsidRPr="00C33721">
              <w:rPr>
                <w:b/>
                <w:bCs/>
                <w:lang w:val="fr-FR"/>
              </w:rPr>
              <w:t>opportunité d</w:t>
            </w:r>
            <w:r>
              <w:rPr>
                <w:b/>
                <w:bCs/>
                <w:lang w:val="fr-FR"/>
              </w:rPr>
              <w:t>’</w:t>
            </w:r>
            <w:r w:rsidRPr="00C33721">
              <w:rPr>
                <w:b/>
                <w:bCs/>
                <w:lang w:val="fr-FR"/>
              </w:rPr>
              <w:t>ouvrir l</w:t>
            </w:r>
            <w:r>
              <w:rPr>
                <w:b/>
                <w:bCs/>
                <w:lang w:val="fr-FR"/>
              </w:rPr>
              <w:t>’</w:t>
            </w:r>
            <w:r w:rsidRPr="00C33721">
              <w:rPr>
                <w:b/>
                <w:bCs/>
                <w:lang w:val="fr-FR"/>
              </w:rPr>
              <w:t xml:space="preserve">AGR à </w:t>
            </w:r>
            <w:r w:rsidRPr="00C33721">
              <w:rPr>
                <w:b/>
                <w:bCs/>
                <w:lang w:val="fr-FR"/>
              </w:rPr>
              <w:lastRenderedPageBreak/>
              <w:t>l</w:t>
            </w:r>
            <w:r>
              <w:rPr>
                <w:b/>
                <w:bCs/>
                <w:lang w:val="fr-FR"/>
              </w:rPr>
              <w:t>’</w:t>
            </w:r>
            <w:r w:rsidRPr="00C33721">
              <w:rPr>
                <w:b/>
                <w:bCs/>
                <w:lang w:val="fr-FR"/>
              </w:rPr>
              <w:t>adhésion d</w:t>
            </w:r>
            <w:r>
              <w:rPr>
                <w:b/>
                <w:bCs/>
                <w:lang w:val="fr-FR"/>
              </w:rPr>
              <w:t>’</w:t>
            </w:r>
            <w:r w:rsidRPr="00323B98">
              <w:rPr>
                <w:b/>
                <w:bCs/>
                <w:lang w:val="fr-FR"/>
              </w:rPr>
              <w:t xml:space="preserve">États non membres de la CEE. </w:t>
            </w:r>
          </w:p>
          <w:p w14:paraId="5B0D4994" w14:textId="28430520" w:rsidR="000661F7" w:rsidRPr="00323B98" w:rsidRDefault="000661F7" w:rsidP="0094269B">
            <w:pPr>
              <w:suppressAutoHyphens w:val="0"/>
              <w:spacing w:after="160" w:line="259" w:lineRule="auto"/>
              <w:ind w:right="90"/>
              <w:rPr>
                <w:rFonts w:asciiTheme="majorBidi" w:hAnsiTheme="majorBidi" w:cstheme="majorBidi"/>
                <w:color w:val="000000"/>
              </w:rPr>
            </w:pPr>
            <w:r w:rsidRPr="00323B98">
              <w:rPr>
                <w:lang w:val="fr-FR"/>
              </w:rPr>
              <w:t>Une équipe spéciale interne a été créée et chargée d</w:t>
            </w:r>
            <w:r>
              <w:rPr>
                <w:lang w:val="fr-FR"/>
              </w:rPr>
              <w:t>’</w:t>
            </w:r>
            <w:r w:rsidRPr="00323B98">
              <w:rPr>
                <w:lang w:val="fr-FR"/>
              </w:rPr>
              <w:t>examiner les différents instruments juridiques sous cet angle</w:t>
            </w:r>
            <w:r>
              <w:rPr>
                <w:lang w:val="fr-FR"/>
              </w:rPr>
              <w:t>, mais aucune autre</w:t>
            </w:r>
            <w:r w:rsidRPr="00323B98">
              <w:rPr>
                <w:lang w:val="fr-FR"/>
              </w:rPr>
              <w:t xml:space="preserve"> convention dont les barrières géographiques ou procédurales pourraient être levées pour l</w:t>
            </w:r>
            <w:r>
              <w:rPr>
                <w:lang w:val="fr-FR"/>
              </w:rPr>
              <w:t>’</w:t>
            </w:r>
            <w:r w:rsidRPr="00323B98">
              <w:rPr>
                <w:lang w:val="fr-FR"/>
              </w:rPr>
              <w:t>ouvrir à une adhésion mondiale</w:t>
            </w:r>
            <w:r>
              <w:rPr>
                <w:lang w:val="fr-FR"/>
              </w:rPr>
              <w:t xml:space="preserve"> n’a été trouvée. En effet :</w:t>
            </w:r>
          </w:p>
          <w:p w14:paraId="27CCA0FD" w14:textId="77777777" w:rsidR="000661F7" w:rsidRPr="00323B98" w:rsidRDefault="000661F7" w:rsidP="0094269B">
            <w:pPr>
              <w:spacing w:before="40" w:after="120"/>
              <w:ind w:right="113"/>
              <w:rPr>
                <w:rFonts w:asciiTheme="majorBidi" w:hAnsiTheme="majorBidi" w:cstheme="majorBidi"/>
                <w:color w:val="000000" w:themeColor="text1"/>
              </w:rPr>
            </w:pPr>
            <w:r w:rsidRPr="00323B98">
              <w:rPr>
                <w:lang w:val="fr-FR"/>
              </w:rPr>
              <w:t xml:space="preserve">- Ou bien les conventions </w:t>
            </w:r>
            <w:r>
              <w:rPr>
                <w:lang w:val="fr-FR"/>
              </w:rPr>
              <w:t>étaient déjà de portée</w:t>
            </w:r>
            <w:r w:rsidRPr="00323B98">
              <w:rPr>
                <w:lang w:val="fr-FR"/>
              </w:rPr>
              <w:t xml:space="preserve"> mondial</w:t>
            </w:r>
            <w:r>
              <w:rPr>
                <w:lang w:val="fr-FR"/>
              </w:rPr>
              <w:t>e ;</w:t>
            </w:r>
          </w:p>
          <w:p w14:paraId="7048C4CD" w14:textId="62CCE92D" w:rsidR="000661F7" w:rsidRPr="00323B98" w:rsidRDefault="000661F7" w:rsidP="0094269B">
            <w:pPr>
              <w:spacing w:before="40" w:after="120"/>
              <w:ind w:right="113"/>
              <w:rPr>
                <w:rFonts w:asciiTheme="majorBidi" w:hAnsiTheme="majorBidi" w:cstheme="majorBidi"/>
                <w:color w:val="000000" w:themeColor="text1"/>
              </w:rPr>
            </w:pPr>
            <w:r w:rsidRPr="00323B98">
              <w:rPr>
                <w:lang w:val="fr-FR"/>
              </w:rPr>
              <w:t>- Ou bien il s</w:t>
            </w:r>
            <w:r>
              <w:rPr>
                <w:lang w:val="fr-FR"/>
              </w:rPr>
              <w:t>’</w:t>
            </w:r>
            <w:r w:rsidRPr="00323B98">
              <w:rPr>
                <w:lang w:val="fr-FR"/>
              </w:rPr>
              <w:t xml:space="preserve">agissait de protocoles à des conventions </w:t>
            </w:r>
            <w:r>
              <w:rPr>
                <w:lang w:val="fr-FR"/>
              </w:rPr>
              <w:t>de portée mondiale</w:t>
            </w:r>
            <w:r w:rsidRPr="00323B98">
              <w:rPr>
                <w:lang w:val="fr-FR"/>
              </w:rPr>
              <w:t xml:space="preserve">, </w:t>
            </w:r>
            <w:r>
              <w:rPr>
                <w:lang w:val="fr-FR"/>
              </w:rPr>
              <w:t>avec</w:t>
            </w:r>
            <w:r w:rsidRPr="00323B98">
              <w:rPr>
                <w:lang w:val="fr-FR"/>
              </w:rPr>
              <w:t xml:space="preserve"> des dispositions régionales particulières s</w:t>
            </w:r>
            <w:r>
              <w:rPr>
                <w:lang w:val="fr-FR"/>
              </w:rPr>
              <w:t>’</w:t>
            </w:r>
            <w:r w:rsidRPr="00323B98">
              <w:rPr>
                <w:lang w:val="fr-FR"/>
              </w:rPr>
              <w:t>appuyant sur les dispositions mondiales</w:t>
            </w:r>
            <w:r>
              <w:rPr>
                <w:lang w:val="fr-FR"/>
              </w:rPr>
              <w:t> ;</w:t>
            </w:r>
          </w:p>
          <w:p w14:paraId="32B2E3D6" w14:textId="0E872B22" w:rsidR="000661F7" w:rsidRPr="00323B98" w:rsidRDefault="000661F7" w:rsidP="0094269B">
            <w:pPr>
              <w:spacing w:before="40" w:after="120"/>
              <w:ind w:right="113"/>
              <w:rPr>
                <w:rFonts w:asciiTheme="majorBidi" w:hAnsiTheme="majorBidi" w:cstheme="majorBidi"/>
                <w:color w:val="000000" w:themeColor="text1"/>
              </w:rPr>
            </w:pPr>
            <w:r w:rsidRPr="00323B98">
              <w:rPr>
                <w:lang w:val="fr-FR"/>
              </w:rPr>
              <w:t xml:space="preserve">- </w:t>
            </w:r>
            <w:r>
              <w:rPr>
                <w:lang w:val="fr-FR"/>
              </w:rPr>
              <w:t>O</w:t>
            </w:r>
            <w:r w:rsidRPr="00323B98">
              <w:rPr>
                <w:lang w:val="fr-FR"/>
              </w:rPr>
              <w:t xml:space="preserve">u bien </w:t>
            </w:r>
            <w:r>
              <w:rPr>
                <w:lang w:val="fr-FR"/>
              </w:rPr>
              <w:t xml:space="preserve">les textes avaient </w:t>
            </w:r>
            <w:r w:rsidRPr="00323B98">
              <w:rPr>
                <w:lang w:val="fr-FR"/>
              </w:rPr>
              <w:t xml:space="preserve">un objectif régional particulier, </w:t>
            </w:r>
            <w:r>
              <w:rPr>
                <w:lang w:val="fr-FR"/>
              </w:rPr>
              <w:t>comme dans le cas d’</w:t>
            </w:r>
            <w:r w:rsidRPr="00323B98">
              <w:rPr>
                <w:lang w:val="fr-FR"/>
              </w:rPr>
              <w:t>accords relatifs aux infrastructures définissant un plan de développement du réseau régional</w:t>
            </w:r>
            <w:r>
              <w:rPr>
                <w:lang w:val="fr-FR"/>
              </w:rPr>
              <w:t> ;</w:t>
            </w:r>
          </w:p>
          <w:p w14:paraId="13DB49DC" w14:textId="24DF4D0C" w:rsidR="000661F7" w:rsidRPr="00AD3567" w:rsidRDefault="000661F7" w:rsidP="0094269B">
            <w:pPr>
              <w:spacing w:before="40" w:after="120"/>
              <w:ind w:right="113"/>
              <w:rPr>
                <w:lang w:val="fr-FR"/>
              </w:rPr>
            </w:pPr>
            <w:r w:rsidRPr="00323B98">
              <w:rPr>
                <w:lang w:val="fr-FR"/>
              </w:rPr>
              <w:t xml:space="preserve">- </w:t>
            </w:r>
            <w:r>
              <w:rPr>
                <w:lang w:val="fr-FR"/>
              </w:rPr>
              <w:t>O</w:t>
            </w:r>
            <w:r w:rsidRPr="00323B98">
              <w:rPr>
                <w:lang w:val="fr-FR"/>
              </w:rPr>
              <w:t xml:space="preserve">u </w:t>
            </w:r>
            <w:r>
              <w:rPr>
                <w:lang w:val="fr-FR"/>
              </w:rPr>
              <w:t>encore</w:t>
            </w:r>
            <w:r w:rsidRPr="00323B98">
              <w:rPr>
                <w:lang w:val="fr-FR"/>
              </w:rPr>
              <w:t xml:space="preserve"> </w:t>
            </w:r>
            <w:r>
              <w:rPr>
                <w:lang w:val="fr-FR"/>
              </w:rPr>
              <w:t xml:space="preserve">le </w:t>
            </w:r>
            <w:r w:rsidRPr="00323B98">
              <w:rPr>
                <w:lang w:val="fr-FR"/>
              </w:rPr>
              <w:t>processus d</w:t>
            </w:r>
            <w:r>
              <w:rPr>
                <w:lang w:val="fr-FR"/>
              </w:rPr>
              <w:t>’</w:t>
            </w:r>
            <w:r w:rsidRPr="00323B98">
              <w:rPr>
                <w:lang w:val="fr-FR"/>
              </w:rPr>
              <w:t>ouverture de l</w:t>
            </w:r>
            <w:r>
              <w:rPr>
                <w:lang w:val="fr-FR"/>
              </w:rPr>
              <w:t>’</w:t>
            </w:r>
            <w:r w:rsidRPr="00323B98">
              <w:rPr>
                <w:lang w:val="fr-FR"/>
              </w:rPr>
              <w:t>instrument</w:t>
            </w:r>
            <w:r>
              <w:rPr>
                <w:lang w:val="fr-FR"/>
              </w:rPr>
              <w:t xml:space="preserve"> était examiné par le</w:t>
            </w:r>
            <w:r w:rsidRPr="00323B98">
              <w:rPr>
                <w:lang w:val="fr-FR"/>
              </w:rPr>
              <w:t xml:space="preserve"> groupe de travail concerné (</w:t>
            </w:r>
            <w:r>
              <w:rPr>
                <w:lang w:val="fr-FR"/>
              </w:rPr>
              <w:t xml:space="preserve">comme dans le cas de </w:t>
            </w:r>
            <w:r w:rsidRPr="00323B98">
              <w:rPr>
                <w:lang w:val="fr-FR"/>
              </w:rPr>
              <w:t>l</w:t>
            </w:r>
            <w:r>
              <w:rPr>
                <w:lang w:val="fr-FR"/>
              </w:rPr>
              <w:t>’</w:t>
            </w:r>
            <w:r w:rsidRPr="00323B98">
              <w:rPr>
                <w:lang w:val="fr-FR"/>
              </w:rPr>
              <w:t xml:space="preserve">examen mené par le SC.1 </w:t>
            </w:r>
            <w:r>
              <w:rPr>
                <w:lang w:val="fr-FR"/>
              </w:rPr>
              <w:t>à propos de</w:t>
            </w:r>
            <w:r w:rsidRPr="00323B98">
              <w:rPr>
                <w:lang w:val="fr-FR"/>
              </w:rPr>
              <w:t xml:space="preserve"> l</w:t>
            </w:r>
            <w:r>
              <w:rPr>
                <w:lang w:val="fr-FR"/>
              </w:rPr>
              <w:t>’</w:t>
            </w:r>
            <w:r w:rsidRPr="00323B98">
              <w:rPr>
                <w:lang w:val="fr-FR"/>
              </w:rPr>
              <w:t>AETR).</w:t>
            </w:r>
          </w:p>
        </w:tc>
        <w:tc>
          <w:tcPr>
            <w:tcW w:w="2500" w:type="dxa"/>
            <w:shd w:val="clear" w:color="auto" w:fill="auto"/>
          </w:tcPr>
          <w:p w14:paraId="5EAD2A7A" w14:textId="074A4599" w:rsidR="000661F7" w:rsidRPr="00ED06D8" w:rsidRDefault="000661F7" w:rsidP="0094269B">
            <w:pPr>
              <w:spacing w:before="40" w:after="120"/>
              <w:ind w:right="113"/>
              <w:rPr>
                <w:lang w:val="fr-FR"/>
              </w:rPr>
            </w:pPr>
            <w:r>
              <w:rPr>
                <w:lang w:val="fr-FR"/>
              </w:rPr>
              <w:lastRenderedPageBreak/>
              <w:t>Recenser les instruments juridiques pour lesquels les obstacles géographiques ou procéduraux à l’adhésion pourraient être levés, de manière à les ouvrir à l’adhésion de tous les pays du monde, et introduire dans les plans d’action des mesures à prendre pour lever ces obstacles.</w:t>
            </w:r>
          </w:p>
        </w:tc>
        <w:tc>
          <w:tcPr>
            <w:tcW w:w="1667" w:type="dxa"/>
            <w:shd w:val="clear" w:color="auto" w:fill="auto"/>
          </w:tcPr>
          <w:p w14:paraId="344374F2" w14:textId="4C4FA24A" w:rsidR="000661F7" w:rsidRPr="00ED06D8" w:rsidRDefault="000661F7" w:rsidP="0094269B">
            <w:pPr>
              <w:spacing w:before="40" w:after="120"/>
              <w:ind w:right="113"/>
              <w:rPr>
                <w:lang w:val="fr-FR"/>
              </w:rPr>
            </w:pPr>
            <w:r>
              <w:rPr>
                <w:lang w:val="fr-FR"/>
              </w:rPr>
              <w:t>Les secrétariats des groupes de travail et comités d’administration</w:t>
            </w:r>
          </w:p>
        </w:tc>
      </w:tr>
      <w:tr w:rsidR="000661F7" w:rsidRPr="00D466A5" w14:paraId="3F80E976" w14:textId="77777777" w:rsidTr="0094269B">
        <w:tc>
          <w:tcPr>
            <w:tcW w:w="500" w:type="dxa"/>
            <w:shd w:val="clear" w:color="auto" w:fill="auto"/>
          </w:tcPr>
          <w:p w14:paraId="24E41D93" w14:textId="77777777" w:rsidR="000661F7" w:rsidRPr="0067484D" w:rsidRDefault="000661F7" w:rsidP="0094269B">
            <w:pPr>
              <w:spacing w:before="40" w:after="120"/>
              <w:ind w:right="113"/>
            </w:pPr>
            <w:r>
              <w:rPr>
                <w:lang w:val="fr-FR"/>
              </w:rPr>
              <w:lastRenderedPageBreak/>
              <w:t>5.4</w:t>
            </w:r>
          </w:p>
        </w:tc>
        <w:tc>
          <w:tcPr>
            <w:tcW w:w="1778" w:type="dxa"/>
            <w:shd w:val="clear" w:color="auto" w:fill="auto"/>
          </w:tcPr>
          <w:p w14:paraId="5E4F65D2" w14:textId="15B194D4" w:rsidR="000661F7" w:rsidRPr="00ED06D8" w:rsidRDefault="000661F7" w:rsidP="0094269B">
            <w:pPr>
              <w:spacing w:before="40" w:after="120"/>
              <w:ind w:right="113"/>
              <w:rPr>
                <w:lang w:val="fr-FR"/>
              </w:rPr>
            </w:pPr>
            <w:r>
              <w:rPr>
                <w:lang w:val="fr-FR"/>
              </w:rPr>
              <w:t>Examiner la relation entre les instruments juridiques existants et formuler des recommandations (d’ici à 2022)</w:t>
            </w:r>
          </w:p>
        </w:tc>
        <w:tc>
          <w:tcPr>
            <w:tcW w:w="3194" w:type="dxa"/>
            <w:shd w:val="clear" w:color="auto" w:fill="auto"/>
          </w:tcPr>
          <w:p w14:paraId="270205D4" w14:textId="22D3FEEE" w:rsidR="000661F7" w:rsidRPr="00323B98" w:rsidRDefault="000661F7" w:rsidP="0094269B">
            <w:pPr>
              <w:spacing w:before="40" w:after="120"/>
              <w:ind w:right="113"/>
            </w:pPr>
            <w:r w:rsidRPr="00323B98">
              <w:rPr>
                <w:lang w:val="fr-FR"/>
              </w:rPr>
              <w:t xml:space="preserve">À sa soixante-quatrième session, le SC.3 a échangé des informations sur </w:t>
            </w:r>
            <w:r>
              <w:rPr>
                <w:lang w:val="fr-FR"/>
              </w:rPr>
              <w:t>les effets</w:t>
            </w:r>
            <w:r w:rsidRPr="00323B98">
              <w:rPr>
                <w:lang w:val="fr-FR"/>
              </w:rPr>
              <w:t xml:space="preserve"> de l</w:t>
            </w:r>
            <w:r>
              <w:rPr>
                <w:lang w:val="fr-FR"/>
              </w:rPr>
              <w:t>’</w:t>
            </w:r>
            <w:r w:rsidRPr="00323B98">
              <w:rPr>
                <w:lang w:val="fr-FR"/>
              </w:rPr>
              <w:t>épidémie de COVID-19 sur la navigation intérieure</w:t>
            </w:r>
            <w:r>
              <w:rPr>
                <w:lang w:val="fr-FR"/>
              </w:rPr>
              <w:t xml:space="preserve">. Il a </w:t>
            </w:r>
            <w:r w:rsidRPr="00323B98">
              <w:rPr>
                <w:lang w:val="fr-FR"/>
              </w:rPr>
              <w:t>jugé souhaitable de procéder à une évaluation des conventions et accords relevant de la CEE et des résolutions de la CEE dans le domaine du transport par voie navigable du point de vue de la préparation à des situations similaires.</w:t>
            </w:r>
          </w:p>
          <w:p w14:paraId="13A65602" w14:textId="12C27FB5" w:rsidR="000661F7" w:rsidRDefault="000661F7" w:rsidP="0094269B">
            <w:pPr>
              <w:spacing w:before="40" w:after="120"/>
              <w:ind w:right="113"/>
              <w:rPr>
                <w:b/>
                <w:bCs/>
                <w:lang w:val="fr-FR"/>
              </w:rPr>
            </w:pPr>
            <w:r w:rsidRPr="00373617">
              <w:rPr>
                <w:b/>
                <w:bCs/>
                <w:lang w:val="fr-FR"/>
              </w:rPr>
              <w:t xml:space="preserve">À sa soixante-cinquième session, le SC.3 a </w:t>
            </w:r>
            <w:r>
              <w:rPr>
                <w:b/>
                <w:bCs/>
                <w:lang w:val="fr-FR"/>
              </w:rPr>
              <w:t>relevé</w:t>
            </w:r>
            <w:r w:rsidRPr="00373617">
              <w:rPr>
                <w:b/>
                <w:bCs/>
                <w:lang w:val="fr-FR"/>
              </w:rPr>
              <w:t xml:space="preserve"> que</w:t>
            </w:r>
            <w:r>
              <w:rPr>
                <w:b/>
                <w:bCs/>
                <w:lang w:val="fr-FR"/>
              </w:rPr>
              <w:t xml:space="preserve"> dans</w:t>
            </w:r>
            <w:r w:rsidRPr="00373617">
              <w:rPr>
                <w:b/>
                <w:bCs/>
                <w:lang w:val="fr-FR"/>
              </w:rPr>
              <w:t xml:space="preserve"> la Convention relative à l</w:t>
            </w:r>
            <w:r>
              <w:rPr>
                <w:b/>
                <w:bCs/>
                <w:lang w:val="fr-FR"/>
              </w:rPr>
              <w:t>’</w:t>
            </w:r>
            <w:r w:rsidRPr="00373617">
              <w:rPr>
                <w:b/>
                <w:bCs/>
                <w:lang w:val="fr-FR"/>
              </w:rPr>
              <w:t>unification de certaines règles en matière d</w:t>
            </w:r>
            <w:r>
              <w:rPr>
                <w:b/>
                <w:bCs/>
                <w:lang w:val="fr-FR"/>
              </w:rPr>
              <w:t>’</w:t>
            </w:r>
            <w:r w:rsidRPr="00373617">
              <w:rPr>
                <w:b/>
                <w:bCs/>
                <w:lang w:val="fr-FR"/>
              </w:rPr>
              <w:t>abordage en navigation intérieur</w:t>
            </w:r>
            <w:r>
              <w:rPr>
                <w:b/>
                <w:bCs/>
                <w:lang w:val="fr-FR"/>
              </w:rPr>
              <w:t>e,</w:t>
            </w:r>
            <w:r w:rsidRPr="00373617">
              <w:rPr>
                <w:b/>
                <w:bCs/>
                <w:lang w:val="fr-FR"/>
              </w:rPr>
              <w:t xml:space="preserve"> la Convention relative à l</w:t>
            </w:r>
            <w:r>
              <w:rPr>
                <w:b/>
                <w:bCs/>
                <w:lang w:val="fr-FR"/>
              </w:rPr>
              <w:t>’</w:t>
            </w:r>
            <w:r w:rsidRPr="00373617">
              <w:rPr>
                <w:b/>
                <w:bCs/>
                <w:lang w:val="fr-FR"/>
              </w:rPr>
              <w:t>immatriculation des bateaux de navigation intérieure et la Convention relative au jaugeage des bateaux de navigation intérieure</w:t>
            </w:r>
            <w:r>
              <w:rPr>
                <w:b/>
                <w:bCs/>
                <w:lang w:val="fr-FR"/>
              </w:rPr>
              <w:t>, le cas particulier des pandémies n’était pas explicitement prévu</w:t>
            </w:r>
            <w:r w:rsidRPr="00373617">
              <w:rPr>
                <w:b/>
                <w:bCs/>
                <w:lang w:val="fr-FR"/>
              </w:rPr>
              <w:t xml:space="preserve">. </w:t>
            </w:r>
            <w:r w:rsidRPr="00373617">
              <w:rPr>
                <w:b/>
                <w:bCs/>
                <w:lang w:val="fr-FR"/>
              </w:rPr>
              <w:lastRenderedPageBreak/>
              <w:t>En</w:t>
            </w:r>
            <w:r w:rsidR="00155950">
              <w:rPr>
                <w:b/>
                <w:bCs/>
                <w:lang w:val="fr-FR"/>
              </w:rPr>
              <w:t> </w:t>
            </w:r>
            <w:r w:rsidRPr="00373617">
              <w:rPr>
                <w:b/>
                <w:bCs/>
                <w:lang w:val="fr-FR"/>
              </w:rPr>
              <w:t>2021-2022, le SC.3 et le SC.3/WP.3 ont été invités à réfléchir à des amendements à l</w:t>
            </w:r>
            <w:r>
              <w:rPr>
                <w:b/>
                <w:bCs/>
                <w:lang w:val="fr-FR"/>
              </w:rPr>
              <w:t>’</w:t>
            </w:r>
            <w:r w:rsidRPr="00373617">
              <w:rPr>
                <w:b/>
                <w:bCs/>
                <w:lang w:val="fr-FR"/>
              </w:rPr>
              <w:t>AGN et aux résolutions du SC.3 visant à renforcer la résilience du secteur aux situations de pandémi</w:t>
            </w:r>
            <w:r>
              <w:rPr>
                <w:b/>
                <w:bCs/>
                <w:lang w:val="fr-FR"/>
              </w:rPr>
              <w:t>e</w:t>
            </w:r>
            <w:r w:rsidRPr="00373617">
              <w:rPr>
                <w:b/>
                <w:bCs/>
                <w:lang w:val="fr-FR"/>
              </w:rPr>
              <w:t xml:space="preserve"> proposés par le secrétariat.</w:t>
            </w:r>
          </w:p>
          <w:p w14:paraId="6F3E42D8" w14:textId="34C4C7D5" w:rsidR="000661F7" w:rsidRPr="00323B98" w:rsidRDefault="000661F7" w:rsidP="0094269B">
            <w:pPr>
              <w:spacing w:before="40" w:after="120"/>
              <w:ind w:right="113"/>
            </w:pPr>
            <w:r w:rsidRPr="00323B98">
              <w:rPr>
                <w:lang w:val="fr-FR"/>
              </w:rPr>
              <w:t>Une équipe spéciale interne a été créée et chargée d</w:t>
            </w:r>
            <w:r>
              <w:rPr>
                <w:lang w:val="fr-FR"/>
              </w:rPr>
              <w:t>’</w:t>
            </w:r>
            <w:r w:rsidRPr="00323B98">
              <w:rPr>
                <w:lang w:val="fr-FR"/>
              </w:rPr>
              <w:t>examiner les différents instruments juridiques sous cet angle.</w:t>
            </w:r>
            <w:r w:rsidRPr="00373617">
              <w:rPr>
                <w:lang w:val="fr-FR"/>
              </w:rPr>
              <w:t xml:space="preserve"> </w:t>
            </w:r>
            <w:r w:rsidRPr="00323B98">
              <w:rPr>
                <w:lang w:val="fr-FR"/>
              </w:rPr>
              <w:t>Cette équipe a relevé un certain nombre de possibilités, de problèmes ou de risques liés à différentes conventions, comme suit</w:t>
            </w:r>
            <w:r>
              <w:rPr>
                <w:lang w:val="fr-FR"/>
              </w:rPr>
              <w:t> :</w:t>
            </w:r>
          </w:p>
          <w:p w14:paraId="42975A8B" w14:textId="259B9E87" w:rsidR="000661F7" w:rsidRPr="00323B98" w:rsidRDefault="000661F7" w:rsidP="0094269B">
            <w:pPr>
              <w:spacing w:before="40" w:after="120"/>
              <w:ind w:right="113"/>
              <w:rPr>
                <w:rFonts w:asciiTheme="majorBidi" w:hAnsiTheme="majorBidi" w:cstheme="majorBidi"/>
                <w:color w:val="000000" w:themeColor="text1"/>
              </w:rPr>
            </w:pPr>
            <w:r w:rsidRPr="00323B98">
              <w:rPr>
                <w:rFonts w:asciiTheme="majorBidi" w:hAnsiTheme="majorBidi" w:cstheme="majorBidi"/>
              </w:rPr>
              <w:t xml:space="preserve">- </w:t>
            </w:r>
            <w:r w:rsidRPr="00323B98">
              <w:rPr>
                <w:lang w:val="fr-FR"/>
              </w:rPr>
              <w:t>Convention internationale sur l</w:t>
            </w:r>
            <w:r>
              <w:rPr>
                <w:lang w:val="fr-FR"/>
              </w:rPr>
              <w:t>’</w:t>
            </w:r>
            <w:r w:rsidRPr="00323B98">
              <w:rPr>
                <w:lang w:val="fr-FR"/>
              </w:rPr>
              <w:t>harmonisation des contrôles des marchandises aux frontières, du 21 octobre 1982 − possibilité</w:t>
            </w:r>
            <w:r>
              <w:rPr>
                <w:lang w:val="fr-FR"/>
              </w:rPr>
              <w:t> :</w:t>
            </w:r>
            <w:r w:rsidRPr="00323B98">
              <w:rPr>
                <w:lang w:val="fr-FR"/>
              </w:rPr>
              <w:t xml:space="preserve"> </w:t>
            </w:r>
            <w:r w:rsidRPr="00155950">
              <w:rPr>
                <w:lang w:val="fr-FR"/>
              </w:rPr>
              <w:t>dématérialisation ;</w:t>
            </w:r>
          </w:p>
          <w:p w14:paraId="43796CEC" w14:textId="2B5E3D07" w:rsidR="000661F7" w:rsidRPr="00323B98" w:rsidRDefault="000661F7" w:rsidP="0094269B">
            <w:pPr>
              <w:spacing w:before="40" w:after="120"/>
              <w:ind w:right="113"/>
              <w:rPr>
                <w:rFonts w:asciiTheme="majorBidi" w:hAnsiTheme="majorBidi" w:cstheme="majorBidi"/>
                <w:color w:val="000000" w:themeColor="text1"/>
              </w:rPr>
            </w:pPr>
            <w:r w:rsidRPr="00323B98">
              <w:rPr>
                <w:lang w:val="fr-FR"/>
              </w:rPr>
              <w:t>- Conventions douanières relatives à l</w:t>
            </w:r>
            <w:r>
              <w:rPr>
                <w:lang w:val="fr-FR"/>
              </w:rPr>
              <w:t>’</w:t>
            </w:r>
            <w:r w:rsidRPr="00323B98">
              <w:rPr>
                <w:lang w:val="fr-FR"/>
              </w:rPr>
              <w:t>importation temporaire des véhicules routiers privés (1954) et commerciaux (1956) − possibilité</w:t>
            </w:r>
            <w:r>
              <w:rPr>
                <w:lang w:val="fr-FR"/>
              </w:rPr>
              <w:t> :</w:t>
            </w:r>
            <w:r w:rsidRPr="00323B98">
              <w:rPr>
                <w:lang w:val="fr-FR"/>
              </w:rPr>
              <w:t xml:space="preserve"> </w:t>
            </w:r>
            <w:r w:rsidRPr="00155950">
              <w:rPr>
                <w:lang w:val="fr-FR"/>
              </w:rPr>
              <w:t>dématérialisation du carnet</w:t>
            </w:r>
            <w:r w:rsidRPr="00323B98">
              <w:rPr>
                <w:lang w:val="fr-FR"/>
              </w:rPr>
              <w:t xml:space="preserve"> de passage en douane (CPD)</w:t>
            </w:r>
            <w:r>
              <w:rPr>
                <w:lang w:val="fr-FR"/>
              </w:rPr>
              <w:t> ;</w:t>
            </w:r>
          </w:p>
          <w:p w14:paraId="24547F30" w14:textId="72CFB7B3" w:rsidR="000661F7" w:rsidRPr="00323B98" w:rsidRDefault="000661F7" w:rsidP="0094269B">
            <w:pPr>
              <w:spacing w:before="40" w:after="120"/>
              <w:ind w:right="113"/>
              <w:rPr>
                <w:rFonts w:asciiTheme="majorBidi" w:hAnsiTheme="majorBidi" w:cstheme="majorBidi"/>
                <w:color w:val="000000" w:themeColor="text1"/>
              </w:rPr>
            </w:pPr>
            <w:r w:rsidRPr="00323B98">
              <w:rPr>
                <w:lang w:val="fr-FR"/>
              </w:rPr>
              <w:t>- Accord européen sur les grandes voies navigables d</w:t>
            </w:r>
            <w:r>
              <w:rPr>
                <w:lang w:val="fr-FR"/>
              </w:rPr>
              <w:t>’</w:t>
            </w:r>
            <w:r w:rsidRPr="00323B98">
              <w:rPr>
                <w:lang w:val="fr-FR"/>
              </w:rPr>
              <w:t>importance internationale (AGN), du 19 janvier 1996 − risque</w:t>
            </w:r>
            <w:r>
              <w:rPr>
                <w:lang w:val="fr-FR"/>
              </w:rPr>
              <w:t> :</w:t>
            </w:r>
            <w:r w:rsidRPr="00323B98">
              <w:rPr>
                <w:lang w:val="fr-FR"/>
              </w:rPr>
              <w:t xml:space="preserve"> </w:t>
            </w:r>
            <w:r>
              <w:rPr>
                <w:lang w:val="fr-FR"/>
              </w:rPr>
              <w:t>l’</w:t>
            </w:r>
            <w:r w:rsidRPr="00323B98">
              <w:rPr>
                <w:lang w:val="fr-FR"/>
              </w:rPr>
              <w:t>élabor</w:t>
            </w:r>
            <w:r>
              <w:rPr>
                <w:lang w:val="fr-FR"/>
              </w:rPr>
              <w:t>ation, par</w:t>
            </w:r>
            <w:r w:rsidRPr="00323B98">
              <w:rPr>
                <w:lang w:val="fr-FR"/>
              </w:rPr>
              <w:t xml:space="preserve"> l</w:t>
            </w:r>
            <w:r>
              <w:rPr>
                <w:lang w:val="fr-FR"/>
              </w:rPr>
              <w:t>’</w:t>
            </w:r>
            <w:r w:rsidRPr="00323B98">
              <w:rPr>
                <w:lang w:val="fr-FR"/>
              </w:rPr>
              <w:t>AIPCN</w:t>
            </w:r>
            <w:r>
              <w:rPr>
                <w:lang w:val="fr-FR"/>
              </w:rPr>
              <w:t>,</w:t>
            </w:r>
            <w:r w:rsidRPr="00323B98">
              <w:rPr>
                <w:lang w:val="fr-FR"/>
              </w:rPr>
              <w:t xml:space="preserve"> de nouveaux principes pour la classification des voies de navigation intérieures, pourrait avoir une incidence à l</w:t>
            </w:r>
            <w:r>
              <w:rPr>
                <w:lang w:val="fr-FR"/>
              </w:rPr>
              <w:t>’</w:t>
            </w:r>
            <w:r w:rsidRPr="00323B98">
              <w:rPr>
                <w:lang w:val="fr-FR"/>
              </w:rPr>
              <w:t>avenir</w:t>
            </w:r>
            <w:r>
              <w:rPr>
                <w:lang w:val="fr-FR"/>
              </w:rPr>
              <w:t> ;</w:t>
            </w:r>
          </w:p>
          <w:p w14:paraId="58A02C07" w14:textId="77777777" w:rsidR="000661F7" w:rsidRPr="00323B98" w:rsidRDefault="000661F7" w:rsidP="0094269B">
            <w:pPr>
              <w:spacing w:before="40" w:after="120"/>
              <w:ind w:right="113"/>
            </w:pPr>
            <w:r w:rsidRPr="00323B98">
              <w:rPr>
                <w:lang w:val="fr-FR"/>
              </w:rPr>
              <w:t>- Convention relative au jaugeage des bateaux de navigation intérieure, du 15 février 1966 − possibilité</w:t>
            </w:r>
            <w:r>
              <w:rPr>
                <w:lang w:val="fr-FR"/>
              </w:rPr>
              <w:t> :</w:t>
            </w:r>
            <w:r w:rsidRPr="00323B98">
              <w:rPr>
                <w:lang w:val="fr-FR"/>
              </w:rPr>
              <w:t xml:space="preserve"> dématérialisation du certificat de jaugeage</w:t>
            </w:r>
            <w:r>
              <w:rPr>
                <w:lang w:val="fr-FR"/>
              </w:rPr>
              <w:t> ;</w:t>
            </w:r>
          </w:p>
          <w:p w14:paraId="13C5EF59" w14:textId="3DCCF70C" w:rsidR="000661F7" w:rsidRPr="00323B98" w:rsidRDefault="000661F7" w:rsidP="0094269B">
            <w:pPr>
              <w:spacing w:before="40" w:after="120"/>
              <w:ind w:right="113"/>
              <w:rPr>
                <w:rFonts w:asciiTheme="majorBidi" w:hAnsiTheme="majorBidi" w:cstheme="majorBidi"/>
              </w:rPr>
            </w:pPr>
            <w:r w:rsidRPr="00323B98">
              <w:rPr>
                <w:lang w:val="fr-FR"/>
              </w:rPr>
              <w:t>- Convention relative à l</w:t>
            </w:r>
            <w:r>
              <w:rPr>
                <w:lang w:val="fr-FR"/>
              </w:rPr>
              <w:t>’</w:t>
            </w:r>
            <w:r w:rsidRPr="00323B98">
              <w:rPr>
                <w:lang w:val="fr-FR"/>
              </w:rPr>
              <w:t>immatriculation des bateaux de navigation intérieure, du 25 janvier 1965 − possibilité</w:t>
            </w:r>
            <w:r>
              <w:rPr>
                <w:lang w:val="fr-FR"/>
              </w:rPr>
              <w:t> :</w:t>
            </w:r>
            <w:r w:rsidRPr="00323B98">
              <w:rPr>
                <w:lang w:val="fr-FR"/>
              </w:rPr>
              <w:t xml:space="preserve"> dématérialisation des certificats d</w:t>
            </w:r>
            <w:r>
              <w:rPr>
                <w:lang w:val="fr-FR"/>
              </w:rPr>
              <w:t>’</w:t>
            </w:r>
            <w:r w:rsidRPr="00323B98">
              <w:rPr>
                <w:lang w:val="fr-FR"/>
              </w:rPr>
              <w:t>immatriculation et des registres des bateaux</w:t>
            </w:r>
            <w:r>
              <w:rPr>
                <w:lang w:val="fr-FR"/>
              </w:rPr>
              <w:t> ;</w:t>
            </w:r>
          </w:p>
          <w:p w14:paraId="2B7BE4E7" w14:textId="40536DBA" w:rsidR="000661F7" w:rsidRPr="00771946" w:rsidRDefault="000661F7" w:rsidP="0094269B">
            <w:pPr>
              <w:spacing w:before="40" w:after="120"/>
              <w:ind w:right="113"/>
              <w:rPr>
                <w:rFonts w:asciiTheme="majorBidi" w:hAnsiTheme="majorBidi" w:cstheme="majorBidi"/>
              </w:rPr>
            </w:pPr>
            <w:r w:rsidRPr="00323B98">
              <w:rPr>
                <w:lang w:val="fr-FR"/>
              </w:rPr>
              <w:t>- Accord relatif aux transports internationaux de denrées périssables et aux engins spéciaux à utiliser pour ces transports (ATP) − possibilité</w:t>
            </w:r>
            <w:r>
              <w:rPr>
                <w:lang w:val="fr-FR"/>
              </w:rPr>
              <w:t> :</w:t>
            </w:r>
            <w:r w:rsidRPr="00323B98">
              <w:rPr>
                <w:lang w:val="fr-FR"/>
              </w:rPr>
              <w:t xml:space="preserve"> les fruits et légumes frais ne sont pas </w:t>
            </w:r>
            <w:r>
              <w:rPr>
                <w:lang w:val="fr-FR"/>
              </w:rPr>
              <w:t>concernés</w:t>
            </w:r>
            <w:r w:rsidRPr="00323B98">
              <w:rPr>
                <w:lang w:val="fr-FR"/>
              </w:rPr>
              <w:t xml:space="preserve"> par l</w:t>
            </w:r>
            <w:r>
              <w:rPr>
                <w:lang w:val="fr-FR"/>
              </w:rPr>
              <w:t>’</w:t>
            </w:r>
            <w:r w:rsidRPr="00B12932">
              <w:rPr>
                <w:lang w:val="fr-FR"/>
              </w:rPr>
              <w:t>Accord,</w:t>
            </w:r>
            <w:r w:rsidRPr="00373617">
              <w:rPr>
                <w:lang w:val="fr-FR"/>
              </w:rPr>
              <w:t xml:space="preserve"> </w:t>
            </w:r>
            <w:r w:rsidRPr="00B12932">
              <w:rPr>
                <w:lang w:val="fr-FR"/>
              </w:rPr>
              <w:t>de même que d</w:t>
            </w:r>
            <w:r>
              <w:rPr>
                <w:lang w:val="fr-FR"/>
              </w:rPr>
              <w:t>’</w:t>
            </w:r>
            <w:r w:rsidRPr="00771946">
              <w:rPr>
                <w:lang w:val="fr-FR"/>
              </w:rPr>
              <w:t xml:space="preserve">autres biens périssables importants </w:t>
            </w:r>
            <w:r w:rsidRPr="00771946">
              <w:rPr>
                <w:lang w:val="fr-FR"/>
              </w:rPr>
              <w:lastRenderedPageBreak/>
              <w:t>comme les vaccins et les produits pharmaceutiques en général</w:t>
            </w:r>
            <w:r>
              <w:rPr>
                <w:lang w:val="fr-FR"/>
              </w:rPr>
              <w:t> ;</w:t>
            </w:r>
            <w:r w:rsidRPr="00373617">
              <w:rPr>
                <w:lang w:val="fr-FR"/>
              </w:rPr>
              <w:t xml:space="preserve"> </w:t>
            </w:r>
          </w:p>
          <w:p w14:paraId="4B0934E7" w14:textId="272079E7" w:rsidR="000661F7" w:rsidRPr="00771946" w:rsidRDefault="000661F7" w:rsidP="0094269B">
            <w:pPr>
              <w:spacing w:before="40" w:after="120"/>
              <w:ind w:right="113"/>
              <w:rPr>
                <w:rFonts w:asciiTheme="majorBidi" w:hAnsiTheme="majorBidi" w:cstheme="majorBidi"/>
              </w:rPr>
            </w:pPr>
            <w:r w:rsidRPr="00771946">
              <w:rPr>
                <w:lang w:val="fr-FR"/>
              </w:rPr>
              <w:t>- Accords relatifs aux infrastructures − possibilité</w:t>
            </w:r>
            <w:r>
              <w:rPr>
                <w:lang w:val="fr-FR"/>
              </w:rPr>
              <w:t> :</w:t>
            </w:r>
            <w:r w:rsidRPr="00771946">
              <w:rPr>
                <w:lang w:val="fr-FR"/>
              </w:rPr>
              <w:t xml:space="preserve"> mettre en place un mécanisme de suivi de l</w:t>
            </w:r>
            <w:r>
              <w:rPr>
                <w:lang w:val="fr-FR"/>
              </w:rPr>
              <w:t>’</w:t>
            </w:r>
            <w:r w:rsidRPr="00771946">
              <w:rPr>
                <w:lang w:val="fr-FR"/>
              </w:rPr>
              <w:t>application s</w:t>
            </w:r>
            <w:r>
              <w:rPr>
                <w:lang w:val="fr-FR"/>
              </w:rPr>
              <w:t>’</w:t>
            </w:r>
            <w:r w:rsidRPr="00771946">
              <w:rPr>
                <w:lang w:val="fr-FR"/>
              </w:rPr>
              <w:t>il n</w:t>
            </w:r>
            <w:r>
              <w:rPr>
                <w:lang w:val="fr-FR"/>
              </w:rPr>
              <w:t>’</w:t>
            </w:r>
            <w:r w:rsidRPr="00771946">
              <w:rPr>
                <w:lang w:val="fr-FR"/>
              </w:rPr>
              <w:t>existe pas encore</w:t>
            </w:r>
            <w:r>
              <w:rPr>
                <w:lang w:val="fr-FR"/>
              </w:rPr>
              <w:t> ;</w:t>
            </w:r>
          </w:p>
          <w:p w14:paraId="3B3F6A98" w14:textId="77777777" w:rsidR="000661F7" w:rsidRPr="00771946" w:rsidRDefault="000661F7" w:rsidP="0094269B">
            <w:pPr>
              <w:spacing w:before="40" w:after="120"/>
              <w:ind w:right="113"/>
              <w:rPr>
                <w:rFonts w:asciiTheme="majorBidi" w:hAnsiTheme="majorBidi" w:cstheme="majorBidi"/>
              </w:rPr>
            </w:pPr>
            <w:r w:rsidRPr="00771946">
              <w:rPr>
                <w:lang w:val="fr-FR"/>
              </w:rPr>
              <w:t>- C</w:t>
            </w:r>
            <w:r>
              <w:rPr>
                <w:lang w:val="fr-FR"/>
              </w:rPr>
              <w:t>onvention relative à la c</w:t>
            </w:r>
            <w:r w:rsidRPr="00771946">
              <w:rPr>
                <w:lang w:val="fr-FR"/>
              </w:rPr>
              <w:t>irculation routière (1968) − lacune</w:t>
            </w:r>
            <w:r>
              <w:rPr>
                <w:lang w:val="fr-FR"/>
              </w:rPr>
              <w:t> :</w:t>
            </w:r>
            <w:r w:rsidRPr="00771946">
              <w:rPr>
                <w:lang w:val="fr-FR"/>
              </w:rPr>
              <w:t xml:space="preserve"> règles pour la conduite automatisée (discussion en cours au sein du WP.1)</w:t>
            </w:r>
            <w:r>
              <w:rPr>
                <w:lang w:val="fr-FR"/>
              </w:rPr>
              <w:t> ;</w:t>
            </w:r>
          </w:p>
          <w:p w14:paraId="0AE9198C" w14:textId="14094564" w:rsidR="000661F7" w:rsidRPr="00771946" w:rsidRDefault="000661F7" w:rsidP="0094269B">
            <w:pPr>
              <w:spacing w:before="40" w:after="120"/>
              <w:ind w:right="113"/>
              <w:rPr>
                <w:rFonts w:asciiTheme="majorBidi" w:hAnsiTheme="majorBidi" w:cstheme="majorBidi"/>
              </w:rPr>
            </w:pPr>
            <w:r w:rsidRPr="00771946">
              <w:rPr>
                <w:lang w:val="fr-FR"/>
              </w:rPr>
              <w:t xml:space="preserve">- </w:t>
            </w:r>
            <w:r w:rsidRPr="00373617">
              <w:rPr>
                <w:lang w:val="fr-FR"/>
              </w:rPr>
              <w:t xml:space="preserve">Convention relative à la </w:t>
            </w:r>
            <w:r w:rsidRPr="00771946">
              <w:rPr>
                <w:lang w:val="fr-FR"/>
              </w:rPr>
              <w:t>signalisation routière (1968) − possibilité</w:t>
            </w:r>
            <w:r>
              <w:rPr>
                <w:lang w:val="fr-FR"/>
              </w:rPr>
              <w:t> :</w:t>
            </w:r>
            <w:r w:rsidRPr="00771946">
              <w:rPr>
                <w:lang w:val="fr-FR"/>
              </w:rPr>
              <w:t xml:space="preserve"> informatisation de la Convention en ce qui concerne les panneaux, les signaux et les marquages (l</w:t>
            </w:r>
            <w:r>
              <w:rPr>
                <w:lang w:val="fr-FR"/>
              </w:rPr>
              <w:t>’</w:t>
            </w:r>
            <w:r w:rsidRPr="00771946">
              <w:rPr>
                <w:lang w:val="fr-FR"/>
              </w:rPr>
              <w:t xml:space="preserve">informatisation pour les panneaux a été élaborée mais pas encore achevée </w:t>
            </w:r>
            <w:r w:rsidR="00155950">
              <w:rPr>
                <w:lang w:val="fr-FR"/>
              </w:rPr>
              <w:t>−</w:t>
            </w:r>
            <w:r w:rsidRPr="00771946">
              <w:rPr>
                <w:lang w:val="fr-FR"/>
              </w:rPr>
              <w:t xml:space="preserve"> elle dépend de la finalisation d</w:t>
            </w:r>
            <w:r>
              <w:rPr>
                <w:lang w:val="fr-FR"/>
              </w:rPr>
              <w:t>’</w:t>
            </w:r>
            <w:r w:rsidRPr="00771946">
              <w:rPr>
                <w:lang w:val="fr-FR"/>
              </w:rPr>
              <w:t>une proposition d</w:t>
            </w:r>
            <w:r>
              <w:rPr>
                <w:lang w:val="fr-FR"/>
              </w:rPr>
              <w:t>’</w:t>
            </w:r>
            <w:r w:rsidRPr="00771946">
              <w:rPr>
                <w:lang w:val="fr-FR"/>
              </w:rPr>
              <w:t>amendement − mais il n</w:t>
            </w:r>
            <w:r>
              <w:rPr>
                <w:lang w:val="fr-FR"/>
              </w:rPr>
              <w:t>’</w:t>
            </w:r>
            <w:r w:rsidRPr="00771946">
              <w:rPr>
                <w:lang w:val="fr-FR"/>
              </w:rPr>
              <w:t>y</w:t>
            </w:r>
            <w:r w:rsidR="00155950">
              <w:rPr>
                <w:lang w:val="fr-FR"/>
              </w:rPr>
              <w:t xml:space="preserve"> a</w:t>
            </w:r>
            <w:r w:rsidRPr="00771946">
              <w:rPr>
                <w:lang w:val="fr-FR"/>
              </w:rPr>
              <w:t xml:space="preserve"> pas encore eu d</w:t>
            </w:r>
            <w:r>
              <w:rPr>
                <w:lang w:val="fr-FR"/>
              </w:rPr>
              <w:t>’</w:t>
            </w:r>
            <w:r w:rsidRPr="00771946">
              <w:rPr>
                <w:lang w:val="fr-FR"/>
              </w:rPr>
              <w:t>informatisation pour les signaux et les marquages)</w:t>
            </w:r>
            <w:r>
              <w:rPr>
                <w:lang w:val="fr-FR"/>
              </w:rPr>
              <w:t> ;</w:t>
            </w:r>
          </w:p>
          <w:p w14:paraId="2B85B88C" w14:textId="77777777" w:rsidR="000661F7" w:rsidRPr="00771946" w:rsidRDefault="000661F7" w:rsidP="0094269B">
            <w:pPr>
              <w:spacing w:before="40" w:after="120"/>
              <w:ind w:right="113"/>
              <w:rPr>
                <w:rFonts w:asciiTheme="majorBidi" w:hAnsiTheme="majorBidi" w:cstheme="majorBidi"/>
              </w:rPr>
            </w:pPr>
            <w:r w:rsidRPr="00771946">
              <w:rPr>
                <w:lang w:val="fr-FR"/>
              </w:rPr>
              <w:t>- Protocole sur les marques routières (1973) − possibilité</w:t>
            </w:r>
            <w:r>
              <w:rPr>
                <w:lang w:val="fr-FR"/>
              </w:rPr>
              <w:t> :</w:t>
            </w:r>
            <w:r w:rsidRPr="00771946">
              <w:rPr>
                <w:lang w:val="fr-FR"/>
              </w:rPr>
              <w:t xml:space="preserve"> informatisation du Protocole en ce qui concerne les marques routières</w:t>
            </w:r>
            <w:r>
              <w:rPr>
                <w:lang w:val="fr-FR"/>
              </w:rPr>
              <w:t> ;</w:t>
            </w:r>
          </w:p>
          <w:p w14:paraId="44059E89" w14:textId="23F15DC6" w:rsidR="000661F7" w:rsidRPr="00771946" w:rsidRDefault="000661F7" w:rsidP="0094269B">
            <w:pPr>
              <w:spacing w:before="40" w:after="120"/>
              <w:ind w:right="113"/>
            </w:pPr>
            <w:r w:rsidRPr="00771946">
              <w:rPr>
                <w:lang w:val="fr-FR"/>
              </w:rPr>
              <w:t>- Accord européen sur les grandes lignes internationales de chemin de fer (AGC) (1985) − lacune</w:t>
            </w:r>
            <w:r>
              <w:rPr>
                <w:lang w:val="fr-FR"/>
              </w:rPr>
              <w:t> :</w:t>
            </w:r>
            <w:r w:rsidRPr="00771946">
              <w:rPr>
                <w:lang w:val="fr-FR"/>
              </w:rPr>
              <w:t xml:space="preserve"> </w:t>
            </w:r>
            <w:r>
              <w:rPr>
                <w:lang w:val="fr-FR"/>
              </w:rPr>
              <w:t>ne concerne ni les</w:t>
            </w:r>
            <w:r w:rsidRPr="00771946">
              <w:rPr>
                <w:lang w:val="fr-FR"/>
              </w:rPr>
              <w:t xml:space="preserve"> nœuds de transport ferroviaire de voyageurs (l</w:t>
            </w:r>
            <w:r>
              <w:rPr>
                <w:lang w:val="fr-FR"/>
              </w:rPr>
              <w:t>’</w:t>
            </w:r>
            <w:r w:rsidRPr="00771946">
              <w:rPr>
                <w:lang w:val="fr-FR"/>
              </w:rPr>
              <w:t>équivalent de l</w:t>
            </w:r>
            <w:r>
              <w:rPr>
                <w:lang w:val="fr-FR"/>
              </w:rPr>
              <w:t>’</w:t>
            </w:r>
            <w:r w:rsidRPr="00771946">
              <w:rPr>
                <w:lang w:val="fr-FR"/>
              </w:rPr>
              <w:t>AGTC pour les passagers)</w:t>
            </w:r>
            <w:r>
              <w:rPr>
                <w:lang w:val="fr-FR"/>
              </w:rPr>
              <w:t>, ni</w:t>
            </w:r>
            <w:r w:rsidRPr="00771946">
              <w:rPr>
                <w:lang w:val="fr-FR"/>
              </w:rPr>
              <w:t xml:space="preserve"> les paramètres techniques de signalisation ou de sécurité (le Groupe d</w:t>
            </w:r>
            <w:r>
              <w:rPr>
                <w:lang w:val="fr-FR"/>
              </w:rPr>
              <w:t>’</w:t>
            </w:r>
            <w:r w:rsidRPr="00771946">
              <w:rPr>
                <w:lang w:val="fr-FR"/>
              </w:rPr>
              <w:t>experts des nœuds de transport ferroviaire international de voyageurs a été créé en 2021).</w:t>
            </w:r>
          </w:p>
          <w:p w14:paraId="269FD925" w14:textId="6D1D3B45" w:rsidR="000661F7" w:rsidRDefault="000661F7" w:rsidP="0094269B">
            <w:pPr>
              <w:spacing w:before="40" w:after="120"/>
              <w:ind w:right="113"/>
              <w:rPr>
                <w:lang w:val="fr-FR"/>
              </w:rPr>
            </w:pPr>
            <w:r w:rsidRPr="00771946">
              <w:rPr>
                <w:lang w:val="fr-FR"/>
              </w:rPr>
              <w:t xml:space="preserve">Sachant que les possibilités, les risques ou les lacunes sont propres à chaque instrument, le </w:t>
            </w:r>
            <w:r>
              <w:rPr>
                <w:lang w:val="fr-FR"/>
              </w:rPr>
              <w:t xml:space="preserve">Comité </w:t>
            </w:r>
            <w:r w:rsidRPr="00937BDD">
              <w:rPr>
                <w:strike/>
                <w:lang w:val="fr-FR"/>
              </w:rPr>
              <w:t>pourrait inviter</w:t>
            </w:r>
            <w:r w:rsidRPr="00A71F92">
              <w:rPr>
                <w:b/>
                <w:bCs/>
                <w:lang w:val="fr-FR"/>
              </w:rPr>
              <w:t xml:space="preserve">, </w:t>
            </w:r>
            <w:r w:rsidRPr="00C33721">
              <w:rPr>
                <w:b/>
                <w:bCs/>
                <w:lang w:val="fr-FR"/>
              </w:rPr>
              <w:t xml:space="preserve">à sa quatre-vingt-quatrième session (février 2022), </w:t>
            </w:r>
            <w:r w:rsidRPr="008A17E6">
              <w:rPr>
                <w:b/>
                <w:bCs/>
                <w:lang w:val="fr-FR"/>
              </w:rPr>
              <w:t>a invité</w:t>
            </w:r>
            <w:r>
              <w:rPr>
                <w:b/>
                <w:bCs/>
                <w:lang w:val="fr-FR"/>
              </w:rPr>
              <w:t xml:space="preserve"> </w:t>
            </w:r>
            <w:r w:rsidRPr="00771946">
              <w:rPr>
                <w:lang w:val="fr-FR"/>
              </w:rPr>
              <w:t xml:space="preserve">ses différents groupes de travail à </w:t>
            </w:r>
            <w:r w:rsidRPr="00937BDD">
              <w:rPr>
                <w:lang w:val="fr-FR"/>
              </w:rPr>
              <w:t>s</w:t>
            </w:r>
            <w:r>
              <w:rPr>
                <w:lang w:val="fr-FR"/>
              </w:rPr>
              <w:t>’</w:t>
            </w:r>
            <w:r w:rsidRPr="00937BDD">
              <w:rPr>
                <w:lang w:val="fr-FR"/>
              </w:rPr>
              <w:t>employer, si nécessaire, à</w:t>
            </w:r>
            <w:r w:rsidRPr="00771946">
              <w:rPr>
                <w:lang w:val="fr-FR"/>
              </w:rPr>
              <w:t xml:space="preserve"> exploiter les possibilités, combler les lacunes ou prévenir les risques, </w:t>
            </w:r>
            <w:r w:rsidRPr="00937BDD">
              <w:rPr>
                <w:lang w:val="fr-FR"/>
              </w:rPr>
              <w:t>lorsque de tels travaux n</w:t>
            </w:r>
            <w:r>
              <w:rPr>
                <w:lang w:val="fr-FR"/>
              </w:rPr>
              <w:t>’</w:t>
            </w:r>
            <w:r w:rsidRPr="00937BDD">
              <w:rPr>
                <w:lang w:val="fr-FR"/>
              </w:rPr>
              <w:t>ont</w:t>
            </w:r>
            <w:r w:rsidRPr="00771946">
              <w:rPr>
                <w:lang w:val="fr-FR"/>
              </w:rPr>
              <w:t xml:space="preserve"> pas encore été </w:t>
            </w:r>
            <w:r w:rsidRPr="00F443C1">
              <w:rPr>
                <w:lang w:val="fr-FR"/>
              </w:rPr>
              <w:t>entrepris</w:t>
            </w:r>
            <w:r w:rsidRPr="00771946">
              <w:rPr>
                <w:lang w:val="fr-FR"/>
              </w:rPr>
              <w:t>.</w:t>
            </w:r>
          </w:p>
          <w:p w14:paraId="5D5A1F14" w14:textId="77777777" w:rsidR="000661F7" w:rsidRDefault="000661F7" w:rsidP="0094269B">
            <w:pPr>
              <w:spacing w:before="40" w:after="120"/>
              <w:ind w:right="113"/>
              <w:rPr>
                <w:b/>
                <w:bCs/>
                <w:lang w:val="fr-FR"/>
              </w:rPr>
            </w:pPr>
            <w:r w:rsidRPr="0089085C">
              <w:rPr>
                <w:b/>
                <w:bCs/>
                <w:lang w:val="fr-FR"/>
              </w:rPr>
              <w:t>À cet égard</w:t>
            </w:r>
            <w:r>
              <w:rPr>
                <w:b/>
                <w:bCs/>
                <w:lang w:val="fr-FR"/>
              </w:rPr>
              <w:t> :</w:t>
            </w:r>
          </w:p>
          <w:p w14:paraId="65673CC5" w14:textId="29CA794A" w:rsidR="000661F7" w:rsidRDefault="000661F7" w:rsidP="0094269B">
            <w:pPr>
              <w:spacing w:before="40" w:after="120"/>
              <w:ind w:right="113"/>
              <w:rPr>
                <w:b/>
                <w:bCs/>
                <w:lang w:val="fr-FR"/>
              </w:rPr>
            </w:pPr>
            <w:r w:rsidRPr="0089085C">
              <w:rPr>
                <w:b/>
                <w:bCs/>
                <w:lang w:val="fr-FR"/>
              </w:rPr>
              <w:t>- À sa 117</w:t>
            </w:r>
            <w:r w:rsidRPr="00771946">
              <w:rPr>
                <w:b/>
                <w:bCs/>
                <w:vertAlign w:val="superscript"/>
                <w:lang w:val="fr-FR"/>
              </w:rPr>
              <w:t>e</w:t>
            </w:r>
            <w:r w:rsidRPr="0089085C">
              <w:rPr>
                <w:b/>
                <w:bCs/>
                <w:lang w:val="fr-FR"/>
              </w:rPr>
              <w:t xml:space="preserve"> session, le SC.1 a demandé au secrétariat de l</w:t>
            </w:r>
            <w:r>
              <w:rPr>
                <w:b/>
                <w:bCs/>
                <w:lang w:val="fr-FR"/>
              </w:rPr>
              <w:t>’</w:t>
            </w:r>
            <w:r w:rsidRPr="0089085C">
              <w:rPr>
                <w:b/>
                <w:bCs/>
                <w:lang w:val="fr-FR"/>
              </w:rPr>
              <w:t xml:space="preserve">aider à </w:t>
            </w:r>
            <w:r>
              <w:rPr>
                <w:b/>
                <w:bCs/>
                <w:lang w:val="fr-FR"/>
              </w:rPr>
              <w:t>élabo</w:t>
            </w:r>
            <w:r w:rsidRPr="0089085C">
              <w:rPr>
                <w:b/>
                <w:bCs/>
                <w:lang w:val="fr-FR"/>
              </w:rPr>
              <w:t xml:space="preserve">rer un </w:t>
            </w:r>
            <w:r>
              <w:rPr>
                <w:b/>
                <w:bCs/>
                <w:lang w:val="fr-FR"/>
              </w:rPr>
              <w:t>questionnaire</w:t>
            </w:r>
            <w:r w:rsidRPr="0089085C">
              <w:rPr>
                <w:b/>
                <w:bCs/>
                <w:lang w:val="fr-FR"/>
              </w:rPr>
              <w:t xml:space="preserve"> </w:t>
            </w:r>
            <w:r>
              <w:rPr>
                <w:b/>
                <w:bCs/>
                <w:lang w:val="fr-FR"/>
              </w:rPr>
              <w:lastRenderedPageBreak/>
              <w:t>interrogeant les</w:t>
            </w:r>
            <w:r w:rsidRPr="0089085C">
              <w:rPr>
                <w:b/>
                <w:bCs/>
                <w:lang w:val="fr-FR"/>
              </w:rPr>
              <w:t xml:space="preserve"> Parties contractantes à l</w:t>
            </w:r>
            <w:r>
              <w:rPr>
                <w:b/>
                <w:bCs/>
                <w:lang w:val="fr-FR"/>
              </w:rPr>
              <w:t>’</w:t>
            </w:r>
            <w:r w:rsidRPr="0089085C">
              <w:rPr>
                <w:b/>
                <w:bCs/>
                <w:lang w:val="fr-FR"/>
              </w:rPr>
              <w:t>AGR de l</w:t>
            </w:r>
            <w:r>
              <w:rPr>
                <w:b/>
                <w:bCs/>
                <w:lang w:val="fr-FR"/>
              </w:rPr>
              <w:t>’</w:t>
            </w:r>
            <w:r w:rsidRPr="0089085C">
              <w:rPr>
                <w:b/>
                <w:bCs/>
                <w:lang w:val="fr-FR"/>
              </w:rPr>
              <w:t>état d</w:t>
            </w:r>
            <w:r>
              <w:rPr>
                <w:b/>
                <w:bCs/>
                <w:lang w:val="fr-FR"/>
              </w:rPr>
              <w:t>’application de cet instrument</w:t>
            </w:r>
            <w:r w:rsidRPr="0089085C">
              <w:rPr>
                <w:b/>
                <w:bCs/>
                <w:lang w:val="fr-FR"/>
              </w:rPr>
              <w:t xml:space="preserve"> sur leur territoire</w:t>
            </w:r>
            <w:r>
              <w:rPr>
                <w:b/>
                <w:bCs/>
                <w:lang w:val="fr-FR"/>
              </w:rPr>
              <w:t> ;</w:t>
            </w:r>
          </w:p>
          <w:p w14:paraId="44935118" w14:textId="2728337F" w:rsidR="000661F7" w:rsidRDefault="000661F7" w:rsidP="0094269B">
            <w:pPr>
              <w:spacing w:before="40" w:after="120"/>
              <w:ind w:right="113"/>
              <w:rPr>
                <w:b/>
                <w:bCs/>
                <w:lang w:val="fr-FR"/>
              </w:rPr>
            </w:pPr>
            <w:r w:rsidRPr="0089085C">
              <w:rPr>
                <w:b/>
                <w:bCs/>
                <w:lang w:val="fr-FR"/>
              </w:rPr>
              <w:t>- À sa soixante-cinquième session, le WP.24 a examiné les progrès accomplis dans l</w:t>
            </w:r>
            <w:r>
              <w:rPr>
                <w:b/>
                <w:bCs/>
                <w:lang w:val="fr-FR"/>
              </w:rPr>
              <w:t>’</w:t>
            </w:r>
            <w:r w:rsidRPr="0089085C">
              <w:rPr>
                <w:b/>
                <w:bCs/>
                <w:lang w:val="fr-FR"/>
              </w:rPr>
              <w:t>élaboration d</w:t>
            </w:r>
            <w:r>
              <w:rPr>
                <w:b/>
                <w:bCs/>
                <w:lang w:val="fr-FR"/>
              </w:rPr>
              <w:t>’</w:t>
            </w:r>
            <w:r w:rsidRPr="0089085C">
              <w:rPr>
                <w:b/>
                <w:bCs/>
                <w:lang w:val="fr-FR"/>
              </w:rPr>
              <w:t xml:space="preserve">un suivi de </w:t>
            </w:r>
            <w:r>
              <w:rPr>
                <w:b/>
                <w:bCs/>
                <w:lang w:val="fr-FR"/>
              </w:rPr>
              <w:t>l’application</w:t>
            </w:r>
            <w:r w:rsidRPr="0089085C">
              <w:rPr>
                <w:b/>
                <w:bCs/>
                <w:lang w:val="fr-FR"/>
              </w:rPr>
              <w:t xml:space="preserve"> dans un environnement de système d</w:t>
            </w:r>
            <w:r>
              <w:rPr>
                <w:b/>
                <w:bCs/>
                <w:lang w:val="fr-FR"/>
              </w:rPr>
              <w:t>’</w:t>
            </w:r>
            <w:r w:rsidRPr="0089085C">
              <w:rPr>
                <w:b/>
                <w:bCs/>
                <w:lang w:val="fr-FR"/>
              </w:rPr>
              <w:t>information géographique</w:t>
            </w:r>
            <w:r>
              <w:rPr>
                <w:b/>
                <w:bCs/>
                <w:lang w:val="fr-FR"/>
              </w:rPr>
              <w:t> ;</w:t>
            </w:r>
          </w:p>
          <w:p w14:paraId="629AE567" w14:textId="77777777" w:rsidR="000661F7" w:rsidRDefault="000661F7" w:rsidP="0094269B">
            <w:pPr>
              <w:spacing w:before="40" w:after="120"/>
              <w:ind w:right="113"/>
              <w:rPr>
                <w:b/>
                <w:bCs/>
                <w:lang w:val="fr-FR"/>
              </w:rPr>
            </w:pPr>
            <w:r w:rsidRPr="0089085C">
              <w:rPr>
                <w:b/>
                <w:bCs/>
                <w:lang w:val="fr-FR"/>
              </w:rPr>
              <w:t>- Un amendement a été apporté à la Convention de 1968 sur la circulation routière concernant certains aspects liés à la conduite automatisée</w:t>
            </w:r>
            <w:r>
              <w:rPr>
                <w:b/>
                <w:bCs/>
                <w:lang w:val="fr-FR"/>
              </w:rPr>
              <w:t> ;</w:t>
            </w:r>
          </w:p>
          <w:p w14:paraId="6B5F7888" w14:textId="0BAB450A" w:rsidR="000661F7" w:rsidRDefault="000661F7" w:rsidP="0094269B">
            <w:pPr>
              <w:spacing w:before="40" w:after="120"/>
              <w:ind w:right="113"/>
              <w:rPr>
                <w:b/>
                <w:bCs/>
                <w:lang w:val="fr-FR"/>
              </w:rPr>
            </w:pPr>
            <w:r w:rsidRPr="0089085C">
              <w:rPr>
                <w:b/>
                <w:bCs/>
                <w:lang w:val="fr-FR"/>
              </w:rPr>
              <w:t>- Le WP.1 travaille sur la version électronique de la Convention de 1968 sur la signalisation routièr</w:t>
            </w:r>
            <w:r>
              <w:rPr>
                <w:b/>
                <w:bCs/>
                <w:lang w:val="fr-FR"/>
              </w:rPr>
              <w:t>e,</w:t>
            </w:r>
            <w:r w:rsidRPr="0089085C">
              <w:rPr>
                <w:b/>
                <w:bCs/>
                <w:lang w:val="fr-FR"/>
              </w:rPr>
              <w:t xml:space="preserve"> qui devrait être achevée en 2023 (sous réserve de l</w:t>
            </w:r>
            <w:r>
              <w:rPr>
                <w:b/>
                <w:bCs/>
                <w:lang w:val="fr-FR"/>
              </w:rPr>
              <w:t>’</w:t>
            </w:r>
            <w:r w:rsidRPr="0089085C">
              <w:rPr>
                <w:b/>
                <w:bCs/>
                <w:lang w:val="fr-FR"/>
              </w:rPr>
              <w:t>acceptation des propositions d</w:t>
            </w:r>
            <w:r>
              <w:rPr>
                <w:b/>
                <w:bCs/>
                <w:lang w:val="fr-FR"/>
              </w:rPr>
              <w:t>’</w:t>
            </w:r>
            <w:r w:rsidRPr="0089085C">
              <w:rPr>
                <w:b/>
                <w:bCs/>
                <w:lang w:val="fr-FR"/>
              </w:rPr>
              <w:t>amendement pertinentes et de la pérennité du financement externe)</w:t>
            </w:r>
            <w:r>
              <w:rPr>
                <w:b/>
                <w:bCs/>
                <w:lang w:val="fr-FR"/>
              </w:rPr>
              <w:t> ;</w:t>
            </w:r>
          </w:p>
          <w:p w14:paraId="489FEA9F" w14:textId="546772AA" w:rsidR="000661F7" w:rsidRDefault="000661F7" w:rsidP="0094269B">
            <w:pPr>
              <w:spacing w:before="40" w:after="120"/>
              <w:ind w:right="113"/>
              <w:rPr>
                <w:b/>
                <w:bCs/>
                <w:lang w:val="fr-FR"/>
              </w:rPr>
            </w:pPr>
            <w:r w:rsidRPr="0089085C">
              <w:rPr>
                <w:b/>
                <w:bCs/>
                <w:lang w:val="fr-FR"/>
              </w:rPr>
              <w:t>- Le WP.1 n</w:t>
            </w:r>
            <w:r>
              <w:rPr>
                <w:b/>
                <w:bCs/>
                <w:lang w:val="fr-FR"/>
              </w:rPr>
              <w:t>’</w:t>
            </w:r>
            <w:r w:rsidRPr="0089085C">
              <w:rPr>
                <w:b/>
                <w:bCs/>
                <w:lang w:val="fr-FR"/>
              </w:rPr>
              <w:t>a pas prévu jusqu</w:t>
            </w:r>
            <w:r>
              <w:rPr>
                <w:b/>
                <w:bCs/>
                <w:lang w:val="fr-FR"/>
              </w:rPr>
              <w:t>’</w:t>
            </w:r>
            <w:r w:rsidRPr="0089085C">
              <w:rPr>
                <w:b/>
                <w:bCs/>
                <w:lang w:val="fr-FR"/>
              </w:rPr>
              <w:t>à présent de lancer la création d</w:t>
            </w:r>
            <w:r>
              <w:rPr>
                <w:b/>
                <w:bCs/>
                <w:lang w:val="fr-FR"/>
              </w:rPr>
              <w:t>’</w:t>
            </w:r>
            <w:r w:rsidRPr="0089085C">
              <w:rPr>
                <w:b/>
                <w:bCs/>
                <w:lang w:val="fr-FR"/>
              </w:rPr>
              <w:t>une version électronique du Protocole sur les marques routières</w:t>
            </w:r>
            <w:r>
              <w:rPr>
                <w:b/>
                <w:bCs/>
                <w:lang w:val="fr-FR"/>
              </w:rPr>
              <w:t> ;</w:t>
            </w:r>
          </w:p>
          <w:p w14:paraId="39F8C149" w14:textId="77777777" w:rsidR="000661F7" w:rsidRPr="0089085C" w:rsidRDefault="000661F7" w:rsidP="0094269B">
            <w:pPr>
              <w:spacing w:before="40" w:after="120"/>
              <w:ind w:right="113"/>
              <w:rPr>
                <w:strike/>
                <w:lang w:val="fr-FR"/>
              </w:rPr>
            </w:pPr>
            <w:r w:rsidRPr="0089085C">
              <w:rPr>
                <w:b/>
                <w:bCs/>
                <w:lang w:val="fr-FR"/>
              </w:rPr>
              <w:t>- Le SC.2 poursuit les travaux sur les plateformes de voyageurs</w:t>
            </w:r>
            <w:r>
              <w:rPr>
                <w:b/>
                <w:bCs/>
                <w:lang w:val="fr-FR"/>
              </w:rPr>
              <w:t xml:space="preserve">. Il a </w:t>
            </w:r>
            <w:r w:rsidRPr="0089085C">
              <w:rPr>
                <w:b/>
                <w:bCs/>
                <w:lang w:val="fr-FR"/>
              </w:rPr>
              <w:t>approuvé la création de règles types pour le marquage permanent du matériel roulant ferroviaire (voir ci-après la tâche 5.6).</w:t>
            </w:r>
          </w:p>
        </w:tc>
        <w:tc>
          <w:tcPr>
            <w:tcW w:w="2500" w:type="dxa"/>
            <w:shd w:val="clear" w:color="auto" w:fill="auto"/>
          </w:tcPr>
          <w:p w14:paraId="171BDA19" w14:textId="77777777" w:rsidR="000661F7" w:rsidRPr="00ED06D8" w:rsidRDefault="000661F7" w:rsidP="0094269B">
            <w:pPr>
              <w:spacing w:before="40" w:after="120"/>
              <w:ind w:right="113"/>
              <w:rPr>
                <w:lang w:val="fr-FR"/>
              </w:rPr>
            </w:pPr>
            <w:r>
              <w:rPr>
                <w:lang w:val="fr-FR"/>
              </w:rPr>
              <w:lastRenderedPageBreak/>
              <w:t xml:space="preserve">Examiner la relation entre les instruments juridiques existants, regroupés par mode de transport (routier, ferroviaire, fluvial et intermodal), et formuler des recommandations. Si cela est nécessaire et jugé approprié soit à des fins stratégiques, soit en raison de la demande des entreprises, ces recommandations pourraient être formulées, adoptées et éventuellement appliquées plus rapidement. </w:t>
            </w:r>
          </w:p>
        </w:tc>
        <w:tc>
          <w:tcPr>
            <w:tcW w:w="1667" w:type="dxa"/>
            <w:shd w:val="clear" w:color="auto" w:fill="auto"/>
          </w:tcPr>
          <w:p w14:paraId="228ABCFD" w14:textId="77777777" w:rsidR="000661F7" w:rsidRPr="00ED06D8" w:rsidRDefault="000661F7" w:rsidP="0094269B">
            <w:pPr>
              <w:spacing w:before="40" w:after="120"/>
              <w:ind w:right="113"/>
              <w:rPr>
                <w:lang w:val="fr-FR"/>
              </w:rPr>
            </w:pPr>
            <w:r w:rsidRPr="00B5481A">
              <w:rPr>
                <w:lang w:val="fr-FR"/>
              </w:rPr>
              <w:t xml:space="preserve">Les </w:t>
            </w:r>
            <w:r>
              <w:rPr>
                <w:lang w:val="fr-FR"/>
              </w:rPr>
              <w:t xml:space="preserve">secrétaires </w:t>
            </w:r>
            <w:r w:rsidRPr="00B5481A">
              <w:rPr>
                <w:lang w:val="fr-FR"/>
              </w:rPr>
              <w:t>des</w:t>
            </w:r>
            <w:r>
              <w:rPr>
                <w:lang w:val="fr-FR"/>
              </w:rPr>
              <w:t xml:space="preserve"> groupes de travail </w:t>
            </w:r>
          </w:p>
        </w:tc>
      </w:tr>
      <w:tr w:rsidR="000661F7" w:rsidRPr="00D466A5" w14:paraId="72738CDF" w14:textId="77777777" w:rsidTr="0094269B">
        <w:tc>
          <w:tcPr>
            <w:tcW w:w="500" w:type="dxa"/>
            <w:shd w:val="clear" w:color="auto" w:fill="auto"/>
          </w:tcPr>
          <w:p w14:paraId="4F892C82" w14:textId="77777777" w:rsidR="000661F7" w:rsidRPr="0067484D" w:rsidRDefault="000661F7" w:rsidP="0094269B">
            <w:pPr>
              <w:spacing w:before="40" w:after="120"/>
              <w:ind w:right="113"/>
            </w:pPr>
            <w:r>
              <w:rPr>
                <w:lang w:val="fr-FR"/>
              </w:rPr>
              <w:lastRenderedPageBreak/>
              <w:t>5.5</w:t>
            </w:r>
          </w:p>
        </w:tc>
        <w:tc>
          <w:tcPr>
            <w:tcW w:w="1778" w:type="dxa"/>
            <w:shd w:val="clear" w:color="auto" w:fill="auto"/>
          </w:tcPr>
          <w:p w14:paraId="5C7D4C7E" w14:textId="5ADE4717" w:rsidR="000661F7" w:rsidRPr="00ED06D8" w:rsidRDefault="000661F7" w:rsidP="0094269B">
            <w:pPr>
              <w:spacing w:before="40" w:after="120"/>
              <w:ind w:right="113"/>
              <w:rPr>
                <w:lang w:val="fr-FR"/>
              </w:rPr>
            </w:pPr>
            <w:r>
              <w:rPr>
                <w:lang w:val="fr-FR"/>
              </w:rPr>
              <w:t>Déterminer le besoin éventuel d’instruments juridiques supplémentaires</w:t>
            </w:r>
          </w:p>
        </w:tc>
        <w:tc>
          <w:tcPr>
            <w:tcW w:w="3194" w:type="dxa"/>
            <w:shd w:val="clear" w:color="auto" w:fill="auto"/>
          </w:tcPr>
          <w:p w14:paraId="4DEC72BC" w14:textId="582D0643" w:rsidR="000661F7" w:rsidRDefault="000661F7" w:rsidP="0094269B">
            <w:pPr>
              <w:spacing w:before="40" w:after="120"/>
              <w:ind w:right="113"/>
              <w:rPr>
                <w:lang w:val="fr-FR"/>
              </w:rPr>
            </w:pPr>
            <w:r>
              <w:rPr>
                <w:lang w:val="fr-FR"/>
              </w:rPr>
              <w:t>Au titre de cette priorité, il est débattu de la nécessité d’adopter des instruments juridiques à l’appui des instruments existants. Des instruments relatifs à la facilitation de l’octroi de visas aux conducteurs professionnels et à la facilitation du franchissement des frontières dans des situations extraordinaires, telles que les pandémies, sont notamment envisagés.</w:t>
            </w:r>
          </w:p>
          <w:p w14:paraId="02FA84E5" w14:textId="797544F8" w:rsidR="000661F7" w:rsidRPr="00771946" w:rsidRDefault="000661F7" w:rsidP="0094269B">
            <w:pPr>
              <w:spacing w:before="40" w:after="120"/>
              <w:ind w:right="113"/>
            </w:pPr>
            <w:r w:rsidRPr="00771946">
              <w:rPr>
                <w:lang w:val="fr-FR"/>
              </w:rPr>
              <w:t xml:space="preserve">Le SC.2 a </w:t>
            </w:r>
            <w:r>
              <w:rPr>
                <w:lang w:val="fr-FR"/>
              </w:rPr>
              <w:t>pris l’initiative de créer le</w:t>
            </w:r>
            <w:r w:rsidRPr="00771946">
              <w:rPr>
                <w:lang w:val="fr-FR"/>
              </w:rPr>
              <w:t xml:space="preserve"> Groupe d</w:t>
            </w:r>
            <w:r>
              <w:rPr>
                <w:lang w:val="fr-FR"/>
              </w:rPr>
              <w:t>’</w:t>
            </w:r>
            <w:r w:rsidRPr="00771946">
              <w:rPr>
                <w:lang w:val="fr-FR"/>
              </w:rPr>
              <w:t xml:space="preserve">experts des nœuds de transport ferroviaire international de voyageurs (approuvée par le </w:t>
            </w:r>
            <w:r>
              <w:rPr>
                <w:lang w:val="fr-FR"/>
              </w:rPr>
              <w:t>Comité</w:t>
            </w:r>
            <w:r w:rsidRPr="00771946">
              <w:rPr>
                <w:lang w:val="fr-FR"/>
              </w:rPr>
              <w:t xml:space="preserve"> en 2021) dans le but de déterminer s</w:t>
            </w:r>
            <w:r>
              <w:rPr>
                <w:lang w:val="fr-FR"/>
              </w:rPr>
              <w:t>’</w:t>
            </w:r>
            <w:r w:rsidRPr="00771946">
              <w:rPr>
                <w:lang w:val="fr-FR"/>
              </w:rPr>
              <w:t xml:space="preserve">il est possible de créer un instrument juridique qui permettrait de faciliter </w:t>
            </w:r>
            <w:r w:rsidRPr="00771946">
              <w:rPr>
                <w:lang w:val="fr-FR"/>
              </w:rPr>
              <w:lastRenderedPageBreak/>
              <w:t>encore le transfert modal des voyageurs vers le rail.</w:t>
            </w:r>
          </w:p>
          <w:p w14:paraId="5FC8FC90" w14:textId="2C7B26F3" w:rsidR="000661F7" w:rsidRDefault="000661F7" w:rsidP="0094269B">
            <w:pPr>
              <w:spacing w:before="40" w:after="120"/>
              <w:ind w:right="113"/>
              <w:rPr>
                <w:b/>
                <w:bCs/>
                <w:lang w:val="fr-FR"/>
              </w:rPr>
            </w:pPr>
            <w:r w:rsidRPr="00954346">
              <w:rPr>
                <w:b/>
                <w:bCs/>
                <w:lang w:val="fr-FR"/>
              </w:rPr>
              <w:t>Le Groupe d</w:t>
            </w:r>
            <w:r>
              <w:rPr>
                <w:b/>
                <w:bCs/>
                <w:lang w:val="fr-FR"/>
              </w:rPr>
              <w:t>’</w:t>
            </w:r>
            <w:r w:rsidRPr="00954346">
              <w:rPr>
                <w:b/>
                <w:bCs/>
                <w:lang w:val="fr-FR"/>
              </w:rPr>
              <w:t>experts des nœuds de transport ferroviaire international de voyageurs poursuit ses travaux</w:t>
            </w:r>
            <w:r>
              <w:rPr>
                <w:b/>
                <w:bCs/>
                <w:lang w:val="fr-FR"/>
              </w:rPr>
              <w:t>. Il a décidé</w:t>
            </w:r>
            <w:r w:rsidRPr="00954346">
              <w:rPr>
                <w:b/>
                <w:bCs/>
                <w:lang w:val="fr-FR"/>
              </w:rPr>
              <w:t xml:space="preserve"> d</w:t>
            </w:r>
            <w:r>
              <w:rPr>
                <w:b/>
                <w:bCs/>
                <w:lang w:val="fr-FR"/>
              </w:rPr>
              <w:t>’</w:t>
            </w:r>
            <w:r w:rsidRPr="00954346">
              <w:rPr>
                <w:b/>
                <w:bCs/>
                <w:lang w:val="fr-FR"/>
              </w:rPr>
              <w:t>établir des propositions d</w:t>
            </w:r>
            <w:r>
              <w:rPr>
                <w:b/>
                <w:bCs/>
                <w:lang w:val="fr-FR"/>
              </w:rPr>
              <w:t>’</w:t>
            </w:r>
            <w:r w:rsidRPr="00954346">
              <w:rPr>
                <w:b/>
                <w:bCs/>
                <w:lang w:val="fr-FR"/>
              </w:rPr>
              <w:t>amendement à l</w:t>
            </w:r>
            <w:r>
              <w:rPr>
                <w:b/>
                <w:bCs/>
                <w:lang w:val="fr-FR"/>
              </w:rPr>
              <w:t>’</w:t>
            </w:r>
            <w:r w:rsidRPr="00954346">
              <w:rPr>
                <w:b/>
                <w:bCs/>
                <w:lang w:val="fr-FR"/>
              </w:rPr>
              <w:t>AGC afin de l</w:t>
            </w:r>
            <w:r>
              <w:rPr>
                <w:b/>
                <w:bCs/>
                <w:lang w:val="fr-FR"/>
              </w:rPr>
              <w:t>’</w:t>
            </w:r>
            <w:r w:rsidRPr="00954346">
              <w:rPr>
                <w:b/>
                <w:bCs/>
                <w:lang w:val="fr-FR"/>
              </w:rPr>
              <w:t xml:space="preserve">actualiser et de le moderniser de manière à </w:t>
            </w:r>
            <w:r>
              <w:rPr>
                <w:b/>
                <w:bCs/>
                <w:lang w:val="fr-FR"/>
              </w:rPr>
              <w:t>englober</w:t>
            </w:r>
            <w:r w:rsidRPr="00954346">
              <w:rPr>
                <w:b/>
                <w:bCs/>
                <w:lang w:val="fr-FR"/>
              </w:rPr>
              <w:t xml:space="preserve"> </w:t>
            </w:r>
            <w:r>
              <w:rPr>
                <w:b/>
                <w:bCs/>
                <w:lang w:val="fr-FR"/>
              </w:rPr>
              <w:t>l</w:t>
            </w:r>
            <w:r w:rsidRPr="00954346">
              <w:rPr>
                <w:b/>
                <w:bCs/>
                <w:lang w:val="fr-FR"/>
              </w:rPr>
              <w:t>es gares de voyageurs (nœuds). Le</w:t>
            </w:r>
            <w:r w:rsidR="008E556F">
              <w:rPr>
                <w:b/>
                <w:bCs/>
                <w:lang w:val="fr-FR"/>
              </w:rPr>
              <w:t> </w:t>
            </w:r>
            <w:r w:rsidRPr="00954346">
              <w:rPr>
                <w:b/>
                <w:bCs/>
                <w:lang w:val="fr-FR"/>
              </w:rPr>
              <w:t>Groupe d</w:t>
            </w:r>
            <w:r>
              <w:rPr>
                <w:b/>
                <w:bCs/>
                <w:lang w:val="fr-FR"/>
              </w:rPr>
              <w:t>’</w:t>
            </w:r>
            <w:r w:rsidRPr="00954346">
              <w:rPr>
                <w:b/>
                <w:bCs/>
                <w:lang w:val="fr-FR"/>
              </w:rPr>
              <w:t>experts a entrepris d</w:t>
            </w:r>
            <w:r>
              <w:rPr>
                <w:b/>
                <w:bCs/>
                <w:lang w:val="fr-FR"/>
              </w:rPr>
              <w:t>’</w:t>
            </w:r>
            <w:r w:rsidRPr="00954346">
              <w:rPr>
                <w:b/>
                <w:bCs/>
                <w:lang w:val="fr-FR"/>
              </w:rPr>
              <w:t>établir un amendement à l</w:t>
            </w:r>
            <w:r>
              <w:rPr>
                <w:b/>
                <w:bCs/>
                <w:lang w:val="fr-FR"/>
              </w:rPr>
              <w:t>’</w:t>
            </w:r>
            <w:r w:rsidRPr="00954346">
              <w:rPr>
                <w:b/>
                <w:bCs/>
                <w:lang w:val="fr-FR"/>
              </w:rPr>
              <w:t>AGC qui sera proposé par des Parties contractantes.</w:t>
            </w:r>
          </w:p>
          <w:p w14:paraId="3C8E0312" w14:textId="61A307DA" w:rsidR="000661F7" w:rsidRDefault="000661F7" w:rsidP="0094269B">
            <w:pPr>
              <w:spacing w:before="40" w:after="120"/>
              <w:ind w:right="113"/>
              <w:rPr>
                <w:b/>
                <w:bCs/>
                <w:lang w:val="fr-FR"/>
              </w:rPr>
            </w:pPr>
            <w:r w:rsidRPr="00771946">
              <w:rPr>
                <w:lang w:val="fr-FR"/>
              </w:rPr>
              <w:t xml:space="preserve">Face à la pandémie de COVID-19 et à </w:t>
            </w:r>
            <w:r>
              <w:rPr>
                <w:lang w:val="fr-FR"/>
              </w:rPr>
              <w:t>ses effets</w:t>
            </w:r>
            <w:r w:rsidRPr="00771946">
              <w:rPr>
                <w:lang w:val="fr-FR"/>
              </w:rPr>
              <w:t xml:space="preserve"> sur le transport international, le </w:t>
            </w:r>
            <w:r>
              <w:rPr>
                <w:lang w:val="fr-FR"/>
              </w:rPr>
              <w:t>groupe</w:t>
            </w:r>
            <w:r w:rsidRPr="00771946">
              <w:rPr>
                <w:lang w:val="fr-FR"/>
              </w:rPr>
              <w:t xml:space="preserve"> consultatif pluridisciplinaire informel des réactions à la crise de la COVID-19 dans le domaine des transports a été créé sous les auspices du WP.5, pour donner suite à la demande formulée par le </w:t>
            </w:r>
            <w:r>
              <w:rPr>
                <w:lang w:val="fr-FR"/>
              </w:rPr>
              <w:t>Comité</w:t>
            </w:r>
            <w:r w:rsidRPr="00771946">
              <w:rPr>
                <w:lang w:val="fr-FR"/>
              </w:rPr>
              <w:t xml:space="preserve"> à sa session de 2020 que soient menées les recherches nécessaires sur les dispositions des cadres existants et les nouveaux domaines de travail requis pour promouvoir la coopération entre les autorités chargées des transports dans le domaine de la lutte contre les effets des situations d</w:t>
            </w:r>
            <w:r>
              <w:rPr>
                <w:lang w:val="fr-FR"/>
              </w:rPr>
              <w:t>’</w:t>
            </w:r>
            <w:r w:rsidRPr="00771946">
              <w:rPr>
                <w:lang w:val="fr-FR"/>
              </w:rPr>
              <w:t>urgence de nature transnationale, y compris les épidémies et les pandémies.</w:t>
            </w:r>
            <w:r w:rsidRPr="00954346">
              <w:rPr>
                <w:lang w:val="fr-FR"/>
              </w:rPr>
              <w:t xml:space="preserve"> </w:t>
            </w:r>
            <w:r w:rsidRPr="00771946">
              <w:rPr>
                <w:lang w:val="fr-FR"/>
              </w:rPr>
              <w:t>En 2020, deux sessions virtuelles ont été organisées, le 9 juin et le 8 septembre, rassemblant des fonctionnaires des ministères des transports, de l</w:t>
            </w:r>
            <w:r>
              <w:rPr>
                <w:lang w:val="fr-FR"/>
              </w:rPr>
              <w:t>’</w:t>
            </w:r>
            <w:r w:rsidRPr="00771946">
              <w:rPr>
                <w:lang w:val="fr-FR"/>
              </w:rPr>
              <w:t>économie et de la santé ainsi que des comités douaniers, issus de plus de 40</w:t>
            </w:r>
            <w:r w:rsidR="008E556F">
              <w:rPr>
                <w:lang w:val="fr-FR"/>
              </w:rPr>
              <w:t> </w:t>
            </w:r>
            <w:r w:rsidRPr="00771946">
              <w:rPr>
                <w:lang w:val="fr-FR"/>
              </w:rPr>
              <w:t>pays de la région de la CEE.</w:t>
            </w:r>
            <w:r w:rsidRPr="00954346">
              <w:rPr>
                <w:lang w:val="fr-FR"/>
              </w:rPr>
              <w:t xml:space="preserve"> </w:t>
            </w:r>
            <w:r w:rsidRPr="00771946">
              <w:rPr>
                <w:lang w:val="fr-FR"/>
              </w:rPr>
              <w:t>Les</w:t>
            </w:r>
            <w:r w:rsidR="008E556F">
              <w:rPr>
                <w:lang w:val="fr-FR"/>
              </w:rPr>
              <w:t> </w:t>
            </w:r>
            <w:r w:rsidRPr="00771946">
              <w:rPr>
                <w:lang w:val="fr-FR"/>
              </w:rPr>
              <w:t xml:space="preserve">apports de ces réunions du </w:t>
            </w:r>
            <w:r>
              <w:rPr>
                <w:lang w:val="fr-FR"/>
              </w:rPr>
              <w:t>groupe</w:t>
            </w:r>
            <w:r w:rsidRPr="00771946">
              <w:rPr>
                <w:lang w:val="fr-FR"/>
              </w:rPr>
              <w:t xml:space="preserve"> consultatif ont été inclus dans un rapport complet qui a été soumis au </w:t>
            </w:r>
            <w:r>
              <w:rPr>
                <w:lang w:val="fr-FR"/>
              </w:rPr>
              <w:t>Comité</w:t>
            </w:r>
            <w:r w:rsidRPr="00771946">
              <w:rPr>
                <w:lang w:val="fr-FR"/>
              </w:rPr>
              <w:t xml:space="preserve"> à sa quatre-vingt-troisième session (ECE/TRANS/2021/4).</w:t>
            </w:r>
            <w:r w:rsidRPr="00954346">
              <w:rPr>
                <w:lang w:val="fr-FR"/>
              </w:rPr>
              <w:t xml:space="preserve"> </w:t>
            </w:r>
            <w:r w:rsidRPr="00771946">
              <w:rPr>
                <w:lang w:val="fr-FR"/>
              </w:rPr>
              <w:t>Le</w:t>
            </w:r>
            <w:r w:rsidR="008E556F">
              <w:rPr>
                <w:lang w:val="fr-FR"/>
              </w:rPr>
              <w:t> </w:t>
            </w:r>
            <w:r>
              <w:rPr>
                <w:lang w:val="fr-FR"/>
              </w:rPr>
              <w:t>Comité</w:t>
            </w:r>
            <w:r w:rsidRPr="00771946">
              <w:rPr>
                <w:lang w:val="fr-FR"/>
              </w:rPr>
              <w:t xml:space="preserve"> a prolongé les travaux du </w:t>
            </w:r>
            <w:r>
              <w:rPr>
                <w:lang w:val="fr-FR"/>
              </w:rPr>
              <w:t>groupe</w:t>
            </w:r>
            <w:r w:rsidRPr="00771946">
              <w:rPr>
                <w:lang w:val="fr-FR"/>
              </w:rPr>
              <w:t xml:space="preserve"> consultatif d</w:t>
            </w:r>
            <w:r>
              <w:rPr>
                <w:lang w:val="fr-FR"/>
              </w:rPr>
              <w:t>’</w:t>
            </w:r>
            <w:r w:rsidRPr="00771946">
              <w:rPr>
                <w:lang w:val="fr-FR"/>
              </w:rPr>
              <w:t>une année supplémentaire, jusqu</w:t>
            </w:r>
            <w:r>
              <w:rPr>
                <w:lang w:val="fr-FR"/>
              </w:rPr>
              <w:t>’</w:t>
            </w:r>
            <w:r w:rsidRPr="00771946">
              <w:rPr>
                <w:lang w:val="fr-FR"/>
              </w:rPr>
              <w:t xml:space="preserve">en février 2022, en demandant que soit renforcée la coopération entre les groupes de travail et entre le </w:t>
            </w:r>
            <w:r>
              <w:rPr>
                <w:lang w:val="fr-FR"/>
              </w:rPr>
              <w:t>Comité</w:t>
            </w:r>
            <w:r w:rsidRPr="00771946">
              <w:rPr>
                <w:lang w:val="fr-FR"/>
              </w:rPr>
              <w:t xml:space="preserve"> et d</w:t>
            </w:r>
            <w:r>
              <w:rPr>
                <w:lang w:val="fr-FR"/>
              </w:rPr>
              <w:t>’</w:t>
            </w:r>
            <w:r w:rsidRPr="00771946">
              <w:rPr>
                <w:lang w:val="fr-FR"/>
              </w:rPr>
              <w:t>autres institutions spécialisées des Nations Unies.</w:t>
            </w:r>
            <w:r w:rsidRPr="00954346">
              <w:rPr>
                <w:lang w:val="fr-FR"/>
              </w:rPr>
              <w:t xml:space="preserve"> </w:t>
            </w:r>
            <w:r w:rsidRPr="00771946">
              <w:rPr>
                <w:lang w:val="fr-FR"/>
              </w:rPr>
              <w:t xml:space="preserve">À cette fin, une troisième session virtuelle a été </w:t>
            </w:r>
            <w:r w:rsidRPr="00771946">
              <w:rPr>
                <w:lang w:val="fr-FR"/>
              </w:rPr>
              <w:lastRenderedPageBreak/>
              <w:t>organisée en juin 2021 avec la participation de l</w:t>
            </w:r>
            <w:r>
              <w:rPr>
                <w:lang w:val="fr-FR"/>
              </w:rPr>
              <w:t>’</w:t>
            </w:r>
            <w:r w:rsidRPr="00771946">
              <w:rPr>
                <w:lang w:val="fr-FR"/>
              </w:rPr>
              <w:t>OACI et de l</w:t>
            </w:r>
            <w:r>
              <w:rPr>
                <w:lang w:val="fr-FR"/>
              </w:rPr>
              <w:t>’</w:t>
            </w:r>
            <w:r w:rsidRPr="00771946">
              <w:rPr>
                <w:lang w:val="fr-FR"/>
              </w:rPr>
              <w:t>OMI.</w:t>
            </w:r>
            <w:r w:rsidRPr="00954346">
              <w:rPr>
                <w:lang w:val="fr-FR"/>
              </w:rPr>
              <w:t xml:space="preserve"> </w:t>
            </w:r>
            <w:r w:rsidRPr="00C028D1">
              <w:rPr>
                <w:lang w:val="fr-FR"/>
              </w:rPr>
              <w:t>Les délibérations ont été axées</w:t>
            </w:r>
            <w:r w:rsidRPr="00771946">
              <w:rPr>
                <w:lang w:val="fr-FR"/>
              </w:rPr>
              <w:t xml:space="preserve"> sur la recherche de points communs et des enseignements tirés de la façon dont les (sous-)secteurs du transport maritime, aérien et terrestre ont vécu la pandémie de COVID-19 et comment ils ont fait face aux nombreux défis.</w:t>
            </w:r>
            <w:r w:rsidRPr="00954346">
              <w:rPr>
                <w:lang w:val="fr-FR"/>
              </w:rPr>
              <w:t xml:space="preserve"> </w:t>
            </w:r>
            <w:r w:rsidRPr="00771946">
              <w:rPr>
                <w:lang w:val="fr-FR"/>
              </w:rPr>
              <w:t xml:space="preserve">Cette troisième session du </w:t>
            </w:r>
            <w:r>
              <w:rPr>
                <w:lang w:val="fr-FR"/>
              </w:rPr>
              <w:t>groupe</w:t>
            </w:r>
            <w:r w:rsidRPr="00771946">
              <w:rPr>
                <w:lang w:val="fr-FR"/>
              </w:rPr>
              <w:t xml:space="preserve"> consultatif a été enrichie par la participation de plusieurs présidents et vice-présidents de groupes de travail spécialisés dans un mode de transport, notamment le SC.3 et le WP.24, ce qui a rendu possible une longue série d</w:t>
            </w:r>
            <w:r>
              <w:rPr>
                <w:lang w:val="fr-FR"/>
              </w:rPr>
              <w:t>’</w:t>
            </w:r>
            <w:r w:rsidRPr="00771946">
              <w:rPr>
                <w:lang w:val="fr-FR"/>
              </w:rPr>
              <w:t>échanges intersectoriels.</w:t>
            </w:r>
            <w:r w:rsidRPr="00954346">
              <w:rPr>
                <w:lang w:val="fr-FR"/>
              </w:rPr>
              <w:t xml:space="preserve"> </w:t>
            </w:r>
            <w:r w:rsidRPr="00771946">
              <w:rPr>
                <w:lang w:val="fr-FR"/>
              </w:rPr>
              <w:t>Des recommandations et propositions ont été introduites dans une version révisée du document ECE/TRANS/WP.5/2020/10 (Rev.1) pour examen par le WP.5 à sa trente</w:t>
            </w:r>
            <w:r w:rsidR="00C028D1">
              <w:rPr>
                <w:lang w:val="fr-FR"/>
              </w:rPr>
              <w:noBreakHyphen/>
            </w:r>
            <w:r w:rsidRPr="00771946">
              <w:rPr>
                <w:lang w:val="fr-FR"/>
              </w:rPr>
              <w:t>quatrième session, en septembre 2021.</w:t>
            </w:r>
            <w:r w:rsidRPr="00954346">
              <w:rPr>
                <w:lang w:val="fr-FR"/>
              </w:rPr>
              <w:t xml:space="preserve"> </w:t>
            </w:r>
            <w:r w:rsidRPr="00771946">
              <w:rPr>
                <w:lang w:val="fr-FR"/>
              </w:rPr>
              <w:t>Le WP.5 a pris note des recommandations en vue d</w:t>
            </w:r>
            <w:r>
              <w:rPr>
                <w:lang w:val="fr-FR"/>
              </w:rPr>
              <w:t>’</w:t>
            </w:r>
            <w:r w:rsidRPr="00771946">
              <w:rPr>
                <w:lang w:val="fr-FR"/>
              </w:rPr>
              <w:t>une éventuelle action ultérieure et demandé au secrétariat d</w:t>
            </w:r>
            <w:r>
              <w:rPr>
                <w:lang w:val="fr-FR"/>
              </w:rPr>
              <w:t>’</w:t>
            </w:r>
            <w:r w:rsidRPr="00771946">
              <w:rPr>
                <w:lang w:val="fr-FR"/>
              </w:rPr>
              <w:t>établir un document officiel regroupant les recommandations formulées jusqu</w:t>
            </w:r>
            <w:r>
              <w:rPr>
                <w:lang w:val="fr-FR"/>
              </w:rPr>
              <w:t>’</w:t>
            </w:r>
            <w:r w:rsidRPr="00771946">
              <w:rPr>
                <w:lang w:val="fr-FR"/>
              </w:rPr>
              <w:t>alors ainsi qu</w:t>
            </w:r>
            <w:r>
              <w:rPr>
                <w:lang w:val="fr-FR"/>
              </w:rPr>
              <w:t>’</w:t>
            </w:r>
            <w:r w:rsidRPr="00771946">
              <w:rPr>
                <w:lang w:val="fr-FR"/>
              </w:rPr>
              <w:t>une proposition de plan d</w:t>
            </w:r>
            <w:r>
              <w:rPr>
                <w:lang w:val="fr-FR"/>
              </w:rPr>
              <w:t>’</w:t>
            </w:r>
            <w:r w:rsidRPr="00771946">
              <w:rPr>
                <w:lang w:val="fr-FR"/>
              </w:rPr>
              <w:t>action pour leur application, et d</w:t>
            </w:r>
            <w:r>
              <w:rPr>
                <w:lang w:val="fr-FR"/>
              </w:rPr>
              <w:t>’</w:t>
            </w:r>
            <w:r w:rsidRPr="00771946">
              <w:rPr>
                <w:lang w:val="fr-FR"/>
              </w:rPr>
              <w:t xml:space="preserve">élaborer pour la </w:t>
            </w:r>
            <w:r>
              <w:rPr>
                <w:lang w:val="fr-FR"/>
              </w:rPr>
              <w:t>session suivante</w:t>
            </w:r>
            <w:r w:rsidRPr="00771946">
              <w:rPr>
                <w:lang w:val="fr-FR"/>
              </w:rPr>
              <w:t xml:space="preserve"> du </w:t>
            </w:r>
            <w:r>
              <w:rPr>
                <w:lang w:val="fr-FR"/>
              </w:rPr>
              <w:t>Comité</w:t>
            </w:r>
            <w:r w:rsidRPr="00771946">
              <w:rPr>
                <w:lang w:val="fr-FR"/>
              </w:rPr>
              <w:t xml:space="preserve"> une note de cadrage en vue d</w:t>
            </w:r>
            <w:r>
              <w:rPr>
                <w:lang w:val="fr-FR"/>
              </w:rPr>
              <w:t>’</w:t>
            </w:r>
            <w:r w:rsidRPr="00771946">
              <w:rPr>
                <w:lang w:val="fr-FR"/>
              </w:rPr>
              <w:t>un échange d</w:t>
            </w:r>
            <w:r>
              <w:rPr>
                <w:lang w:val="fr-FR"/>
              </w:rPr>
              <w:t>’</w:t>
            </w:r>
            <w:r w:rsidRPr="00771946">
              <w:rPr>
                <w:lang w:val="fr-FR"/>
              </w:rPr>
              <w:t>informations supplémentaire et une éventuelle planification des interventions d</w:t>
            </w:r>
            <w:r>
              <w:rPr>
                <w:lang w:val="fr-FR"/>
              </w:rPr>
              <w:t>’</w:t>
            </w:r>
            <w:r w:rsidRPr="00771946">
              <w:rPr>
                <w:lang w:val="fr-FR"/>
              </w:rPr>
              <w:t>urgence pour le rail, la route et les voies navigables intérieures. Le WP.5 a également demandé au secrétariat d</w:t>
            </w:r>
            <w:r>
              <w:rPr>
                <w:lang w:val="fr-FR"/>
              </w:rPr>
              <w:t>’</w:t>
            </w:r>
            <w:r w:rsidRPr="00771946">
              <w:rPr>
                <w:lang w:val="fr-FR"/>
              </w:rPr>
              <w:t>aider à mieux faire connaître l</w:t>
            </w:r>
            <w:r>
              <w:rPr>
                <w:lang w:val="fr-FR"/>
              </w:rPr>
              <w:t>’</w:t>
            </w:r>
            <w:r w:rsidRPr="00771946">
              <w:rPr>
                <w:lang w:val="fr-FR"/>
              </w:rPr>
              <w:t xml:space="preserve">importance du rôle que jouent les travailleurs du secteur des transports, qui </w:t>
            </w:r>
            <w:r>
              <w:rPr>
                <w:lang w:val="fr-FR"/>
              </w:rPr>
              <w:t>assurent</w:t>
            </w:r>
            <w:r w:rsidRPr="00771946">
              <w:rPr>
                <w:lang w:val="fr-FR"/>
              </w:rPr>
              <w:t xml:space="preserve"> le fonctionnement des chaînes d</w:t>
            </w:r>
            <w:r>
              <w:rPr>
                <w:lang w:val="fr-FR"/>
              </w:rPr>
              <w:t>’</w:t>
            </w:r>
            <w:r w:rsidRPr="00771946">
              <w:rPr>
                <w:lang w:val="fr-FR"/>
              </w:rPr>
              <w:t>approvisionnement en cas de pandémie ou d</w:t>
            </w:r>
            <w:r>
              <w:rPr>
                <w:lang w:val="fr-FR"/>
              </w:rPr>
              <w:t>’</w:t>
            </w:r>
            <w:r w:rsidRPr="00771946">
              <w:rPr>
                <w:lang w:val="fr-FR"/>
              </w:rPr>
              <w:t>autre situation d</w:t>
            </w:r>
            <w:r>
              <w:rPr>
                <w:lang w:val="fr-FR"/>
              </w:rPr>
              <w:t>’</w:t>
            </w:r>
            <w:r w:rsidRPr="00771946">
              <w:rPr>
                <w:lang w:val="fr-FR"/>
              </w:rPr>
              <w:t>urgenc</w:t>
            </w:r>
            <w:r>
              <w:rPr>
                <w:lang w:val="fr-FR"/>
              </w:rPr>
              <w:t xml:space="preserve">e, </w:t>
            </w:r>
            <w:r w:rsidRPr="00771946">
              <w:rPr>
                <w:lang w:val="fr-FR"/>
              </w:rPr>
              <w:t>et à obtenir pour eux un accès prioritaire aux systèmes de santé.</w:t>
            </w:r>
            <w:r w:rsidRPr="00771946">
              <w:rPr>
                <w:b/>
                <w:bCs/>
                <w:lang w:val="fr-FR"/>
              </w:rPr>
              <w:t xml:space="preserve"> </w:t>
            </w:r>
            <w:r w:rsidRPr="004D6F8C">
              <w:rPr>
                <w:b/>
                <w:bCs/>
                <w:lang w:val="fr-FR"/>
              </w:rPr>
              <w:t xml:space="preserve">À </w:t>
            </w:r>
            <w:r>
              <w:rPr>
                <w:b/>
                <w:bCs/>
                <w:lang w:val="fr-FR"/>
              </w:rPr>
              <w:t xml:space="preserve">la session marquant son </w:t>
            </w:r>
            <w:r w:rsidRPr="00954346">
              <w:rPr>
                <w:b/>
                <w:bCs/>
                <w:lang w:val="fr-FR"/>
              </w:rPr>
              <w:t>soixante-quinzième anniversair</w:t>
            </w:r>
            <w:r>
              <w:rPr>
                <w:b/>
                <w:bCs/>
                <w:lang w:val="fr-FR"/>
              </w:rPr>
              <w:t>e, en</w:t>
            </w:r>
            <w:r w:rsidR="00C028D1">
              <w:rPr>
                <w:b/>
                <w:bCs/>
                <w:lang w:val="fr-FR"/>
              </w:rPr>
              <w:t> </w:t>
            </w:r>
            <w:r w:rsidRPr="00954346">
              <w:rPr>
                <w:b/>
                <w:bCs/>
                <w:lang w:val="fr-FR"/>
              </w:rPr>
              <w:t xml:space="preserve">février 2022, </w:t>
            </w:r>
            <w:r>
              <w:rPr>
                <w:b/>
                <w:bCs/>
                <w:lang w:val="fr-FR"/>
              </w:rPr>
              <w:t xml:space="preserve">le Comité </w:t>
            </w:r>
            <w:r w:rsidRPr="00954346">
              <w:rPr>
                <w:b/>
                <w:bCs/>
                <w:lang w:val="fr-FR"/>
              </w:rPr>
              <w:t>a accueilli favorablement les recommandations concernant d</w:t>
            </w:r>
            <w:r>
              <w:rPr>
                <w:b/>
                <w:bCs/>
                <w:lang w:val="fr-FR"/>
              </w:rPr>
              <w:t>’</w:t>
            </w:r>
            <w:r w:rsidRPr="00954346">
              <w:rPr>
                <w:b/>
                <w:bCs/>
                <w:lang w:val="fr-FR"/>
              </w:rPr>
              <w:t>éventuelles mesures supplémentaires</w:t>
            </w:r>
            <w:r>
              <w:rPr>
                <w:b/>
                <w:bCs/>
                <w:lang w:val="fr-FR"/>
              </w:rPr>
              <w:t xml:space="preserve"> et </w:t>
            </w:r>
            <w:r w:rsidRPr="00954346">
              <w:rPr>
                <w:b/>
                <w:bCs/>
                <w:lang w:val="fr-FR"/>
              </w:rPr>
              <w:t>adopté la proposition de plan d</w:t>
            </w:r>
            <w:r>
              <w:rPr>
                <w:b/>
                <w:bCs/>
                <w:lang w:val="fr-FR"/>
              </w:rPr>
              <w:t>’</w:t>
            </w:r>
            <w:r w:rsidRPr="00954346">
              <w:rPr>
                <w:b/>
                <w:bCs/>
                <w:lang w:val="fr-FR"/>
              </w:rPr>
              <w:t xml:space="preserve">action pour </w:t>
            </w:r>
            <w:r w:rsidRPr="00954346">
              <w:rPr>
                <w:b/>
                <w:bCs/>
                <w:lang w:val="fr-FR"/>
              </w:rPr>
              <w:lastRenderedPageBreak/>
              <w:t xml:space="preserve">leur </w:t>
            </w:r>
            <w:r>
              <w:rPr>
                <w:b/>
                <w:bCs/>
                <w:lang w:val="fr-FR"/>
              </w:rPr>
              <w:t>application</w:t>
            </w:r>
            <w:r w:rsidRPr="00954346">
              <w:rPr>
                <w:b/>
                <w:bCs/>
                <w:lang w:val="fr-FR"/>
              </w:rPr>
              <w:t xml:space="preserve"> présentée dans le document ECE/TRANS/2022/19. En particulier, </w:t>
            </w:r>
            <w:r>
              <w:rPr>
                <w:b/>
                <w:bCs/>
                <w:lang w:val="fr-FR"/>
              </w:rPr>
              <w:t>il</w:t>
            </w:r>
            <w:r w:rsidRPr="00954346">
              <w:rPr>
                <w:b/>
                <w:bCs/>
                <w:lang w:val="fr-FR"/>
              </w:rPr>
              <w:t xml:space="preserve"> </w:t>
            </w:r>
            <w:r>
              <w:rPr>
                <w:b/>
                <w:bCs/>
                <w:lang w:val="fr-FR"/>
              </w:rPr>
              <w:t xml:space="preserve">a </w:t>
            </w:r>
            <w:r w:rsidRPr="00E10354">
              <w:rPr>
                <w:b/>
                <w:bCs/>
                <w:lang w:val="fr-FR"/>
              </w:rPr>
              <w:t xml:space="preserve">accueilli favorablement la note de réflexion du </w:t>
            </w:r>
            <w:r w:rsidRPr="00954346">
              <w:rPr>
                <w:b/>
                <w:bCs/>
                <w:lang w:val="fr-FR"/>
              </w:rPr>
              <w:t xml:space="preserve">secrétariat </w:t>
            </w:r>
            <w:r>
              <w:rPr>
                <w:b/>
                <w:bCs/>
                <w:lang w:val="fr-FR"/>
              </w:rPr>
              <w:t>sur</w:t>
            </w:r>
            <w:r w:rsidRPr="00954346">
              <w:rPr>
                <w:b/>
                <w:bCs/>
                <w:lang w:val="fr-FR"/>
              </w:rPr>
              <w:t xml:space="preserve"> les plans d</w:t>
            </w:r>
            <w:r>
              <w:rPr>
                <w:b/>
                <w:bCs/>
                <w:lang w:val="fr-FR"/>
              </w:rPr>
              <w:t>’</w:t>
            </w:r>
            <w:r w:rsidRPr="00954346">
              <w:rPr>
                <w:b/>
                <w:bCs/>
                <w:lang w:val="fr-FR"/>
              </w:rPr>
              <w:t>urgence pour le</w:t>
            </w:r>
            <w:r>
              <w:rPr>
                <w:b/>
                <w:bCs/>
                <w:lang w:val="fr-FR"/>
              </w:rPr>
              <w:t>s</w:t>
            </w:r>
            <w:r w:rsidRPr="00954346">
              <w:rPr>
                <w:b/>
                <w:bCs/>
                <w:lang w:val="fr-FR"/>
              </w:rPr>
              <w:t xml:space="preserve"> transport</w:t>
            </w:r>
            <w:r>
              <w:rPr>
                <w:b/>
                <w:bCs/>
                <w:lang w:val="fr-FR"/>
              </w:rPr>
              <w:t>s</w:t>
            </w:r>
            <w:r w:rsidRPr="00954346">
              <w:rPr>
                <w:b/>
                <w:bCs/>
                <w:lang w:val="fr-FR"/>
              </w:rPr>
              <w:t xml:space="preserve"> ferroviair</w:t>
            </w:r>
            <w:r>
              <w:rPr>
                <w:b/>
                <w:bCs/>
                <w:lang w:val="fr-FR"/>
              </w:rPr>
              <w:t>e,</w:t>
            </w:r>
            <w:r w:rsidRPr="00954346">
              <w:rPr>
                <w:b/>
                <w:bCs/>
                <w:lang w:val="fr-FR"/>
              </w:rPr>
              <w:t xml:space="preserve"> routier, fluvial et intermodal, et </w:t>
            </w:r>
            <w:r>
              <w:rPr>
                <w:b/>
                <w:bCs/>
                <w:lang w:val="fr-FR"/>
              </w:rPr>
              <w:t xml:space="preserve">il </w:t>
            </w:r>
            <w:r w:rsidRPr="00954346">
              <w:rPr>
                <w:b/>
                <w:bCs/>
                <w:lang w:val="fr-FR"/>
              </w:rPr>
              <w:t xml:space="preserve">a demandé au secrétariat de présenter ces propositions aux groupes de travail spécialisés </w:t>
            </w:r>
            <w:r>
              <w:rPr>
                <w:b/>
                <w:bCs/>
                <w:lang w:val="fr-FR"/>
              </w:rPr>
              <w:t>dans les différents modes (</w:t>
            </w:r>
            <w:r w:rsidRPr="00954346">
              <w:rPr>
                <w:b/>
                <w:bCs/>
                <w:lang w:val="fr-FR"/>
              </w:rPr>
              <w:t>SC.1, SC.2, SC.3/WP.3</w:t>
            </w:r>
            <w:r>
              <w:rPr>
                <w:b/>
                <w:bCs/>
                <w:lang w:val="fr-FR"/>
              </w:rPr>
              <w:t xml:space="preserve"> et</w:t>
            </w:r>
            <w:r w:rsidRPr="00954346">
              <w:rPr>
                <w:b/>
                <w:bCs/>
                <w:lang w:val="fr-FR"/>
              </w:rPr>
              <w:t xml:space="preserve"> WP.24</w:t>
            </w:r>
            <w:r>
              <w:rPr>
                <w:b/>
                <w:bCs/>
                <w:lang w:val="fr-FR"/>
              </w:rPr>
              <w:t>)</w:t>
            </w:r>
            <w:r w:rsidRPr="00954346">
              <w:rPr>
                <w:b/>
                <w:bCs/>
                <w:lang w:val="fr-FR"/>
              </w:rPr>
              <w:t xml:space="preserve"> pour examen et éventuellement </w:t>
            </w:r>
            <w:r>
              <w:rPr>
                <w:b/>
                <w:bCs/>
                <w:lang w:val="fr-FR"/>
              </w:rPr>
              <w:t xml:space="preserve">pour </w:t>
            </w:r>
            <w:r w:rsidRPr="00954346">
              <w:rPr>
                <w:b/>
                <w:bCs/>
                <w:lang w:val="fr-FR"/>
              </w:rPr>
              <w:t>approfondissement.</w:t>
            </w:r>
          </w:p>
          <w:p w14:paraId="2F18A374" w14:textId="53F4D826" w:rsidR="000661F7" w:rsidRDefault="000661F7" w:rsidP="0094269B">
            <w:pPr>
              <w:spacing w:before="40" w:after="120"/>
              <w:ind w:right="113"/>
              <w:rPr>
                <w:b/>
                <w:bCs/>
                <w:lang w:val="fr-FR"/>
              </w:rPr>
            </w:pPr>
            <w:r w:rsidRPr="002D5CB8">
              <w:rPr>
                <w:b/>
                <w:bCs/>
                <w:lang w:val="fr-FR"/>
              </w:rPr>
              <w:t>À la trente-cinquième</w:t>
            </w:r>
            <w:r w:rsidRPr="00D529FD">
              <w:rPr>
                <w:b/>
                <w:bCs/>
                <w:lang w:val="fr-FR"/>
              </w:rPr>
              <w:t xml:space="preserve"> session du WP.5, le secrétariat a invité le Groupe de travail à examiner le document ECE/TRANS/WP.5/2022/4</w:t>
            </w:r>
            <w:r>
              <w:rPr>
                <w:b/>
                <w:bCs/>
                <w:lang w:val="fr-FR"/>
              </w:rPr>
              <w:t xml:space="preserve"> (</w:t>
            </w:r>
            <w:r w:rsidRPr="00D529FD">
              <w:rPr>
                <w:b/>
                <w:bCs/>
                <w:lang w:val="fr-FR"/>
              </w:rPr>
              <w:t>version révisée du document ECE/TRANS/2022/19</w:t>
            </w:r>
            <w:r>
              <w:rPr>
                <w:b/>
                <w:bCs/>
                <w:lang w:val="fr-FR"/>
              </w:rPr>
              <w:t>)</w:t>
            </w:r>
            <w:r w:rsidRPr="00D529FD">
              <w:rPr>
                <w:b/>
                <w:bCs/>
                <w:lang w:val="fr-FR"/>
              </w:rPr>
              <w:t xml:space="preserve"> et à donner des indications sur les nouvelles mesures à prendre pour améliorer la résilience du secteur des transports intérieurs et sa préparation aux futures pandémies et situations d</w:t>
            </w:r>
            <w:r>
              <w:rPr>
                <w:b/>
                <w:bCs/>
                <w:lang w:val="fr-FR"/>
              </w:rPr>
              <w:t>’</w:t>
            </w:r>
            <w:r w:rsidRPr="00D529FD">
              <w:rPr>
                <w:b/>
                <w:bCs/>
                <w:lang w:val="fr-FR"/>
              </w:rPr>
              <w:t>urgence internationales. À cet égard, le secrétariat a invité les pays désireux de renforcer leurs systèmes de gestion des situations d</w:t>
            </w:r>
            <w:r>
              <w:rPr>
                <w:b/>
                <w:bCs/>
                <w:lang w:val="fr-FR"/>
              </w:rPr>
              <w:t>’</w:t>
            </w:r>
            <w:r w:rsidRPr="00D529FD">
              <w:rPr>
                <w:b/>
                <w:bCs/>
                <w:lang w:val="fr-FR"/>
              </w:rPr>
              <w:t>urgence dans le secteur des transports internationaux à envisager de participer à un projet expérimental financé par des fonds extrabudgétaires et intitulé «</w:t>
            </w:r>
            <w:r>
              <w:rPr>
                <w:b/>
                <w:bCs/>
                <w:lang w:val="fr-FR"/>
              </w:rPr>
              <w:t> </w:t>
            </w:r>
            <w:r w:rsidRPr="00D529FD">
              <w:rPr>
                <w:b/>
                <w:bCs/>
                <w:lang w:val="fr-FR"/>
              </w:rPr>
              <w:t>Construire des réseaux d</w:t>
            </w:r>
            <w:r>
              <w:rPr>
                <w:b/>
                <w:bCs/>
                <w:lang w:val="fr-FR"/>
              </w:rPr>
              <w:t>’</w:t>
            </w:r>
            <w:r w:rsidRPr="00D529FD">
              <w:rPr>
                <w:b/>
                <w:bCs/>
                <w:lang w:val="fr-FR"/>
              </w:rPr>
              <w:t>infrastructures de transport résilients, capables de s</w:t>
            </w:r>
            <w:r>
              <w:rPr>
                <w:b/>
                <w:bCs/>
                <w:lang w:val="fr-FR"/>
              </w:rPr>
              <w:t>’</w:t>
            </w:r>
            <w:r w:rsidRPr="00D529FD">
              <w:rPr>
                <w:b/>
                <w:bCs/>
                <w:lang w:val="fr-FR"/>
              </w:rPr>
              <w:t>adapter au climat et économiquement viables</w:t>
            </w:r>
            <w:r>
              <w:rPr>
                <w:b/>
                <w:bCs/>
                <w:lang w:val="fr-FR"/>
              </w:rPr>
              <w:t> </w:t>
            </w:r>
            <w:r w:rsidRPr="00D529FD">
              <w:rPr>
                <w:b/>
                <w:bCs/>
                <w:lang w:val="fr-FR"/>
              </w:rPr>
              <w:t>».</w:t>
            </w:r>
            <w:r w:rsidRPr="00C33721">
              <w:rPr>
                <w:b/>
                <w:bCs/>
                <w:lang w:val="fr-FR"/>
              </w:rPr>
              <w:t xml:space="preserve"> </w:t>
            </w:r>
          </w:p>
          <w:p w14:paraId="5F4371C7" w14:textId="260FA1CE" w:rsidR="000661F7" w:rsidRPr="004A4CCE" w:rsidRDefault="000661F7" w:rsidP="0094269B">
            <w:pPr>
              <w:spacing w:before="40" w:after="120"/>
              <w:ind w:right="113"/>
              <w:rPr>
                <w:b/>
                <w:bCs/>
                <w:lang w:val="fr-FR"/>
              </w:rPr>
            </w:pPr>
            <w:r w:rsidRPr="002D5CB8">
              <w:rPr>
                <w:b/>
                <w:bCs/>
                <w:spacing w:val="-2"/>
                <w:lang w:val="fr-FR"/>
              </w:rPr>
              <w:t xml:space="preserve">Le WP.5 a pris connaissance avec intérêt du document ECE/TRANS/WP.5/2022/4, établi par le secrétariat, et s’est félicité du fait que le plan d’action proposé pour l’application, par les groupes de travail spécialisés par mode, des recommandations formulées par le </w:t>
            </w:r>
            <w:r w:rsidRPr="007831D2">
              <w:rPr>
                <w:b/>
                <w:bCs/>
                <w:spacing w:val="-2"/>
                <w:lang w:val="fr-FR"/>
              </w:rPr>
              <w:t>groupe consultatif pluridisciplinaire informel des réactions du secteur des transports à la crise de la COVID-19</w:t>
            </w:r>
            <w:r w:rsidRPr="002D5CB8">
              <w:rPr>
                <w:b/>
                <w:bCs/>
                <w:spacing w:val="-2"/>
                <w:lang w:val="fr-FR"/>
              </w:rPr>
              <w:t xml:space="preserve"> avait été adopté par le Comité à sa session de</w:t>
            </w:r>
            <w:r w:rsidRPr="008E7884">
              <w:rPr>
                <w:b/>
                <w:bCs/>
                <w:lang w:val="fr-FR"/>
              </w:rPr>
              <w:t xml:space="preserve"> février</w:t>
            </w:r>
            <w:r w:rsidR="002D5CB8">
              <w:rPr>
                <w:b/>
                <w:bCs/>
                <w:lang w:val="fr-FR"/>
              </w:rPr>
              <w:t> </w:t>
            </w:r>
            <w:r w:rsidRPr="008E7884">
              <w:rPr>
                <w:b/>
                <w:bCs/>
                <w:lang w:val="fr-FR"/>
              </w:rPr>
              <w:t>2022</w:t>
            </w:r>
            <w:r>
              <w:rPr>
                <w:b/>
                <w:bCs/>
                <w:lang w:val="fr-FR"/>
              </w:rPr>
              <w:t> ;</w:t>
            </w:r>
            <w:r w:rsidRPr="008E7884">
              <w:rPr>
                <w:b/>
                <w:bCs/>
                <w:lang w:val="fr-FR"/>
              </w:rPr>
              <w:t xml:space="preserve"> </w:t>
            </w:r>
            <w:r w:rsidRPr="008E7884">
              <w:rPr>
                <w:b/>
                <w:bCs/>
                <w:lang w:val="fr-FR"/>
              </w:rPr>
              <w:lastRenderedPageBreak/>
              <w:t>il</w:t>
            </w:r>
            <w:r w:rsidR="002D5CB8">
              <w:rPr>
                <w:b/>
                <w:bCs/>
                <w:lang w:val="fr-FR"/>
              </w:rPr>
              <w:t> </w:t>
            </w:r>
            <w:r w:rsidRPr="008E7884">
              <w:rPr>
                <w:b/>
                <w:bCs/>
                <w:lang w:val="fr-FR"/>
              </w:rPr>
              <w:t>a</w:t>
            </w:r>
            <w:r w:rsidR="002D5CB8">
              <w:rPr>
                <w:b/>
                <w:bCs/>
                <w:lang w:val="fr-FR"/>
              </w:rPr>
              <w:t> </w:t>
            </w:r>
            <w:r w:rsidRPr="008E7884">
              <w:rPr>
                <w:b/>
                <w:bCs/>
                <w:lang w:val="fr-FR"/>
              </w:rPr>
              <w:t xml:space="preserve">demandé au secrétariat </w:t>
            </w:r>
            <w:r w:rsidRPr="00E9041C">
              <w:rPr>
                <w:b/>
                <w:bCs/>
                <w:lang w:val="fr-FR"/>
              </w:rPr>
              <w:t>de contrôler l</w:t>
            </w:r>
            <w:r>
              <w:rPr>
                <w:b/>
                <w:bCs/>
                <w:lang w:val="fr-FR"/>
              </w:rPr>
              <w:t>’</w:t>
            </w:r>
            <w:r w:rsidRPr="00E9041C">
              <w:rPr>
                <w:b/>
                <w:bCs/>
                <w:lang w:val="fr-FR"/>
              </w:rPr>
              <w:t xml:space="preserve">application du </w:t>
            </w:r>
            <w:r w:rsidRPr="008E7884">
              <w:rPr>
                <w:b/>
                <w:bCs/>
                <w:lang w:val="fr-FR"/>
              </w:rPr>
              <w:t>plan d</w:t>
            </w:r>
            <w:r>
              <w:rPr>
                <w:b/>
                <w:bCs/>
                <w:lang w:val="fr-FR"/>
              </w:rPr>
              <w:t>’</w:t>
            </w:r>
            <w:r w:rsidRPr="008E7884">
              <w:rPr>
                <w:b/>
                <w:bCs/>
                <w:lang w:val="fr-FR"/>
              </w:rPr>
              <w:t xml:space="preserve">action avec ces groupes de travail. Le WP.5 a également accueilli favorablement la proposition du secrétariat invitant les pays intéressés à participer, sur </w:t>
            </w:r>
            <w:r>
              <w:rPr>
                <w:b/>
                <w:bCs/>
                <w:lang w:val="fr-FR"/>
              </w:rPr>
              <w:t>la</w:t>
            </w:r>
            <w:r w:rsidRPr="008E7884">
              <w:rPr>
                <w:b/>
                <w:bCs/>
                <w:lang w:val="fr-FR"/>
              </w:rPr>
              <w:t xml:space="preserve"> base </w:t>
            </w:r>
            <w:r>
              <w:rPr>
                <w:b/>
                <w:bCs/>
                <w:lang w:val="fr-FR"/>
              </w:rPr>
              <w:t xml:space="preserve">du </w:t>
            </w:r>
            <w:r w:rsidRPr="008E7884">
              <w:rPr>
                <w:b/>
                <w:bCs/>
                <w:lang w:val="fr-FR"/>
              </w:rPr>
              <w:t>volonta</w:t>
            </w:r>
            <w:r>
              <w:rPr>
                <w:b/>
                <w:bCs/>
                <w:lang w:val="fr-FR"/>
              </w:rPr>
              <w:t>riat</w:t>
            </w:r>
            <w:r w:rsidRPr="008E7884">
              <w:rPr>
                <w:b/>
                <w:bCs/>
                <w:lang w:val="fr-FR"/>
              </w:rPr>
              <w:t>, à un projet expérimental visant à mettre au point un système international de gestion des situations d</w:t>
            </w:r>
            <w:r>
              <w:rPr>
                <w:b/>
                <w:bCs/>
                <w:lang w:val="fr-FR"/>
              </w:rPr>
              <w:t>’</w:t>
            </w:r>
            <w:r w:rsidRPr="008E7884">
              <w:rPr>
                <w:b/>
                <w:bCs/>
                <w:lang w:val="fr-FR"/>
              </w:rPr>
              <w:t>urgence pour la rout</w:t>
            </w:r>
            <w:r>
              <w:rPr>
                <w:b/>
                <w:bCs/>
                <w:lang w:val="fr-FR"/>
              </w:rPr>
              <w:t>e,</w:t>
            </w:r>
            <w:r w:rsidRPr="008E7884">
              <w:rPr>
                <w:b/>
                <w:bCs/>
                <w:lang w:val="fr-FR"/>
              </w:rPr>
              <w:t xml:space="preserve"> le rail ou les voies navigables intérieures sur un segment déterminé d</w:t>
            </w:r>
            <w:r>
              <w:rPr>
                <w:b/>
                <w:bCs/>
                <w:lang w:val="fr-FR"/>
              </w:rPr>
              <w:t>’</w:t>
            </w:r>
            <w:r w:rsidRPr="008E7884">
              <w:rPr>
                <w:b/>
                <w:bCs/>
                <w:lang w:val="fr-FR"/>
              </w:rPr>
              <w:t>un couloir de transport.</w:t>
            </w:r>
          </w:p>
          <w:p w14:paraId="3970DAED" w14:textId="67BDE1BF" w:rsidR="000661F7" w:rsidRPr="004A4CCE" w:rsidRDefault="000661F7" w:rsidP="0094269B">
            <w:pPr>
              <w:spacing w:before="40" w:after="120"/>
              <w:ind w:right="113"/>
            </w:pPr>
            <w:r w:rsidRPr="004A4CCE">
              <w:rPr>
                <w:lang w:val="fr-FR"/>
              </w:rPr>
              <w:t>L</w:t>
            </w:r>
            <w:r>
              <w:rPr>
                <w:lang w:val="fr-FR"/>
              </w:rPr>
              <w:t>’</w:t>
            </w:r>
            <w:r w:rsidRPr="004A4CCE">
              <w:rPr>
                <w:lang w:val="fr-FR"/>
              </w:rPr>
              <w:t>ADR prévoit déjà la reconnaissance mutuelle des accords et des certificats et les accords multilatéraux ont prouvé leur efficacité dans des circonstances extraordinaires telles que la pandémie de COVID-19.</w:t>
            </w:r>
          </w:p>
          <w:p w14:paraId="398B84B3" w14:textId="67DF1AE2" w:rsidR="000661F7" w:rsidRPr="008E7884" w:rsidRDefault="000661F7" w:rsidP="0094269B">
            <w:pPr>
              <w:spacing w:before="40" w:after="120"/>
              <w:ind w:right="113"/>
              <w:rPr>
                <w:lang w:val="fr-FR"/>
              </w:rPr>
            </w:pPr>
            <w:r w:rsidRPr="004A4CCE">
              <w:rPr>
                <w:lang w:val="fr-FR"/>
              </w:rPr>
              <w:t>Une équipe spéciale interne a été créée et chargée d</w:t>
            </w:r>
            <w:r>
              <w:rPr>
                <w:lang w:val="fr-FR"/>
              </w:rPr>
              <w:t>’</w:t>
            </w:r>
            <w:r w:rsidRPr="00771946">
              <w:rPr>
                <w:lang w:val="fr-FR"/>
              </w:rPr>
              <w:t>examiner les différents instruments juridiques sous cet angle.</w:t>
            </w:r>
            <w:r w:rsidRPr="008E7884">
              <w:rPr>
                <w:lang w:val="fr-FR"/>
              </w:rPr>
              <w:t xml:space="preserve"> </w:t>
            </w:r>
            <w:r w:rsidRPr="00771946">
              <w:rPr>
                <w:lang w:val="fr-FR"/>
              </w:rPr>
              <w:t>Un remue-méninges sera organisé afin de découvrir s</w:t>
            </w:r>
            <w:r>
              <w:rPr>
                <w:lang w:val="fr-FR"/>
              </w:rPr>
              <w:t>’</w:t>
            </w:r>
            <w:r w:rsidRPr="00771946">
              <w:rPr>
                <w:lang w:val="fr-FR"/>
              </w:rPr>
              <w:t xml:space="preserve">il y a des domaines ou des questions, autres que ceux qui sont déjà </w:t>
            </w:r>
            <w:r>
              <w:rPr>
                <w:lang w:val="fr-FR"/>
              </w:rPr>
              <w:t>prévus</w:t>
            </w:r>
            <w:r w:rsidRPr="00771946">
              <w:rPr>
                <w:lang w:val="fr-FR"/>
              </w:rPr>
              <w:t xml:space="preserve"> par le mandat d</w:t>
            </w:r>
            <w:r>
              <w:rPr>
                <w:lang w:val="fr-FR"/>
              </w:rPr>
              <w:t>’</w:t>
            </w:r>
            <w:r w:rsidRPr="00771946">
              <w:rPr>
                <w:lang w:val="fr-FR"/>
              </w:rPr>
              <w:t>un groupe de travail, pour lesquels des instruments juridiques pourraient être élaborés au bénéfice des pays et pour aider au développement durable du secteur des transports.</w:t>
            </w:r>
          </w:p>
        </w:tc>
        <w:tc>
          <w:tcPr>
            <w:tcW w:w="2500" w:type="dxa"/>
            <w:shd w:val="clear" w:color="auto" w:fill="auto"/>
          </w:tcPr>
          <w:p w14:paraId="386E8F42" w14:textId="171DB84B" w:rsidR="000661F7" w:rsidRPr="00ED06D8" w:rsidRDefault="000661F7" w:rsidP="0094269B">
            <w:pPr>
              <w:spacing w:before="40" w:after="120"/>
              <w:ind w:right="113"/>
              <w:rPr>
                <w:lang w:val="fr-FR"/>
              </w:rPr>
            </w:pPr>
            <w:r>
              <w:rPr>
                <w:lang w:val="fr-FR"/>
              </w:rPr>
              <w:lastRenderedPageBreak/>
              <w:t>Poursuivre les débats sur la base des résultats de l’analyse menée au titre de la tâche 5.4.</w:t>
            </w:r>
          </w:p>
        </w:tc>
        <w:tc>
          <w:tcPr>
            <w:tcW w:w="1667" w:type="dxa"/>
            <w:shd w:val="clear" w:color="auto" w:fill="auto"/>
          </w:tcPr>
          <w:p w14:paraId="047AB4B7" w14:textId="77777777" w:rsidR="000661F7" w:rsidRPr="00ED06D8" w:rsidRDefault="000661F7" w:rsidP="0094269B">
            <w:pPr>
              <w:spacing w:before="40" w:after="120"/>
              <w:ind w:right="113"/>
              <w:rPr>
                <w:lang w:val="fr-FR"/>
              </w:rPr>
            </w:pPr>
            <w:r>
              <w:rPr>
                <w:lang w:val="fr-FR"/>
              </w:rPr>
              <w:t>Les secrétaires des groupes de travail concernés</w:t>
            </w:r>
          </w:p>
        </w:tc>
      </w:tr>
      <w:tr w:rsidR="000661F7" w:rsidRPr="00D466A5" w14:paraId="46CDE988" w14:textId="77777777" w:rsidTr="0094269B">
        <w:tc>
          <w:tcPr>
            <w:tcW w:w="500" w:type="dxa"/>
            <w:shd w:val="clear" w:color="auto" w:fill="auto"/>
          </w:tcPr>
          <w:p w14:paraId="55F03049" w14:textId="77777777" w:rsidR="000661F7" w:rsidRPr="0067484D" w:rsidRDefault="000661F7" w:rsidP="0094269B">
            <w:pPr>
              <w:spacing w:before="40" w:after="120"/>
              <w:ind w:right="113"/>
            </w:pPr>
            <w:r>
              <w:rPr>
                <w:lang w:val="fr-FR"/>
              </w:rPr>
              <w:lastRenderedPageBreak/>
              <w:t>5.6</w:t>
            </w:r>
          </w:p>
        </w:tc>
        <w:tc>
          <w:tcPr>
            <w:tcW w:w="1778" w:type="dxa"/>
            <w:shd w:val="clear" w:color="auto" w:fill="auto"/>
          </w:tcPr>
          <w:p w14:paraId="7A79424C" w14:textId="5E71C0D8" w:rsidR="000661F7" w:rsidRDefault="000661F7" w:rsidP="0094269B">
            <w:pPr>
              <w:spacing w:before="40" w:after="120"/>
              <w:ind w:right="113"/>
              <w:rPr>
                <w:lang w:val="fr-FR"/>
              </w:rPr>
            </w:pPr>
            <w:r>
              <w:rPr>
                <w:lang w:val="fr-FR"/>
              </w:rPr>
              <w:t>Achever l’élaboration de trois nouveaux instruments juridiques</w:t>
            </w:r>
          </w:p>
          <w:p w14:paraId="18F15F63" w14:textId="1649D951" w:rsidR="000661F7" w:rsidRPr="00ED06D8" w:rsidRDefault="000661F7" w:rsidP="0094269B">
            <w:pPr>
              <w:spacing w:before="40" w:after="120"/>
              <w:ind w:right="113"/>
              <w:rPr>
                <w:lang w:val="fr-FR"/>
              </w:rPr>
            </w:pPr>
            <w:r>
              <w:rPr>
                <w:lang w:val="fr-FR"/>
              </w:rPr>
              <w:t>Étudier la possibilité d’élaborer de nouveaux instruments juridiques (à partir de 2020)</w:t>
            </w:r>
          </w:p>
        </w:tc>
        <w:tc>
          <w:tcPr>
            <w:tcW w:w="3194" w:type="dxa"/>
            <w:shd w:val="clear" w:color="auto" w:fill="auto"/>
          </w:tcPr>
          <w:p w14:paraId="2AF18BEF" w14:textId="77777777" w:rsidR="00D5479D" w:rsidRDefault="000661F7" w:rsidP="0094269B">
            <w:pPr>
              <w:spacing w:before="40" w:after="120"/>
              <w:ind w:right="113"/>
              <w:rPr>
                <w:b/>
                <w:bCs/>
                <w:lang w:val="fr-FR"/>
              </w:rPr>
            </w:pPr>
            <w:r>
              <w:rPr>
                <w:lang w:val="fr-FR"/>
              </w:rPr>
              <w:t xml:space="preserve">Le Comité a adopté la Convention sur le transport ferroviaire de voyageurs en février 2019. Les travaux relatifs à </w:t>
            </w:r>
            <w:r w:rsidRPr="004A4CCE">
              <w:rPr>
                <w:lang w:val="fr-FR"/>
              </w:rPr>
              <w:t>l</w:t>
            </w:r>
            <w:r>
              <w:rPr>
                <w:lang w:val="fr-FR"/>
              </w:rPr>
              <w:t>’</w:t>
            </w:r>
            <w:r w:rsidRPr="00771946">
              <w:rPr>
                <w:lang w:val="fr-FR"/>
              </w:rPr>
              <w:t>uniformisation du droit ferroviaire</w:t>
            </w:r>
            <w:r>
              <w:rPr>
                <w:lang w:val="fr-FR"/>
              </w:rPr>
              <w:t xml:space="preserve"> </w:t>
            </w:r>
            <w:r>
              <w:rPr>
                <w:b/>
                <w:bCs/>
                <w:lang w:val="fr-FR"/>
              </w:rPr>
              <w:t xml:space="preserve">au sein du </w:t>
            </w:r>
            <w:r w:rsidRPr="00A85853">
              <w:rPr>
                <w:b/>
                <w:bCs/>
                <w:lang w:val="fr-FR"/>
              </w:rPr>
              <w:t>Groupe d</w:t>
            </w:r>
            <w:r>
              <w:rPr>
                <w:b/>
                <w:bCs/>
                <w:lang w:val="fr-FR"/>
              </w:rPr>
              <w:t>’</w:t>
            </w:r>
            <w:r w:rsidRPr="00A85853">
              <w:rPr>
                <w:b/>
                <w:bCs/>
                <w:lang w:val="fr-FR"/>
              </w:rPr>
              <w:t xml:space="preserve">experts </w:t>
            </w:r>
            <w:r>
              <w:rPr>
                <w:b/>
                <w:bCs/>
                <w:lang w:val="fr-FR"/>
              </w:rPr>
              <w:t>de</w:t>
            </w:r>
            <w:r w:rsidRPr="00A85853">
              <w:rPr>
                <w:b/>
                <w:bCs/>
                <w:lang w:val="fr-FR"/>
              </w:rPr>
              <w:t xml:space="preserve"> l</w:t>
            </w:r>
            <w:r>
              <w:rPr>
                <w:b/>
                <w:bCs/>
                <w:lang w:val="fr-FR"/>
              </w:rPr>
              <w:t>’</w:t>
            </w:r>
            <w:r w:rsidRPr="00A85853">
              <w:rPr>
                <w:b/>
                <w:bCs/>
                <w:lang w:val="fr-FR"/>
              </w:rPr>
              <w:t xml:space="preserve">uniformisation du droit ferroviaire </w:t>
            </w:r>
            <w:r>
              <w:rPr>
                <w:b/>
                <w:bCs/>
                <w:lang w:val="fr-FR"/>
              </w:rPr>
              <w:t>ont abouti à l’élaboration d’</w:t>
            </w:r>
            <w:r w:rsidRPr="00C33721">
              <w:rPr>
                <w:b/>
                <w:bCs/>
                <w:lang w:val="fr-FR"/>
              </w:rPr>
              <w:t xml:space="preserve">un projet de convention relative au contrat de transport ferroviaire international de marchandises. </w:t>
            </w:r>
            <w:r>
              <w:rPr>
                <w:b/>
                <w:bCs/>
                <w:lang w:val="fr-FR"/>
              </w:rPr>
              <w:t>Cependant</w:t>
            </w:r>
            <w:r w:rsidRPr="000F28CF">
              <w:rPr>
                <w:b/>
                <w:bCs/>
                <w:lang w:val="fr-FR"/>
              </w:rPr>
              <w:t>, le Groupe n</w:t>
            </w:r>
            <w:r>
              <w:rPr>
                <w:b/>
                <w:bCs/>
                <w:lang w:val="fr-FR"/>
              </w:rPr>
              <w:t>’</w:t>
            </w:r>
            <w:r w:rsidRPr="000F28CF">
              <w:rPr>
                <w:b/>
                <w:bCs/>
                <w:lang w:val="fr-FR"/>
              </w:rPr>
              <w:t>est pas parvenu à un consensus pour la mise au point définitive de cette convention. Par conséquent, le SC.2 a tenu des consultations sur l</w:t>
            </w:r>
            <w:r>
              <w:rPr>
                <w:b/>
                <w:bCs/>
                <w:lang w:val="fr-FR"/>
              </w:rPr>
              <w:t>’</w:t>
            </w:r>
            <w:r w:rsidRPr="000F28CF">
              <w:rPr>
                <w:b/>
                <w:bCs/>
                <w:lang w:val="fr-FR"/>
              </w:rPr>
              <w:t xml:space="preserve">uniformisation du droit ferroviaire entre ses soixante-quinzième et soixante-seizième sessions et, </w:t>
            </w:r>
            <w:r>
              <w:rPr>
                <w:b/>
                <w:bCs/>
                <w:lang w:val="fr-FR"/>
              </w:rPr>
              <w:t>à cette dernière</w:t>
            </w:r>
            <w:r w:rsidRPr="000F28CF">
              <w:rPr>
                <w:b/>
                <w:bCs/>
                <w:lang w:val="fr-FR"/>
              </w:rPr>
              <w:t xml:space="preserve"> (novembre 2022), il a décidé de </w:t>
            </w:r>
            <w:r w:rsidRPr="000F28CF">
              <w:rPr>
                <w:b/>
                <w:bCs/>
                <w:lang w:val="fr-FR"/>
              </w:rPr>
              <w:lastRenderedPageBreak/>
              <w:t xml:space="preserve">travailler en 2023 à la </w:t>
            </w:r>
            <w:r>
              <w:rPr>
                <w:b/>
                <w:bCs/>
                <w:lang w:val="fr-FR"/>
              </w:rPr>
              <w:t>mise au point définitive</w:t>
            </w:r>
            <w:r w:rsidRPr="000F28CF">
              <w:rPr>
                <w:b/>
                <w:bCs/>
                <w:lang w:val="fr-FR"/>
              </w:rPr>
              <w:t xml:space="preserve"> de la </w:t>
            </w:r>
            <w:r w:rsidRPr="00E86E26">
              <w:rPr>
                <w:b/>
                <w:bCs/>
                <w:lang w:val="fr-FR"/>
              </w:rPr>
              <w:t xml:space="preserve">Convention relative au contrat de transport ferroviaire international de marchandises </w:t>
            </w:r>
            <w:r w:rsidRPr="000F28CF">
              <w:rPr>
                <w:b/>
                <w:bCs/>
                <w:lang w:val="fr-FR"/>
              </w:rPr>
              <w:t xml:space="preserve">dans le cadre </w:t>
            </w:r>
            <w:r w:rsidRPr="004045CD">
              <w:rPr>
                <w:b/>
                <w:bCs/>
                <w:lang w:val="fr-FR"/>
              </w:rPr>
              <w:t>d’un système de conventions ferroviaires uniformisées.</w:t>
            </w:r>
          </w:p>
          <w:p w14:paraId="7EE52384" w14:textId="515BDB36" w:rsidR="000661F7" w:rsidRDefault="000661F7" w:rsidP="0094269B">
            <w:pPr>
              <w:spacing w:before="40" w:after="120"/>
              <w:ind w:right="113"/>
              <w:rPr>
                <w:lang w:val="fr-FR"/>
              </w:rPr>
            </w:pPr>
            <w:r>
              <w:rPr>
                <w:lang w:val="fr-FR"/>
              </w:rPr>
              <w:t>À sa 114</w:t>
            </w:r>
            <w:r w:rsidRPr="005D7371">
              <w:rPr>
                <w:vertAlign w:val="superscript"/>
                <w:lang w:val="fr-FR"/>
              </w:rPr>
              <w:t>e</w:t>
            </w:r>
            <w:r>
              <w:rPr>
                <w:lang w:val="fr-FR"/>
              </w:rPr>
              <w:t xml:space="preserve"> session, en octobre 2019, le SC.1 a repris ses discussions sur le projet d’accord OmniBus et progressé sur un certain nombre de questions en suspens. </w:t>
            </w:r>
            <w:r w:rsidRPr="00771946">
              <w:rPr>
                <w:lang w:val="fr-FR"/>
              </w:rPr>
              <w:t>En raison des perturbations des processus de travail habituels découlant de la pandémie de COVID</w:t>
            </w:r>
            <w:r w:rsidR="004045CD">
              <w:rPr>
                <w:lang w:val="fr-FR"/>
              </w:rPr>
              <w:noBreakHyphen/>
            </w:r>
            <w:r w:rsidRPr="00771946">
              <w:rPr>
                <w:lang w:val="fr-FR"/>
              </w:rPr>
              <w:t>19 en 2020, les réunions informelles prévues</w:t>
            </w:r>
            <w:r w:rsidRPr="00B74ACD">
              <w:rPr>
                <w:lang w:val="fr-FR"/>
              </w:rPr>
              <w:t xml:space="preserve"> </w:t>
            </w:r>
            <w:r>
              <w:rPr>
                <w:lang w:val="fr-FR"/>
              </w:rPr>
              <w:t xml:space="preserve">avec la Fédération de Russie, la Suisse et la Türkiye pour régler les questions encore en suspens </w:t>
            </w:r>
            <w:r w:rsidRPr="00771946">
              <w:rPr>
                <w:lang w:val="fr-FR"/>
              </w:rPr>
              <w:t>n</w:t>
            </w:r>
            <w:r>
              <w:rPr>
                <w:lang w:val="fr-FR"/>
              </w:rPr>
              <w:t>’</w:t>
            </w:r>
            <w:r w:rsidRPr="00771946">
              <w:rPr>
                <w:lang w:val="fr-FR"/>
              </w:rPr>
              <w:t>ont pas eu lieu</w:t>
            </w:r>
            <w:r w:rsidRPr="00B74ACD">
              <w:rPr>
                <w:lang w:val="fr-FR"/>
              </w:rPr>
              <w:t xml:space="preserve">. </w:t>
            </w:r>
            <w:r w:rsidRPr="00771946">
              <w:rPr>
                <w:lang w:val="fr-FR"/>
              </w:rPr>
              <w:t>En novembre 2020, la Suisse et la Türkiy</w:t>
            </w:r>
            <w:r>
              <w:rPr>
                <w:lang w:val="fr-FR"/>
              </w:rPr>
              <w:t>e,</w:t>
            </w:r>
            <w:r w:rsidRPr="00771946">
              <w:rPr>
                <w:lang w:val="fr-FR"/>
              </w:rPr>
              <w:t xml:space="preserve"> par des communications distinctes, ont informé le secrétariat qu</w:t>
            </w:r>
            <w:r>
              <w:rPr>
                <w:lang w:val="fr-FR"/>
              </w:rPr>
              <w:t>’</w:t>
            </w:r>
            <w:r w:rsidRPr="00771946">
              <w:rPr>
                <w:lang w:val="fr-FR"/>
              </w:rPr>
              <w:t>elles ne poursuivraient pas leurs discussions sur le projet d</w:t>
            </w:r>
            <w:r>
              <w:rPr>
                <w:lang w:val="fr-FR"/>
              </w:rPr>
              <w:t>’</w:t>
            </w:r>
            <w:r w:rsidRPr="00771946">
              <w:rPr>
                <w:lang w:val="fr-FR"/>
              </w:rPr>
              <w:t>accord.</w:t>
            </w:r>
            <w:r w:rsidRPr="00B74ACD">
              <w:rPr>
                <w:lang w:val="fr-FR"/>
              </w:rPr>
              <w:t xml:space="preserve"> </w:t>
            </w:r>
            <w:r w:rsidRPr="00771946">
              <w:rPr>
                <w:lang w:val="fr-FR"/>
              </w:rPr>
              <w:t>Compte tenu de faits énoncés ci</w:t>
            </w:r>
            <w:r w:rsidR="004045CD">
              <w:rPr>
                <w:lang w:val="fr-FR"/>
              </w:rPr>
              <w:noBreakHyphen/>
            </w:r>
            <w:r w:rsidRPr="00771946">
              <w:rPr>
                <w:lang w:val="fr-FR"/>
              </w:rPr>
              <w:t>dessus ainsi que des difficultés suscitées par la pandémie de COVID</w:t>
            </w:r>
            <w:r w:rsidR="004045CD">
              <w:rPr>
                <w:lang w:val="fr-FR"/>
              </w:rPr>
              <w:noBreakHyphen/>
            </w:r>
            <w:r w:rsidRPr="00771946">
              <w:rPr>
                <w:lang w:val="fr-FR"/>
              </w:rPr>
              <w:t>19 pour les services de transport de passagers, le SC.1 a décidé (à sa 116</w:t>
            </w:r>
            <w:r w:rsidRPr="00771946">
              <w:rPr>
                <w:vertAlign w:val="superscript"/>
                <w:lang w:val="fr-FR"/>
              </w:rPr>
              <w:t>e</w:t>
            </w:r>
            <w:r w:rsidRPr="00771946">
              <w:rPr>
                <w:lang w:val="fr-FR"/>
              </w:rPr>
              <w:t xml:space="preserve"> session) de maintenir ce point à son ordre du jour</w:t>
            </w:r>
            <w:r>
              <w:rPr>
                <w:lang w:val="fr-FR"/>
              </w:rPr>
              <w:t>,</w:t>
            </w:r>
            <w:r w:rsidRPr="00771946">
              <w:rPr>
                <w:lang w:val="fr-FR"/>
              </w:rPr>
              <w:t xml:space="preserve"> mais de suspendre les débats sur ce sujet </w:t>
            </w:r>
            <w:r>
              <w:rPr>
                <w:lang w:val="fr-FR"/>
              </w:rPr>
              <w:t>en attendant le complet rétablissement du secteur des transports</w:t>
            </w:r>
            <w:r w:rsidRPr="00771946">
              <w:rPr>
                <w:lang w:val="fr-FR"/>
              </w:rPr>
              <w:t xml:space="preserve"> (par exemple en 2023 ou 2024).</w:t>
            </w:r>
          </w:p>
          <w:p w14:paraId="379074E4" w14:textId="1E6A6036" w:rsidR="000661F7" w:rsidRPr="00C33721" w:rsidRDefault="004045CD" w:rsidP="0094269B">
            <w:pPr>
              <w:spacing w:before="40" w:after="120"/>
              <w:ind w:right="113"/>
              <w:rPr>
                <w:b/>
                <w:bCs/>
              </w:rPr>
            </w:pPr>
            <w:r>
              <w:rPr>
                <w:b/>
                <w:bCs/>
              </w:rPr>
              <w:t>À</w:t>
            </w:r>
            <w:r w:rsidR="000661F7" w:rsidRPr="00B74ACD">
              <w:rPr>
                <w:b/>
                <w:bCs/>
              </w:rPr>
              <w:t xml:space="preserve"> sa soixante-seizième session, le Groupe de travail des transports par chemin de fer a convenu de la création de règles types pour l</w:t>
            </w:r>
            <w:r w:rsidR="000661F7">
              <w:rPr>
                <w:b/>
                <w:bCs/>
              </w:rPr>
              <w:t>’</w:t>
            </w:r>
            <w:r w:rsidR="000661F7" w:rsidRPr="00B74ACD">
              <w:rPr>
                <w:b/>
                <w:bCs/>
              </w:rPr>
              <w:t>identification permanente du matériel roulant ferroviaire. Leur adoption sera discutée par le Comité des transports intérieurs en février 2023</w:t>
            </w:r>
            <w:r>
              <w:rPr>
                <w:b/>
                <w:bCs/>
              </w:rPr>
              <w:t xml:space="preserve">. </w:t>
            </w:r>
            <w:r w:rsidR="000661F7">
              <w:rPr>
                <w:b/>
                <w:bCs/>
              </w:rPr>
              <w:t>S</w:t>
            </w:r>
            <w:r w:rsidR="000661F7" w:rsidRPr="00B74ACD">
              <w:rPr>
                <w:b/>
                <w:bCs/>
              </w:rPr>
              <w:t xml:space="preserve">i elles étaient adoptées, </w:t>
            </w:r>
            <w:r w:rsidR="000661F7">
              <w:rPr>
                <w:b/>
                <w:bCs/>
              </w:rPr>
              <w:t>ces Règles</w:t>
            </w:r>
            <w:r w:rsidR="000661F7" w:rsidRPr="00B74ACD">
              <w:rPr>
                <w:b/>
                <w:bCs/>
              </w:rPr>
              <w:t xml:space="preserve"> deviendraient le soixantième instrument juridique administré par le Comité. </w:t>
            </w:r>
            <w:r w:rsidR="000661F7">
              <w:rPr>
                <w:b/>
                <w:bCs/>
              </w:rPr>
              <w:t xml:space="preserve">Il serait alors nécessaire de mettre sur pied </w:t>
            </w:r>
            <w:r w:rsidR="000661F7" w:rsidRPr="00B74ACD">
              <w:rPr>
                <w:b/>
                <w:bCs/>
              </w:rPr>
              <w:t xml:space="preserve">un </w:t>
            </w:r>
            <w:r w:rsidR="000661F7">
              <w:rPr>
                <w:b/>
                <w:bCs/>
              </w:rPr>
              <w:t>c</w:t>
            </w:r>
            <w:r w:rsidR="000661F7" w:rsidRPr="00B74ACD">
              <w:rPr>
                <w:b/>
                <w:bCs/>
              </w:rPr>
              <w:t xml:space="preserve">omité de révision </w:t>
            </w:r>
            <w:r w:rsidR="000661F7">
              <w:rPr>
                <w:b/>
                <w:bCs/>
              </w:rPr>
              <w:t>chargé d’assurer</w:t>
            </w:r>
            <w:r w:rsidR="000661F7" w:rsidRPr="00B74ACD">
              <w:rPr>
                <w:b/>
                <w:bCs/>
              </w:rPr>
              <w:t xml:space="preserve"> leur actualisation.</w:t>
            </w:r>
          </w:p>
          <w:p w14:paraId="3BE12512" w14:textId="750B9418" w:rsidR="000661F7" w:rsidRPr="00ED06D8" w:rsidRDefault="000661F7" w:rsidP="004045CD">
            <w:pPr>
              <w:keepNext/>
              <w:keepLines/>
              <w:spacing w:before="40" w:after="120"/>
              <w:ind w:right="113"/>
              <w:rPr>
                <w:lang w:val="fr-FR"/>
              </w:rPr>
            </w:pPr>
            <w:r>
              <w:rPr>
                <w:lang w:val="fr-FR"/>
              </w:rPr>
              <w:lastRenderedPageBreak/>
              <w:t>Le WP.1 réfléchit à l’élaboration d’un nouvel instrument juridique sur la conduite automatisée (voir aussi la tâche 5.17).</w:t>
            </w:r>
          </w:p>
          <w:p w14:paraId="47580000" w14:textId="463F2EC1" w:rsidR="000661F7" w:rsidRPr="00ED06D8" w:rsidRDefault="000661F7" w:rsidP="0094269B">
            <w:pPr>
              <w:spacing w:before="40" w:after="120"/>
              <w:ind w:right="113"/>
              <w:rPr>
                <w:lang w:val="fr-FR"/>
              </w:rPr>
            </w:pPr>
            <w:r>
              <w:rPr>
                <w:lang w:val="fr-FR"/>
              </w:rPr>
              <w:t>Les débats sur l’élaboration de nouveaux instruments juridiques devraient se poursuivre.</w:t>
            </w:r>
          </w:p>
        </w:tc>
        <w:tc>
          <w:tcPr>
            <w:tcW w:w="2500" w:type="dxa"/>
            <w:shd w:val="clear" w:color="auto" w:fill="auto"/>
          </w:tcPr>
          <w:p w14:paraId="1604DF63" w14:textId="3F9DE56E" w:rsidR="000661F7" w:rsidRPr="00ED06D8" w:rsidRDefault="000661F7" w:rsidP="0094269B">
            <w:pPr>
              <w:spacing w:before="40" w:after="120"/>
              <w:ind w:right="113"/>
              <w:rPr>
                <w:lang w:val="fr-FR"/>
              </w:rPr>
            </w:pPr>
            <w:r>
              <w:rPr>
                <w:lang w:val="fr-FR"/>
              </w:rPr>
              <w:lastRenderedPageBreak/>
              <w:t>1. Poursuivre et achever l’élaboration de la législation ferroviaire uniformisée et de l’accord OmniBus.</w:t>
            </w:r>
          </w:p>
          <w:p w14:paraId="53FA9535" w14:textId="2DF449BC" w:rsidR="000661F7" w:rsidRPr="00ED06D8" w:rsidRDefault="000661F7" w:rsidP="0094269B">
            <w:pPr>
              <w:spacing w:before="40" w:after="120"/>
              <w:ind w:right="113"/>
              <w:rPr>
                <w:lang w:val="fr-FR"/>
              </w:rPr>
            </w:pPr>
            <w:r>
              <w:rPr>
                <w:lang w:val="fr-FR"/>
              </w:rPr>
              <w:t>2. Organiser une séance de réflexion sur l’élaboration de nouveaux instruments juridiques relatifs aux transports intérieurs.</w:t>
            </w:r>
          </w:p>
        </w:tc>
        <w:tc>
          <w:tcPr>
            <w:tcW w:w="1667" w:type="dxa"/>
            <w:shd w:val="clear" w:color="auto" w:fill="auto"/>
          </w:tcPr>
          <w:p w14:paraId="4F3AED97" w14:textId="77777777" w:rsidR="000661F7" w:rsidRPr="00ED06D8" w:rsidRDefault="000661F7" w:rsidP="0094269B">
            <w:pPr>
              <w:spacing w:before="40" w:after="120"/>
              <w:ind w:right="113"/>
              <w:rPr>
                <w:lang w:val="fr-FR"/>
              </w:rPr>
            </w:pPr>
            <w:r>
              <w:rPr>
                <w:lang w:val="fr-FR"/>
              </w:rPr>
              <w:t>1. Le secrétaire du SC.1 (en collaboration avec le Président du SC.1) et le secrétaire du SC.2/GEURL</w:t>
            </w:r>
          </w:p>
          <w:p w14:paraId="22B9A3CE" w14:textId="77777777" w:rsidR="000661F7" w:rsidRPr="00ED06D8" w:rsidRDefault="000661F7" w:rsidP="0094269B">
            <w:pPr>
              <w:spacing w:before="40" w:after="120"/>
              <w:ind w:right="113"/>
              <w:rPr>
                <w:lang w:val="fr-FR"/>
              </w:rPr>
            </w:pPr>
            <w:r>
              <w:rPr>
                <w:lang w:val="fr-FR"/>
              </w:rPr>
              <w:t>2. Les secrétaires des groupes de travail concernés, avec la participation du secrétariat du Comité</w:t>
            </w:r>
          </w:p>
        </w:tc>
      </w:tr>
      <w:tr w:rsidR="000661F7" w:rsidRPr="00D466A5" w14:paraId="5CE77379" w14:textId="77777777" w:rsidTr="0094269B">
        <w:tc>
          <w:tcPr>
            <w:tcW w:w="500" w:type="dxa"/>
            <w:shd w:val="clear" w:color="auto" w:fill="auto"/>
          </w:tcPr>
          <w:p w14:paraId="6484DC1F" w14:textId="77777777" w:rsidR="000661F7" w:rsidRPr="0067484D" w:rsidRDefault="000661F7" w:rsidP="0094269B">
            <w:pPr>
              <w:spacing w:before="40" w:after="120"/>
              <w:ind w:right="113"/>
            </w:pPr>
            <w:r>
              <w:rPr>
                <w:lang w:val="fr-FR"/>
              </w:rPr>
              <w:lastRenderedPageBreak/>
              <w:t>5.7</w:t>
            </w:r>
          </w:p>
        </w:tc>
        <w:tc>
          <w:tcPr>
            <w:tcW w:w="1778" w:type="dxa"/>
            <w:shd w:val="clear" w:color="auto" w:fill="auto"/>
          </w:tcPr>
          <w:p w14:paraId="57FD89AC" w14:textId="77777777" w:rsidR="000661F7" w:rsidRPr="00ED06D8" w:rsidRDefault="000661F7" w:rsidP="0094269B">
            <w:pPr>
              <w:spacing w:before="40" w:after="120"/>
              <w:ind w:right="113"/>
              <w:rPr>
                <w:lang w:val="fr-FR"/>
              </w:rPr>
            </w:pPr>
            <w:r>
              <w:rPr>
                <w:lang w:val="fr-FR"/>
              </w:rPr>
              <w:t>Établir un plan global de renforcement des capacités (en 2020)</w:t>
            </w:r>
          </w:p>
        </w:tc>
        <w:tc>
          <w:tcPr>
            <w:tcW w:w="3194" w:type="dxa"/>
            <w:shd w:val="clear" w:color="auto" w:fill="auto"/>
          </w:tcPr>
          <w:p w14:paraId="3497615A" w14:textId="32626431" w:rsidR="000661F7" w:rsidRPr="00ED06D8" w:rsidRDefault="000661F7" w:rsidP="0094269B">
            <w:pPr>
              <w:spacing w:before="40" w:after="120"/>
              <w:ind w:right="113"/>
              <w:rPr>
                <w:lang w:val="fr-FR"/>
              </w:rPr>
            </w:pPr>
            <w:r>
              <w:rPr>
                <w:lang w:val="fr-FR"/>
              </w:rPr>
              <w:t>Le plan d’action du Comité pour le renforcement des capacités (2020</w:t>
            </w:r>
            <w:r w:rsidR="004045CD">
              <w:rPr>
                <w:lang w:val="fr-FR"/>
              </w:rPr>
              <w:noBreakHyphen/>
            </w:r>
            <w:r>
              <w:rPr>
                <w:lang w:val="fr-FR"/>
              </w:rPr>
              <w:t>2025), tel qu’il figure dans le document ECE/TRANS/2020/18, a été adopté par le Comité à sa quatre</w:t>
            </w:r>
            <w:r>
              <w:rPr>
                <w:lang w:val="fr-FR"/>
              </w:rPr>
              <w:noBreakHyphen/>
              <w:t>vingt-deuxième session (février 2020).</w:t>
            </w:r>
          </w:p>
        </w:tc>
        <w:tc>
          <w:tcPr>
            <w:tcW w:w="2500" w:type="dxa"/>
            <w:shd w:val="clear" w:color="auto" w:fill="auto"/>
          </w:tcPr>
          <w:p w14:paraId="2E7E99AE" w14:textId="42CA0B92" w:rsidR="000661F7" w:rsidRPr="00ED06D8" w:rsidRDefault="000661F7" w:rsidP="0094269B">
            <w:pPr>
              <w:spacing w:before="40" w:after="120"/>
              <w:ind w:right="113"/>
              <w:rPr>
                <w:lang w:val="fr-FR"/>
              </w:rPr>
            </w:pPr>
            <w:r>
              <w:rPr>
                <w:lang w:val="fr-FR"/>
              </w:rPr>
              <w:t>Appliquer le plan d’action pour le renforcement des capacités sous réserve de la disponibilité de ressources.</w:t>
            </w:r>
          </w:p>
        </w:tc>
        <w:tc>
          <w:tcPr>
            <w:tcW w:w="1667" w:type="dxa"/>
            <w:shd w:val="clear" w:color="auto" w:fill="auto"/>
          </w:tcPr>
          <w:p w14:paraId="49DA75D6" w14:textId="77777777" w:rsidR="000661F7" w:rsidRPr="00ED06D8" w:rsidRDefault="000661F7" w:rsidP="0094269B">
            <w:pPr>
              <w:spacing w:before="40" w:after="120"/>
              <w:ind w:right="113"/>
              <w:rPr>
                <w:lang w:val="fr-FR"/>
              </w:rPr>
            </w:pPr>
            <w:r>
              <w:rPr>
                <w:lang w:val="fr-FR"/>
              </w:rPr>
              <w:t>Le Conseiller régional, avec la participation de tous les membres de la Division</w:t>
            </w:r>
          </w:p>
        </w:tc>
      </w:tr>
      <w:tr w:rsidR="000661F7" w:rsidRPr="00D466A5" w14:paraId="38D88FB8" w14:textId="77777777" w:rsidTr="0094269B">
        <w:tc>
          <w:tcPr>
            <w:tcW w:w="500" w:type="dxa"/>
            <w:shd w:val="clear" w:color="auto" w:fill="auto"/>
          </w:tcPr>
          <w:p w14:paraId="3645D5E7" w14:textId="77777777" w:rsidR="000661F7" w:rsidRPr="0067484D" w:rsidRDefault="000661F7" w:rsidP="0094269B">
            <w:pPr>
              <w:spacing w:before="40" w:after="120"/>
              <w:ind w:right="113"/>
            </w:pPr>
            <w:r>
              <w:rPr>
                <w:lang w:val="fr-FR"/>
              </w:rPr>
              <w:t>5.8</w:t>
            </w:r>
          </w:p>
        </w:tc>
        <w:tc>
          <w:tcPr>
            <w:tcW w:w="1778" w:type="dxa"/>
            <w:shd w:val="clear" w:color="auto" w:fill="auto"/>
          </w:tcPr>
          <w:p w14:paraId="302BDCCE" w14:textId="77777777" w:rsidR="000661F7" w:rsidRPr="00ED06D8" w:rsidRDefault="000661F7" w:rsidP="0094269B">
            <w:pPr>
              <w:spacing w:before="40" w:after="120"/>
              <w:ind w:right="113"/>
              <w:rPr>
                <w:lang w:val="fr-FR"/>
              </w:rPr>
            </w:pPr>
            <w:r>
              <w:rPr>
                <w:lang w:val="fr-FR"/>
              </w:rPr>
              <w:t>Adapter et mettre à jour les supports de formation existants (à partir de 2020)</w:t>
            </w:r>
          </w:p>
        </w:tc>
        <w:tc>
          <w:tcPr>
            <w:tcW w:w="3194" w:type="dxa"/>
            <w:shd w:val="clear" w:color="auto" w:fill="auto"/>
          </w:tcPr>
          <w:p w14:paraId="1DC2952B" w14:textId="2A4A9DED" w:rsidR="000661F7" w:rsidRDefault="000661F7" w:rsidP="0094269B">
            <w:pPr>
              <w:spacing w:before="40" w:after="120"/>
              <w:ind w:right="113"/>
              <w:rPr>
                <w:lang w:val="fr-FR"/>
              </w:rPr>
            </w:pPr>
            <w:r>
              <w:rPr>
                <w:lang w:val="fr-FR"/>
              </w:rPr>
              <w:t xml:space="preserve">Le projet du Compte de l’ONU pour le développement sur la création d’une plateforme d’apprentissage en ligne a été approuvé. L’objectif de ce projet est d’examiner, de mettre à jour et d’intégrer, selon qu’il conviendra, les supports de formation sur les instruments juridiques de l’ONU dans le domaine des transports intérieurs, de créer de nouveaux supports pour la plateforme d’apprentissage en ligne et de tester la plateforme dans les pays bénéficiaires. </w:t>
            </w:r>
          </w:p>
          <w:p w14:paraId="4CE14D4A" w14:textId="0CA1CC50" w:rsidR="000661F7" w:rsidRPr="00FA1D99" w:rsidRDefault="000661F7" w:rsidP="0094269B">
            <w:pPr>
              <w:spacing w:before="40" w:after="120"/>
              <w:ind w:right="113"/>
              <w:rPr>
                <w:strike/>
                <w:lang w:val="fr-FR"/>
              </w:rPr>
            </w:pPr>
            <w:r w:rsidRPr="00FA1D99">
              <w:rPr>
                <w:strike/>
                <w:lang w:val="fr-FR"/>
              </w:rPr>
              <w:t>Le</w:t>
            </w:r>
            <w:r>
              <w:rPr>
                <w:strike/>
                <w:lang w:val="fr-FR"/>
              </w:rPr>
              <w:t>s</w:t>
            </w:r>
            <w:r w:rsidRPr="00FA1D99">
              <w:rPr>
                <w:strike/>
                <w:lang w:val="fr-FR"/>
              </w:rPr>
              <w:t xml:space="preserve"> trava</w:t>
            </w:r>
            <w:r>
              <w:rPr>
                <w:strike/>
                <w:lang w:val="fr-FR"/>
              </w:rPr>
              <w:t>ux</w:t>
            </w:r>
            <w:r w:rsidRPr="00FA1D99">
              <w:rPr>
                <w:strike/>
                <w:lang w:val="fr-FR"/>
              </w:rPr>
              <w:t xml:space="preserve"> d</w:t>
            </w:r>
            <w:r>
              <w:rPr>
                <w:strike/>
                <w:lang w:val="fr-FR"/>
              </w:rPr>
              <w:t>’</w:t>
            </w:r>
            <w:r w:rsidRPr="00FA1D99">
              <w:rPr>
                <w:strike/>
                <w:lang w:val="fr-FR"/>
              </w:rPr>
              <w:t>élaboration de la plateforme d</w:t>
            </w:r>
            <w:r>
              <w:rPr>
                <w:strike/>
                <w:lang w:val="fr-FR"/>
              </w:rPr>
              <w:t>’</w:t>
            </w:r>
            <w:r w:rsidRPr="00FA1D99">
              <w:rPr>
                <w:strike/>
                <w:lang w:val="fr-FR"/>
              </w:rPr>
              <w:t>apprentissage en ligne s</w:t>
            </w:r>
            <w:r>
              <w:rPr>
                <w:strike/>
                <w:lang w:val="fr-FR"/>
              </w:rPr>
              <w:t>on</w:t>
            </w:r>
            <w:r w:rsidRPr="00FA1D99">
              <w:rPr>
                <w:strike/>
                <w:lang w:val="fr-FR"/>
              </w:rPr>
              <w:t>t en cours. La structure est en train d</w:t>
            </w:r>
            <w:r>
              <w:rPr>
                <w:strike/>
                <w:lang w:val="fr-FR"/>
              </w:rPr>
              <w:t>’</w:t>
            </w:r>
            <w:r w:rsidRPr="00FA1D99">
              <w:rPr>
                <w:strike/>
                <w:lang w:val="fr-FR"/>
              </w:rPr>
              <w:t>être parachevée et l</w:t>
            </w:r>
            <w:r>
              <w:rPr>
                <w:strike/>
                <w:lang w:val="fr-FR"/>
              </w:rPr>
              <w:t>’élabo</w:t>
            </w:r>
            <w:r w:rsidRPr="00FA1D99">
              <w:rPr>
                <w:strike/>
                <w:lang w:val="fr-FR"/>
              </w:rPr>
              <w:t xml:space="preserve">ration des cours de formation pour le lancement est bien avancée. </w:t>
            </w:r>
          </w:p>
          <w:p w14:paraId="7A5EF256" w14:textId="46BE926E" w:rsidR="000661F7" w:rsidRPr="00E113A1" w:rsidRDefault="000661F7" w:rsidP="0094269B">
            <w:pPr>
              <w:spacing w:before="40" w:after="120"/>
              <w:ind w:right="113"/>
              <w:rPr>
                <w:b/>
                <w:bCs/>
                <w:lang w:val="fr-FR"/>
              </w:rPr>
            </w:pPr>
            <w:r w:rsidRPr="00C42732">
              <w:rPr>
                <w:b/>
                <w:bCs/>
                <w:lang w:val="fr-FR"/>
              </w:rPr>
              <w:t>La plateforme d</w:t>
            </w:r>
            <w:r>
              <w:rPr>
                <w:b/>
                <w:bCs/>
                <w:lang w:val="fr-FR"/>
              </w:rPr>
              <w:t>’</w:t>
            </w:r>
            <w:r w:rsidRPr="00C42732">
              <w:rPr>
                <w:b/>
                <w:bCs/>
                <w:lang w:val="fr-FR"/>
              </w:rPr>
              <w:t>apprentissage LearnITC a été lancée au début du mois de septembre 2022. Elle est accessible à l</w:t>
            </w:r>
            <w:r>
              <w:rPr>
                <w:b/>
                <w:bCs/>
                <w:lang w:val="fr-FR"/>
              </w:rPr>
              <w:t>’</w:t>
            </w:r>
            <w:r w:rsidRPr="00C42732">
              <w:rPr>
                <w:b/>
                <w:bCs/>
                <w:lang w:val="fr-FR"/>
              </w:rPr>
              <w:t>adresse suivante</w:t>
            </w:r>
            <w:r>
              <w:rPr>
                <w:b/>
                <w:bCs/>
                <w:lang w:val="fr-FR"/>
              </w:rPr>
              <w:t xml:space="preserve"> : </w:t>
            </w:r>
            <w:r w:rsidRPr="00C33721">
              <w:rPr>
                <w:b/>
                <w:bCs/>
                <w:lang w:val="fr-FR"/>
              </w:rPr>
              <w:t>https://learnitc.unece.org/.</w:t>
            </w:r>
            <w:r>
              <w:rPr>
                <w:b/>
                <w:bCs/>
                <w:lang w:val="fr-FR"/>
              </w:rPr>
              <w:t xml:space="preserve"> À ce jour, p</w:t>
            </w:r>
            <w:r w:rsidRPr="00C42732">
              <w:rPr>
                <w:b/>
                <w:bCs/>
                <w:lang w:val="fr-FR"/>
              </w:rPr>
              <w:t>lus de 150</w:t>
            </w:r>
            <w:r w:rsidR="004045CD">
              <w:rPr>
                <w:b/>
                <w:bCs/>
                <w:lang w:val="fr-FR"/>
              </w:rPr>
              <w:t> </w:t>
            </w:r>
            <w:r w:rsidRPr="00C42732">
              <w:rPr>
                <w:b/>
                <w:bCs/>
                <w:lang w:val="fr-FR"/>
              </w:rPr>
              <w:t xml:space="preserve">cours ont été </w:t>
            </w:r>
            <w:r>
              <w:rPr>
                <w:b/>
                <w:bCs/>
                <w:lang w:val="fr-FR"/>
              </w:rPr>
              <w:t>commencé</w:t>
            </w:r>
            <w:r w:rsidRPr="00C42732">
              <w:rPr>
                <w:b/>
                <w:bCs/>
                <w:lang w:val="fr-FR"/>
              </w:rPr>
              <w:t xml:space="preserve">s par des participants </w:t>
            </w:r>
            <w:r>
              <w:rPr>
                <w:b/>
                <w:bCs/>
                <w:lang w:val="fr-FR"/>
              </w:rPr>
              <w:t xml:space="preserve">issus </w:t>
            </w:r>
            <w:r w:rsidRPr="00C42732">
              <w:rPr>
                <w:b/>
                <w:bCs/>
                <w:lang w:val="fr-FR"/>
              </w:rPr>
              <w:t>de plus de 20</w:t>
            </w:r>
            <w:r w:rsidR="004045CD">
              <w:rPr>
                <w:b/>
                <w:bCs/>
                <w:lang w:val="fr-FR"/>
              </w:rPr>
              <w:t> </w:t>
            </w:r>
            <w:r w:rsidRPr="00C42732">
              <w:rPr>
                <w:b/>
                <w:bCs/>
                <w:lang w:val="fr-FR"/>
              </w:rPr>
              <w:t xml:space="preserve">pays </w:t>
            </w:r>
            <w:r>
              <w:rPr>
                <w:b/>
                <w:bCs/>
                <w:lang w:val="fr-FR"/>
              </w:rPr>
              <w:t>du</w:t>
            </w:r>
            <w:r w:rsidRPr="00C42732">
              <w:rPr>
                <w:b/>
                <w:bCs/>
                <w:lang w:val="fr-FR"/>
              </w:rPr>
              <w:t xml:space="preserve"> monde </w:t>
            </w:r>
            <w:r>
              <w:rPr>
                <w:b/>
                <w:bCs/>
                <w:lang w:val="fr-FR"/>
              </w:rPr>
              <w:t>entier</w:t>
            </w:r>
            <w:r w:rsidRPr="00C42732">
              <w:rPr>
                <w:b/>
                <w:bCs/>
                <w:lang w:val="fr-FR"/>
              </w:rPr>
              <w:t>.</w:t>
            </w:r>
          </w:p>
        </w:tc>
        <w:tc>
          <w:tcPr>
            <w:tcW w:w="2500" w:type="dxa"/>
            <w:shd w:val="clear" w:color="auto" w:fill="auto"/>
          </w:tcPr>
          <w:p w14:paraId="317EA66D" w14:textId="62C38407" w:rsidR="000713DB" w:rsidRDefault="000661F7" w:rsidP="000713DB">
            <w:pPr>
              <w:spacing w:before="40" w:after="120"/>
              <w:ind w:right="113"/>
              <w:rPr>
                <w:strike/>
                <w:lang w:val="fr-FR"/>
              </w:rPr>
            </w:pPr>
            <w:r>
              <w:rPr>
                <w:lang w:val="fr-FR"/>
              </w:rPr>
              <w:t>1. Exécuter le projet</w:t>
            </w:r>
            <w:r w:rsidR="000713DB">
              <w:rPr>
                <w:lang w:val="fr-FR"/>
              </w:rPr>
              <w:t>.</w:t>
            </w:r>
          </w:p>
          <w:p w14:paraId="049035A2" w14:textId="734ECF96" w:rsidR="000661F7" w:rsidRPr="00ED06D8" w:rsidRDefault="000661F7" w:rsidP="000713DB">
            <w:pPr>
              <w:spacing w:before="40" w:after="120"/>
              <w:ind w:right="113"/>
              <w:rPr>
                <w:lang w:val="fr-FR"/>
              </w:rPr>
            </w:pPr>
            <w:r>
              <w:rPr>
                <w:lang w:val="fr-FR"/>
              </w:rPr>
              <w:t xml:space="preserve">2. Adapter et mettre à jour les supports de formation existants. </w:t>
            </w:r>
          </w:p>
        </w:tc>
        <w:tc>
          <w:tcPr>
            <w:tcW w:w="1667" w:type="dxa"/>
            <w:shd w:val="clear" w:color="auto" w:fill="auto"/>
          </w:tcPr>
          <w:p w14:paraId="2B663B67" w14:textId="77777777" w:rsidR="000661F7" w:rsidRPr="00ED06D8" w:rsidRDefault="000661F7" w:rsidP="0094269B">
            <w:pPr>
              <w:spacing w:before="40" w:after="120"/>
              <w:ind w:right="113"/>
              <w:rPr>
                <w:lang w:val="fr-FR"/>
              </w:rPr>
            </w:pPr>
            <w:r>
              <w:rPr>
                <w:lang w:val="fr-FR"/>
              </w:rPr>
              <w:t>1. Le fonctionnaire responsable, avec le soutien de tous les membres de la Division</w:t>
            </w:r>
          </w:p>
          <w:p w14:paraId="0C01B710" w14:textId="77777777" w:rsidR="000661F7" w:rsidRPr="00ED06D8" w:rsidRDefault="000661F7" w:rsidP="0094269B">
            <w:pPr>
              <w:spacing w:before="40" w:after="120"/>
              <w:ind w:right="113"/>
              <w:rPr>
                <w:lang w:val="fr-FR"/>
              </w:rPr>
            </w:pPr>
            <w:r>
              <w:rPr>
                <w:lang w:val="fr-FR"/>
              </w:rPr>
              <w:t xml:space="preserve">2. Tous les membres de la Division, coordonnés par le Conseiller régional </w:t>
            </w:r>
          </w:p>
        </w:tc>
      </w:tr>
      <w:tr w:rsidR="000661F7" w:rsidRPr="00D466A5" w14:paraId="6E212F75" w14:textId="77777777" w:rsidTr="0094269B">
        <w:tc>
          <w:tcPr>
            <w:tcW w:w="500" w:type="dxa"/>
            <w:shd w:val="clear" w:color="auto" w:fill="auto"/>
          </w:tcPr>
          <w:p w14:paraId="670E5471" w14:textId="77777777" w:rsidR="000661F7" w:rsidRPr="0067484D" w:rsidRDefault="000661F7" w:rsidP="0094269B">
            <w:pPr>
              <w:spacing w:before="40" w:after="120"/>
              <w:ind w:right="113"/>
            </w:pPr>
            <w:r>
              <w:rPr>
                <w:lang w:val="fr-FR"/>
              </w:rPr>
              <w:t>5.9</w:t>
            </w:r>
          </w:p>
        </w:tc>
        <w:tc>
          <w:tcPr>
            <w:tcW w:w="1778" w:type="dxa"/>
            <w:shd w:val="clear" w:color="auto" w:fill="auto"/>
          </w:tcPr>
          <w:p w14:paraId="2BCA61A6" w14:textId="7D5D104D" w:rsidR="000661F7" w:rsidRPr="00ED06D8" w:rsidRDefault="000661F7" w:rsidP="0094269B">
            <w:pPr>
              <w:spacing w:before="40" w:after="120"/>
              <w:ind w:right="113"/>
              <w:rPr>
                <w:lang w:val="fr-FR"/>
              </w:rPr>
            </w:pPr>
            <w:r>
              <w:rPr>
                <w:lang w:val="fr-FR"/>
              </w:rPr>
              <w:t>Élaborer de nouveaux supports de formation, de nouvelles normes et de nouveaux critères de compétence (à</w:t>
            </w:r>
            <w:r w:rsidR="004045CD">
              <w:rPr>
                <w:lang w:val="fr-FR"/>
              </w:rPr>
              <w:t> </w:t>
            </w:r>
            <w:r>
              <w:rPr>
                <w:lang w:val="fr-FR"/>
              </w:rPr>
              <w:t>partir de 2022)</w:t>
            </w:r>
          </w:p>
        </w:tc>
        <w:tc>
          <w:tcPr>
            <w:tcW w:w="3194" w:type="dxa"/>
            <w:shd w:val="clear" w:color="auto" w:fill="auto"/>
          </w:tcPr>
          <w:p w14:paraId="0E10D4AE" w14:textId="77777777" w:rsidR="000661F7" w:rsidRPr="00ED06D8" w:rsidRDefault="000661F7" w:rsidP="0094269B">
            <w:pPr>
              <w:spacing w:before="40" w:after="120"/>
              <w:ind w:right="113"/>
              <w:rPr>
                <w:lang w:val="fr-FR"/>
              </w:rPr>
            </w:pPr>
            <w:r w:rsidRPr="005D7699">
              <w:rPr>
                <w:lang w:val="fr-FR"/>
              </w:rPr>
              <w:t xml:space="preserve">Sous réserve de la disponibilité de fonds extrabudgétaires, de nouveaux </w:t>
            </w:r>
            <w:r>
              <w:rPr>
                <w:lang w:val="fr-FR"/>
              </w:rPr>
              <w:t>supports</w:t>
            </w:r>
            <w:r w:rsidRPr="005D7699">
              <w:rPr>
                <w:lang w:val="fr-FR"/>
              </w:rPr>
              <w:t xml:space="preserve"> de formation seront élaborés </w:t>
            </w:r>
            <w:r w:rsidRPr="00E113A1">
              <w:rPr>
                <w:b/>
                <w:bCs/>
                <w:lang w:val="fr-FR"/>
              </w:rPr>
              <w:t xml:space="preserve">et mis </w:t>
            </w:r>
            <w:r>
              <w:rPr>
                <w:b/>
                <w:bCs/>
                <w:lang w:val="fr-FR"/>
              </w:rPr>
              <w:t>en ligne</w:t>
            </w:r>
            <w:r w:rsidRPr="00E113A1">
              <w:rPr>
                <w:b/>
                <w:bCs/>
                <w:lang w:val="fr-FR"/>
              </w:rPr>
              <w:t xml:space="preserve"> sur la plateforme LearnITC</w:t>
            </w:r>
            <w:r w:rsidRPr="005D7699">
              <w:rPr>
                <w:lang w:val="fr-FR"/>
              </w:rPr>
              <w:t>.</w:t>
            </w:r>
          </w:p>
          <w:p w14:paraId="36BBD39B" w14:textId="5B49F0E6" w:rsidR="000661F7" w:rsidRDefault="000661F7" w:rsidP="0094269B">
            <w:pPr>
              <w:spacing w:before="40" w:after="120"/>
              <w:ind w:right="113"/>
              <w:rPr>
                <w:lang w:val="fr-FR"/>
              </w:rPr>
            </w:pPr>
            <w:r>
              <w:rPr>
                <w:lang w:val="fr-FR"/>
              </w:rPr>
              <w:t xml:space="preserve">De nouvelles normes et de nouveaux critères de compétence seront aussi élaborés par les groupes de travail sous la forme de manuels, </w:t>
            </w:r>
            <w:r>
              <w:rPr>
                <w:lang w:val="fr-FR"/>
              </w:rPr>
              <w:lastRenderedPageBreak/>
              <w:t>d’amendements à des instruments juridiques existants ou à de nouveaux instruments.</w:t>
            </w:r>
          </w:p>
          <w:p w14:paraId="5EB1A438" w14:textId="68E44213" w:rsidR="000661F7" w:rsidRPr="00E113A1" w:rsidRDefault="000661F7" w:rsidP="0094269B">
            <w:pPr>
              <w:spacing w:before="40" w:after="120"/>
              <w:ind w:right="113"/>
            </w:pPr>
            <w:r w:rsidRPr="00E113A1">
              <w:rPr>
                <w:lang w:val="fr-FR"/>
              </w:rPr>
              <w:t>Le WP.24 a rédigé et publié le Manuel pour l</w:t>
            </w:r>
            <w:r>
              <w:rPr>
                <w:lang w:val="fr-FR"/>
              </w:rPr>
              <w:t>’</w:t>
            </w:r>
            <w:r w:rsidRPr="00E113A1">
              <w:rPr>
                <w:lang w:val="fr-FR"/>
              </w:rPr>
              <w:t>élaboration de plans directeurs nationaux sur le transport de marchandises et la logistique (on trouvera plus d</w:t>
            </w:r>
            <w:r>
              <w:rPr>
                <w:lang w:val="fr-FR"/>
              </w:rPr>
              <w:t>’</w:t>
            </w:r>
            <w:r w:rsidRPr="00E113A1">
              <w:rPr>
                <w:lang w:val="fr-FR"/>
              </w:rPr>
              <w:t>informations au titre de la tâche 5.20).</w:t>
            </w:r>
          </w:p>
          <w:p w14:paraId="5FF5DA0C" w14:textId="77777777" w:rsidR="000661F7" w:rsidRPr="00E113A1" w:rsidRDefault="000661F7" w:rsidP="0094269B">
            <w:pPr>
              <w:spacing w:before="40" w:after="120"/>
              <w:ind w:right="113"/>
              <w:rPr>
                <w:lang w:val="fr-FR"/>
              </w:rPr>
            </w:pPr>
            <w:r w:rsidRPr="00E113A1">
              <w:rPr>
                <w:lang w:val="fr-FR"/>
              </w:rPr>
              <w:t xml:space="preserve">Les informations sur </w:t>
            </w:r>
            <w:r>
              <w:rPr>
                <w:lang w:val="fr-FR"/>
              </w:rPr>
              <w:t>les effets</w:t>
            </w:r>
            <w:r w:rsidRPr="00E113A1">
              <w:rPr>
                <w:lang w:val="fr-FR"/>
              </w:rPr>
              <w:t xml:space="preserve"> de la pandémie de COVID-19 sur la navigation intérieure recueillies par le SC.3 et le SC.3/WP.3 ont été transmises et reflétées dans la publication « Intermodal Transport in the Age of COVID-19</w:t>
            </w:r>
            <w:r>
              <w:rPr>
                <w:lang w:val="fr-FR"/>
              </w:rPr>
              <w:t> :</w:t>
            </w:r>
            <w:r w:rsidRPr="00E113A1">
              <w:rPr>
                <w:lang w:val="fr-FR"/>
              </w:rPr>
              <w:t xml:space="preserve"> Practices, Initiatives and Responses ».</w:t>
            </w:r>
          </w:p>
          <w:p w14:paraId="75BAF92A" w14:textId="77777777" w:rsidR="000661F7" w:rsidRPr="00E113A1" w:rsidRDefault="000661F7" w:rsidP="0094269B">
            <w:pPr>
              <w:spacing w:before="40" w:after="120"/>
              <w:ind w:right="113"/>
              <w:rPr>
                <w:b/>
                <w:bCs/>
                <w:lang w:val="fr-FR"/>
              </w:rPr>
            </w:pPr>
            <w:r w:rsidRPr="00B75D38">
              <w:rPr>
                <w:b/>
                <w:bCs/>
                <w:lang w:val="fr-FR"/>
              </w:rPr>
              <w:t>À sa soixante-sixième session, le SC.3 a approuvé le Glossaire du transport par voie navigable</w:t>
            </w:r>
            <w:r>
              <w:rPr>
                <w:b/>
                <w:bCs/>
                <w:lang w:val="fr-FR"/>
              </w:rPr>
              <w:t xml:space="preserve"> et </w:t>
            </w:r>
            <w:r w:rsidRPr="00B75D38">
              <w:rPr>
                <w:b/>
                <w:bCs/>
                <w:lang w:val="fr-FR"/>
              </w:rPr>
              <w:t>demandé au secrétariat de le publier en tant que publication trilingue.</w:t>
            </w:r>
          </w:p>
        </w:tc>
        <w:tc>
          <w:tcPr>
            <w:tcW w:w="2500" w:type="dxa"/>
            <w:shd w:val="clear" w:color="auto" w:fill="auto"/>
          </w:tcPr>
          <w:p w14:paraId="20F5B54C" w14:textId="6C1A676A" w:rsidR="000661F7" w:rsidRPr="000713DB" w:rsidRDefault="000661F7" w:rsidP="0094269B">
            <w:pPr>
              <w:spacing w:before="40" w:after="120"/>
              <w:ind w:right="113"/>
              <w:rPr>
                <w:lang w:val="fr-FR"/>
              </w:rPr>
            </w:pPr>
            <w:r>
              <w:rPr>
                <w:lang w:val="fr-FR"/>
              </w:rPr>
              <w:lastRenderedPageBreak/>
              <w:t xml:space="preserve">1. </w:t>
            </w:r>
            <w:r w:rsidRPr="000713DB">
              <w:rPr>
                <w:lang w:val="fr-FR"/>
              </w:rPr>
              <w:t>Lancer des projets</w:t>
            </w:r>
            <w:r w:rsidR="000713DB" w:rsidRPr="000713DB">
              <w:rPr>
                <w:lang w:val="fr-FR"/>
              </w:rPr>
              <w:t xml:space="preserve"> sous réserve de la disponibilité de fonds extrabudgétaires</w:t>
            </w:r>
            <w:r w:rsidRPr="000713DB">
              <w:rPr>
                <w:lang w:val="fr-FR"/>
              </w:rPr>
              <w:t>.</w:t>
            </w:r>
          </w:p>
          <w:p w14:paraId="0D38F3F6" w14:textId="6396970C" w:rsidR="000661F7" w:rsidRPr="00ED06D8" w:rsidRDefault="000661F7" w:rsidP="0094269B">
            <w:pPr>
              <w:spacing w:before="40" w:after="120"/>
              <w:ind w:right="113"/>
              <w:rPr>
                <w:lang w:val="fr-FR"/>
              </w:rPr>
            </w:pPr>
            <w:r>
              <w:rPr>
                <w:lang w:val="fr-FR"/>
              </w:rPr>
              <w:t>2. Poursuivre l’élaboration de manuels, de normes et de critères de compétence au sein des groupes de travail.</w:t>
            </w:r>
          </w:p>
        </w:tc>
        <w:tc>
          <w:tcPr>
            <w:tcW w:w="1667" w:type="dxa"/>
            <w:shd w:val="clear" w:color="auto" w:fill="auto"/>
          </w:tcPr>
          <w:p w14:paraId="5CF3E58E" w14:textId="77777777" w:rsidR="000661F7" w:rsidRPr="00ED06D8" w:rsidRDefault="000661F7" w:rsidP="0094269B">
            <w:pPr>
              <w:spacing w:before="40" w:after="120"/>
              <w:ind w:right="113"/>
              <w:rPr>
                <w:lang w:val="fr-FR"/>
              </w:rPr>
            </w:pPr>
            <w:r>
              <w:rPr>
                <w:lang w:val="fr-FR"/>
              </w:rPr>
              <w:t xml:space="preserve">1. Le personnel de la Division, avec le soutien du Conseiller régional </w:t>
            </w:r>
          </w:p>
          <w:p w14:paraId="13BA537A" w14:textId="77777777" w:rsidR="000661F7" w:rsidRPr="00ED06D8" w:rsidRDefault="000661F7" w:rsidP="0094269B">
            <w:pPr>
              <w:spacing w:before="40" w:after="120"/>
              <w:ind w:right="113"/>
              <w:rPr>
                <w:lang w:val="fr-FR"/>
              </w:rPr>
            </w:pPr>
            <w:r>
              <w:rPr>
                <w:lang w:val="fr-FR"/>
              </w:rPr>
              <w:t xml:space="preserve">2. Les secrétaires des groupes de travail </w:t>
            </w:r>
          </w:p>
        </w:tc>
      </w:tr>
      <w:tr w:rsidR="000661F7" w:rsidRPr="00D466A5" w14:paraId="538B4938" w14:textId="77777777" w:rsidTr="0094269B">
        <w:tc>
          <w:tcPr>
            <w:tcW w:w="500" w:type="dxa"/>
            <w:shd w:val="clear" w:color="auto" w:fill="auto"/>
          </w:tcPr>
          <w:p w14:paraId="0A2687EE" w14:textId="77777777" w:rsidR="000661F7" w:rsidRPr="0067484D" w:rsidRDefault="000661F7" w:rsidP="0094269B">
            <w:pPr>
              <w:spacing w:before="40" w:after="120"/>
              <w:ind w:right="113"/>
            </w:pPr>
            <w:r>
              <w:rPr>
                <w:lang w:val="fr-FR"/>
              </w:rPr>
              <w:t>5.10</w:t>
            </w:r>
          </w:p>
        </w:tc>
        <w:tc>
          <w:tcPr>
            <w:tcW w:w="1778" w:type="dxa"/>
            <w:shd w:val="clear" w:color="auto" w:fill="auto"/>
          </w:tcPr>
          <w:p w14:paraId="033962A6" w14:textId="77777777" w:rsidR="000661F7" w:rsidRPr="00ED06D8" w:rsidRDefault="000661F7" w:rsidP="0094269B">
            <w:pPr>
              <w:spacing w:before="40" w:after="120"/>
              <w:ind w:right="113"/>
              <w:rPr>
                <w:lang w:val="fr-FR"/>
              </w:rPr>
            </w:pPr>
            <w:r>
              <w:rPr>
                <w:lang w:val="fr-FR"/>
              </w:rPr>
              <w:t>Mettre au point des cours (à partir de 2019)</w:t>
            </w:r>
          </w:p>
        </w:tc>
        <w:tc>
          <w:tcPr>
            <w:tcW w:w="3194" w:type="dxa"/>
            <w:shd w:val="clear" w:color="auto" w:fill="auto"/>
          </w:tcPr>
          <w:p w14:paraId="4B8A1BB9" w14:textId="23B3F3D9" w:rsidR="000661F7" w:rsidRDefault="000661F7" w:rsidP="0094269B">
            <w:pPr>
              <w:spacing w:before="40" w:after="120"/>
              <w:ind w:right="113"/>
              <w:rPr>
                <w:lang w:val="fr-FR"/>
              </w:rPr>
            </w:pPr>
            <w:r>
              <w:rPr>
                <w:lang w:val="fr-FR"/>
              </w:rPr>
              <w:t xml:space="preserve">Des programmes de cours seront partiellement mis au point dans le cadre du projet du Compte de l’ONU pour le développement (voir la tâche 5.8). </w:t>
            </w:r>
          </w:p>
          <w:p w14:paraId="0C566280" w14:textId="7FD755A6" w:rsidR="000661F7" w:rsidRDefault="000661F7" w:rsidP="0094269B">
            <w:pPr>
              <w:spacing w:before="40" w:after="120"/>
              <w:ind w:right="113"/>
              <w:rPr>
                <w:b/>
                <w:bCs/>
                <w:lang w:val="fr-FR"/>
              </w:rPr>
            </w:pPr>
            <w:r w:rsidRPr="00313003">
              <w:rPr>
                <w:b/>
                <w:bCs/>
                <w:lang w:val="fr-FR"/>
              </w:rPr>
              <w:t xml:space="preserve">En 2021-2022, </w:t>
            </w:r>
            <w:r>
              <w:rPr>
                <w:b/>
                <w:bCs/>
                <w:lang w:val="fr-FR"/>
              </w:rPr>
              <w:t>une formation</w:t>
            </w:r>
            <w:r w:rsidRPr="00313003">
              <w:rPr>
                <w:b/>
                <w:bCs/>
                <w:lang w:val="fr-FR"/>
              </w:rPr>
              <w:t xml:space="preserve"> en ligne </w:t>
            </w:r>
            <w:r>
              <w:rPr>
                <w:b/>
                <w:bCs/>
                <w:lang w:val="fr-FR"/>
              </w:rPr>
              <w:t>po</w:t>
            </w:r>
            <w:r w:rsidRPr="00313003">
              <w:rPr>
                <w:b/>
                <w:bCs/>
                <w:lang w:val="fr-FR"/>
              </w:rPr>
              <w:t xml:space="preserve">ur le </w:t>
            </w:r>
            <w:r>
              <w:rPr>
                <w:b/>
                <w:bCs/>
                <w:lang w:val="fr-FR"/>
              </w:rPr>
              <w:t>c</w:t>
            </w:r>
            <w:r w:rsidRPr="00313003">
              <w:rPr>
                <w:b/>
                <w:bCs/>
                <w:lang w:val="fr-FR"/>
              </w:rPr>
              <w:t>ertificat international de conducteur de bateau de plaisance (résolution n</w:t>
            </w:r>
            <w:r w:rsidR="00F14D4F">
              <w:rPr>
                <w:b/>
                <w:bCs/>
                <w:vertAlign w:val="superscript"/>
                <w:lang w:val="fr-FR"/>
              </w:rPr>
              <w:t>o</w:t>
            </w:r>
            <w:r w:rsidR="00F14D4F" w:rsidRPr="00F14D4F">
              <w:rPr>
                <w:b/>
                <w:bCs/>
                <w:lang w:val="fr-FR"/>
              </w:rPr>
              <w:t> </w:t>
            </w:r>
            <w:r w:rsidRPr="00313003">
              <w:rPr>
                <w:b/>
                <w:bCs/>
                <w:lang w:val="fr-FR"/>
              </w:rPr>
              <w:t>40) a été élaboré pour la plateforme d</w:t>
            </w:r>
            <w:r>
              <w:rPr>
                <w:b/>
                <w:bCs/>
                <w:lang w:val="fr-FR"/>
              </w:rPr>
              <w:t>’</w:t>
            </w:r>
            <w:r w:rsidRPr="00313003">
              <w:rPr>
                <w:b/>
                <w:bCs/>
                <w:lang w:val="fr-FR"/>
              </w:rPr>
              <w:t>apprentissage en ligne.</w:t>
            </w:r>
          </w:p>
          <w:p w14:paraId="690D8E42" w14:textId="3308B6B0" w:rsidR="000661F7" w:rsidRDefault="000661F7" w:rsidP="0094269B">
            <w:pPr>
              <w:spacing w:before="40" w:after="120"/>
              <w:ind w:right="113"/>
              <w:rPr>
                <w:b/>
                <w:bCs/>
                <w:lang w:val="fr-FR"/>
              </w:rPr>
            </w:pPr>
            <w:r w:rsidRPr="0078240C">
              <w:rPr>
                <w:b/>
                <w:bCs/>
                <w:lang w:val="fr-FR"/>
              </w:rPr>
              <w:t>Un cours sur le développement du transport de marchandises et de la logistique dans un contexte durable a été élaboré en 2022</w:t>
            </w:r>
            <w:r>
              <w:rPr>
                <w:b/>
                <w:bCs/>
                <w:lang w:val="fr-FR"/>
              </w:rPr>
              <w:t>. Il</w:t>
            </w:r>
            <w:r w:rsidRPr="0078240C">
              <w:rPr>
                <w:b/>
                <w:bCs/>
                <w:lang w:val="fr-FR"/>
              </w:rPr>
              <w:t xml:space="preserve"> est accessible sur la plateforme d</w:t>
            </w:r>
            <w:r>
              <w:rPr>
                <w:b/>
                <w:bCs/>
                <w:lang w:val="fr-FR"/>
              </w:rPr>
              <w:t>’</w:t>
            </w:r>
            <w:r w:rsidRPr="0078240C">
              <w:rPr>
                <w:b/>
                <w:bCs/>
                <w:lang w:val="fr-FR"/>
              </w:rPr>
              <w:t xml:space="preserve">apprentissage en ligne. </w:t>
            </w:r>
          </w:p>
          <w:p w14:paraId="481757F0" w14:textId="7B359412" w:rsidR="000661F7" w:rsidRDefault="000661F7" w:rsidP="0094269B">
            <w:pPr>
              <w:spacing w:before="40" w:after="120"/>
              <w:ind w:right="113"/>
              <w:rPr>
                <w:b/>
                <w:bCs/>
                <w:lang w:val="fr-FR"/>
              </w:rPr>
            </w:pPr>
            <w:r w:rsidRPr="0078240C">
              <w:rPr>
                <w:b/>
                <w:bCs/>
                <w:lang w:val="fr-FR"/>
              </w:rPr>
              <w:t>En 2022, un cours sur l</w:t>
            </w:r>
            <w:r>
              <w:rPr>
                <w:b/>
                <w:bCs/>
                <w:lang w:val="fr-FR"/>
              </w:rPr>
              <w:t>’</w:t>
            </w:r>
            <w:r w:rsidRPr="0078240C">
              <w:rPr>
                <w:b/>
                <w:bCs/>
                <w:lang w:val="fr-FR"/>
              </w:rPr>
              <w:t>ADR a été élaboré pour la plateforme d</w:t>
            </w:r>
            <w:r>
              <w:rPr>
                <w:b/>
                <w:bCs/>
                <w:lang w:val="fr-FR"/>
              </w:rPr>
              <w:t>’</w:t>
            </w:r>
            <w:r w:rsidRPr="0078240C">
              <w:rPr>
                <w:b/>
                <w:bCs/>
                <w:lang w:val="fr-FR"/>
              </w:rPr>
              <w:t>apprentissage en ligne.</w:t>
            </w:r>
          </w:p>
          <w:p w14:paraId="4295637C" w14:textId="494D85E9" w:rsidR="000661F7" w:rsidRDefault="000661F7" w:rsidP="0094269B">
            <w:pPr>
              <w:spacing w:before="40" w:after="120"/>
              <w:ind w:right="113"/>
              <w:rPr>
                <w:b/>
                <w:bCs/>
                <w:lang w:val="fr-FR"/>
              </w:rPr>
            </w:pPr>
            <w:r w:rsidRPr="0078240C">
              <w:rPr>
                <w:b/>
                <w:bCs/>
                <w:lang w:val="fr-FR"/>
              </w:rPr>
              <w:t>En 2022, un cours sur l</w:t>
            </w:r>
            <w:r>
              <w:rPr>
                <w:b/>
                <w:bCs/>
                <w:lang w:val="fr-FR"/>
              </w:rPr>
              <w:t>’</w:t>
            </w:r>
            <w:r w:rsidRPr="0078240C">
              <w:rPr>
                <w:b/>
                <w:bCs/>
                <w:lang w:val="fr-FR"/>
              </w:rPr>
              <w:t>Accord de 1958 a été élaboré pour la plateforme d</w:t>
            </w:r>
            <w:r>
              <w:rPr>
                <w:b/>
                <w:bCs/>
                <w:lang w:val="fr-FR"/>
              </w:rPr>
              <w:t>’</w:t>
            </w:r>
            <w:r w:rsidRPr="0078240C">
              <w:rPr>
                <w:b/>
                <w:bCs/>
                <w:lang w:val="fr-FR"/>
              </w:rPr>
              <w:t>apprentissage en ligne.</w:t>
            </w:r>
          </w:p>
          <w:p w14:paraId="781668F4" w14:textId="17C81A67" w:rsidR="000661F7" w:rsidRPr="00ED06D8" w:rsidRDefault="000661F7" w:rsidP="00F14D4F">
            <w:pPr>
              <w:keepNext/>
              <w:keepLines/>
              <w:spacing w:before="40" w:after="120"/>
              <w:ind w:right="113"/>
              <w:rPr>
                <w:lang w:val="fr-FR"/>
              </w:rPr>
            </w:pPr>
            <w:r w:rsidRPr="0078240C">
              <w:rPr>
                <w:b/>
                <w:bCs/>
                <w:lang w:val="fr-FR"/>
              </w:rPr>
              <w:lastRenderedPageBreak/>
              <w:t>En 2022, un cours sur les systèmes de transport intelligents a été élaboré pour la plateforme d</w:t>
            </w:r>
            <w:r>
              <w:rPr>
                <w:b/>
                <w:bCs/>
                <w:lang w:val="fr-FR"/>
              </w:rPr>
              <w:t>’</w:t>
            </w:r>
            <w:r w:rsidRPr="0078240C">
              <w:rPr>
                <w:b/>
                <w:bCs/>
                <w:lang w:val="fr-FR"/>
              </w:rPr>
              <w:t>apprentissage en ligne.</w:t>
            </w:r>
          </w:p>
        </w:tc>
        <w:tc>
          <w:tcPr>
            <w:tcW w:w="2500" w:type="dxa"/>
            <w:shd w:val="clear" w:color="auto" w:fill="auto"/>
          </w:tcPr>
          <w:p w14:paraId="0EC561D6" w14:textId="03F1B41D" w:rsidR="000661F7" w:rsidRPr="00ED06D8" w:rsidRDefault="000661F7" w:rsidP="0094269B">
            <w:pPr>
              <w:spacing w:before="40" w:after="120"/>
              <w:ind w:right="113"/>
              <w:rPr>
                <w:lang w:val="fr-FR"/>
              </w:rPr>
            </w:pPr>
            <w:r>
              <w:rPr>
                <w:lang w:val="fr-FR"/>
              </w:rPr>
              <w:lastRenderedPageBreak/>
              <w:t>Débattre de la conclusion d’accords de partenariat aux fins de l’élaboration et de la mise en place de cours, sous réserve de la disponibilité de ressources extrabudgétaires.</w:t>
            </w:r>
          </w:p>
        </w:tc>
        <w:tc>
          <w:tcPr>
            <w:tcW w:w="1667" w:type="dxa"/>
            <w:shd w:val="clear" w:color="auto" w:fill="auto"/>
          </w:tcPr>
          <w:p w14:paraId="454718B2" w14:textId="77777777" w:rsidR="000661F7" w:rsidRPr="00ED06D8" w:rsidRDefault="000661F7" w:rsidP="0094269B">
            <w:pPr>
              <w:spacing w:before="40" w:after="120"/>
              <w:ind w:right="113"/>
              <w:rPr>
                <w:lang w:val="fr-FR"/>
              </w:rPr>
            </w:pPr>
            <w:r>
              <w:rPr>
                <w:lang w:val="fr-FR"/>
              </w:rPr>
              <w:t>Le Conseiller régional, avec le soutien du secrétariat du Comité et des secrétaires des groupes de travail concernés</w:t>
            </w:r>
          </w:p>
        </w:tc>
      </w:tr>
      <w:tr w:rsidR="000661F7" w:rsidRPr="0067484D" w14:paraId="016FD8EF" w14:textId="77777777" w:rsidTr="0094269B">
        <w:tc>
          <w:tcPr>
            <w:tcW w:w="500" w:type="dxa"/>
            <w:shd w:val="clear" w:color="auto" w:fill="auto"/>
          </w:tcPr>
          <w:p w14:paraId="2184BA0B" w14:textId="77777777" w:rsidR="000661F7" w:rsidRPr="0067484D" w:rsidRDefault="000661F7" w:rsidP="0094269B">
            <w:pPr>
              <w:spacing w:before="40" w:after="120"/>
              <w:ind w:right="113"/>
            </w:pPr>
            <w:r>
              <w:rPr>
                <w:lang w:val="fr-FR"/>
              </w:rPr>
              <w:t>5.11</w:t>
            </w:r>
          </w:p>
        </w:tc>
        <w:tc>
          <w:tcPr>
            <w:tcW w:w="1778" w:type="dxa"/>
            <w:shd w:val="clear" w:color="auto" w:fill="auto"/>
          </w:tcPr>
          <w:p w14:paraId="7BE20385" w14:textId="77777777" w:rsidR="000661F7" w:rsidRPr="00ED06D8" w:rsidRDefault="000661F7" w:rsidP="0094269B">
            <w:pPr>
              <w:spacing w:before="40" w:after="120"/>
              <w:ind w:right="113"/>
              <w:rPr>
                <w:lang w:val="fr-FR"/>
              </w:rPr>
            </w:pPr>
            <w:r>
              <w:rPr>
                <w:lang w:val="fr-FR"/>
              </w:rPr>
              <w:t>Mettre au point des indicateurs (à partir de 2019)</w:t>
            </w:r>
          </w:p>
        </w:tc>
        <w:tc>
          <w:tcPr>
            <w:tcW w:w="3194" w:type="dxa"/>
            <w:shd w:val="clear" w:color="auto" w:fill="auto"/>
          </w:tcPr>
          <w:p w14:paraId="28AE091E" w14:textId="73E0C801" w:rsidR="000661F7" w:rsidRDefault="000661F7" w:rsidP="0094269B">
            <w:pPr>
              <w:spacing w:before="40" w:after="120"/>
              <w:ind w:right="113"/>
              <w:rPr>
                <w:lang w:val="fr-FR"/>
              </w:rPr>
            </w:pPr>
            <w:r>
              <w:rPr>
                <w:lang w:val="fr-FR"/>
              </w:rPr>
              <w:t>Le projet financé par le Compte de l’ONU pour le développement sur l’élaboration d’indicateurs de connectivité pour des transports intérieurs durables (projet SITCIN)</w:t>
            </w:r>
            <w:r>
              <w:rPr>
                <w:b/>
                <w:bCs/>
                <w:lang w:val="fr-FR"/>
              </w:rPr>
              <w:t xml:space="preserve">, </w:t>
            </w:r>
            <w:r w:rsidRPr="00E113A1">
              <w:rPr>
                <w:lang w:val="fr-FR"/>
              </w:rPr>
              <w:t>exécuté en collaboration avec la CESAO et la CEPALC, atteint sa phase finale</w:t>
            </w:r>
            <w:r>
              <w:rPr>
                <w:lang w:val="fr-FR"/>
              </w:rPr>
              <w:t>.</w:t>
            </w:r>
            <w:r w:rsidRPr="00EE25FC">
              <w:rPr>
                <w:lang w:val="fr-FR"/>
              </w:rPr>
              <w:t xml:space="preserve"> </w:t>
            </w:r>
            <w:r w:rsidRPr="00E113A1">
              <w:rPr>
                <w:lang w:val="fr-FR"/>
              </w:rPr>
              <w:t>Un ensemble de 215</w:t>
            </w:r>
            <w:r w:rsidR="00EE25FC">
              <w:rPr>
                <w:lang w:val="fr-FR"/>
              </w:rPr>
              <w:t> </w:t>
            </w:r>
            <w:r w:rsidRPr="00E113A1">
              <w:rPr>
                <w:lang w:val="fr-FR"/>
              </w:rPr>
              <w:t>indicateurs de connectivité pour des transports intérieurs durables a été élaboré dans le cadre du projet.</w:t>
            </w:r>
            <w:r w:rsidRPr="00BB7D31">
              <w:rPr>
                <w:lang w:val="fr-FR"/>
              </w:rPr>
              <w:t xml:space="preserve"> </w:t>
            </w:r>
            <w:r w:rsidRPr="00E113A1">
              <w:rPr>
                <w:lang w:val="fr-FR"/>
              </w:rPr>
              <w:t>Cet ensemble constitue un outil permettant aux pays d</w:t>
            </w:r>
            <w:r>
              <w:rPr>
                <w:lang w:val="fr-FR"/>
              </w:rPr>
              <w:t>’</w:t>
            </w:r>
            <w:r w:rsidRPr="00E113A1">
              <w:rPr>
                <w:lang w:val="fr-FR"/>
              </w:rPr>
              <w:t>évaluer leur degré de connectivité extérieure en termes de transport, de logistiqu</w:t>
            </w:r>
            <w:r>
              <w:rPr>
                <w:lang w:val="fr-FR"/>
              </w:rPr>
              <w:t>e,</w:t>
            </w:r>
            <w:r w:rsidRPr="00E113A1">
              <w:rPr>
                <w:lang w:val="fr-FR"/>
              </w:rPr>
              <w:t xml:space="preserve"> d</w:t>
            </w:r>
            <w:r>
              <w:rPr>
                <w:lang w:val="fr-FR"/>
              </w:rPr>
              <w:t>’</w:t>
            </w:r>
            <w:r w:rsidRPr="00E113A1">
              <w:rPr>
                <w:lang w:val="fr-FR"/>
              </w:rPr>
              <w:t>interopérabilité, de franchissement des frontières et de processus commerciaux.</w:t>
            </w:r>
          </w:p>
          <w:p w14:paraId="24FBCDED" w14:textId="73E17801" w:rsidR="000661F7" w:rsidRDefault="000661F7" w:rsidP="0094269B">
            <w:pPr>
              <w:spacing w:before="40" w:after="120"/>
              <w:ind w:right="113"/>
              <w:rPr>
                <w:b/>
                <w:bCs/>
              </w:rPr>
            </w:pPr>
            <w:r w:rsidRPr="00937BDD">
              <w:rPr>
                <w:strike/>
              </w:rPr>
              <w:t>Un cours d</w:t>
            </w:r>
            <w:r>
              <w:rPr>
                <w:strike/>
              </w:rPr>
              <w:t>’</w:t>
            </w:r>
            <w:r w:rsidRPr="00937BDD">
              <w:rPr>
                <w:strike/>
              </w:rPr>
              <w:t xml:space="preserve">apprentissage en ligne et un outil de collecte de données en ligne </w:t>
            </w:r>
            <w:r w:rsidRPr="00F42CEA">
              <w:rPr>
                <w:strike/>
              </w:rPr>
              <w:t>sont en cours d</w:t>
            </w:r>
            <w:r>
              <w:rPr>
                <w:strike/>
              </w:rPr>
              <w:t>’</w:t>
            </w:r>
            <w:r w:rsidRPr="00F42CEA">
              <w:rPr>
                <w:strike/>
              </w:rPr>
              <w:t>élaboration</w:t>
            </w:r>
            <w:r w:rsidRPr="00937BDD">
              <w:rPr>
                <w:strike/>
              </w:rPr>
              <w:t xml:space="preserve"> pour faciliter l</w:t>
            </w:r>
            <w:r>
              <w:rPr>
                <w:strike/>
              </w:rPr>
              <w:t>’</w:t>
            </w:r>
            <w:r w:rsidRPr="00937BDD">
              <w:rPr>
                <w:strike/>
              </w:rPr>
              <w:t xml:space="preserve">utilisation des indicateurs par les États membres </w:t>
            </w:r>
            <w:r w:rsidRPr="00F42CEA">
              <w:rPr>
                <w:b/>
                <w:bCs/>
              </w:rPr>
              <w:t>Pour aider les États membres à utiliser les indicateurs, une formation et un outil de collecte de données ont été élaborés et mis en ligne à l</w:t>
            </w:r>
            <w:r>
              <w:rPr>
                <w:b/>
                <w:bCs/>
              </w:rPr>
              <w:t>’</w:t>
            </w:r>
            <w:r w:rsidRPr="00F42CEA">
              <w:rPr>
                <w:b/>
                <w:bCs/>
              </w:rPr>
              <w:t>adresse suivante</w:t>
            </w:r>
            <w:r w:rsidR="003E4B90">
              <w:rPr>
                <w:b/>
                <w:bCs/>
              </w:rPr>
              <w:t> </w:t>
            </w:r>
            <w:r w:rsidRPr="00F42CEA">
              <w:rPr>
                <w:b/>
                <w:bCs/>
              </w:rPr>
              <w:t>:</w:t>
            </w:r>
          </w:p>
          <w:p w14:paraId="6B17B2D2" w14:textId="7BFA4135" w:rsidR="000661F7" w:rsidRPr="00FA1D99" w:rsidRDefault="000661F7" w:rsidP="0094269B">
            <w:pPr>
              <w:spacing w:before="40" w:after="120"/>
              <w:ind w:right="113"/>
            </w:pPr>
            <w:r w:rsidRPr="00305A4C">
              <w:rPr>
                <w:b/>
                <w:bCs/>
              </w:rPr>
              <w:t>https://rise.articulate.com/share/hnNWQFPw_oCSnrhzBN471ZUz_U-zPWV1#/.</w:t>
            </w:r>
          </w:p>
          <w:p w14:paraId="07340533" w14:textId="3A4DB471" w:rsidR="000661F7" w:rsidRPr="00D53B0B" w:rsidRDefault="000661F7" w:rsidP="0094269B">
            <w:pPr>
              <w:spacing w:before="40" w:after="120"/>
              <w:ind w:right="113"/>
              <w:rPr>
                <w:b/>
                <w:bCs/>
                <w:lang w:val="fr-FR"/>
              </w:rPr>
            </w:pPr>
            <w:r w:rsidRPr="00AB0F02">
              <w:rPr>
                <w:b/>
                <w:bCs/>
                <w:lang w:val="fr-FR"/>
              </w:rPr>
              <w:t xml:space="preserve">En octobre 2022, dans le cadre du programme de travail du WP.5, la CEE </w:t>
            </w:r>
            <w:r>
              <w:rPr>
                <w:b/>
                <w:bCs/>
                <w:lang w:val="fr-FR"/>
              </w:rPr>
              <w:t xml:space="preserve">a publié </w:t>
            </w:r>
            <w:r w:rsidRPr="00AB0F02">
              <w:rPr>
                <w:b/>
                <w:bCs/>
                <w:lang w:val="fr-FR"/>
              </w:rPr>
              <w:t>«</w:t>
            </w:r>
            <w:r w:rsidR="00EE25FC">
              <w:rPr>
                <w:b/>
                <w:bCs/>
                <w:lang w:val="fr-FR"/>
              </w:rPr>
              <w:t> </w:t>
            </w:r>
            <w:proofErr w:type="spellStart"/>
            <w:r w:rsidRPr="00AB0F02">
              <w:rPr>
                <w:b/>
                <w:bCs/>
                <w:lang w:val="fr-FR"/>
              </w:rPr>
              <w:t>Sustainable</w:t>
            </w:r>
            <w:proofErr w:type="spellEnd"/>
            <w:r w:rsidRPr="00AB0F02">
              <w:rPr>
                <w:b/>
                <w:bCs/>
                <w:lang w:val="fr-FR"/>
              </w:rPr>
              <w:t xml:space="preserve"> </w:t>
            </w:r>
            <w:proofErr w:type="spellStart"/>
            <w:r w:rsidRPr="00AB0F02">
              <w:rPr>
                <w:b/>
                <w:bCs/>
                <w:lang w:val="fr-FR"/>
              </w:rPr>
              <w:t>Inland</w:t>
            </w:r>
            <w:proofErr w:type="spellEnd"/>
            <w:r w:rsidRPr="00AB0F02">
              <w:rPr>
                <w:b/>
                <w:bCs/>
                <w:lang w:val="fr-FR"/>
              </w:rPr>
              <w:t xml:space="preserve"> Transport Connectivity Indicators (SITCIN) − Understanding the performance of road, rail, </w:t>
            </w:r>
            <w:proofErr w:type="spellStart"/>
            <w:r w:rsidRPr="00AB0F02">
              <w:rPr>
                <w:b/>
                <w:bCs/>
                <w:lang w:val="fr-FR"/>
              </w:rPr>
              <w:t>inland</w:t>
            </w:r>
            <w:proofErr w:type="spellEnd"/>
            <w:r w:rsidRPr="00AB0F02">
              <w:rPr>
                <w:b/>
                <w:bCs/>
                <w:lang w:val="fr-FR"/>
              </w:rPr>
              <w:t xml:space="preserve"> </w:t>
            </w:r>
            <w:proofErr w:type="spellStart"/>
            <w:r w:rsidRPr="00AB0F02">
              <w:rPr>
                <w:b/>
                <w:bCs/>
                <w:lang w:val="fr-FR"/>
              </w:rPr>
              <w:t>waterway</w:t>
            </w:r>
            <w:proofErr w:type="spellEnd"/>
            <w:r w:rsidRPr="00AB0F02">
              <w:rPr>
                <w:b/>
                <w:bCs/>
                <w:lang w:val="fr-FR"/>
              </w:rPr>
              <w:t xml:space="preserve">, and </w:t>
            </w:r>
            <w:proofErr w:type="spellStart"/>
            <w:r w:rsidRPr="00AB0F02">
              <w:rPr>
                <w:b/>
                <w:bCs/>
                <w:lang w:val="fr-FR"/>
              </w:rPr>
              <w:t>inter-modal</w:t>
            </w:r>
            <w:proofErr w:type="spellEnd"/>
            <w:r w:rsidRPr="00AB0F02">
              <w:rPr>
                <w:b/>
                <w:bCs/>
                <w:lang w:val="fr-FR"/>
              </w:rPr>
              <w:t xml:space="preserve"> transport </w:t>
            </w:r>
            <w:proofErr w:type="spellStart"/>
            <w:r w:rsidRPr="00AB0F02">
              <w:rPr>
                <w:b/>
                <w:bCs/>
                <w:lang w:val="fr-FR"/>
              </w:rPr>
              <w:t>systems</w:t>
            </w:r>
            <w:proofErr w:type="spellEnd"/>
            <w:r w:rsidR="00EE25FC">
              <w:rPr>
                <w:b/>
                <w:bCs/>
                <w:lang w:val="fr-FR"/>
              </w:rPr>
              <w:t> </w:t>
            </w:r>
            <w:r w:rsidRPr="00AB0F02">
              <w:rPr>
                <w:b/>
                <w:bCs/>
                <w:lang w:val="fr-FR"/>
              </w:rPr>
              <w:t>» (Indicateurs de connectivité pour des transports intérieurs durables</w:t>
            </w:r>
            <w:r>
              <w:rPr>
                <w:b/>
                <w:bCs/>
                <w:lang w:val="fr-FR"/>
              </w:rPr>
              <w:t xml:space="preserve"> </w:t>
            </w:r>
            <w:r w:rsidRPr="00AB0F02">
              <w:rPr>
                <w:b/>
                <w:bCs/>
                <w:lang w:val="fr-FR"/>
              </w:rPr>
              <w:t xml:space="preserve">(SITCIN) − </w:t>
            </w:r>
            <w:r>
              <w:rPr>
                <w:b/>
                <w:bCs/>
                <w:lang w:val="fr-FR"/>
              </w:rPr>
              <w:t>Ce qu’il faut savoir sur l’efficacité</w:t>
            </w:r>
            <w:r w:rsidRPr="00AB0F02">
              <w:rPr>
                <w:b/>
                <w:bCs/>
                <w:lang w:val="fr-FR"/>
              </w:rPr>
              <w:t xml:space="preserve"> des systèmes de transport routier, ferroviair</w:t>
            </w:r>
            <w:r>
              <w:rPr>
                <w:b/>
                <w:bCs/>
                <w:lang w:val="fr-FR"/>
              </w:rPr>
              <w:t>e,</w:t>
            </w:r>
            <w:r w:rsidRPr="00AB0F02">
              <w:rPr>
                <w:b/>
                <w:bCs/>
                <w:lang w:val="fr-FR"/>
              </w:rPr>
              <w:t xml:space="preserve"> fluvial et intermodal). Parallèlement, un tableau de bord multilingue à l</w:t>
            </w:r>
            <w:r>
              <w:rPr>
                <w:b/>
                <w:bCs/>
                <w:lang w:val="fr-FR"/>
              </w:rPr>
              <w:t>’</w:t>
            </w:r>
            <w:r w:rsidRPr="00AB0F02">
              <w:rPr>
                <w:b/>
                <w:bCs/>
                <w:lang w:val="fr-FR"/>
              </w:rPr>
              <w:t xml:space="preserve">intention des utilisateurs des indicateurs et </w:t>
            </w:r>
            <w:r>
              <w:rPr>
                <w:b/>
                <w:bCs/>
                <w:lang w:val="fr-FR"/>
              </w:rPr>
              <w:t>une formation</w:t>
            </w:r>
            <w:r w:rsidRPr="00AB0F02">
              <w:rPr>
                <w:b/>
                <w:bCs/>
                <w:lang w:val="fr-FR"/>
              </w:rPr>
              <w:t xml:space="preserve"> ont également été mis </w:t>
            </w:r>
            <w:r>
              <w:rPr>
                <w:b/>
                <w:bCs/>
                <w:lang w:val="fr-FR"/>
              </w:rPr>
              <w:t>en ligne</w:t>
            </w:r>
            <w:r w:rsidRPr="00AB0F02">
              <w:rPr>
                <w:b/>
                <w:bCs/>
                <w:lang w:val="fr-FR"/>
              </w:rPr>
              <w:t xml:space="preserve"> sur </w:t>
            </w:r>
            <w:r>
              <w:rPr>
                <w:b/>
                <w:bCs/>
                <w:lang w:val="fr-FR"/>
              </w:rPr>
              <w:t xml:space="preserve">le site Web </w:t>
            </w:r>
            <w:r w:rsidRPr="00AB0F02">
              <w:rPr>
                <w:b/>
                <w:bCs/>
                <w:lang w:val="fr-FR"/>
              </w:rPr>
              <w:t>SITCIN.org.</w:t>
            </w:r>
            <w:r>
              <w:rPr>
                <w:lang w:val="fr-FR"/>
              </w:rPr>
              <w:t xml:space="preserve"> </w:t>
            </w:r>
          </w:p>
        </w:tc>
        <w:tc>
          <w:tcPr>
            <w:tcW w:w="2500" w:type="dxa"/>
            <w:shd w:val="clear" w:color="auto" w:fill="auto"/>
          </w:tcPr>
          <w:p w14:paraId="71B82002" w14:textId="77777777" w:rsidR="000661F7" w:rsidRPr="00ED06D8" w:rsidRDefault="000661F7" w:rsidP="0094269B">
            <w:pPr>
              <w:spacing w:before="40" w:after="120"/>
              <w:ind w:right="113"/>
              <w:rPr>
                <w:lang w:val="fr-FR"/>
              </w:rPr>
            </w:pPr>
            <w:r>
              <w:rPr>
                <w:lang w:val="fr-FR"/>
              </w:rPr>
              <w:t xml:space="preserve">Achever le projet SITCIN et promouvoir et diffuser les indicateurs, en coordination avec le Comité et conformément à ses décisions, pour en assurer une large utilisation. </w:t>
            </w:r>
          </w:p>
        </w:tc>
        <w:tc>
          <w:tcPr>
            <w:tcW w:w="1667" w:type="dxa"/>
            <w:shd w:val="clear" w:color="auto" w:fill="auto"/>
          </w:tcPr>
          <w:p w14:paraId="3FB0EC8E" w14:textId="77777777" w:rsidR="000661F7" w:rsidRPr="0067484D" w:rsidRDefault="000661F7" w:rsidP="0094269B">
            <w:pPr>
              <w:spacing w:before="40" w:after="120"/>
              <w:ind w:right="113"/>
            </w:pPr>
            <w:r>
              <w:rPr>
                <w:lang w:val="fr-FR"/>
              </w:rPr>
              <w:t xml:space="preserve">Le secrétaire du WP.5 </w:t>
            </w:r>
          </w:p>
        </w:tc>
      </w:tr>
      <w:tr w:rsidR="000661F7" w:rsidRPr="00D466A5" w14:paraId="2C14E9CA" w14:textId="77777777" w:rsidTr="0094269B">
        <w:tc>
          <w:tcPr>
            <w:tcW w:w="500" w:type="dxa"/>
            <w:shd w:val="clear" w:color="auto" w:fill="auto"/>
          </w:tcPr>
          <w:p w14:paraId="3AE1F808" w14:textId="77777777" w:rsidR="000661F7" w:rsidRPr="0067484D" w:rsidRDefault="000661F7" w:rsidP="0094269B">
            <w:pPr>
              <w:spacing w:before="40" w:after="120"/>
              <w:ind w:right="113"/>
            </w:pPr>
            <w:r>
              <w:rPr>
                <w:lang w:val="fr-FR"/>
              </w:rPr>
              <w:lastRenderedPageBreak/>
              <w:t>5.12</w:t>
            </w:r>
          </w:p>
        </w:tc>
        <w:tc>
          <w:tcPr>
            <w:tcW w:w="1778" w:type="dxa"/>
            <w:shd w:val="clear" w:color="auto" w:fill="auto"/>
          </w:tcPr>
          <w:p w14:paraId="09F50F05" w14:textId="66322005" w:rsidR="000661F7" w:rsidRPr="00ED06D8" w:rsidRDefault="000661F7" w:rsidP="0094269B">
            <w:pPr>
              <w:spacing w:before="40" w:after="120"/>
              <w:ind w:right="113"/>
              <w:rPr>
                <w:lang w:val="fr-FR"/>
              </w:rPr>
            </w:pPr>
            <w:r>
              <w:rPr>
                <w:lang w:val="fr-FR"/>
              </w:rPr>
              <w:t>Continuer d’élargir la participation aux travaux du WP.1 et du WP.29 à l’échelle mondiale, et d’accroître la coopération entre ces deux groupes de travail</w:t>
            </w:r>
          </w:p>
        </w:tc>
        <w:tc>
          <w:tcPr>
            <w:tcW w:w="3194" w:type="dxa"/>
            <w:shd w:val="clear" w:color="auto" w:fill="auto"/>
          </w:tcPr>
          <w:p w14:paraId="194DF608" w14:textId="4609CD60" w:rsidR="000661F7" w:rsidRDefault="000661F7" w:rsidP="0094269B">
            <w:pPr>
              <w:spacing w:before="40" w:after="120"/>
              <w:ind w:right="113"/>
              <w:rPr>
                <w:lang w:val="fr-FR"/>
              </w:rPr>
            </w:pPr>
            <w:r>
              <w:rPr>
                <w:lang w:val="fr-FR"/>
              </w:rPr>
              <w:t xml:space="preserve">Le WP.1 et le WP.29 coopèrent et échangent des vues en permanence dans le cadre de sessions communes, qu’ils organisent régulièrement, et de l’élaboration de produits communs, tels que des dispositions communes sur la conduite automatisée. </w:t>
            </w:r>
          </w:p>
          <w:p w14:paraId="5EE441C2" w14:textId="65C5F9D9" w:rsidR="000661F7" w:rsidRPr="00D53B0B" w:rsidRDefault="000661F7" w:rsidP="0094269B">
            <w:pPr>
              <w:spacing w:before="40" w:after="120"/>
              <w:ind w:right="113"/>
              <w:rPr>
                <w:b/>
                <w:bCs/>
                <w:lang w:val="fr-FR"/>
              </w:rPr>
            </w:pPr>
            <w:r w:rsidRPr="00AB0F02">
              <w:rPr>
                <w:b/>
                <w:bCs/>
                <w:lang w:val="fr-FR"/>
              </w:rPr>
              <w:t>Le WP.1</w:t>
            </w:r>
            <w:r w:rsidRPr="00333A87">
              <w:rPr>
                <w:b/>
                <w:bCs/>
                <w:lang w:val="fr-FR"/>
              </w:rPr>
              <w:t xml:space="preserve">, puis le WP.29, </w:t>
            </w:r>
            <w:r w:rsidRPr="00AB0F02">
              <w:rPr>
                <w:b/>
                <w:bCs/>
                <w:lang w:val="fr-FR"/>
              </w:rPr>
              <w:t xml:space="preserve">ont proposé </w:t>
            </w:r>
            <w:r>
              <w:rPr>
                <w:b/>
                <w:bCs/>
                <w:lang w:val="fr-FR"/>
              </w:rPr>
              <w:t>d’élargir</w:t>
            </w:r>
            <w:r w:rsidRPr="00AB0F02">
              <w:rPr>
                <w:b/>
                <w:bCs/>
                <w:lang w:val="fr-FR"/>
              </w:rPr>
              <w:t xml:space="preserve"> l</w:t>
            </w:r>
            <w:r>
              <w:rPr>
                <w:b/>
                <w:bCs/>
                <w:lang w:val="fr-FR"/>
              </w:rPr>
              <w:t xml:space="preserve">eurs </w:t>
            </w:r>
            <w:r w:rsidRPr="00AB0F02">
              <w:rPr>
                <w:b/>
                <w:bCs/>
                <w:lang w:val="fr-FR"/>
              </w:rPr>
              <w:t>échange</w:t>
            </w:r>
            <w:r>
              <w:rPr>
                <w:b/>
                <w:bCs/>
                <w:lang w:val="fr-FR"/>
              </w:rPr>
              <w:t>s</w:t>
            </w:r>
            <w:r w:rsidRPr="00AB0F02">
              <w:rPr>
                <w:b/>
                <w:bCs/>
                <w:lang w:val="fr-FR"/>
              </w:rPr>
              <w:t xml:space="preserve"> afin d</w:t>
            </w:r>
            <w:r>
              <w:rPr>
                <w:b/>
                <w:bCs/>
                <w:lang w:val="fr-FR"/>
              </w:rPr>
              <w:t>’intensifi</w:t>
            </w:r>
            <w:r w:rsidRPr="00AB0F02">
              <w:rPr>
                <w:b/>
                <w:bCs/>
                <w:lang w:val="fr-FR"/>
              </w:rPr>
              <w:t>er</w:t>
            </w:r>
            <w:r>
              <w:t xml:space="preserve"> </w:t>
            </w:r>
            <w:r w:rsidRPr="00333A87">
              <w:rPr>
                <w:b/>
                <w:bCs/>
                <w:lang w:val="fr-FR"/>
              </w:rPr>
              <w:t>leur collaboration</w:t>
            </w:r>
            <w:r w:rsidRPr="00AB0F02">
              <w:rPr>
                <w:b/>
                <w:bCs/>
                <w:lang w:val="fr-FR"/>
              </w:rPr>
              <w:t>.</w:t>
            </w:r>
          </w:p>
          <w:p w14:paraId="75BB99CC" w14:textId="6BE7301E" w:rsidR="000661F7" w:rsidRPr="00D53B0B" w:rsidRDefault="000661F7" w:rsidP="0094269B">
            <w:pPr>
              <w:spacing w:before="40" w:after="120"/>
              <w:ind w:right="113"/>
            </w:pPr>
            <w:r w:rsidRPr="00D53B0B">
              <w:rPr>
                <w:lang w:val="fr-FR"/>
              </w:rPr>
              <w:t>Le Président du Groupe de travail des véhicules automatisés/autonomes et connectés (GRVA) assiste aux sessions du WP.1 pour y présenter des informations sur les travaux en cours et sur l</w:t>
            </w:r>
            <w:r>
              <w:rPr>
                <w:lang w:val="fr-FR"/>
              </w:rPr>
              <w:t>’</w:t>
            </w:r>
            <w:r w:rsidRPr="00D53B0B">
              <w:rPr>
                <w:lang w:val="fr-FR"/>
              </w:rPr>
              <w:t>évolution de la réglementation qu</w:t>
            </w:r>
            <w:r>
              <w:rPr>
                <w:lang w:val="fr-FR"/>
              </w:rPr>
              <w:t>’</w:t>
            </w:r>
            <w:r w:rsidRPr="00D53B0B">
              <w:rPr>
                <w:lang w:val="fr-FR"/>
              </w:rPr>
              <w:t>il était prévu d</w:t>
            </w:r>
            <w:r>
              <w:rPr>
                <w:lang w:val="fr-FR"/>
              </w:rPr>
              <w:t>’</w:t>
            </w:r>
            <w:r w:rsidRPr="00D53B0B">
              <w:rPr>
                <w:lang w:val="fr-FR"/>
              </w:rPr>
              <w:t>adopter compte tenu des progrès des technologies automobiles installées à bord des véhicules.</w:t>
            </w:r>
          </w:p>
          <w:p w14:paraId="39081DA6" w14:textId="0179E993" w:rsidR="000661F7" w:rsidRPr="00ED06D8" w:rsidRDefault="000661F7" w:rsidP="0094269B">
            <w:pPr>
              <w:spacing w:before="40" w:after="120"/>
              <w:ind w:right="113"/>
              <w:rPr>
                <w:lang w:val="fr-FR"/>
              </w:rPr>
            </w:pPr>
            <w:r w:rsidRPr="00D53B0B">
              <w:rPr>
                <w:lang w:val="fr-FR"/>
              </w:rPr>
              <w:t>Le WP.1 a proposé au Président du GRVA d</w:t>
            </w:r>
            <w:r>
              <w:rPr>
                <w:lang w:val="fr-FR"/>
              </w:rPr>
              <w:t>’</w:t>
            </w:r>
            <w:r w:rsidRPr="00D53B0B">
              <w:rPr>
                <w:lang w:val="fr-FR"/>
              </w:rPr>
              <w:t xml:space="preserve">organiser (avec le GRVA </w:t>
            </w:r>
            <w:r>
              <w:rPr>
                <w:lang w:val="fr-FR"/>
              </w:rPr>
              <w:t>ou</w:t>
            </w:r>
            <w:r w:rsidRPr="00D53B0B">
              <w:rPr>
                <w:lang w:val="fr-FR"/>
              </w:rPr>
              <w:t xml:space="preserve"> le WP.29) une manifestation conjointe en 2022 afin de permettre aux acteurs de la sécurité routière d</w:t>
            </w:r>
            <w:r>
              <w:rPr>
                <w:lang w:val="fr-FR"/>
              </w:rPr>
              <w:t>’</w:t>
            </w:r>
            <w:r w:rsidRPr="00D53B0B">
              <w:rPr>
                <w:lang w:val="fr-FR"/>
              </w:rPr>
              <w:t>échanger des points de vue et des expériences sur les rapides avancées technologiques des dernières années.</w:t>
            </w:r>
            <w:r w:rsidRPr="00AB0F02">
              <w:rPr>
                <w:lang w:val="fr-FR"/>
              </w:rPr>
              <w:t xml:space="preserve"> </w:t>
            </w:r>
            <w:r w:rsidRPr="00937BDD">
              <w:rPr>
                <w:strike/>
                <w:lang w:val="fr-FR"/>
              </w:rPr>
              <w:t xml:space="preserve">La proposition </w:t>
            </w:r>
            <w:r w:rsidRPr="00021B22">
              <w:rPr>
                <w:strike/>
                <w:lang w:val="fr-FR"/>
              </w:rPr>
              <w:t>est soumise à l</w:t>
            </w:r>
            <w:r>
              <w:rPr>
                <w:strike/>
                <w:lang w:val="fr-FR"/>
              </w:rPr>
              <w:t>’</w:t>
            </w:r>
            <w:r w:rsidRPr="00021B22">
              <w:rPr>
                <w:strike/>
                <w:lang w:val="fr-FR"/>
              </w:rPr>
              <w:t xml:space="preserve">acceptation du </w:t>
            </w:r>
            <w:r>
              <w:rPr>
                <w:strike/>
                <w:lang w:val="fr-FR"/>
              </w:rPr>
              <w:t xml:space="preserve">GRVA et du WP.29 </w:t>
            </w:r>
            <w:r w:rsidRPr="00AD0CB5">
              <w:rPr>
                <w:b/>
                <w:bCs/>
                <w:lang w:val="fr-FR"/>
              </w:rPr>
              <w:t>Le GRVA</w:t>
            </w:r>
            <w:r>
              <w:rPr>
                <w:b/>
                <w:bCs/>
                <w:lang w:val="fr-FR"/>
              </w:rPr>
              <w:t xml:space="preserve"> a examiné </w:t>
            </w:r>
            <w:r w:rsidRPr="00AD0CB5">
              <w:rPr>
                <w:b/>
                <w:bCs/>
                <w:lang w:val="fr-FR"/>
              </w:rPr>
              <w:t xml:space="preserve">et approuvé </w:t>
            </w:r>
            <w:r>
              <w:rPr>
                <w:b/>
                <w:bCs/>
                <w:lang w:val="fr-FR"/>
              </w:rPr>
              <w:t xml:space="preserve">cette proposition </w:t>
            </w:r>
            <w:r w:rsidRPr="00AD0CB5">
              <w:rPr>
                <w:b/>
                <w:bCs/>
                <w:lang w:val="fr-FR"/>
              </w:rPr>
              <w:t>en septembre 2021</w:t>
            </w:r>
            <w:r w:rsidRPr="00AB0F02">
              <w:rPr>
                <w:b/>
                <w:bCs/>
                <w:lang w:val="fr-FR"/>
              </w:rPr>
              <w:t xml:space="preserve">. </w:t>
            </w:r>
            <w:r w:rsidRPr="00AD0CB5">
              <w:rPr>
                <w:b/>
                <w:bCs/>
                <w:lang w:val="fr-FR"/>
              </w:rPr>
              <w:t xml:space="preserve">Le WP.1 et le WP.29 vont </w:t>
            </w:r>
            <w:r w:rsidRPr="001E76F0">
              <w:rPr>
                <w:b/>
                <w:bCs/>
                <w:lang w:val="fr-FR"/>
              </w:rPr>
              <w:t>réfléchir aux modalités d’une</w:t>
            </w:r>
            <w:r w:rsidRPr="00AB0F02">
              <w:rPr>
                <w:b/>
                <w:bCs/>
                <w:lang w:val="fr-FR"/>
              </w:rPr>
              <w:t xml:space="preserve"> collaboration ultérieure. </w:t>
            </w:r>
            <w:r>
              <w:rPr>
                <w:b/>
                <w:bCs/>
                <w:lang w:val="fr-FR"/>
              </w:rPr>
              <w:t>Le</w:t>
            </w:r>
            <w:r w:rsidRPr="00AB0F02">
              <w:rPr>
                <w:b/>
                <w:bCs/>
                <w:lang w:val="fr-FR"/>
              </w:rPr>
              <w:t xml:space="preserve"> </w:t>
            </w:r>
            <w:r w:rsidRPr="00A76CE8">
              <w:rPr>
                <w:b/>
                <w:bCs/>
                <w:lang w:val="fr-FR"/>
              </w:rPr>
              <w:t>groupe informel d</w:t>
            </w:r>
            <w:r>
              <w:rPr>
                <w:b/>
                <w:bCs/>
                <w:lang w:val="fr-FR"/>
              </w:rPr>
              <w:t>’</w:t>
            </w:r>
            <w:r w:rsidRPr="00A76CE8">
              <w:rPr>
                <w:b/>
                <w:bCs/>
                <w:lang w:val="fr-FR"/>
              </w:rPr>
              <w:t xml:space="preserve">experts de la conduite automatisée </w:t>
            </w:r>
            <w:r>
              <w:rPr>
                <w:b/>
                <w:bCs/>
                <w:lang w:val="fr-FR"/>
              </w:rPr>
              <w:t>(</w:t>
            </w:r>
            <w:r w:rsidRPr="00A76CE8">
              <w:rPr>
                <w:b/>
                <w:bCs/>
                <w:lang w:val="fr-FR"/>
              </w:rPr>
              <w:t>du WP.1</w:t>
            </w:r>
            <w:r>
              <w:rPr>
                <w:b/>
                <w:bCs/>
                <w:lang w:val="fr-FR"/>
              </w:rPr>
              <w:t xml:space="preserve">) </w:t>
            </w:r>
            <w:r w:rsidRPr="00AB0F02">
              <w:rPr>
                <w:b/>
                <w:bCs/>
                <w:lang w:val="fr-FR"/>
              </w:rPr>
              <w:t xml:space="preserve">et le </w:t>
            </w:r>
            <w:r w:rsidRPr="00D87A82">
              <w:rPr>
                <w:b/>
                <w:bCs/>
                <w:lang w:val="fr-FR"/>
              </w:rPr>
              <w:t>groupe de travail informel des prescriptions fonctionnelles applicables aux véhicules automatisés</w:t>
            </w:r>
            <w:r w:rsidRPr="00AB0F02">
              <w:rPr>
                <w:b/>
                <w:bCs/>
                <w:lang w:val="fr-FR"/>
              </w:rPr>
              <w:t xml:space="preserve"> </w:t>
            </w:r>
            <w:r>
              <w:rPr>
                <w:b/>
                <w:bCs/>
                <w:lang w:val="fr-FR"/>
              </w:rPr>
              <w:t xml:space="preserve">(du GRVA) </w:t>
            </w:r>
            <w:r w:rsidRPr="00AB0F02">
              <w:rPr>
                <w:b/>
                <w:bCs/>
                <w:lang w:val="fr-FR"/>
              </w:rPr>
              <w:t>organiseront un atelier les 7 et 8</w:t>
            </w:r>
            <w:r w:rsidR="001E76F0">
              <w:rPr>
                <w:b/>
                <w:bCs/>
                <w:lang w:val="fr-FR"/>
              </w:rPr>
              <w:t> </w:t>
            </w:r>
            <w:r w:rsidRPr="00AB0F02">
              <w:rPr>
                <w:b/>
                <w:bCs/>
                <w:lang w:val="fr-FR"/>
              </w:rPr>
              <w:t>novembre 2022.</w:t>
            </w:r>
          </w:p>
        </w:tc>
        <w:tc>
          <w:tcPr>
            <w:tcW w:w="2500" w:type="dxa"/>
            <w:shd w:val="clear" w:color="auto" w:fill="auto"/>
          </w:tcPr>
          <w:p w14:paraId="07662A92" w14:textId="77777777" w:rsidR="000661F7" w:rsidRPr="0067484D" w:rsidRDefault="000661F7" w:rsidP="0094269B">
            <w:pPr>
              <w:spacing w:before="40" w:after="120"/>
              <w:ind w:right="113"/>
            </w:pPr>
            <w:r>
              <w:rPr>
                <w:lang w:val="fr-FR"/>
              </w:rPr>
              <w:t xml:space="preserve">Continuer de collaborer étroitement. </w:t>
            </w:r>
          </w:p>
        </w:tc>
        <w:tc>
          <w:tcPr>
            <w:tcW w:w="1667" w:type="dxa"/>
            <w:shd w:val="clear" w:color="auto" w:fill="auto"/>
          </w:tcPr>
          <w:p w14:paraId="757BDE87" w14:textId="77777777" w:rsidR="000661F7" w:rsidRPr="00ED06D8" w:rsidRDefault="000661F7" w:rsidP="0094269B">
            <w:pPr>
              <w:spacing w:before="40" w:after="120"/>
              <w:ind w:right="113"/>
              <w:rPr>
                <w:lang w:val="fr-FR"/>
              </w:rPr>
            </w:pPr>
            <w:r>
              <w:rPr>
                <w:lang w:val="fr-FR"/>
              </w:rPr>
              <w:t xml:space="preserve">Les secrétaires du WP.1 et du WP.29 </w:t>
            </w:r>
          </w:p>
        </w:tc>
      </w:tr>
      <w:tr w:rsidR="000661F7" w:rsidRPr="0067484D" w14:paraId="07B8D9F7" w14:textId="77777777" w:rsidTr="0094269B">
        <w:tc>
          <w:tcPr>
            <w:tcW w:w="500" w:type="dxa"/>
            <w:shd w:val="clear" w:color="auto" w:fill="auto"/>
          </w:tcPr>
          <w:p w14:paraId="3959B0E4" w14:textId="77777777" w:rsidR="000661F7" w:rsidRPr="0067484D" w:rsidRDefault="000661F7" w:rsidP="0094269B">
            <w:pPr>
              <w:spacing w:before="40" w:after="120"/>
              <w:ind w:right="113"/>
            </w:pPr>
            <w:r>
              <w:rPr>
                <w:lang w:val="fr-FR"/>
              </w:rPr>
              <w:t>5.13</w:t>
            </w:r>
          </w:p>
        </w:tc>
        <w:tc>
          <w:tcPr>
            <w:tcW w:w="1778" w:type="dxa"/>
            <w:shd w:val="clear" w:color="auto" w:fill="auto"/>
          </w:tcPr>
          <w:p w14:paraId="40E3F1BF" w14:textId="2E0F9922" w:rsidR="000661F7" w:rsidRPr="00ED06D8" w:rsidRDefault="000661F7" w:rsidP="0094269B">
            <w:pPr>
              <w:spacing w:before="40" w:after="120"/>
              <w:ind w:right="113"/>
              <w:rPr>
                <w:lang w:val="fr-FR"/>
              </w:rPr>
            </w:pPr>
            <w:r>
              <w:rPr>
                <w:lang w:val="fr-FR"/>
              </w:rPr>
              <w:t>Mettre à jour la base de données pour l’échange d’informations concernant l’homologation de type (DETA) et l’héberger sur le site de la CEE (à partir de 2022)</w:t>
            </w:r>
          </w:p>
        </w:tc>
        <w:tc>
          <w:tcPr>
            <w:tcW w:w="3194" w:type="dxa"/>
            <w:shd w:val="clear" w:color="auto" w:fill="auto"/>
          </w:tcPr>
          <w:p w14:paraId="03BDFAD7" w14:textId="1BA09375" w:rsidR="000661F7" w:rsidRPr="00ED06D8" w:rsidRDefault="000661F7" w:rsidP="0094269B">
            <w:pPr>
              <w:spacing w:before="40" w:after="120"/>
              <w:ind w:right="113"/>
              <w:rPr>
                <w:lang w:val="fr-FR"/>
              </w:rPr>
            </w:pPr>
            <w:r>
              <w:rPr>
                <w:lang w:val="fr-FR"/>
              </w:rPr>
              <w:t xml:space="preserve">La DETA est opérationnelle depuis le début de l’année 2020. Elle est actuellement hébergée par l’Allemagne à titre de contribution en nature. Deux modules supplémentaires (l’identifiant unique et la déclaration de conformité) sont en cours d’élaboration et sont financés par des contributions en nature de parties prenantes non </w:t>
            </w:r>
            <w:r>
              <w:rPr>
                <w:lang w:val="fr-FR"/>
              </w:rPr>
              <w:lastRenderedPageBreak/>
              <w:t>gouvernementales (Comité international de l’inspection technique automobile, Organisation internationale des constructeurs d’automobiles et Association européenne des fournisseurs de l’automobile).</w:t>
            </w:r>
          </w:p>
          <w:p w14:paraId="2A4CC467" w14:textId="180172E1" w:rsidR="000661F7" w:rsidRPr="00ED06D8" w:rsidRDefault="000661F7" w:rsidP="0094269B">
            <w:pPr>
              <w:spacing w:before="40" w:after="120"/>
              <w:ind w:right="113"/>
              <w:rPr>
                <w:lang w:val="fr-FR"/>
              </w:rPr>
            </w:pPr>
            <w:r>
              <w:rPr>
                <w:lang w:val="fr-FR"/>
              </w:rPr>
              <w:t>Jusqu’à présent, la Cinquième Commission n’a pas approuvé le financement de l’hébergement de la DETA sur le site de la CEE au titre du budget ordinaire.</w:t>
            </w:r>
          </w:p>
        </w:tc>
        <w:tc>
          <w:tcPr>
            <w:tcW w:w="2500" w:type="dxa"/>
            <w:shd w:val="clear" w:color="auto" w:fill="auto"/>
          </w:tcPr>
          <w:p w14:paraId="5E176308" w14:textId="58488355" w:rsidR="000661F7" w:rsidRPr="00ED06D8" w:rsidRDefault="000661F7" w:rsidP="0094269B">
            <w:pPr>
              <w:spacing w:before="40" w:after="120"/>
              <w:ind w:right="113"/>
              <w:rPr>
                <w:lang w:val="fr-FR"/>
              </w:rPr>
            </w:pPr>
            <w:r>
              <w:rPr>
                <w:lang w:val="fr-FR"/>
              </w:rPr>
              <w:lastRenderedPageBreak/>
              <w:t>Poursuivre les efforts pour tenir la DETA à jour et l’héberger sur le site de la CEE.</w:t>
            </w:r>
          </w:p>
        </w:tc>
        <w:tc>
          <w:tcPr>
            <w:tcW w:w="1667" w:type="dxa"/>
            <w:shd w:val="clear" w:color="auto" w:fill="auto"/>
          </w:tcPr>
          <w:p w14:paraId="423F0BEA" w14:textId="77777777" w:rsidR="000661F7" w:rsidRPr="0067484D" w:rsidRDefault="000661F7" w:rsidP="0094269B">
            <w:pPr>
              <w:spacing w:before="40" w:after="120"/>
              <w:ind w:right="113"/>
            </w:pPr>
            <w:r>
              <w:rPr>
                <w:lang w:val="fr-FR"/>
              </w:rPr>
              <w:t>Le secrétaire du WP.29</w:t>
            </w:r>
          </w:p>
        </w:tc>
      </w:tr>
      <w:tr w:rsidR="000661F7" w:rsidRPr="0067484D" w14:paraId="4C4F06D8" w14:textId="77777777" w:rsidTr="0094269B">
        <w:tc>
          <w:tcPr>
            <w:tcW w:w="500" w:type="dxa"/>
            <w:shd w:val="clear" w:color="auto" w:fill="auto"/>
          </w:tcPr>
          <w:p w14:paraId="598E96EB" w14:textId="77777777" w:rsidR="000661F7" w:rsidRPr="0067484D" w:rsidRDefault="000661F7" w:rsidP="0094269B">
            <w:pPr>
              <w:spacing w:before="40" w:after="120"/>
              <w:ind w:right="113"/>
            </w:pPr>
            <w:r>
              <w:rPr>
                <w:lang w:val="fr-FR"/>
              </w:rPr>
              <w:t>5.14</w:t>
            </w:r>
          </w:p>
        </w:tc>
        <w:tc>
          <w:tcPr>
            <w:tcW w:w="1778" w:type="dxa"/>
            <w:shd w:val="clear" w:color="auto" w:fill="auto"/>
          </w:tcPr>
          <w:p w14:paraId="4E40AC6E" w14:textId="346ACF99" w:rsidR="000661F7" w:rsidRPr="00ED06D8" w:rsidRDefault="000661F7" w:rsidP="0094269B">
            <w:pPr>
              <w:spacing w:before="40" w:after="120"/>
              <w:ind w:right="113"/>
              <w:rPr>
                <w:lang w:val="fr-FR"/>
              </w:rPr>
            </w:pPr>
            <w:r>
              <w:rPr>
                <w:lang w:val="fr-FR"/>
              </w:rPr>
              <w:t>Promouvoir l’adhésion à l’e</w:t>
            </w:r>
            <w:r>
              <w:rPr>
                <w:lang w:val="fr-FR"/>
              </w:rPr>
              <w:noBreakHyphen/>
              <w:t>CMR et sa mise en application (à partir de 2019)</w:t>
            </w:r>
          </w:p>
        </w:tc>
        <w:tc>
          <w:tcPr>
            <w:tcW w:w="3194" w:type="dxa"/>
            <w:shd w:val="clear" w:color="auto" w:fill="auto"/>
          </w:tcPr>
          <w:p w14:paraId="2223E9DB" w14:textId="638C5344" w:rsidR="000661F7" w:rsidRPr="00560BC4" w:rsidRDefault="000661F7" w:rsidP="0094269B">
            <w:pPr>
              <w:spacing w:before="40" w:after="120"/>
              <w:ind w:right="113"/>
              <w:rPr>
                <w:b/>
                <w:bCs/>
              </w:rPr>
            </w:pPr>
            <w:r>
              <w:rPr>
                <w:lang w:val="fr-FR"/>
              </w:rPr>
              <w:t>À sa 114</w:t>
            </w:r>
            <w:r>
              <w:rPr>
                <w:vertAlign w:val="superscript"/>
                <w:lang w:val="fr-FR"/>
              </w:rPr>
              <w:t>e</w:t>
            </w:r>
            <w:r>
              <w:rPr>
                <w:lang w:val="fr-FR"/>
              </w:rPr>
              <w:t xml:space="preserve"> session (octobre 2019), le SC.1 a créé un groupe informel d’experts de l’e-CMR et l’a chargé d’établir, avec le soutien du secrétariat et en vue de sa présentation à une session ultérieure du Comité, un document détaillant les activités de recherche et autres mesures nécessaires ou recommandées pour mettre en application l’e-CMR. </w:t>
            </w:r>
            <w:r w:rsidRPr="004153DC">
              <w:rPr>
                <w:lang w:val="fr-FR"/>
              </w:rPr>
              <w:t>Le document a été achevé et soumis à la 116</w:t>
            </w:r>
            <w:r w:rsidRPr="004153DC">
              <w:rPr>
                <w:vertAlign w:val="superscript"/>
                <w:lang w:val="fr-FR"/>
              </w:rPr>
              <w:t>e</w:t>
            </w:r>
            <w:r w:rsidRPr="004153DC">
              <w:rPr>
                <w:lang w:val="fr-FR"/>
              </w:rPr>
              <w:t> session du SC.1.</w:t>
            </w:r>
            <w:r w:rsidRPr="006B2366">
              <w:rPr>
                <w:lang w:val="fr-FR"/>
              </w:rPr>
              <w:t xml:space="preserve"> </w:t>
            </w:r>
            <w:r w:rsidRPr="004153DC">
              <w:rPr>
                <w:lang w:val="fr-FR"/>
              </w:rPr>
              <w:t xml:space="preserve">Le SC.1 a pris note des informations et des conclusions fournies dans le document, </w:t>
            </w:r>
            <w:r>
              <w:rPr>
                <w:lang w:val="fr-FR"/>
              </w:rPr>
              <w:t>qu’il a</w:t>
            </w:r>
            <w:r w:rsidRPr="004153DC">
              <w:rPr>
                <w:lang w:val="fr-FR"/>
              </w:rPr>
              <w:t xml:space="preserve"> soumis au </w:t>
            </w:r>
            <w:r>
              <w:rPr>
                <w:lang w:val="fr-FR"/>
              </w:rPr>
              <w:t>Comité</w:t>
            </w:r>
            <w:r w:rsidRPr="004153DC">
              <w:rPr>
                <w:lang w:val="fr-FR"/>
              </w:rPr>
              <w:t xml:space="preserve"> à sa quatre-vingt-quatrième session.</w:t>
            </w:r>
            <w:r w:rsidRPr="006B2366">
              <w:rPr>
                <w:lang w:val="fr-FR"/>
              </w:rPr>
              <w:t xml:space="preserve"> </w:t>
            </w:r>
            <w:r w:rsidRPr="004153DC">
              <w:rPr>
                <w:lang w:val="fr-FR"/>
              </w:rPr>
              <w:t>Le</w:t>
            </w:r>
            <w:r w:rsidR="006D670D">
              <w:rPr>
                <w:lang w:val="fr-FR"/>
              </w:rPr>
              <w:t> </w:t>
            </w:r>
            <w:r w:rsidRPr="004153DC">
              <w:rPr>
                <w:lang w:val="fr-FR"/>
              </w:rPr>
              <w:t>SC.1 a également décidé de créer officiellement un Groupe d</w:t>
            </w:r>
            <w:r>
              <w:rPr>
                <w:lang w:val="fr-FR"/>
              </w:rPr>
              <w:t>’</w:t>
            </w:r>
            <w:r w:rsidRPr="004153DC">
              <w:rPr>
                <w:lang w:val="fr-FR"/>
              </w:rPr>
              <w:t xml:space="preserve">experts de la </w:t>
            </w:r>
            <w:r w:rsidRPr="000713DB">
              <w:rPr>
                <w:lang w:val="fr-FR"/>
              </w:rPr>
              <w:t>mise en œuvre de la procédure e</w:t>
            </w:r>
            <w:r w:rsidR="006D670D" w:rsidRPr="000713DB">
              <w:rPr>
                <w:lang w:val="fr-FR"/>
              </w:rPr>
              <w:noBreakHyphen/>
            </w:r>
            <w:r w:rsidRPr="000713DB">
              <w:rPr>
                <w:lang w:val="fr-FR"/>
              </w:rPr>
              <w:t>CMR pour une durée de deux ans (2022 et 2023) afin de débattre et, si possible, d’établir les dispositions de l’article 5 du Protocole additionnel à la CMR</w:t>
            </w:r>
            <w:r w:rsidRPr="000713DB">
              <w:rPr>
                <w:b/>
                <w:bCs/>
                <w:lang w:val="fr-FR"/>
              </w:rPr>
              <w:t>. Le CTI et le Comité exécutif ont approuvé la création de ce groupe d’experts (respectivement en février et mai 2022).</w:t>
            </w:r>
            <w:r w:rsidRPr="000713DB">
              <w:t xml:space="preserve"> </w:t>
            </w:r>
            <w:r w:rsidRPr="000713DB">
              <w:rPr>
                <w:b/>
                <w:bCs/>
                <w:lang w:val="fr-FR"/>
              </w:rPr>
              <w:t>Le GE.22 s’est réuni trois fois en 2022. Il a adopté un programme de travail et bien avancé dans la hiérarchisation de ses objectifs, en se concentrant sur l’analyse des dispositions de l’article 5 et des principales dispositions de la Convention CMR qui devraient être transposées dans un environnement électronique, l’objectif principal étant la mise au point de l’architecture de haut niveau du futur système eCMR</w:t>
            </w:r>
            <w:r w:rsidRPr="006B2366">
              <w:rPr>
                <w:b/>
                <w:bCs/>
                <w:lang w:val="fr-FR"/>
              </w:rPr>
              <w:t xml:space="preserve"> et de ses spécifications fonctionnelles.</w:t>
            </w:r>
          </w:p>
          <w:p w14:paraId="651666BB" w14:textId="62C6C026" w:rsidR="000661F7" w:rsidRPr="00A33791" w:rsidRDefault="000661F7" w:rsidP="0094269B">
            <w:pPr>
              <w:spacing w:before="40" w:after="120"/>
              <w:ind w:right="113"/>
              <w:rPr>
                <w:strike/>
                <w:lang w:val="fr-FR"/>
              </w:rPr>
            </w:pPr>
            <w:r w:rsidRPr="006B2366">
              <w:rPr>
                <w:b/>
                <w:bCs/>
                <w:lang w:val="fr-FR"/>
              </w:rPr>
              <w:lastRenderedPageBreak/>
              <w:t>Le projet de la Banque islamique de développement a été finalisé et un rapport a été établi qui</w:t>
            </w:r>
            <w:r w:rsidR="006D670D">
              <w:rPr>
                <w:b/>
                <w:bCs/>
                <w:lang w:val="fr-FR"/>
              </w:rPr>
              <w:t> :</w:t>
            </w:r>
            <w:r w:rsidRPr="006B2366">
              <w:rPr>
                <w:b/>
                <w:bCs/>
                <w:lang w:val="fr-FR"/>
              </w:rPr>
              <w:t xml:space="preserve"> a)</w:t>
            </w:r>
            <w:r w:rsidR="006D670D">
              <w:rPr>
                <w:b/>
                <w:bCs/>
                <w:lang w:val="fr-FR"/>
              </w:rPr>
              <w:t> </w:t>
            </w:r>
            <w:r w:rsidRPr="006B2366">
              <w:rPr>
                <w:b/>
                <w:bCs/>
                <w:lang w:val="fr-FR"/>
              </w:rPr>
              <w:t>résume les points de vue et les besoins des dix États membres de la région de l</w:t>
            </w:r>
            <w:r>
              <w:rPr>
                <w:b/>
                <w:bCs/>
                <w:lang w:val="fr-FR"/>
              </w:rPr>
              <w:t>’</w:t>
            </w:r>
            <w:r w:rsidRPr="006B2366">
              <w:rPr>
                <w:b/>
                <w:bCs/>
                <w:lang w:val="fr-FR"/>
              </w:rPr>
              <w:t xml:space="preserve">Organisation de coopération </w:t>
            </w:r>
            <w:r w:rsidRPr="000713DB">
              <w:rPr>
                <w:b/>
                <w:bCs/>
                <w:lang w:val="fr-FR"/>
              </w:rPr>
              <w:t xml:space="preserve">économique pour le futur système </w:t>
            </w:r>
            <w:proofErr w:type="spellStart"/>
            <w:r w:rsidRPr="000713DB">
              <w:rPr>
                <w:b/>
                <w:bCs/>
                <w:lang w:val="fr-FR"/>
              </w:rPr>
              <w:t>eCMR</w:t>
            </w:r>
            <w:proofErr w:type="spellEnd"/>
            <w:r w:rsidR="006D670D" w:rsidRPr="000713DB">
              <w:rPr>
                <w:b/>
                <w:bCs/>
                <w:lang w:val="fr-FR"/>
              </w:rPr>
              <w:t> ;</w:t>
            </w:r>
            <w:r w:rsidRPr="000713DB">
              <w:rPr>
                <w:b/>
                <w:bCs/>
                <w:lang w:val="fr-FR"/>
              </w:rPr>
              <w:t xml:space="preserve"> et b)</w:t>
            </w:r>
            <w:r w:rsidR="006D670D" w:rsidRPr="000713DB">
              <w:rPr>
                <w:b/>
                <w:bCs/>
                <w:lang w:val="fr-FR"/>
              </w:rPr>
              <w:t> </w:t>
            </w:r>
            <w:r w:rsidRPr="000713DB">
              <w:rPr>
                <w:b/>
                <w:bCs/>
                <w:lang w:val="fr-FR"/>
              </w:rPr>
              <w:t>décrit les spécifications</w:t>
            </w:r>
            <w:r w:rsidRPr="006B2366">
              <w:rPr>
                <w:b/>
                <w:bCs/>
                <w:lang w:val="fr-FR"/>
              </w:rPr>
              <w:t xml:space="preserve"> fonctionnelles du futur système eCMR sur la base des besoins des États membres de cette région, qui sera soumis au groupe d</w:t>
            </w:r>
            <w:r>
              <w:rPr>
                <w:b/>
                <w:bCs/>
                <w:lang w:val="fr-FR"/>
              </w:rPr>
              <w:t>’</w:t>
            </w:r>
            <w:r w:rsidRPr="006B2366">
              <w:rPr>
                <w:b/>
                <w:bCs/>
                <w:lang w:val="fr-FR"/>
              </w:rPr>
              <w:t>experts de l</w:t>
            </w:r>
            <w:r>
              <w:rPr>
                <w:b/>
                <w:bCs/>
                <w:lang w:val="fr-FR"/>
              </w:rPr>
              <w:t>’</w:t>
            </w:r>
            <w:r w:rsidRPr="006B2366">
              <w:rPr>
                <w:b/>
                <w:bCs/>
                <w:lang w:val="fr-FR"/>
              </w:rPr>
              <w:t>opérationnalisation de l</w:t>
            </w:r>
            <w:r>
              <w:rPr>
                <w:b/>
                <w:bCs/>
                <w:lang w:val="fr-FR"/>
              </w:rPr>
              <w:t>’</w:t>
            </w:r>
            <w:proofErr w:type="spellStart"/>
            <w:r w:rsidRPr="006B2366">
              <w:rPr>
                <w:b/>
                <w:bCs/>
                <w:lang w:val="fr-FR"/>
              </w:rPr>
              <w:t>eCMR</w:t>
            </w:r>
            <w:proofErr w:type="spellEnd"/>
            <w:r w:rsidRPr="006B2366">
              <w:rPr>
                <w:b/>
                <w:bCs/>
                <w:lang w:val="fr-FR"/>
              </w:rPr>
              <w:t xml:space="preserve"> pour examen.</w:t>
            </w:r>
          </w:p>
        </w:tc>
        <w:tc>
          <w:tcPr>
            <w:tcW w:w="2500" w:type="dxa"/>
            <w:shd w:val="clear" w:color="auto" w:fill="auto"/>
          </w:tcPr>
          <w:p w14:paraId="27700DB2" w14:textId="546B5E15" w:rsidR="000661F7" w:rsidRPr="00ED06D8" w:rsidRDefault="000661F7" w:rsidP="0094269B">
            <w:pPr>
              <w:spacing w:before="40" w:after="120"/>
              <w:ind w:right="113"/>
              <w:rPr>
                <w:lang w:val="fr-FR"/>
              </w:rPr>
            </w:pPr>
            <w:r>
              <w:rPr>
                <w:lang w:val="fr-FR"/>
              </w:rPr>
              <w:lastRenderedPageBreak/>
              <w:t>1. Poursuivre la mise en application de l’e-CMR.</w:t>
            </w:r>
          </w:p>
          <w:p w14:paraId="10CA1F83" w14:textId="716D1F70" w:rsidR="000661F7" w:rsidRPr="00ED06D8" w:rsidRDefault="000661F7" w:rsidP="0094269B">
            <w:pPr>
              <w:spacing w:before="40" w:after="120"/>
              <w:ind w:right="113"/>
              <w:rPr>
                <w:lang w:val="fr-FR"/>
              </w:rPr>
            </w:pPr>
            <w:r>
              <w:rPr>
                <w:lang w:val="fr-FR"/>
              </w:rPr>
              <w:t>2. Exécuter le projet e-CMR dans les pays mentionnés grâce au financement de la BID et promouvoir l’adhésion de ces pays à l’e</w:t>
            </w:r>
            <w:r>
              <w:rPr>
                <w:lang w:val="fr-FR"/>
              </w:rPr>
              <w:noBreakHyphen/>
              <w:t>CMR.</w:t>
            </w:r>
          </w:p>
        </w:tc>
        <w:tc>
          <w:tcPr>
            <w:tcW w:w="1667" w:type="dxa"/>
            <w:shd w:val="clear" w:color="auto" w:fill="auto"/>
          </w:tcPr>
          <w:p w14:paraId="3527A0C2" w14:textId="77777777" w:rsidR="000661F7" w:rsidRPr="0067484D" w:rsidRDefault="000661F7" w:rsidP="0094269B">
            <w:pPr>
              <w:spacing w:before="40" w:after="120"/>
              <w:ind w:right="113"/>
            </w:pPr>
            <w:r>
              <w:rPr>
                <w:lang w:val="fr-FR"/>
              </w:rPr>
              <w:t>1-2. Le secrétaire du SC.1</w:t>
            </w:r>
          </w:p>
        </w:tc>
      </w:tr>
      <w:tr w:rsidR="000661F7" w:rsidRPr="00D466A5" w14:paraId="7BA46118" w14:textId="77777777" w:rsidTr="0094269B">
        <w:tc>
          <w:tcPr>
            <w:tcW w:w="500" w:type="dxa"/>
            <w:shd w:val="clear" w:color="auto" w:fill="auto"/>
          </w:tcPr>
          <w:p w14:paraId="0EC67A8B" w14:textId="77777777" w:rsidR="000661F7" w:rsidRPr="0067484D" w:rsidRDefault="000661F7" w:rsidP="0094269B">
            <w:pPr>
              <w:spacing w:before="40" w:after="100"/>
              <w:ind w:right="113"/>
            </w:pPr>
            <w:r>
              <w:rPr>
                <w:lang w:val="fr-FR"/>
              </w:rPr>
              <w:t>5.15</w:t>
            </w:r>
          </w:p>
        </w:tc>
        <w:tc>
          <w:tcPr>
            <w:tcW w:w="1778" w:type="dxa"/>
            <w:shd w:val="clear" w:color="auto" w:fill="auto"/>
          </w:tcPr>
          <w:p w14:paraId="6F57D373" w14:textId="27F6FDDA" w:rsidR="000661F7" w:rsidRPr="00ED06D8" w:rsidRDefault="000661F7" w:rsidP="0094269B">
            <w:pPr>
              <w:spacing w:before="40" w:after="100"/>
              <w:ind w:right="113"/>
              <w:rPr>
                <w:lang w:val="fr-FR"/>
              </w:rPr>
            </w:pPr>
            <w:r>
              <w:rPr>
                <w:lang w:val="fr-FR"/>
              </w:rPr>
              <w:t xml:space="preserve">Développer progressivement le </w:t>
            </w:r>
            <w:r w:rsidRPr="000713DB">
              <w:rPr>
                <w:lang w:val="fr-FR"/>
              </w:rPr>
              <w:t>système eTIR pour</w:t>
            </w:r>
            <w:r w:rsidRPr="006D670D">
              <w:rPr>
                <w:lang w:val="fr-FR"/>
              </w:rPr>
              <w:t xml:space="preserve"> qu’il puisse éventuellement être complètement en place d’ici à 2023</w:t>
            </w:r>
            <w:r>
              <w:rPr>
                <w:lang w:val="fr-FR"/>
              </w:rPr>
              <w:t>, sous réserve de l’entrée en vigueur de la nouvelle annexe 11 de la Convention TIR</w:t>
            </w:r>
          </w:p>
        </w:tc>
        <w:tc>
          <w:tcPr>
            <w:tcW w:w="3194" w:type="dxa"/>
            <w:shd w:val="clear" w:color="auto" w:fill="auto"/>
          </w:tcPr>
          <w:p w14:paraId="1757E262" w14:textId="174FBA4F" w:rsidR="000661F7" w:rsidRPr="004A4603" w:rsidRDefault="000661F7" w:rsidP="0094269B">
            <w:pPr>
              <w:spacing w:before="40" w:after="100"/>
              <w:ind w:right="113"/>
              <w:rPr>
                <w:b/>
                <w:bCs/>
                <w:lang w:val="fr-FR"/>
              </w:rPr>
            </w:pPr>
            <w:r w:rsidRPr="004A4603">
              <w:rPr>
                <w:spacing w:val="-2"/>
                <w:lang w:val="fr-FR"/>
              </w:rPr>
              <w:t xml:space="preserve">La nouvelle annexe 11 et les amendements connexes à la Convention TIR, qui concernent le système eTIR, ont été adoptés par les Parties contractantes à la Convention à la session de février 2020 du Comité de gestion. </w:t>
            </w:r>
            <w:r w:rsidRPr="004A4603">
              <w:rPr>
                <w:lang w:val="fr-FR"/>
              </w:rPr>
              <w:t>La nouvelle annexe est entrée en vigueur le 25 mai 2021.</w:t>
            </w:r>
            <w:r w:rsidRPr="004A4603">
              <w:rPr>
                <w:b/>
                <w:bCs/>
                <w:lang w:val="fr-FR"/>
              </w:rPr>
              <w:t xml:space="preserve"> La</w:t>
            </w:r>
            <w:r w:rsidR="006D670D">
              <w:rPr>
                <w:b/>
                <w:bCs/>
                <w:lang w:val="fr-FR"/>
              </w:rPr>
              <w:t> </w:t>
            </w:r>
            <w:r w:rsidRPr="004A4603">
              <w:rPr>
                <w:b/>
                <w:bCs/>
                <w:lang w:val="fr-FR"/>
              </w:rPr>
              <w:t>version 4.3 des spécifications conceptuelles, fonctionnelles et techniques eTIR a été adoptée par l</w:t>
            </w:r>
            <w:r>
              <w:rPr>
                <w:b/>
                <w:bCs/>
                <w:lang w:val="fr-FR"/>
              </w:rPr>
              <w:t>’</w:t>
            </w:r>
            <w:r w:rsidRPr="004A4603">
              <w:rPr>
                <w:b/>
                <w:bCs/>
                <w:lang w:val="fr-FR"/>
              </w:rPr>
              <w:t>Organe de mise en œuvre technique à sa première session (janvier 2022) et par l</w:t>
            </w:r>
            <w:r>
              <w:rPr>
                <w:b/>
                <w:bCs/>
                <w:lang w:val="fr-FR"/>
              </w:rPr>
              <w:t>’</w:t>
            </w:r>
            <w:r w:rsidRPr="004A4603">
              <w:rPr>
                <w:b/>
                <w:bCs/>
                <w:lang w:val="fr-FR"/>
              </w:rPr>
              <w:t>AC.2 à sa soixante-dix-septième session (février 2022).</w:t>
            </w:r>
          </w:p>
          <w:p w14:paraId="219489F8" w14:textId="77777777" w:rsidR="000661F7" w:rsidRPr="004A4603" w:rsidRDefault="000661F7" w:rsidP="0094269B">
            <w:pPr>
              <w:spacing w:before="40" w:after="100"/>
              <w:ind w:right="113"/>
              <w:rPr>
                <w:b/>
                <w:bCs/>
                <w:lang w:val="fr-FR"/>
              </w:rPr>
            </w:pPr>
            <w:r w:rsidRPr="004A4603">
              <w:rPr>
                <w:b/>
                <w:bCs/>
                <w:lang w:val="fr-FR"/>
              </w:rPr>
              <w:t xml:space="preserve">Cela </w:t>
            </w:r>
            <w:r>
              <w:rPr>
                <w:b/>
                <w:bCs/>
                <w:lang w:val="fr-FR"/>
              </w:rPr>
              <w:t>a donné</w:t>
            </w:r>
            <w:r w:rsidRPr="004A4603">
              <w:rPr>
                <w:b/>
                <w:bCs/>
                <w:lang w:val="fr-FR"/>
              </w:rPr>
              <w:t xml:space="preserve"> une base juridique et technique complète aux pays qui souhait</w:t>
            </w:r>
            <w:r>
              <w:rPr>
                <w:b/>
                <w:bCs/>
                <w:lang w:val="fr-FR"/>
              </w:rPr>
              <w:t>ai</w:t>
            </w:r>
            <w:r w:rsidRPr="004A4603">
              <w:rPr>
                <w:b/>
                <w:bCs/>
                <w:lang w:val="fr-FR"/>
              </w:rPr>
              <w:t>ent appliquer le système eTIR en 2022.</w:t>
            </w:r>
          </w:p>
          <w:p w14:paraId="5A7DA3B1" w14:textId="25F89C62" w:rsidR="000661F7" w:rsidRPr="004A4603" w:rsidRDefault="000661F7" w:rsidP="0094269B">
            <w:pPr>
              <w:spacing w:before="40" w:after="100"/>
              <w:ind w:right="113"/>
              <w:rPr>
                <w:b/>
                <w:bCs/>
                <w:lang w:val="fr-FR"/>
              </w:rPr>
            </w:pPr>
            <w:r w:rsidRPr="004A4603">
              <w:rPr>
                <w:b/>
                <w:bCs/>
                <w:lang w:val="fr-FR"/>
              </w:rPr>
              <w:t>L</w:t>
            </w:r>
            <w:r>
              <w:rPr>
                <w:b/>
                <w:bCs/>
                <w:lang w:val="fr-FR"/>
              </w:rPr>
              <w:t>’</w:t>
            </w:r>
            <w:r w:rsidRPr="004A4603">
              <w:rPr>
                <w:b/>
                <w:bCs/>
                <w:lang w:val="fr-FR"/>
              </w:rPr>
              <w:t>Azerbaïdjan, la Géorgie, l</w:t>
            </w:r>
            <w:r>
              <w:rPr>
                <w:b/>
                <w:bCs/>
                <w:lang w:val="fr-FR"/>
              </w:rPr>
              <w:t>’</w:t>
            </w:r>
            <w:r w:rsidRPr="004A4603">
              <w:rPr>
                <w:b/>
                <w:bCs/>
                <w:lang w:val="fr-FR"/>
              </w:rPr>
              <w:t>Ouzbékistan, le Pakistan, la Tunisie et la Türkiye ont achevé l</w:t>
            </w:r>
            <w:r>
              <w:rPr>
                <w:b/>
                <w:bCs/>
                <w:lang w:val="fr-FR"/>
              </w:rPr>
              <w:t>’</w:t>
            </w:r>
            <w:r w:rsidRPr="004A4603">
              <w:rPr>
                <w:b/>
                <w:bCs/>
                <w:lang w:val="fr-FR"/>
              </w:rPr>
              <w:t>interconnexion de leurs systèmes douaniers nationaux avec le système international eTIR dans l</w:t>
            </w:r>
            <w:r>
              <w:rPr>
                <w:b/>
                <w:bCs/>
                <w:lang w:val="fr-FR"/>
              </w:rPr>
              <w:t>’</w:t>
            </w:r>
            <w:r w:rsidRPr="004A4603">
              <w:rPr>
                <w:b/>
                <w:bCs/>
                <w:lang w:val="fr-FR"/>
              </w:rPr>
              <w:t>attente de l</w:t>
            </w:r>
            <w:r>
              <w:rPr>
                <w:b/>
                <w:bCs/>
                <w:lang w:val="fr-FR"/>
              </w:rPr>
              <w:t>’</w:t>
            </w:r>
            <w:r w:rsidRPr="004A4603">
              <w:rPr>
                <w:b/>
                <w:bCs/>
                <w:lang w:val="fr-FR"/>
              </w:rPr>
              <w:t>exécution des essais de conformité qui ont déjà été lancés.</w:t>
            </w:r>
          </w:p>
          <w:p w14:paraId="20FDAAC6" w14:textId="46270C03" w:rsidR="000661F7" w:rsidRPr="004A4603" w:rsidRDefault="000661F7" w:rsidP="0094269B">
            <w:pPr>
              <w:spacing w:before="40" w:after="100"/>
              <w:ind w:right="113"/>
              <w:rPr>
                <w:b/>
                <w:bCs/>
                <w:lang w:val="fr-FR"/>
              </w:rPr>
            </w:pPr>
            <w:r w:rsidRPr="004A4603">
              <w:rPr>
                <w:b/>
                <w:bCs/>
                <w:lang w:val="fr-FR"/>
              </w:rPr>
              <w:t>Pour le compte de ses 27 États membres, la Commission européenne a terminé une validation de principe visant à interconnecter le Nouveau Système de transit informatisé (NSTI) de l</w:t>
            </w:r>
            <w:r>
              <w:rPr>
                <w:b/>
                <w:bCs/>
                <w:lang w:val="fr-FR"/>
              </w:rPr>
              <w:t>’</w:t>
            </w:r>
            <w:r w:rsidRPr="004A4603">
              <w:rPr>
                <w:b/>
                <w:bCs/>
                <w:lang w:val="fr-FR"/>
              </w:rPr>
              <w:t>Union européenne avec le système international eTIR.</w:t>
            </w:r>
          </w:p>
          <w:p w14:paraId="3E8D2FDE" w14:textId="021440F1" w:rsidR="000661F7" w:rsidRPr="004A4603" w:rsidRDefault="000661F7" w:rsidP="0094269B">
            <w:pPr>
              <w:spacing w:before="40" w:after="100"/>
              <w:ind w:right="113"/>
              <w:rPr>
                <w:b/>
                <w:bCs/>
                <w:lang w:val="fr-FR"/>
              </w:rPr>
            </w:pPr>
            <w:r w:rsidRPr="004A4603">
              <w:rPr>
                <w:b/>
                <w:bCs/>
                <w:lang w:val="fr-FR"/>
              </w:rPr>
              <w:t>La CEE et l</w:t>
            </w:r>
            <w:r>
              <w:rPr>
                <w:b/>
                <w:bCs/>
                <w:lang w:val="fr-FR"/>
              </w:rPr>
              <w:t>’</w:t>
            </w:r>
            <w:r w:rsidRPr="004A4603">
              <w:rPr>
                <w:b/>
                <w:bCs/>
                <w:lang w:val="fr-FR"/>
              </w:rPr>
              <w:t>IRU ont signé un mémorandum d</w:t>
            </w:r>
            <w:r>
              <w:rPr>
                <w:b/>
                <w:bCs/>
                <w:lang w:val="fr-FR"/>
              </w:rPr>
              <w:t>’</w:t>
            </w:r>
            <w:r w:rsidRPr="004A4603">
              <w:rPr>
                <w:b/>
                <w:bCs/>
                <w:lang w:val="fr-FR"/>
              </w:rPr>
              <w:t xml:space="preserve">accord le 22 novembre 2021 en vue </w:t>
            </w:r>
            <w:r w:rsidRPr="004A4603">
              <w:rPr>
                <w:b/>
                <w:bCs/>
                <w:lang w:val="fr-FR"/>
              </w:rPr>
              <w:lastRenderedPageBreak/>
              <w:t>d</w:t>
            </w:r>
            <w:r>
              <w:rPr>
                <w:b/>
                <w:bCs/>
                <w:lang w:val="fr-FR"/>
              </w:rPr>
              <w:t>’</w:t>
            </w:r>
            <w:r w:rsidRPr="004A4603">
              <w:rPr>
                <w:b/>
                <w:bCs/>
                <w:lang w:val="fr-FR"/>
              </w:rPr>
              <w:t>appliquer la Convention TIR, et plus particulièrement son annexe 11, en assurant l</w:t>
            </w:r>
            <w:r>
              <w:rPr>
                <w:b/>
                <w:bCs/>
                <w:lang w:val="fr-FR"/>
              </w:rPr>
              <w:t>’</w:t>
            </w:r>
            <w:r w:rsidRPr="004A4603">
              <w:rPr>
                <w:b/>
                <w:bCs/>
                <w:lang w:val="fr-FR"/>
              </w:rPr>
              <w:t>interconnexion des systèmes de l</w:t>
            </w:r>
            <w:r>
              <w:rPr>
                <w:b/>
                <w:bCs/>
                <w:lang w:val="fr-FR"/>
              </w:rPr>
              <w:t>’</w:t>
            </w:r>
            <w:r w:rsidRPr="004A4603">
              <w:rPr>
                <w:b/>
                <w:bCs/>
                <w:lang w:val="fr-FR"/>
              </w:rPr>
              <w:t>IRU avec le système international eTIR.</w:t>
            </w:r>
          </w:p>
          <w:p w14:paraId="49722B7E" w14:textId="3037FCBA" w:rsidR="000661F7" w:rsidRPr="004A4603" w:rsidRDefault="000661F7" w:rsidP="0094269B">
            <w:pPr>
              <w:spacing w:before="40" w:after="100"/>
              <w:ind w:right="113"/>
              <w:rPr>
                <w:spacing w:val="-2"/>
                <w:highlight w:val="yellow"/>
                <w:lang w:val="fr-FR"/>
              </w:rPr>
            </w:pPr>
            <w:r w:rsidRPr="004A4603">
              <w:rPr>
                <w:b/>
                <w:bCs/>
                <w:lang w:val="fr-FR"/>
              </w:rPr>
              <w:t>Plusieurs activités sont organisées en dehors de la région de la CEE afin de promouvoir l</w:t>
            </w:r>
            <w:r>
              <w:rPr>
                <w:b/>
                <w:bCs/>
                <w:lang w:val="fr-FR"/>
              </w:rPr>
              <w:t>’</w:t>
            </w:r>
            <w:r w:rsidRPr="004A4603">
              <w:rPr>
                <w:b/>
                <w:bCs/>
                <w:lang w:val="fr-FR"/>
              </w:rPr>
              <w:t>adhésion à la Convention TIR et l</w:t>
            </w:r>
            <w:r>
              <w:rPr>
                <w:b/>
                <w:bCs/>
                <w:lang w:val="fr-FR"/>
              </w:rPr>
              <w:t>’</w:t>
            </w:r>
            <w:r w:rsidRPr="004A4603">
              <w:rPr>
                <w:b/>
                <w:bCs/>
                <w:lang w:val="fr-FR"/>
              </w:rPr>
              <w:t>utilisation du système international eTIR (Maroc, juin 2022, pour 16 pays subsahariens et Djibouti, décembre 2022, pour les huit États membres de l</w:t>
            </w:r>
            <w:r>
              <w:rPr>
                <w:b/>
                <w:bCs/>
                <w:lang w:val="fr-FR"/>
              </w:rPr>
              <w:t>’</w:t>
            </w:r>
            <w:r w:rsidRPr="004A4603">
              <w:rPr>
                <w:b/>
                <w:bCs/>
                <w:lang w:val="fr-FR"/>
              </w:rPr>
              <w:t>Autorité intergouvernementale pour le développement).</w:t>
            </w:r>
          </w:p>
        </w:tc>
        <w:tc>
          <w:tcPr>
            <w:tcW w:w="2500" w:type="dxa"/>
            <w:shd w:val="clear" w:color="auto" w:fill="auto"/>
          </w:tcPr>
          <w:p w14:paraId="3BFB646E" w14:textId="39E2D8DE" w:rsidR="000661F7" w:rsidRPr="00986F54" w:rsidRDefault="000661F7" w:rsidP="0094269B">
            <w:pPr>
              <w:spacing w:before="40" w:after="100"/>
              <w:ind w:right="113"/>
              <w:rPr>
                <w:spacing w:val="-2"/>
                <w:lang w:val="fr-FR"/>
              </w:rPr>
            </w:pPr>
            <w:r>
              <w:rPr>
                <w:lang w:val="fr-FR"/>
              </w:rPr>
              <w:lastRenderedPageBreak/>
              <w:t xml:space="preserve">1. Veiller à ce que la nouvelle annexe 11 entre en vigueur en 2021 </w:t>
            </w:r>
            <w:r w:rsidRPr="000713DB">
              <w:rPr>
                <w:b/>
                <w:bCs/>
                <w:lang w:val="fr-FR"/>
              </w:rPr>
              <w:t>− fait (voir la colonne « État d’avancement »)</w:t>
            </w:r>
            <w:r w:rsidRPr="000713DB">
              <w:rPr>
                <w:lang w:val="fr-FR"/>
              </w:rPr>
              <w:t>.</w:t>
            </w:r>
            <w:r w:rsidRPr="00986F54">
              <w:rPr>
                <w:spacing w:val="-2"/>
                <w:lang w:val="fr-FR"/>
              </w:rPr>
              <w:t xml:space="preserve"> </w:t>
            </w:r>
          </w:p>
          <w:p w14:paraId="364899C4" w14:textId="77777777" w:rsidR="000661F7" w:rsidRPr="00986F54" w:rsidRDefault="000661F7" w:rsidP="0094269B">
            <w:pPr>
              <w:spacing w:before="40" w:after="100"/>
              <w:ind w:right="113"/>
              <w:rPr>
                <w:spacing w:val="-2"/>
                <w:lang w:val="fr-FR"/>
              </w:rPr>
            </w:pPr>
            <w:r w:rsidRPr="00986F54">
              <w:rPr>
                <w:spacing w:val="-2"/>
                <w:lang w:val="fr-FR"/>
              </w:rPr>
              <w:t>2. Encourager les Parties contractantes à la Convention TIR à connecter leurs systèmes douaniers nationaux au système international eTIR en 2020 et 2021.</w:t>
            </w:r>
          </w:p>
          <w:p w14:paraId="1A3FCAD3" w14:textId="77777777" w:rsidR="000661F7" w:rsidRPr="00986F54" w:rsidRDefault="000661F7" w:rsidP="0094269B">
            <w:pPr>
              <w:spacing w:before="40" w:after="100"/>
              <w:ind w:right="113"/>
              <w:rPr>
                <w:spacing w:val="-2"/>
                <w:lang w:val="fr-FR"/>
              </w:rPr>
            </w:pPr>
            <w:r w:rsidRPr="00986F54">
              <w:rPr>
                <w:spacing w:val="-2"/>
                <w:lang w:val="fr-FR"/>
              </w:rPr>
              <w:t xml:space="preserve">3. Promouvoir la connexion du Nouveau système de transit informatisé (NSTI) avec le système international eTIR de la manière la plus efficace et efficiente. </w:t>
            </w:r>
          </w:p>
          <w:p w14:paraId="1C54B33B" w14:textId="392E58E9" w:rsidR="000661F7" w:rsidRPr="00ED06D8" w:rsidRDefault="000661F7" w:rsidP="0094269B">
            <w:pPr>
              <w:spacing w:before="40" w:after="100"/>
              <w:ind w:right="113"/>
              <w:rPr>
                <w:lang w:val="fr-FR"/>
              </w:rPr>
            </w:pPr>
            <w:r w:rsidRPr="00986F54">
              <w:rPr>
                <w:spacing w:val="-2"/>
                <w:lang w:val="fr-FR"/>
              </w:rPr>
              <w:t xml:space="preserve">4. Promouvoir </w:t>
            </w:r>
            <w:r>
              <w:rPr>
                <w:spacing w:val="-2"/>
                <w:lang w:val="fr-FR"/>
              </w:rPr>
              <w:t>l’application</w:t>
            </w:r>
            <w:r w:rsidRPr="00986F54">
              <w:rPr>
                <w:spacing w:val="-2"/>
                <w:lang w:val="fr-FR"/>
              </w:rPr>
              <w:t xml:space="preserve"> du système international eTIR afin d</w:t>
            </w:r>
            <w:r>
              <w:rPr>
                <w:spacing w:val="-2"/>
                <w:lang w:val="fr-FR"/>
              </w:rPr>
              <w:t>’</w:t>
            </w:r>
            <w:r w:rsidRPr="00986F54">
              <w:rPr>
                <w:spacing w:val="-2"/>
                <w:lang w:val="fr-FR"/>
              </w:rPr>
              <w:t>étendre le système TIR à davantage de transport</w:t>
            </w:r>
            <w:r>
              <w:rPr>
                <w:spacing w:val="-2"/>
                <w:lang w:val="fr-FR"/>
              </w:rPr>
              <w:t>s</w:t>
            </w:r>
            <w:r w:rsidRPr="00986F54">
              <w:rPr>
                <w:spacing w:val="-2"/>
                <w:lang w:val="fr-FR"/>
              </w:rPr>
              <w:t>, notamment au transport intermodal ou au transport de marchandises achetées en ligne.</w:t>
            </w:r>
          </w:p>
        </w:tc>
        <w:tc>
          <w:tcPr>
            <w:tcW w:w="1667" w:type="dxa"/>
            <w:shd w:val="clear" w:color="auto" w:fill="auto"/>
          </w:tcPr>
          <w:p w14:paraId="786CA935" w14:textId="77777777" w:rsidR="000661F7" w:rsidRPr="00ED06D8" w:rsidRDefault="000661F7" w:rsidP="0094269B">
            <w:pPr>
              <w:spacing w:before="40" w:after="100"/>
              <w:ind w:right="113"/>
              <w:rPr>
                <w:lang w:val="fr-FR"/>
              </w:rPr>
            </w:pPr>
            <w:r>
              <w:rPr>
                <w:lang w:val="fr-FR"/>
              </w:rPr>
              <w:t xml:space="preserve">1-4. Le WP.30 et le secrétariat TIR </w:t>
            </w:r>
          </w:p>
        </w:tc>
      </w:tr>
      <w:tr w:rsidR="000661F7" w:rsidRPr="00D466A5" w14:paraId="716CA080" w14:textId="77777777" w:rsidTr="0094269B">
        <w:tc>
          <w:tcPr>
            <w:tcW w:w="500" w:type="dxa"/>
            <w:shd w:val="clear" w:color="auto" w:fill="auto"/>
          </w:tcPr>
          <w:p w14:paraId="6C2DC5E2" w14:textId="77777777" w:rsidR="000661F7" w:rsidRPr="0067484D" w:rsidRDefault="000661F7" w:rsidP="0094269B">
            <w:pPr>
              <w:spacing w:before="40" w:after="100"/>
              <w:ind w:right="113"/>
            </w:pPr>
            <w:r>
              <w:rPr>
                <w:lang w:val="fr-FR"/>
              </w:rPr>
              <w:t>5.16</w:t>
            </w:r>
          </w:p>
        </w:tc>
        <w:tc>
          <w:tcPr>
            <w:tcW w:w="1778" w:type="dxa"/>
            <w:shd w:val="clear" w:color="auto" w:fill="auto"/>
          </w:tcPr>
          <w:p w14:paraId="330D6C28" w14:textId="53A5587B" w:rsidR="000661F7" w:rsidRPr="003B4487" w:rsidRDefault="000661F7" w:rsidP="0094269B">
            <w:pPr>
              <w:spacing w:before="40" w:after="100"/>
              <w:ind w:right="113"/>
              <w:rPr>
                <w:spacing w:val="-2"/>
                <w:lang w:val="fr-FR"/>
              </w:rPr>
            </w:pPr>
            <w:r w:rsidRPr="003B4487">
              <w:rPr>
                <w:spacing w:val="-2"/>
                <w:lang w:val="fr-FR"/>
              </w:rPr>
              <w:t>Recenser les nouvelles technologies concernant le rail, la rout</w:t>
            </w:r>
            <w:r>
              <w:rPr>
                <w:spacing w:val="-2"/>
                <w:lang w:val="fr-FR"/>
              </w:rPr>
              <w:t>e,</w:t>
            </w:r>
            <w:r w:rsidRPr="003B4487">
              <w:rPr>
                <w:spacing w:val="-2"/>
                <w:lang w:val="fr-FR"/>
              </w:rPr>
              <w:t xml:space="preserve"> la mobilité routièr</w:t>
            </w:r>
            <w:r>
              <w:rPr>
                <w:spacing w:val="-2"/>
                <w:lang w:val="fr-FR"/>
              </w:rPr>
              <w:t>e,</w:t>
            </w:r>
            <w:r w:rsidRPr="003B4487">
              <w:rPr>
                <w:spacing w:val="-2"/>
                <w:lang w:val="fr-FR"/>
              </w:rPr>
              <w:t xml:space="preserve"> la navigation intérieur</w:t>
            </w:r>
            <w:r>
              <w:rPr>
                <w:spacing w:val="-2"/>
                <w:lang w:val="fr-FR"/>
              </w:rPr>
              <w:t>e,</w:t>
            </w:r>
            <w:r w:rsidRPr="003B4487">
              <w:rPr>
                <w:spacing w:val="-2"/>
                <w:lang w:val="fr-FR"/>
              </w:rPr>
              <w:t xml:space="preserve"> la logistique et le transport intermodal, et encourager et faciliter leur introduction jusqu</w:t>
            </w:r>
            <w:r>
              <w:rPr>
                <w:spacing w:val="-2"/>
                <w:lang w:val="fr-FR"/>
              </w:rPr>
              <w:t>’</w:t>
            </w:r>
            <w:r w:rsidRPr="003B4487">
              <w:rPr>
                <w:spacing w:val="-2"/>
                <w:lang w:val="fr-FR"/>
              </w:rPr>
              <w:t>en 2030</w:t>
            </w:r>
          </w:p>
        </w:tc>
        <w:tc>
          <w:tcPr>
            <w:tcW w:w="3194" w:type="dxa"/>
            <w:shd w:val="clear" w:color="auto" w:fill="auto"/>
          </w:tcPr>
          <w:p w14:paraId="24FB1A84" w14:textId="0681D4D8" w:rsidR="000661F7" w:rsidRPr="00ED06D8" w:rsidRDefault="000661F7" w:rsidP="0094269B">
            <w:pPr>
              <w:spacing w:before="40" w:after="100"/>
              <w:ind w:right="113"/>
              <w:rPr>
                <w:lang w:val="fr-FR"/>
              </w:rPr>
            </w:pPr>
            <w:r w:rsidRPr="003B4487">
              <w:rPr>
                <w:lang w:val="fr-FR"/>
              </w:rPr>
              <w:t>L</w:t>
            </w:r>
            <w:r>
              <w:rPr>
                <w:lang w:val="fr-FR"/>
              </w:rPr>
              <w:t>’</w:t>
            </w:r>
            <w:r w:rsidRPr="003B4487">
              <w:rPr>
                <w:lang w:val="fr-FR"/>
              </w:rPr>
              <w:t xml:space="preserve">Observatoire international des infrastructures de transport </w:t>
            </w:r>
            <w:r w:rsidRPr="004D5734">
              <w:rPr>
                <w:lang w:val="fr-FR"/>
              </w:rPr>
              <w:t>(OIIT)</w:t>
            </w:r>
            <w:r w:rsidRPr="00A66409">
              <w:rPr>
                <w:lang w:val="fr-FR"/>
              </w:rPr>
              <w:t xml:space="preserve"> </w:t>
            </w:r>
            <w:r>
              <w:rPr>
                <w:lang w:val="fr-FR"/>
              </w:rPr>
              <w:t xml:space="preserve">a été mis au point sur la base d’un système d’information géographique (SIG), sous la supervision du WP.5 et dans le cadre d’un projet financé par la BID. Les principaux objectifs de l’Observatoire sont les suivants : </w:t>
            </w:r>
          </w:p>
          <w:p w14:paraId="50350794" w14:textId="4A37CA4E" w:rsidR="000661F7" w:rsidRPr="00ED06D8" w:rsidRDefault="000661F7" w:rsidP="0094269B">
            <w:pPr>
              <w:spacing w:before="40" w:after="100"/>
              <w:ind w:right="113"/>
              <w:rPr>
                <w:lang w:val="fr-FR"/>
              </w:rPr>
            </w:pPr>
            <w:r>
              <w:rPr>
                <w:lang w:val="fr-FR"/>
              </w:rPr>
              <w:t xml:space="preserve">- Prendre en compte et intégrer toutes les informations et données générées par la Division (infrastructures de transport, couloirs de transport, projets, etc.), y compris toutes celles qui ont trait aux projets d’infrastructures de transport (Projet concernant les liaisons de transport Europe-Asie (LTEA), Autoroute transeuropéenne (TEM), Chemin de fer transeuropéen (TER), etc.), aux accords (Accord européen sur les grandes routes de trafic international (AGR), Accord européen sur les grandes lignes internationales de chemin de fer (AGC), etc.) et aux rapports des groupes d’experts (adaptation aux changements climatiques et évaluation comparative des coûts de construction des infrastructures de transport) ; </w:t>
            </w:r>
          </w:p>
          <w:p w14:paraId="1D709980" w14:textId="35A09F3A" w:rsidR="000661F7" w:rsidRDefault="000661F7" w:rsidP="0094269B">
            <w:pPr>
              <w:spacing w:before="40" w:after="100"/>
              <w:ind w:right="113"/>
              <w:rPr>
                <w:lang w:val="fr-FR"/>
              </w:rPr>
            </w:pPr>
            <w:r>
              <w:rPr>
                <w:lang w:val="fr-FR"/>
              </w:rPr>
              <w:t>- Servir d’outil électronique de connectivité régionale et associer ainsi toutes les initiatives relatives à des corridors ou à des réseaux de transport, en particulier les initiatives Europe-Asie (couloir Europe</w:t>
            </w:r>
            <w:r>
              <w:rPr>
                <w:lang w:val="fr-FR"/>
              </w:rPr>
              <w:noBreakHyphen/>
              <w:t xml:space="preserve">Caucase-Asie et Programme de coopération économique régionale </w:t>
            </w:r>
            <w:r>
              <w:rPr>
                <w:lang w:val="fr-FR"/>
              </w:rPr>
              <w:lastRenderedPageBreak/>
              <w:t xml:space="preserve">pour l’Asie centrale), mais pas seulement (CESAO) ; </w:t>
            </w:r>
          </w:p>
          <w:p w14:paraId="03BD8A16" w14:textId="7432CA01" w:rsidR="000661F7" w:rsidRPr="004D5734" w:rsidRDefault="000661F7" w:rsidP="0094269B">
            <w:pPr>
              <w:spacing w:before="40" w:after="100"/>
              <w:ind w:right="113"/>
            </w:pPr>
            <w:r w:rsidRPr="004D5734">
              <w:rPr>
                <w:lang w:val="fr-FR"/>
              </w:rPr>
              <w:t xml:space="preserve">- </w:t>
            </w:r>
            <w:r>
              <w:rPr>
                <w:lang w:val="fr-FR"/>
              </w:rPr>
              <w:t xml:space="preserve">Jouer le rôle d’une bourse virtuelle pour </w:t>
            </w:r>
            <w:r w:rsidRPr="004D5734">
              <w:rPr>
                <w:lang w:val="fr-FR"/>
              </w:rPr>
              <w:t xml:space="preserve">le financement de projets et de services nationaux, régionaux et interrégionaux relatifs </w:t>
            </w:r>
            <w:r>
              <w:rPr>
                <w:lang w:val="fr-FR"/>
              </w:rPr>
              <w:t>aux</w:t>
            </w:r>
            <w:r w:rsidRPr="004D5734">
              <w:rPr>
                <w:lang w:val="fr-FR"/>
              </w:rPr>
              <w:t xml:space="preserve"> infrastructures de transport.</w:t>
            </w:r>
          </w:p>
          <w:p w14:paraId="19672584" w14:textId="22AFB638" w:rsidR="000661F7" w:rsidRPr="004D5734" w:rsidRDefault="000661F7" w:rsidP="0094269B">
            <w:pPr>
              <w:spacing w:before="40" w:after="100"/>
              <w:ind w:right="113"/>
            </w:pPr>
            <w:r w:rsidRPr="004D5734">
              <w:rPr>
                <w:lang w:val="fr-FR"/>
              </w:rPr>
              <w:t>À sa trente-quatrième session, le WP.5 a invité les parties prenantes intéressées (y compris les gouvernements et les banques multilatérales de développement) à participer à une phase de mise à l</w:t>
            </w:r>
            <w:r>
              <w:rPr>
                <w:lang w:val="fr-FR"/>
              </w:rPr>
              <w:t>’</w:t>
            </w:r>
            <w:r w:rsidRPr="004D5734">
              <w:rPr>
                <w:lang w:val="fr-FR"/>
              </w:rPr>
              <w:t>essai de l</w:t>
            </w:r>
            <w:r>
              <w:rPr>
                <w:lang w:val="fr-FR"/>
              </w:rPr>
              <w:t>’</w:t>
            </w:r>
            <w:r w:rsidRPr="004D5734">
              <w:rPr>
                <w:lang w:val="fr-FR"/>
              </w:rPr>
              <w:t>OIIT.</w:t>
            </w:r>
            <w:r w:rsidRPr="00A66409">
              <w:rPr>
                <w:lang w:val="fr-FR"/>
              </w:rPr>
              <w:t xml:space="preserve"> </w:t>
            </w:r>
            <w:r w:rsidRPr="004D5734">
              <w:rPr>
                <w:lang w:val="fr-FR"/>
              </w:rPr>
              <w:t>Il a invité le secrétariat à fournir l</w:t>
            </w:r>
            <w:r>
              <w:rPr>
                <w:lang w:val="fr-FR"/>
              </w:rPr>
              <w:t>’</w:t>
            </w:r>
            <w:r w:rsidRPr="004D5734">
              <w:rPr>
                <w:lang w:val="fr-FR"/>
              </w:rPr>
              <w:t>assistance nécessaire aux représentants de gouvernements et d</w:t>
            </w:r>
            <w:r>
              <w:rPr>
                <w:lang w:val="fr-FR"/>
              </w:rPr>
              <w:t>’</w:t>
            </w:r>
            <w:r w:rsidRPr="004D5734">
              <w:rPr>
                <w:lang w:val="fr-FR"/>
              </w:rPr>
              <w:t>autres parties prenantes pour mettre le système à l</w:t>
            </w:r>
            <w:r>
              <w:rPr>
                <w:lang w:val="fr-FR"/>
              </w:rPr>
              <w:t>’</w:t>
            </w:r>
            <w:r w:rsidRPr="004D5734">
              <w:rPr>
                <w:lang w:val="fr-FR"/>
              </w:rPr>
              <w:t>essai, notamment en mettant à disposition des comptes dédiés aux essais.</w:t>
            </w:r>
            <w:r w:rsidRPr="00A66409">
              <w:rPr>
                <w:lang w:val="fr-FR"/>
              </w:rPr>
              <w:t xml:space="preserve"> </w:t>
            </w:r>
            <w:r w:rsidRPr="004D5734">
              <w:rPr>
                <w:lang w:val="fr-FR"/>
              </w:rPr>
              <w:t>Il a demandé également au secrétariat de lui communiquer, ainsi qu</w:t>
            </w:r>
            <w:r>
              <w:rPr>
                <w:lang w:val="fr-FR"/>
              </w:rPr>
              <w:t>’</w:t>
            </w:r>
            <w:r w:rsidRPr="004D5734">
              <w:rPr>
                <w:lang w:val="fr-FR"/>
              </w:rPr>
              <w:t xml:space="preserve">au Bureau du </w:t>
            </w:r>
            <w:r>
              <w:rPr>
                <w:lang w:val="fr-FR"/>
              </w:rPr>
              <w:t>Comité</w:t>
            </w:r>
            <w:r w:rsidRPr="004D5734">
              <w:rPr>
                <w:lang w:val="fr-FR"/>
              </w:rPr>
              <w:t>, des informations sur l</w:t>
            </w:r>
            <w:r>
              <w:rPr>
                <w:lang w:val="fr-FR"/>
              </w:rPr>
              <w:t>’</w:t>
            </w:r>
            <w:r w:rsidRPr="004D5734">
              <w:rPr>
                <w:lang w:val="fr-FR"/>
              </w:rPr>
              <w:t>évolution de l</w:t>
            </w:r>
            <w:r>
              <w:rPr>
                <w:lang w:val="fr-FR"/>
              </w:rPr>
              <w:t>’</w:t>
            </w:r>
            <w:r w:rsidRPr="004D5734">
              <w:rPr>
                <w:lang w:val="fr-FR"/>
              </w:rPr>
              <w:t>OIIT et les résultats des essais une fois que ceux-ci auraient été menés à terme.</w:t>
            </w:r>
          </w:p>
          <w:p w14:paraId="25170349" w14:textId="2468B9AE" w:rsidR="000661F7" w:rsidRDefault="000661F7" w:rsidP="0094269B">
            <w:pPr>
              <w:spacing w:before="40" w:after="100"/>
              <w:ind w:right="113"/>
              <w:rPr>
                <w:b/>
                <w:bCs/>
                <w:lang w:val="fr-FR"/>
              </w:rPr>
            </w:pPr>
            <w:r w:rsidRPr="00AB5DF2">
              <w:rPr>
                <w:b/>
                <w:bCs/>
                <w:lang w:val="fr-FR"/>
              </w:rPr>
              <w:t>À sa trente-cinquième session annuell</w:t>
            </w:r>
            <w:r>
              <w:rPr>
                <w:b/>
                <w:bCs/>
                <w:lang w:val="fr-FR"/>
              </w:rPr>
              <w:t>e,</w:t>
            </w:r>
            <w:r w:rsidRPr="00AB5DF2">
              <w:rPr>
                <w:b/>
                <w:bCs/>
                <w:lang w:val="fr-FR"/>
              </w:rPr>
              <w:t xml:space="preserve"> en septembre 2022, le WP.5 s</w:t>
            </w:r>
            <w:r>
              <w:rPr>
                <w:b/>
                <w:bCs/>
                <w:lang w:val="fr-FR"/>
              </w:rPr>
              <w:t>’</w:t>
            </w:r>
            <w:r w:rsidRPr="00AB5DF2">
              <w:rPr>
                <w:b/>
                <w:bCs/>
                <w:lang w:val="fr-FR"/>
              </w:rPr>
              <w:t>est félicité de l</w:t>
            </w:r>
            <w:r>
              <w:rPr>
                <w:b/>
                <w:bCs/>
                <w:lang w:val="fr-FR"/>
              </w:rPr>
              <w:t>’</w:t>
            </w:r>
            <w:r w:rsidRPr="00AB5DF2">
              <w:rPr>
                <w:b/>
                <w:bCs/>
                <w:lang w:val="fr-FR"/>
              </w:rPr>
              <w:t>achèvement de la plateforme après plusieurs années d</w:t>
            </w:r>
            <w:r>
              <w:rPr>
                <w:b/>
                <w:bCs/>
                <w:lang w:val="fr-FR"/>
              </w:rPr>
              <w:t>’</w:t>
            </w:r>
            <w:r w:rsidRPr="00AB5DF2">
              <w:rPr>
                <w:b/>
                <w:bCs/>
                <w:lang w:val="fr-FR"/>
              </w:rPr>
              <w:t>efforts combinés de la CE</w:t>
            </w:r>
            <w:r>
              <w:rPr>
                <w:b/>
                <w:bCs/>
                <w:lang w:val="fr-FR"/>
              </w:rPr>
              <w:t>E,</w:t>
            </w:r>
            <w:r w:rsidRPr="00AB5DF2">
              <w:rPr>
                <w:b/>
                <w:bCs/>
                <w:lang w:val="fr-FR"/>
              </w:rPr>
              <w:t xml:space="preserve"> de la BID, de la CESAO, du Centre d</w:t>
            </w:r>
            <w:r>
              <w:rPr>
                <w:b/>
                <w:bCs/>
                <w:lang w:val="fr-FR"/>
              </w:rPr>
              <w:t>’</w:t>
            </w:r>
            <w:r w:rsidRPr="00AB5DF2">
              <w:rPr>
                <w:b/>
                <w:bCs/>
                <w:lang w:val="fr-FR"/>
              </w:rPr>
              <w:t>études des transports pour la Méditerranée occidentale et de l</w:t>
            </w:r>
            <w:r>
              <w:rPr>
                <w:b/>
                <w:bCs/>
                <w:lang w:val="fr-FR"/>
              </w:rPr>
              <w:t>’</w:t>
            </w:r>
            <w:r w:rsidRPr="00AB5DF2">
              <w:rPr>
                <w:b/>
                <w:bCs/>
                <w:lang w:val="fr-FR"/>
              </w:rPr>
              <w:t xml:space="preserve">ECO, et a appelé les </w:t>
            </w:r>
            <w:r>
              <w:rPr>
                <w:b/>
                <w:bCs/>
                <w:lang w:val="fr-FR"/>
              </w:rPr>
              <w:t>États</w:t>
            </w:r>
            <w:r w:rsidRPr="00AB5DF2">
              <w:rPr>
                <w:b/>
                <w:bCs/>
                <w:lang w:val="fr-FR"/>
              </w:rPr>
              <w:t xml:space="preserve"> qui ne l</w:t>
            </w:r>
            <w:r>
              <w:rPr>
                <w:b/>
                <w:bCs/>
                <w:lang w:val="fr-FR"/>
              </w:rPr>
              <w:t>’</w:t>
            </w:r>
            <w:r w:rsidRPr="00AB5DF2">
              <w:rPr>
                <w:b/>
                <w:bCs/>
                <w:lang w:val="fr-FR"/>
              </w:rPr>
              <w:t xml:space="preserve">avaient pas encore fait à désigner des points de contact nationaux et à commencer à étudier ses fonctionnalités, à </w:t>
            </w:r>
            <w:r>
              <w:rPr>
                <w:b/>
                <w:bCs/>
                <w:lang w:val="fr-FR"/>
              </w:rPr>
              <w:t>faire part de leur expérience d’utilisateurs</w:t>
            </w:r>
            <w:r w:rsidRPr="00AB5DF2">
              <w:rPr>
                <w:b/>
                <w:bCs/>
                <w:lang w:val="fr-FR"/>
              </w:rPr>
              <w:t xml:space="preserve"> et à commencer à l</w:t>
            </w:r>
            <w:r>
              <w:rPr>
                <w:b/>
                <w:bCs/>
                <w:lang w:val="fr-FR"/>
              </w:rPr>
              <w:t>’</w:t>
            </w:r>
            <w:r w:rsidRPr="00AB5DF2">
              <w:rPr>
                <w:b/>
                <w:bCs/>
                <w:lang w:val="fr-FR"/>
              </w:rPr>
              <w:t>alimenter avec de nouvelles données géocodées.</w:t>
            </w:r>
          </w:p>
          <w:p w14:paraId="7EE5C22F" w14:textId="090C2BBD" w:rsidR="000661F7" w:rsidRPr="004D5734" w:rsidRDefault="000661F7" w:rsidP="0094269B">
            <w:pPr>
              <w:spacing w:before="40" w:after="100"/>
              <w:ind w:right="113"/>
            </w:pPr>
            <w:r w:rsidRPr="004D5734">
              <w:rPr>
                <w:lang w:val="fr-FR"/>
              </w:rPr>
              <w:t>Le SC.2 envisage la mise en place d</w:t>
            </w:r>
            <w:r>
              <w:rPr>
                <w:lang w:val="fr-FR"/>
              </w:rPr>
              <w:t>’</w:t>
            </w:r>
            <w:r w:rsidRPr="004D5734">
              <w:rPr>
                <w:lang w:val="fr-FR"/>
              </w:rPr>
              <w:t>un observatoire de l</w:t>
            </w:r>
            <w:r>
              <w:rPr>
                <w:lang w:val="fr-FR"/>
              </w:rPr>
              <w:t>’</w:t>
            </w:r>
            <w:r w:rsidRPr="004D5734">
              <w:rPr>
                <w:lang w:val="fr-FR"/>
              </w:rPr>
              <w:t>innovation ferroviaire pour suivre les principales innovations du secteur.</w:t>
            </w:r>
          </w:p>
          <w:p w14:paraId="4F578DE5" w14:textId="05F0699F" w:rsidR="000661F7" w:rsidRPr="00ED06D8" w:rsidRDefault="000661F7" w:rsidP="0094269B">
            <w:pPr>
              <w:spacing w:before="40" w:after="100"/>
              <w:ind w:right="113"/>
              <w:rPr>
                <w:lang w:val="fr-FR"/>
              </w:rPr>
            </w:pPr>
            <w:r>
              <w:rPr>
                <w:lang w:val="fr-FR"/>
              </w:rPr>
              <w:t xml:space="preserve">Les groupes de travail concernés réfléchissent aux moyens </w:t>
            </w:r>
            <w:r w:rsidRPr="00941C47">
              <w:rPr>
                <w:lang w:val="fr-FR"/>
              </w:rPr>
              <w:t>d</w:t>
            </w:r>
            <w:r>
              <w:rPr>
                <w:lang w:val="fr-FR"/>
              </w:rPr>
              <w:t>’</w:t>
            </w:r>
            <w:r w:rsidRPr="00941C47">
              <w:rPr>
                <w:lang w:val="fr-FR"/>
              </w:rPr>
              <w:t xml:space="preserve">accélérer la mise </w:t>
            </w:r>
            <w:r>
              <w:rPr>
                <w:lang w:val="fr-FR"/>
              </w:rPr>
              <w:t xml:space="preserve">en place des réseaux électroniques et des </w:t>
            </w:r>
            <w:r w:rsidRPr="00EF7166">
              <w:rPr>
                <w:lang w:val="fr-FR"/>
              </w:rPr>
              <w:t xml:space="preserve">installations prévues dans les </w:t>
            </w:r>
            <w:r>
              <w:rPr>
                <w:lang w:val="fr-FR"/>
              </w:rPr>
              <w:t xml:space="preserve">accords relatifs aux infrastructures via la plateforme SIG, comme le fait par exemple le WP.24 </w:t>
            </w:r>
            <w:r>
              <w:rPr>
                <w:lang w:val="fr-FR"/>
              </w:rPr>
              <w:lastRenderedPageBreak/>
              <w:t>pour l’Accord européen sur les grandes lignes de transport international combiné et les installations connexes (AGTC).</w:t>
            </w:r>
          </w:p>
          <w:p w14:paraId="6CEB57BD" w14:textId="1EDB3944" w:rsidR="000661F7" w:rsidRPr="00AB5DF2" w:rsidRDefault="000661F7" w:rsidP="0094269B">
            <w:pPr>
              <w:spacing w:before="40" w:after="100"/>
              <w:ind w:right="113"/>
              <w:rPr>
                <w:lang w:val="fr-FR"/>
              </w:rPr>
            </w:pPr>
            <w:r w:rsidRPr="00CC6293">
              <w:rPr>
                <w:strike/>
                <w:lang w:val="fr-FR"/>
              </w:rPr>
              <w:t>Le SC.2 et le WP.24 s</w:t>
            </w:r>
            <w:r>
              <w:rPr>
                <w:strike/>
                <w:lang w:val="fr-FR"/>
              </w:rPr>
              <w:t>’</w:t>
            </w:r>
            <w:r w:rsidRPr="00CC6293">
              <w:rPr>
                <w:strike/>
                <w:lang w:val="fr-FR"/>
              </w:rPr>
              <w:t xml:space="preserve">emploient aussi à mettre à jour </w:t>
            </w:r>
            <w:r w:rsidRPr="002A2ABB">
              <w:rPr>
                <w:lang w:val="fr-FR"/>
              </w:rPr>
              <w:t>L</w:t>
            </w:r>
            <w:r>
              <w:rPr>
                <w:lang w:val="fr-FR"/>
              </w:rPr>
              <w:t>’</w:t>
            </w:r>
            <w:r w:rsidRPr="002A2ABB">
              <w:rPr>
                <w:lang w:val="fr-FR"/>
              </w:rPr>
              <w:t>outil commun AGC/AGTC pour les paramètres d</w:t>
            </w:r>
            <w:r>
              <w:rPr>
                <w:lang w:val="fr-FR"/>
              </w:rPr>
              <w:t>’</w:t>
            </w:r>
            <w:r w:rsidRPr="002A2ABB">
              <w:rPr>
                <w:lang w:val="fr-FR"/>
              </w:rPr>
              <w:t xml:space="preserve">infrastructure </w:t>
            </w:r>
            <w:r w:rsidRPr="00CC6293">
              <w:rPr>
                <w:strike/>
                <w:lang w:val="fr-FR"/>
              </w:rPr>
              <w:t xml:space="preserve">afin de lui donner un second souffle </w:t>
            </w:r>
            <w:r w:rsidRPr="00AB5DF2">
              <w:rPr>
                <w:b/>
                <w:bCs/>
                <w:lang w:val="fr-FR"/>
              </w:rPr>
              <w:t>a été achevé avec succès</w:t>
            </w:r>
            <w:r>
              <w:rPr>
                <w:b/>
                <w:bCs/>
                <w:lang w:val="fr-FR"/>
              </w:rPr>
              <w:t>.</w:t>
            </w:r>
            <w:r w:rsidRPr="00AB5DF2">
              <w:rPr>
                <w:b/>
                <w:bCs/>
                <w:lang w:val="fr-FR"/>
              </w:rPr>
              <w:t xml:space="preserve"> </w:t>
            </w:r>
            <w:r>
              <w:rPr>
                <w:b/>
                <w:bCs/>
                <w:lang w:val="fr-FR"/>
              </w:rPr>
              <w:t xml:space="preserve">Il permet aux </w:t>
            </w:r>
            <w:r w:rsidRPr="00AB5DF2">
              <w:rPr>
                <w:b/>
                <w:bCs/>
                <w:lang w:val="fr-FR"/>
              </w:rPr>
              <w:t xml:space="preserve">États membres de comprendre les paramètres de ces réseaux. </w:t>
            </w:r>
            <w:r w:rsidRPr="00585BA9">
              <w:rPr>
                <w:lang w:val="fr-FR"/>
              </w:rPr>
              <w:t>Le WP.24 travaille à l</w:t>
            </w:r>
            <w:r>
              <w:rPr>
                <w:lang w:val="fr-FR"/>
              </w:rPr>
              <w:t>’</w:t>
            </w:r>
            <w:r w:rsidRPr="00585BA9">
              <w:rPr>
                <w:lang w:val="fr-FR"/>
              </w:rPr>
              <w:t>établissement dans le SIG d</w:t>
            </w:r>
            <w:r>
              <w:rPr>
                <w:lang w:val="fr-FR"/>
              </w:rPr>
              <w:t>’</w:t>
            </w:r>
            <w:r w:rsidRPr="00585BA9">
              <w:rPr>
                <w:lang w:val="fr-FR"/>
              </w:rPr>
              <w:t>un inventaire des lignes AGTC et des installations connexes.</w:t>
            </w:r>
            <w:r w:rsidRPr="00AB5DF2">
              <w:rPr>
                <w:lang w:val="fr-FR"/>
              </w:rPr>
              <w:t xml:space="preserve"> </w:t>
            </w:r>
            <w:r w:rsidRPr="00585BA9">
              <w:rPr>
                <w:lang w:val="fr-FR"/>
              </w:rPr>
              <w:t>Cet inventaire devrait être constitué, si possibl</w:t>
            </w:r>
            <w:r>
              <w:rPr>
                <w:lang w:val="fr-FR"/>
              </w:rPr>
              <w:t>e,</w:t>
            </w:r>
            <w:r w:rsidRPr="00585BA9">
              <w:rPr>
                <w:lang w:val="fr-FR"/>
              </w:rPr>
              <w:t xml:space="preserve"> d</w:t>
            </w:r>
            <w:r>
              <w:rPr>
                <w:lang w:val="fr-FR"/>
              </w:rPr>
              <w:t>’</w:t>
            </w:r>
            <w:r w:rsidRPr="00585BA9">
              <w:rPr>
                <w:lang w:val="fr-FR"/>
              </w:rPr>
              <w:t>ici octobre 2023.</w:t>
            </w:r>
          </w:p>
          <w:p w14:paraId="1B91EDCA" w14:textId="73FDF988" w:rsidR="000661F7" w:rsidRPr="00ED06D8" w:rsidRDefault="000661F7" w:rsidP="0094269B">
            <w:pPr>
              <w:spacing w:before="40" w:after="100"/>
              <w:ind w:right="113"/>
              <w:rPr>
                <w:lang w:val="fr-FR"/>
              </w:rPr>
            </w:pPr>
            <w:r>
              <w:rPr>
                <w:lang w:val="fr-FR"/>
              </w:rPr>
              <w:t>Dans le cadre de sa série consacrée aux tendances et à l’économie des transports sur la période 2018-2019, le WP.5 a fait paraître une publication sur la mobilité en tant que service.</w:t>
            </w:r>
          </w:p>
          <w:p w14:paraId="485C293C" w14:textId="62125F3E" w:rsidR="000661F7" w:rsidRPr="00ED06D8" w:rsidRDefault="000661F7" w:rsidP="0094269B">
            <w:pPr>
              <w:spacing w:before="40" w:after="100"/>
              <w:ind w:right="113"/>
              <w:rPr>
                <w:lang w:val="fr-FR"/>
              </w:rPr>
            </w:pPr>
            <w:r>
              <w:rPr>
                <w:lang w:val="fr-FR"/>
              </w:rPr>
              <w:t>Le WP.24 débat régulièrement des mesures techniques et organisationnelles nécessaires à l’optimisation du transport intermodal de marchandises et de la logistique.</w:t>
            </w:r>
            <w:r w:rsidRPr="004A4CCE">
              <w:rPr>
                <w:b/>
                <w:bCs/>
                <w:lang w:val="fr-FR"/>
              </w:rPr>
              <w:t xml:space="preserve"> </w:t>
            </w:r>
            <w:r w:rsidRPr="00AB5DF2">
              <w:rPr>
                <w:b/>
                <w:bCs/>
                <w:lang w:val="fr-FR"/>
              </w:rPr>
              <w:t xml:space="preserve">Dans le cadre de sa soixante-cinquième session, le WP.24 a examiné la numérisation </w:t>
            </w:r>
            <w:r>
              <w:rPr>
                <w:b/>
                <w:bCs/>
                <w:lang w:val="fr-FR"/>
              </w:rPr>
              <w:t xml:space="preserve">des informations </w:t>
            </w:r>
            <w:r w:rsidRPr="00AB5DF2">
              <w:rPr>
                <w:b/>
                <w:bCs/>
                <w:lang w:val="fr-FR"/>
              </w:rPr>
              <w:t>et des documents dans le transport intermodal et le rôle de l</w:t>
            </w:r>
            <w:r>
              <w:rPr>
                <w:b/>
                <w:bCs/>
                <w:lang w:val="fr-FR"/>
              </w:rPr>
              <w:t>’</w:t>
            </w:r>
            <w:r w:rsidRPr="00AB5DF2">
              <w:rPr>
                <w:b/>
                <w:bCs/>
                <w:lang w:val="fr-FR"/>
              </w:rPr>
              <w:t xml:space="preserve">automatisation dans le transport de marchandises et la logistique. </w:t>
            </w:r>
            <w:r>
              <w:rPr>
                <w:b/>
                <w:bCs/>
                <w:lang w:val="fr-FR"/>
              </w:rPr>
              <w:t>Il</w:t>
            </w:r>
            <w:r w:rsidR="007B104D">
              <w:rPr>
                <w:b/>
                <w:bCs/>
                <w:lang w:val="fr-FR"/>
              </w:rPr>
              <w:t> </w:t>
            </w:r>
            <w:r w:rsidRPr="00AB5DF2">
              <w:rPr>
                <w:b/>
                <w:bCs/>
                <w:lang w:val="fr-FR"/>
              </w:rPr>
              <w:t>a décidé d</w:t>
            </w:r>
            <w:r>
              <w:rPr>
                <w:b/>
                <w:bCs/>
                <w:lang w:val="fr-FR"/>
              </w:rPr>
              <w:t>’</w:t>
            </w:r>
            <w:r w:rsidRPr="00AB5DF2">
              <w:rPr>
                <w:b/>
                <w:bCs/>
                <w:lang w:val="fr-FR"/>
              </w:rPr>
              <w:t>élaborer un manuel sur l</w:t>
            </w:r>
            <w:r>
              <w:rPr>
                <w:b/>
                <w:bCs/>
                <w:lang w:val="fr-FR"/>
              </w:rPr>
              <w:t>’</w:t>
            </w:r>
            <w:r w:rsidRPr="00AB5DF2">
              <w:rPr>
                <w:b/>
                <w:bCs/>
                <w:lang w:val="fr-FR"/>
              </w:rPr>
              <w:t>automatisation dans le transport de marchandises et la logistique.</w:t>
            </w:r>
          </w:p>
          <w:p w14:paraId="12A6CE3F" w14:textId="165A8008" w:rsidR="000661F7" w:rsidRPr="00ED06D8" w:rsidRDefault="000661F7" w:rsidP="0094269B">
            <w:pPr>
              <w:spacing w:before="40" w:after="100"/>
              <w:ind w:right="113"/>
              <w:rPr>
                <w:lang w:val="fr-FR"/>
              </w:rPr>
            </w:pPr>
            <w:r>
              <w:rPr>
                <w:lang w:val="fr-FR"/>
              </w:rPr>
              <w:t xml:space="preserve">Le WP.24 s’emploie à numériser le Code de bonnes pratiques pour le chargement des cargaisons dans des engins de transport (code CTU) dans le but de prodiguer au moyen d’une application mobile des conseils pratiques pour le chargement sûr et sécurisé des cargaisons. </w:t>
            </w:r>
          </w:p>
          <w:p w14:paraId="24430C7F" w14:textId="315D3ACC" w:rsidR="000661F7" w:rsidRPr="005E0AD2" w:rsidRDefault="000661F7" w:rsidP="0094269B">
            <w:pPr>
              <w:spacing w:before="40" w:after="100"/>
              <w:ind w:right="113"/>
              <w:rPr>
                <w:spacing w:val="-2"/>
                <w:lang w:val="fr-FR"/>
              </w:rPr>
            </w:pPr>
            <w:r w:rsidRPr="005E0AD2">
              <w:rPr>
                <w:spacing w:val="-2"/>
                <w:lang w:val="fr-FR"/>
              </w:rPr>
              <w:t>La question de la télématique appliquée au transport de marchandises dangereuses est étudiée par la Réunion commune de la Commission d</w:t>
            </w:r>
            <w:r>
              <w:rPr>
                <w:spacing w:val="-2"/>
                <w:lang w:val="fr-FR"/>
              </w:rPr>
              <w:t>’</w:t>
            </w:r>
            <w:r w:rsidRPr="005E0AD2">
              <w:rPr>
                <w:spacing w:val="-2"/>
                <w:lang w:val="fr-FR"/>
              </w:rPr>
              <w:t xml:space="preserve">experts du RID et du Groupe de travail des transports de marchandises dangereuses (RID/ADR/ADN). </w:t>
            </w:r>
            <w:r w:rsidRPr="005E0AD2">
              <w:rPr>
                <w:spacing w:val="-2"/>
                <w:lang w:val="fr-FR"/>
              </w:rPr>
              <w:lastRenderedPageBreak/>
              <w:t>Les</w:t>
            </w:r>
            <w:r w:rsidR="007B104D">
              <w:rPr>
                <w:spacing w:val="-2"/>
                <w:lang w:val="fr-FR"/>
              </w:rPr>
              <w:t> </w:t>
            </w:r>
            <w:r w:rsidRPr="005E0AD2">
              <w:rPr>
                <w:spacing w:val="-2"/>
                <w:lang w:val="fr-FR"/>
              </w:rPr>
              <w:t>Lignes directrices sur le recours à l</w:t>
            </w:r>
            <w:r>
              <w:rPr>
                <w:spacing w:val="-2"/>
                <w:lang w:val="fr-FR"/>
              </w:rPr>
              <w:t>’</w:t>
            </w:r>
            <w:r w:rsidRPr="005E0AD2">
              <w:rPr>
                <w:spacing w:val="-2"/>
                <w:lang w:val="fr-FR"/>
              </w:rPr>
              <w:t>échange électronique de données aux fins de la mise en conformité avec les prescriptions des Règlements RID/ADR/ADN en matière de documentation ont été adoptées et publiées sur le site Web de la CEE</w:t>
            </w:r>
            <w:r w:rsidRPr="00937BDD">
              <w:rPr>
                <w:rStyle w:val="Appelnotedebasdep"/>
              </w:rPr>
              <w:footnoteReference w:id="3"/>
            </w:r>
            <w:r w:rsidRPr="005E0AD2">
              <w:rPr>
                <w:spacing w:val="-2"/>
                <w:lang w:val="fr-FR"/>
              </w:rPr>
              <w:t xml:space="preserve"> à la demande de la Réunion commune RID/ADR/ADN. À cet égard, les travaux consacrés à l</w:t>
            </w:r>
            <w:r>
              <w:rPr>
                <w:spacing w:val="-2"/>
                <w:lang w:val="fr-FR"/>
              </w:rPr>
              <w:t>’</w:t>
            </w:r>
            <w:r w:rsidRPr="005E0AD2">
              <w:rPr>
                <w:spacing w:val="-2"/>
                <w:lang w:val="fr-FR"/>
              </w:rPr>
              <w:t>élaboration de services Web, d</w:t>
            </w:r>
            <w:r>
              <w:rPr>
                <w:spacing w:val="-2"/>
                <w:lang w:val="fr-FR"/>
              </w:rPr>
              <w:t>’</w:t>
            </w:r>
            <w:r w:rsidRPr="005E0AD2">
              <w:rPr>
                <w:spacing w:val="-2"/>
                <w:lang w:val="fr-FR"/>
              </w:rPr>
              <w:t>interfaces et d</w:t>
            </w:r>
            <w:r>
              <w:rPr>
                <w:spacing w:val="-2"/>
                <w:lang w:val="fr-FR"/>
              </w:rPr>
              <w:t>’</w:t>
            </w:r>
            <w:r w:rsidRPr="005E0AD2">
              <w:rPr>
                <w:spacing w:val="-2"/>
                <w:lang w:val="fr-FR"/>
              </w:rPr>
              <w:t>une architecture de communication facilitant le transfert de données se poursuivent.</w:t>
            </w:r>
          </w:p>
          <w:p w14:paraId="3B433429" w14:textId="38287F95" w:rsidR="000661F7" w:rsidRPr="005E0AD2" w:rsidRDefault="000661F7" w:rsidP="0094269B">
            <w:pPr>
              <w:spacing w:before="40" w:after="100"/>
              <w:ind w:right="113"/>
              <w:rPr>
                <w:spacing w:val="-2"/>
                <w:lang w:val="fr-FR"/>
              </w:rPr>
            </w:pPr>
            <w:r w:rsidRPr="005E0AD2">
              <w:rPr>
                <w:spacing w:val="-2"/>
                <w:lang w:val="fr-FR"/>
              </w:rPr>
              <w:t>Par l</w:t>
            </w:r>
            <w:r>
              <w:rPr>
                <w:spacing w:val="-2"/>
                <w:lang w:val="fr-FR"/>
              </w:rPr>
              <w:t>’</w:t>
            </w:r>
            <w:r w:rsidRPr="005E0AD2">
              <w:rPr>
                <w:spacing w:val="-2"/>
                <w:lang w:val="fr-FR"/>
              </w:rPr>
              <w:t>intermédiaire de ses groupes de travail subsidiaires, le WP.29 s</w:t>
            </w:r>
            <w:r>
              <w:rPr>
                <w:spacing w:val="-2"/>
                <w:lang w:val="fr-FR"/>
              </w:rPr>
              <w:t>’</w:t>
            </w:r>
            <w:r w:rsidRPr="005E0AD2">
              <w:rPr>
                <w:spacing w:val="-2"/>
                <w:lang w:val="fr-FR"/>
              </w:rPr>
              <w:t>efforce de recenser de nouvelles technologies exploitables dans les véhicules à roues et d</w:t>
            </w:r>
            <w:r>
              <w:rPr>
                <w:spacing w:val="-2"/>
                <w:lang w:val="fr-FR"/>
              </w:rPr>
              <w:t>’</w:t>
            </w:r>
            <w:r w:rsidRPr="005E0AD2">
              <w:rPr>
                <w:spacing w:val="-2"/>
                <w:lang w:val="fr-FR"/>
              </w:rPr>
              <w:t>en faciliter l</w:t>
            </w:r>
            <w:r>
              <w:rPr>
                <w:spacing w:val="-2"/>
                <w:lang w:val="fr-FR"/>
              </w:rPr>
              <w:t>’</w:t>
            </w:r>
            <w:r w:rsidRPr="005E0AD2">
              <w:rPr>
                <w:spacing w:val="-2"/>
                <w:lang w:val="fr-FR"/>
              </w:rPr>
              <w:t>adoption en harmonisant les prescriptions techniques, en assurant la gestion de son écosystème relatif à l</w:t>
            </w:r>
            <w:r>
              <w:rPr>
                <w:spacing w:val="-2"/>
                <w:lang w:val="fr-FR"/>
              </w:rPr>
              <w:t>’</w:t>
            </w:r>
            <w:r w:rsidRPr="005E0AD2">
              <w:rPr>
                <w:spacing w:val="-2"/>
                <w:lang w:val="fr-FR"/>
              </w:rPr>
              <w:t>homologation de type et à la reconnaissance mutuelle des certificats, et en soutenant les activités de réglementation des pays qui appliquent des procédures d</w:t>
            </w:r>
            <w:r>
              <w:rPr>
                <w:spacing w:val="-2"/>
                <w:lang w:val="fr-FR"/>
              </w:rPr>
              <w:t>’</w:t>
            </w:r>
            <w:r w:rsidRPr="005E0AD2">
              <w:rPr>
                <w:spacing w:val="-2"/>
                <w:lang w:val="fr-FR"/>
              </w:rPr>
              <w:t xml:space="preserve">autocertification. Il supervise également les activités du groupe de travail informel des systèmes de transport intelligents et de la conduite automatisée. </w:t>
            </w:r>
            <w:r>
              <w:rPr>
                <w:spacing w:val="-2"/>
                <w:lang w:val="fr-FR"/>
              </w:rPr>
              <w:t>À cet égard</w:t>
            </w:r>
            <w:r w:rsidRPr="002E65CB">
              <w:rPr>
                <w:spacing w:val="-2"/>
                <w:lang w:val="fr-FR"/>
              </w:rPr>
              <w:t>,</w:t>
            </w:r>
            <w:r w:rsidRPr="005E0AD2">
              <w:rPr>
                <w:spacing w:val="-2"/>
                <w:lang w:val="fr-FR"/>
              </w:rPr>
              <w:t xml:space="preserve"> </w:t>
            </w:r>
            <w:r>
              <w:rPr>
                <w:spacing w:val="-2"/>
                <w:lang w:val="fr-FR"/>
              </w:rPr>
              <w:t xml:space="preserve">il </w:t>
            </w:r>
            <w:r w:rsidRPr="005E0AD2">
              <w:rPr>
                <w:spacing w:val="-2"/>
                <w:lang w:val="fr-FR"/>
              </w:rPr>
              <w:t>se concentre sur l</w:t>
            </w:r>
            <w:r>
              <w:rPr>
                <w:spacing w:val="-2"/>
                <w:lang w:val="fr-FR"/>
              </w:rPr>
              <w:t>’</w:t>
            </w:r>
            <w:r w:rsidRPr="005E0AD2">
              <w:rPr>
                <w:spacing w:val="-2"/>
                <w:lang w:val="fr-FR"/>
              </w:rPr>
              <w:t xml:space="preserve">intégration des véhicules dans leur environnement intelligent et </w:t>
            </w:r>
            <w:r>
              <w:rPr>
                <w:spacing w:val="-2"/>
                <w:lang w:val="fr-FR"/>
              </w:rPr>
              <w:t>suit l’évolution</w:t>
            </w:r>
            <w:r w:rsidRPr="005E0AD2">
              <w:rPr>
                <w:spacing w:val="-2"/>
                <w:lang w:val="fr-FR"/>
              </w:rPr>
              <w:t xml:space="preserve"> technique dans les secteurs en lien avec les véhicules à roues. </w:t>
            </w:r>
          </w:p>
          <w:p w14:paraId="1C34E270" w14:textId="755C6A73" w:rsidR="000661F7" w:rsidRDefault="000661F7" w:rsidP="0094269B">
            <w:pPr>
              <w:spacing w:before="40" w:after="100"/>
              <w:ind w:right="113"/>
              <w:rPr>
                <w:spacing w:val="-2"/>
                <w:lang w:val="fr-FR"/>
              </w:rPr>
            </w:pPr>
            <w:r w:rsidRPr="005E0AD2">
              <w:rPr>
                <w:spacing w:val="-2"/>
                <w:lang w:val="fr-FR"/>
              </w:rPr>
              <w:t>Le Groupe de travail des véhicules automatisés/autonomes et connectés (GRVA), qui relève du WP.29, est le principal organe chargé d</w:t>
            </w:r>
            <w:r>
              <w:rPr>
                <w:spacing w:val="-2"/>
                <w:lang w:val="fr-FR"/>
              </w:rPr>
              <w:t>’</w:t>
            </w:r>
            <w:r w:rsidRPr="005E0AD2">
              <w:rPr>
                <w:spacing w:val="-2"/>
                <w:lang w:val="fr-FR"/>
              </w:rPr>
              <w:t>étudier l</w:t>
            </w:r>
            <w:r>
              <w:rPr>
                <w:spacing w:val="-2"/>
                <w:lang w:val="fr-FR"/>
              </w:rPr>
              <w:t>’</w:t>
            </w:r>
            <w:r w:rsidRPr="005E0AD2">
              <w:rPr>
                <w:spacing w:val="-2"/>
                <w:lang w:val="fr-FR"/>
              </w:rPr>
              <w:t>introduction de technologies de pointe et d</w:t>
            </w:r>
            <w:r>
              <w:rPr>
                <w:spacing w:val="-2"/>
                <w:lang w:val="fr-FR"/>
              </w:rPr>
              <w:t>’</w:t>
            </w:r>
            <w:r w:rsidRPr="005E0AD2">
              <w:rPr>
                <w:spacing w:val="-2"/>
                <w:lang w:val="fr-FR"/>
              </w:rPr>
              <w:t xml:space="preserve">innovations dans les véhicules à roues. Il travaille dans un environnement en rapide mutation, celui des technologies qui vont selon toute vraisemblance entrer sur le marché, en se concentrant sur celles qui concernent la sûreté, la sécurité et la connectivité. </w:t>
            </w:r>
          </w:p>
          <w:p w14:paraId="33DF987D" w14:textId="6A9CB255" w:rsidR="000661F7" w:rsidRDefault="000661F7" w:rsidP="007B104D">
            <w:pPr>
              <w:keepNext/>
              <w:keepLines/>
              <w:spacing w:before="40" w:after="100"/>
              <w:ind w:right="113"/>
              <w:rPr>
                <w:b/>
                <w:bCs/>
                <w:spacing w:val="-2"/>
                <w:lang w:val="fr-FR"/>
              </w:rPr>
            </w:pPr>
            <w:r w:rsidRPr="00D260D7">
              <w:rPr>
                <w:b/>
                <w:bCs/>
                <w:spacing w:val="-2"/>
                <w:lang w:val="fr-FR"/>
              </w:rPr>
              <w:lastRenderedPageBreak/>
              <w:t>Le GRVA s</w:t>
            </w:r>
            <w:r>
              <w:rPr>
                <w:b/>
                <w:bCs/>
                <w:spacing w:val="-2"/>
                <w:lang w:val="fr-FR"/>
              </w:rPr>
              <w:t>’</w:t>
            </w:r>
            <w:r w:rsidRPr="00D260D7">
              <w:rPr>
                <w:b/>
                <w:bCs/>
                <w:spacing w:val="-2"/>
                <w:lang w:val="fr-FR"/>
              </w:rPr>
              <w:t xml:space="preserve">est penché sur </w:t>
            </w:r>
            <w:r>
              <w:rPr>
                <w:b/>
                <w:bCs/>
                <w:spacing w:val="-2"/>
                <w:lang w:val="fr-FR"/>
              </w:rPr>
              <w:t xml:space="preserve">la question de </w:t>
            </w:r>
            <w:r w:rsidRPr="00D260D7">
              <w:rPr>
                <w:b/>
                <w:bCs/>
                <w:spacing w:val="-2"/>
                <w:lang w:val="fr-FR"/>
              </w:rPr>
              <w:t>l</w:t>
            </w:r>
            <w:r>
              <w:rPr>
                <w:b/>
                <w:bCs/>
                <w:spacing w:val="-2"/>
                <w:lang w:val="fr-FR"/>
              </w:rPr>
              <w:t>’</w:t>
            </w:r>
            <w:r w:rsidRPr="00D260D7">
              <w:rPr>
                <w:b/>
                <w:bCs/>
                <w:spacing w:val="-2"/>
                <w:lang w:val="fr-FR"/>
              </w:rPr>
              <w:t xml:space="preserve">intelligence artificielle, en réfléchissant à des définitions pertinentes pour la conduite automatisée, autonome et connectée. Il a également examiné les </w:t>
            </w:r>
            <w:r>
              <w:rPr>
                <w:b/>
                <w:bCs/>
                <w:spacing w:val="-2"/>
                <w:lang w:val="fr-FR"/>
              </w:rPr>
              <w:t xml:space="preserve">effets </w:t>
            </w:r>
            <w:r w:rsidRPr="00D260D7">
              <w:rPr>
                <w:b/>
                <w:bCs/>
                <w:spacing w:val="-2"/>
                <w:lang w:val="fr-FR"/>
              </w:rPr>
              <w:t>de l</w:t>
            </w:r>
            <w:r>
              <w:rPr>
                <w:b/>
                <w:bCs/>
                <w:spacing w:val="-2"/>
                <w:lang w:val="fr-FR"/>
              </w:rPr>
              <w:t>’</w:t>
            </w:r>
            <w:r w:rsidRPr="00D260D7">
              <w:rPr>
                <w:b/>
                <w:bCs/>
                <w:spacing w:val="-2"/>
                <w:lang w:val="fr-FR"/>
              </w:rPr>
              <w:t>intelligence artificielle sur les méthodes de validation de la conduite automatisée</w:t>
            </w:r>
            <w:r>
              <w:rPr>
                <w:b/>
                <w:bCs/>
                <w:spacing w:val="-2"/>
                <w:lang w:val="fr-FR"/>
              </w:rPr>
              <w:t xml:space="preserve"> et</w:t>
            </w:r>
            <w:r w:rsidRPr="00D260D7">
              <w:rPr>
                <w:b/>
                <w:bCs/>
                <w:spacing w:val="-2"/>
                <w:lang w:val="fr-FR"/>
              </w:rPr>
              <w:t xml:space="preserve"> </w:t>
            </w:r>
            <w:r>
              <w:rPr>
                <w:b/>
                <w:bCs/>
                <w:spacing w:val="-2"/>
                <w:lang w:val="fr-FR"/>
              </w:rPr>
              <w:t>ceux</w:t>
            </w:r>
            <w:r w:rsidRPr="00D260D7">
              <w:rPr>
                <w:b/>
                <w:bCs/>
                <w:spacing w:val="-2"/>
                <w:lang w:val="fr-FR"/>
              </w:rPr>
              <w:t xml:space="preserve"> de l</w:t>
            </w:r>
            <w:r>
              <w:rPr>
                <w:b/>
                <w:bCs/>
                <w:spacing w:val="-2"/>
                <w:lang w:val="fr-FR"/>
              </w:rPr>
              <w:t>’</w:t>
            </w:r>
            <w:r w:rsidRPr="00D260D7">
              <w:rPr>
                <w:b/>
                <w:bCs/>
                <w:spacing w:val="-2"/>
                <w:lang w:val="fr-FR"/>
              </w:rPr>
              <w:t>apprentissage en ligne et de l</w:t>
            </w:r>
            <w:r>
              <w:rPr>
                <w:b/>
                <w:bCs/>
                <w:spacing w:val="-2"/>
                <w:lang w:val="fr-FR"/>
              </w:rPr>
              <w:t>’</w:t>
            </w:r>
            <w:r w:rsidRPr="00D260D7">
              <w:rPr>
                <w:b/>
                <w:bCs/>
                <w:spacing w:val="-2"/>
                <w:lang w:val="fr-FR"/>
              </w:rPr>
              <w:t>autoapprentissage sur le comportement du véhicule</w:t>
            </w:r>
            <w:r>
              <w:rPr>
                <w:b/>
                <w:bCs/>
                <w:spacing w:val="-2"/>
                <w:lang w:val="fr-FR"/>
              </w:rPr>
              <w:t xml:space="preserve">, </w:t>
            </w:r>
            <w:r w:rsidRPr="00D260D7">
              <w:rPr>
                <w:b/>
                <w:bCs/>
                <w:spacing w:val="-2"/>
                <w:lang w:val="fr-FR"/>
              </w:rPr>
              <w:t xml:space="preserve">et </w:t>
            </w:r>
            <w:r>
              <w:rPr>
                <w:b/>
                <w:bCs/>
                <w:spacing w:val="-2"/>
                <w:lang w:val="fr-FR"/>
              </w:rPr>
              <w:t xml:space="preserve">il </w:t>
            </w:r>
            <w:r w:rsidRPr="00D260D7">
              <w:rPr>
                <w:b/>
                <w:bCs/>
                <w:spacing w:val="-2"/>
                <w:lang w:val="fr-FR"/>
              </w:rPr>
              <w:t xml:space="preserve">a </w:t>
            </w:r>
            <w:r>
              <w:rPr>
                <w:b/>
                <w:bCs/>
                <w:spacing w:val="-2"/>
                <w:lang w:val="fr-FR"/>
              </w:rPr>
              <w:t xml:space="preserve">étudié attentivement l’intelligence artificielle spécialisée </w:t>
            </w:r>
            <w:r w:rsidRPr="00D260D7">
              <w:rPr>
                <w:b/>
                <w:bCs/>
                <w:spacing w:val="-2"/>
                <w:lang w:val="fr-FR"/>
              </w:rPr>
              <w:t>(y compris l</w:t>
            </w:r>
            <w:r>
              <w:rPr>
                <w:b/>
                <w:bCs/>
                <w:spacing w:val="-2"/>
                <w:lang w:val="fr-FR"/>
              </w:rPr>
              <w:t>’</w:t>
            </w:r>
            <w:r w:rsidRPr="00D260D7">
              <w:rPr>
                <w:b/>
                <w:bCs/>
                <w:spacing w:val="-2"/>
                <w:lang w:val="fr-FR"/>
              </w:rPr>
              <w:t>apprentissage automatique, l</w:t>
            </w:r>
            <w:r>
              <w:rPr>
                <w:b/>
                <w:bCs/>
                <w:spacing w:val="-2"/>
                <w:lang w:val="fr-FR"/>
              </w:rPr>
              <w:t>’</w:t>
            </w:r>
            <w:r w:rsidRPr="00D260D7">
              <w:rPr>
                <w:b/>
                <w:bCs/>
                <w:spacing w:val="-2"/>
                <w:lang w:val="fr-FR"/>
              </w:rPr>
              <w:t>apprentissage profond, etc.</w:t>
            </w:r>
            <w:r>
              <w:rPr>
                <w:b/>
                <w:bCs/>
                <w:spacing w:val="-2"/>
                <w:lang w:val="fr-FR"/>
              </w:rPr>
              <w:t>).</w:t>
            </w:r>
            <w:r w:rsidRPr="00D260D7">
              <w:rPr>
                <w:b/>
                <w:bCs/>
                <w:spacing w:val="-2"/>
                <w:lang w:val="fr-FR"/>
              </w:rPr>
              <w:t xml:space="preserve"> Le</w:t>
            </w:r>
            <w:r w:rsidR="00F71F10">
              <w:rPr>
                <w:b/>
                <w:bCs/>
                <w:spacing w:val="-2"/>
                <w:lang w:val="fr-FR"/>
              </w:rPr>
              <w:t> </w:t>
            </w:r>
            <w:r w:rsidRPr="00D260D7">
              <w:rPr>
                <w:b/>
                <w:bCs/>
                <w:spacing w:val="-2"/>
                <w:lang w:val="fr-FR"/>
              </w:rPr>
              <w:t>GRVA a organisé deux ateliers techniques sur l</w:t>
            </w:r>
            <w:r>
              <w:rPr>
                <w:b/>
                <w:bCs/>
                <w:spacing w:val="-2"/>
                <w:lang w:val="fr-FR"/>
              </w:rPr>
              <w:t>’</w:t>
            </w:r>
            <w:r w:rsidRPr="00D260D7">
              <w:rPr>
                <w:b/>
                <w:bCs/>
                <w:spacing w:val="-2"/>
                <w:lang w:val="fr-FR"/>
              </w:rPr>
              <w:t xml:space="preserve">intelligence artificielle en 2022 pour </w:t>
            </w:r>
            <w:r>
              <w:rPr>
                <w:b/>
                <w:bCs/>
                <w:spacing w:val="-2"/>
                <w:lang w:val="fr-FR"/>
              </w:rPr>
              <w:t>déterminer</w:t>
            </w:r>
            <w:r w:rsidRPr="00D260D7">
              <w:rPr>
                <w:b/>
                <w:bCs/>
                <w:spacing w:val="-2"/>
                <w:lang w:val="fr-FR"/>
              </w:rPr>
              <w:t>, entre autres, si l</w:t>
            </w:r>
            <w:r>
              <w:rPr>
                <w:b/>
                <w:bCs/>
                <w:spacing w:val="-2"/>
                <w:lang w:val="fr-FR"/>
              </w:rPr>
              <w:t>’</w:t>
            </w:r>
            <w:r w:rsidRPr="00D260D7">
              <w:rPr>
                <w:b/>
                <w:bCs/>
                <w:spacing w:val="-2"/>
                <w:lang w:val="fr-FR"/>
              </w:rPr>
              <w:t xml:space="preserve">intelligence artificielle </w:t>
            </w:r>
            <w:r>
              <w:rPr>
                <w:b/>
                <w:bCs/>
                <w:spacing w:val="-2"/>
                <w:lang w:val="fr-FR"/>
              </w:rPr>
              <w:t>spécialisée</w:t>
            </w:r>
            <w:r w:rsidRPr="00D260D7">
              <w:rPr>
                <w:b/>
                <w:bCs/>
                <w:spacing w:val="-2"/>
                <w:lang w:val="fr-FR"/>
              </w:rPr>
              <w:t>, l</w:t>
            </w:r>
            <w:r>
              <w:rPr>
                <w:b/>
                <w:bCs/>
                <w:spacing w:val="-2"/>
                <w:lang w:val="fr-FR"/>
              </w:rPr>
              <w:t>’</w:t>
            </w:r>
            <w:r w:rsidRPr="00D260D7">
              <w:rPr>
                <w:b/>
                <w:bCs/>
                <w:spacing w:val="-2"/>
                <w:lang w:val="fr-FR"/>
              </w:rPr>
              <w:t>apprentissage automatiqu</w:t>
            </w:r>
            <w:r>
              <w:rPr>
                <w:b/>
                <w:bCs/>
                <w:spacing w:val="-2"/>
                <w:lang w:val="fr-FR"/>
              </w:rPr>
              <w:t>e,</w:t>
            </w:r>
            <w:r w:rsidRPr="00D260D7">
              <w:rPr>
                <w:b/>
                <w:bCs/>
                <w:spacing w:val="-2"/>
                <w:lang w:val="fr-FR"/>
              </w:rPr>
              <w:t xml:space="preserve"> l</w:t>
            </w:r>
            <w:r>
              <w:rPr>
                <w:b/>
                <w:bCs/>
                <w:spacing w:val="-2"/>
                <w:lang w:val="fr-FR"/>
              </w:rPr>
              <w:t>’</w:t>
            </w:r>
            <w:r w:rsidRPr="00D260D7">
              <w:rPr>
                <w:b/>
                <w:bCs/>
                <w:spacing w:val="-2"/>
                <w:lang w:val="fr-FR"/>
              </w:rPr>
              <w:t>apprentissage profond, etc. nécessit</w:t>
            </w:r>
            <w:r>
              <w:rPr>
                <w:b/>
                <w:bCs/>
                <w:spacing w:val="-2"/>
                <w:lang w:val="fr-FR"/>
              </w:rPr>
              <w:t>ai</w:t>
            </w:r>
            <w:r w:rsidRPr="00D260D7">
              <w:rPr>
                <w:b/>
                <w:bCs/>
                <w:spacing w:val="-2"/>
                <w:lang w:val="fr-FR"/>
              </w:rPr>
              <w:t xml:space="preserve">ent une intervention réglementaire ou si des dispositions neutres sur le plan technologique </w:t>
            </w:r>
            <w:r>
              <w:rPr>
                <w:b/>
                <w:bCs/>
                <w:spacing w:val="-2"/>
                <w:lang w:val="fr-FR"/>
              </w:rPr>
              <w:t>étaie</w:t>
            </w:r>
            <w:r w:rsidRPr="00D260D7">
              <w:rPr>
                <w:b/>
                <w:bCs/>
                <w:spacing w:val="-2"/>
                <w:lang w:val="fr-FR"/>
              </w:rPr>
              <w:t>nt suffisantes.</w:t>
            </w:r>
          </w:p>
          <w:p w14:paraId="23E9B6EC" w14:textId="0BBA51E4" w:rsidR="000661F7" w:rsidRDefault="000661F7" w:rsidP="0094269B">
            <w:pPr>
              <w:spacing w:before="40" w:after="100"/>
              <w:ind w:right="113"/>
              <w:rPr>
                <w:b/>
                <w:bCs/>
                <w:spacing w:val="-2"/>
                <w:lang w:val="fr-FR"/>
              </w:rPr>
            </w:pPr>
            <w:r w:rsidRPr="00D260D7">
              <w:rPr>
                <w:b/>
                <w:bCs/>
                <w:spacing w:val="-2"/>
                <w:lang w:val="fr-FR"/>
              </w:rPr>
              <w:t xml:space="preserve">Le secrétariat du GRVA a organisé une série de webinaires sur les systèmes de transport intelligents et sur </w:t>
            </w:r>
            <w:r>
              <w:rPr>
                <w:b/>
                <w:bCs/>
                <w:spacing w:val="-2"/>
                <w:lang w:val="fr-FR"/>
              </w:rPr>
              <w:t>l’application</w:t>
            </w:r>
            <w:r w:rsidRPr="00D260D7">
              <w:rPr>
                <w:b/>
                <w:bCs/>
                <w:spacing w:val="-2"/>
                <w:lang w:val="fr-FR"/>
              </w:rPr>
              <w:t xml:space="preserve"> des dispositions relatives à la cybersécurité (Règlement ONU n</w:t>
            </w:r>
            <w:r w:rsidRPr="00C33721">
              <w:rPr>
                <w:b/>
                <w:bCs/>
                <w:spacing w:val="-2"/>
                <w:vertAlign w:val="superscript"/>
                <w:lang w:val="fr-FR"/>
              </w:rPr>
              <w:t>o</w:t>
            </w:r>
            <w:r>
              <w:rPr>
                <w:b/>
                <w:bCs/>
                <w:spacing w:val="-2"/>
                <w:lang w:val="fr-FR"/>
              </w:rPr>
              <w:t> </w:t>
            </w:r>
            <w:r w:rsidRPr="00D260D7">
              <w:rPr>
                <w:b/>
                <w:bCs/>
                <w:spacing w:val="-2"/>
                <w:lang w:val="fr-FR"/>
              </w:rPr>
              <w:t>155).</w:t>
            </w:r>
          </w:p>
          <w:p w14:paraId="581B4876" w14:textId="599C8B78" w:rsidR="000661F7" w:rsidRDefault="000661F7" w:rsidP="0094269B">
            <w:pPr>
              <w:spacing w:before="40" w:after="100"/>
              <w:ind w:right="113"/>
              <w:rPr>
                <w:b/>
                <w:bCs/>
                <w:spacing w:val="-2"/>
                <w:lang w:val="fr-FR"/>
              </w:rPr>
            </w:pPr>
            <w:r>
              <w:rPr>
                <w:b/>
                <w:bCs/>
                <w:spacing w:val="-2"/>
                <w:lang w:val="fr-FR"/>
              </w:rPr>
              <w:t>L</w:t>
            </w:r>
            <w:r w:rsidRPr="00D260D7">
              <w:rPr>
                <w:b/>
                <w:bCs/>
                <w:spacing w:val="-2"/>
                <w:lang w:val="fr-FR"/>
              </w:rPr>
              <w:t>e GRVA a élaboré le premier Règlement ONU autorisant l</w:t>
            </w:r>
            <w:r>
              <w:rPr>
                <w:b/>
                <w:bCs/>
                <w:spacing w:val="-2"/>
                <w:lang w:val="fr-FR"/>
              </w:rPr>
              <w:t>’automatisation d</w:t>
            </w:r>
            <w:r w:rsidRPr="00D260D7">
              <w:rPr>
                <w:b/>
                <w:bCs/>
                <w:spacing w:val="-2"/>
                <w:lang w:val="fr-FR"/>
              </w:rPr>
              <w:t>es véhicules, à savoir le Règlement ONU n</w:t>
            </w:r>
            <w:r w:rsidRPr="00C33721">
              <w:rPr>
                <w:b/>
                <w:bCs/>
                <w:spacing w:val="-2"/>
                <w:vertAlign w:val="superscript"/>
                <w:lang w:val="fr-FR"/>
              </w:rPr>
              <w:t>o</w:t>
            </w:r>
            <w:r w:rsidR="00F71F10">
              <w:rPr>
                <w:b/>
                <w:bCs/>
                <w:spacing w:val="-2"/>
                <w:lang w:val="fr-FR"/>
              </w:rPr>
              <w:t> </w:t>
            </w:r>
            <w:r w:rsidRPr="00D260D7">
              <w:rPr>
                <w:b/>
                <w:bCs/>
                <w:spacing w:val="-2"/>
                <w:lang w:val="fr-FR"/>
              </w:rPr>
              <w:t xml:space="preserve">157 sur le système automatisé de maintien dans la voie (ALKS), qui a été adopté par le WP.29 en juin 2020. </w:t>
            </w:r>
            <w:r>
              <w:rPr>
                <w:b/>
                <w:bCs/>
                <w:spacing w:val="-2"/>
                <w:lang w:val="fr-FR"/>
              </w:rPr>
              <w:t>L</w:t>
            </w:r>
            <w:r w:rsidRPr="00D260D7">
              <w:rPr>
                <w:b/>
                <w:bCs/>
                <w:spacing w:val="-2"/>
                <w:lang w:val="fr-FR"/>
              </w:rPr>
              <w:t>es derniers amendements</w:t>
            </w:r>
            <w:r>
              <w:rPr>
                <w:b/>
                <w:bCs/>
                <w:spacing w:val="-2"/>
                <w:lang w:val="fr-FR"/>
              </w:rPr>
              <w:t xml:space="preserve"> à ce Règlement ont étendu son champ d’application aux</w:t>
            </w:r>
            <w:r w:rsidRPr="00D260D7">
              <w:rPr>
                <w:b/>
                <w:bCs/>
                <w:spacing w:val="-2"/>
                <w:lang w:val="fr-FR"/>
              </w:rPr>
              <w:t xml:space="preserve"> véhicules lourds</w:t>
            </w:r>
            <w:r>
              <w:rPr>
                <w:b/>
                <w:bCs/>
                <w:spacing w:val="-2"/>
                <w:lang w:val="fr-FR"/>
              </w:rPr>
              <w:t>,</w:t>
            </w:r>
            <w:r w:rsidRPr="00D260D7">
              <w:rPr>
                <w:b/>
                <w:bCs/>
                <w:spacing w:val="-2"/>
                <w:lang w:val="fr-FR"/>
              </w:rPr>
              <w:t xml:space="preserve"> en plus des voitures particulières. </w:t>
            </w:r>
            <w:r>
              <w:rPr>
                <w:b/>
                <w:bCs/>
                <w:spacing w:val="-2"/>
                <w:lang w:val="fr-FR"/>
              </w:rPr>
              <w:t>Lorsqu’un tel</w:t>
            </w:r>
            <w:r w:rsidRPr="00D260D7">
              <w:rPr>
                <w:b/>
                <w:bCs/>
                <w:spacing w:val="-2"/>
                <w:lang w:val="fr-FR"/>
              </w:rPr>
              <w:t xml:space="preserve"> système </w:t>
            </w:r>
            <w:r>
              <w:rPr>
                <w:b/>
                <w:bCs/>
                <w:spacing w:val="-2"/>
                <w:lang w:val="fr-FR"/>
              </w:rPr>
              <w:t xml:space="preserve">est </w:t>
            </w:r>
            <w:r w:rsidRPr="00D260D7">
              <w:rPr>
                <w:b/>
                <w:bCs/>
                <w:spacing w:val="-2"/>
                <w:lang w:val="fr-FR"/>
              </w:rPr>
              <w:t xml:space="preserve">activé, il </w:t>
            </w:r>
            <w:r>
              <w:rPr>
                <w:b/>
                <w:bCs/>
                <w:spacing w:val="-2"/>
                <w:lang w:val="fr-FR"/>
              </w:rPr>
              <w:t xml:space="preserve">devient le principal maître </w:t>
            </w:r>
            <w:r w:rsidRPr="00D260D7">
              <w:rPr>
                <w:b/>
                <w:bCs/>
                <w:spacing w:val="-2"/>
                <w:lang w:val="fr-FR"/>
              </w:rPr>
              <w:t xml:space="preserve">du véhicule et </w:t>
            </w:r>
            <w:r>
              <w:rPr>
                <w:b/>
                <w:bCs/>
                <w:spacing w:val="-2"/>
                <w:lang w:val="fr-FR"/>
              </w:rPr>
              <w:t>assure les fonctions de</w:t>
            </w:r>
            <w:r w:rsidRPr="00D260D7">
              <w:rPr>
                <w:b/>
                <w:bCs/>
                <w:spacing w:val="-2"/>
                <w:lang w:val="fr-FR"/>
              </w:rPr>
              <w:t xml:space="preserve"> conduite dynamique dans certains environnements jusqu</w:t>
            </w:r>
            <w:r>
              <w:rPr>
                <w:b/>
                <w:bCs/>
                <w:spacing w:val="-2"/>
                <w:lang w:val="fr-FR"/>
              </w:rPr>
              <w:t>’</w:t>
            </w:r>
            <w:r w:rsidRPr="00D260D7">
              <w:rPr>
                <w:b/>
                <w:bCs/>
                <w:spacing w:val="-2"/>
                <w:lang w:val="fr-FR"/>
              </w:rPr>
              <w:t>à une vitesse de 130</w:t>
            </w:r>
            <w:r w:rsidR="00F71F10">
              <w:rPr>
                <w:b/>
                <w:bCs/>
                <w:spacing w:val="-2"/>
                <w:lang w:val="fr-FR"/>
              </w:rPr>
              <w:t> </w:t>
            </w:r>
            <w:r w:rsidRPr="00D260D7">
              <w:rPr>
                <w:b/>
                <w:bCs/>
                <w:spacing w:val="-2"/>
                <w:lang w:val="fr-FR"/>
              </w:rPr>
              <w:t>km/h, y compris les changements de voie. D</w:t>
            </w:r>
            <w:r>
              <w:rPr>
                <w:b/>
                <w:bCs/>
                <w:spacing w:val="-2"/>
                <w:lang w:val="fr-FR"/>
              </w:rPr>
              <w:t>’</w:t>
            </w:r>
            <w:r w:rsidRPr="00D260D7">
              <w:rPr>
                <w:b/>
                <w:bCs/>
                <w:spacing w:val="-2"/>
                <w:lang w:val="fr-FR"/>
              </w:rPr>
              <w:t xml:space="preserve">autres activités </w:t>
            </w:r>
            <w:r>
              <w:rPr>
                <w:b/>
                <w:bCs/>
                <w:spacing w:val="-2"/>
                <w:lang w:val="fr-FR"/>
              </w:rPr>
              <w:t>(</w:t>
            </w:r>
            <w:r w:rsidRPr="00D260D7">
              <w:rPr>
                <w:b/>
                <w:bCs/>
                <w:spacing w:val="-2"/>
                <w:lang w:val="fr-FR"/>
              </w:rPr>
              <w:t>portant sur d</w:t>
            </w:r>
            <w:r>
              <w:rPr>
                <w:b/>
                <w:bCs/>
                <w:spacing w:val="-2"/>
                <w:lang w:val="fr-FR"/>
              </w:rPr>
              <w:t>’</w:t>
            </w:r>
            <w:r w:rsidRPr="00D260D7">
              <w:rPr>
                <w:b/>
                <w:bCs/>
                <w:spacing w:val="-2"/>
                <w:lang w:val="fr-FR"/>
              </w:rPr>
              <w:t>autres cas d</w:t>
            </w:r>
            <w:r>
              <w:rPr>
                <w:b/>
                <w:bCs/>
                <w:spacing w:val="-2"/>
                <w:lang w:val="fr-FR"/>
              </w:rPr>
              <w:t>’</w:t>
            </w:r>
            <w:r w:rsidRPr="00D260D7">
              <w:rPr>
                <w:b/>
                <w:bCs/>
                <w:spacing w:val="-2"/>
                <w:lang w:val="fr-FR"/>
              </w:rPr>
              <w:t xml:space="preserve">utilisation des véhicules automatisés </w:t>
            </w:r>
            <w:r>
              <w:rPr>
                <w:b/>
                <w:bCs/>
                <w:spacing w:val="-2"/>
                <w:lang w:val="fr-FR"/>
              </w:rPr>
              <w:t>que celui de la conduite</w:t>
            </w:r>
            <w:r w:rsidRPr="00D260D7">
              <w:rPr>
                <w:b/>
                <w:bCs/>
                <w:spacing w:val="-2"/>
                <w:lang w:val="fr-FR"/>
              </w:rPr>
              <w:t xml:space="preserve"> </w:t>
            </w:r>
            <w:r>
              <w:rPr>
                <w:b/>
                <w:bCs/>
                <w:spacing w:val="-2"/>
                <w:lang w:val="fr-FR"/>
              </w:rPr>
              <w:t>sur</w:t>
            </w:r>
            <w:r w:rsidRPr="00D260D7">
              <w:rPr>
                <w:b/>
                <w:bCs/>
                <w:spacing w:val="-2"/>
                <w:lang w:val="fr-FR"/>
              </w:rPr>
              <w:t xml:space="preserve"> autoroute </w:t>
            </w:r>
            <w:r>
              <w:rPr>
                <w:b/>
                <w:bCs/>
                <w:spacing w:val="-2"/>
                <w:lang w:val="fr-FR"/>
              </w:rPr>
              <w:t>de</w:t>
            </w:r>
            <w:r w:rsidRPr="00D260D7">
              <w:rPr>
                <w:b/>
                <w:bCs/>
                <w:spacing w:val="-2"/>
                <w:lang w:val="fr-FR"/>
              </w:rPr>
              <w:t xml:space="preserve"> l</w:t>
            </w:r>
            <w:r>
              <w:rPr>
                <w:b/>
                <w:bCs/>
                <w:spacing w:val="-2"/>
                <w:lang w:val="fr-FR"/>
              </w:rPr>
              <w:t>’</w:t>
            </w:r>
            <w:r w:rsidRPr="00D260D7">
              <w:rPr>
                <w:b/>
                <w:bCs/>
                <w:spacing w:val="-2"/>
                <w:lang w:val="fr-FR"/>
              </w:rPr>
              <w:t>ALKS) sont menées au titre du document-cadre sur les véhicules automatisés.</w:t>
            </w:r>
          </w:p>
          <w:p w14:paraId="29B7B0B5" w14:textId="33439B7C" w:rsidR="000661F7" w:rsidRPr="00C33721" w:rsidRDefault="000661F7" w:rsidP="0094269B">
            <w:pPr>
              <w:spacing w:before="40" w:after="100"/>
              <w:ind w:right="113"/>
              <w:rPr>
                <w:b/>
                <w:bCs/>
                <w:spacing w:val="-2"/>
                <w:lang w:val="fr-FR"/>
              </w:rPr>
            </w:pPr>
            <w:r w:rsidRPr="00FA4280">
              <w:rPr>
                <w:b/>
                <w:bCs/>
                <w:spacing w:val="-2"/>
                <w:lang w:val="fr-FR"/>
              </w:rPr>
              <w:lastRenderedPageBreak/>
              <w:t>Le GRVA s’est également penché</w:t>
            </w:r>
            <w:r w:rsidRPr="00640F27">
              <w:rPr>
                <w:b/>
                <w:bCs/>
                <w:spacing w:val="-2"/>
                <w:lang w:val="fr-FR"/>
              </w:rPr>
              <w:t xml:space="preserve"> sur les risques croissants de cyberattaques et a élaboré les Règlements ONU n</w:t>
            </w:r>
            <w:r w:rsidRPr="00C33721">
              <w:rPr>
                <w:b/>
                <w:bCs/>
                <w:spacing w:val="-2"/>
                <w:vertAlign w:val="superscript"/>
                <w:lang w:val="fr-FR"/>
              </w:rPr>
              <w:t>os</w:t>
            </w:r>
            <w:r w:rsidR="00FA4280">
              <w:rPr>
                <w:b/>
                <w:bCs/>
                <w:spacing w:val="-2"/>
                <w:lang w:val="fr-FR"/>
              </w:rPr>
              <w:t> </w:t>
            </w:r>
            <w:r w:rsidRPr="00640F27">
              <w:rPr>
                <w:b/>
                <w:bCs/>
                <w:spacing w:val="-2"/>
                <w:lang w:val="fr-FR"/>
              </w:rPr>
              <w:t>155 et 156, adoptés par le WP.29 en juin 2020. Le Règlement ONU n</w:t>
            </w:r>
            <w:r w:rsidRPr="00C33721">
              <w:rPr>
                <w:b/>
                <w:bCs/>
                <w:spacing w:val="-2"/>
                <w:vertAlign w:val="superscript"/>
                <w:lang w:val="fr-FR"/>
              </w:rPr>
              <w:t>o</w:t>
            </w:r>
            <w:r w:rsidR="00FA4280">
              <w:rPr>
                <w:b/>
                <w:bCs/>
                <w:spacing w:val="-2"/>
                <w:lang w:val="fr-FR"/>
              </w:rPr>
              <w:t> </w:t>
            </w:r>
            <w:r w:rsidRPr="00640F27">
              <w:rPr>
                <w:b/>
                <w:bCs/>
                <w:spacing w:val="-2"/>
                <w:lang w:val="fr-FR"/>
              </w:rPr>
              <w:t>155 fournit un cadre pour l</w:t>
            </w:r>
            <w:r>
              <w:rPr>
                <w:b/>
                <w:bCs/>
                <w:spacing w:val="-2"/>
                <w:lang w:val="fr-FR"/>
              </w:rPr>
              <w:t>’</w:t>
            </w:r>
            <w:r w:rsidRPr="00640F27">
              <w:rPr>
                <w:b/>
                <w:bCs/>
                <w:spacing w:val="-2"/>
                <w:lang w:val="fr-FR"/>
              </w:rPr>
              <w:t>homologation du système de gestion de la cybersécurité des constructeurs de véhicules</w:t>
            </w:r>
            <w:r>
              <w:rPr>
                <w:b/>
                <w:bCs/>
                <w:spacing w:val="-2"/>
                <w:lang w:val="fr-FR"/>
              </w:rPr>
              <w:t xml:space="preserve"> en</w:t>
            </w:r>
            <w:r w:rsidRPr="00640F27">
              <w:rPr>
                <w:b/>
                <w:bCs/>
                <w:spacing w:val="-2"/>
                <w:lang w:val="fr-FR"/>
              </w:rPr>
              <w:t xml:space="preserve"> </w:t>
            </w:r>
            <w:r>
              <w:rPr>
                <w:b/>
                <w:bCs/>
                <w:spacing w:val="-2"/>
                <w:lang w:val="fr-FR"/>
              </w:rPr>
              <w:t xml:space="preserve">définissant les modalités de vérification de sa </w:t>
            </w:r>
            <w:r w:rsidRPr="00640F27">
              <w:rPr>
                <w:b/>
                <w:bCs/>
                <w:spacing w:val="-2"/>
                <w:lang w:val="fr-FR"/>
              </w:rPr>
              <w:t>fonctionnalité. Le Règlement ONU n</w:t>
            </w:r>
            <w:r w:rsidRPr="00C33721">
              <w:rPr>
                <w:b/>
                <w:bCs/>
                <w:spacing w:val="-2"/>
                <w:vertAlign w:val="superscript"/>
                <w:lang w:val="fr-FR"/>
              </w:rPr>
              <w:t>o</w:t>
            </w:r>
            <w:r w:rsidR="00FA4280">
              <w:rPr>
                <w:b/>
                <w:bCs/>
                <w:spacing w:val="-2"/>
                <w:lang w:val="fr-FR"/>
              </w:rPr>
              <w:t> </w:t>
            </w:r>
            <w:r w:rsidRPr="00640F27">
              <w:rPr>
                <w:b/>
                <w:bCs/>
                <w:spacing w:val="-2"/>
                <w:lang w:val="fr-FR"/>
              </w:rPr>
              <w:t>156 établit des dispositions relatives au système de gestion de la mise à jour des logiciels des constructeurs de véhicules, qui peut prolonger la durée de vie des véhicules et garantir l</w:t>
            </w:r>
            <w:r>
              <w:rPr>
                <w:b/>
                <w:bCs/>
                <w:spacing w:val="-2"/>
                <w:lang w:val="fr-FR"/>
              </w:rPr>
              <w:t>eur</w:t>
            </w:r>
            <w:r w:rsidRPr="00640F27">
              <w:rPr>
                <w:b/>
                <w:bCs/>
                <w:spacing w:val="-2"/>
                <w:lang w:val="fr-FR"/>
              </w:rPr>
              <w:t xml:space="preserve"> s</w:t>
            </w:r>
            <w:r>
              <w:rPr>
                <w:b/>
                <w:bCs/>
                <w:spacing w:val="-2"/>
                <w:lang w:val="fr-FR"/>
              </w:rPr>
              <w:t>ûre</w:t>
            </w:r>
            <w:r w:rsidRPr="00640F27">
              <w:rPr>
                <w:b/>
                <w:bCs/>
                <w:spacing w:val="-2"/>
                <w:lang w:val="fr-FR"/>
              </w:rPr>
              <w:t>té pendant leur durée de vie.</w:t>
            </w:r>
          </w:p>
          <w:p w14:paraId="0702E16E" w14:textId="0AD24435" w:rsidR="000661F7" w:rsidRPr="005E0AD2" w:rsidRDefault="000661F7" w:rsidP="0094269B">
            <w:pPr>
              <w:spacing w:before="40" w:after="100"/>
              <w:ind w:right="113"/>
              <w:rPr>
                <w:spacing w:val="-2"/>
                <w:lang w:val="fr-FR"/>
              </w:rPr>
            </w:pPr>
            <w:r w:rsidRPr="005E0AD2">
              <w:rPr>
                <w:spacing w:val="-2"/>
                <w:lang w:val="fr-FR"/>
              </w:rPr>
              <w:t>D</w:t>
            </w:r>
            <w:r>
              <w:rPr>
                <w:spacing w:val="-2"/>
                <w:lang w:val="fr-FR"/>
              </w:rPr>
              <w:t>’</w:t>
            </w:r>
            <w:r w:rsidRPr="005E0AD2">
              <w:rPr>
                <w:spacing w:val="-2"/>
                <w:lang w:val="fr-FR"/>
              </w:rPr>
              <w:t>autres groupes de travail s</w:t>
            </w:r>
            <w:r>
              <w:rPr>
                <w:spacing w:val="-2"/>
                <w:lang w:val="fr-FR"/>
              </w:rPr>
              <w:t>’</w:t>
            </w:r>
            <w:r w:rsidRPr="005E0AD2">
              <w:rPr>
                <w:spacing w:val="-2"/>
                <w:lang w:val="fr-FR"/>
              </w:rPr>
              <w:t>intéressent aussi aux innovations, mais de façon moins systématique. Le</w:t>
            </w:r>
            <w:r w:rsidR="00FA4280">
              <w:rPr>
                <w:spacing w:val="-2"/>
                <w:lang w:val="fr-FR"/>
              </w:rPr>
              <w:t> </w:t>
            </w:r>
            <w:r w:rsidRPr="005E0AD2">
              <w:rPr>
                <w:spacing w:val="-2"/>
                <w:lang w:val="fr-FR"/>
              </w:rPr>
              <w:t>Groupe de travail des dispositions générales de sécurité (GRSG), par exemple, est chargé d</w:t>
            </w:r>
            <w:r>
              <w:rPr>
                <w:spacing w:val="-2"/>
                <w:lang w:val="fr-FR"/>
              </w:rPr>
              <w:t>’</w:t>
            </w:r>
            <w:r w:rsidRPr="005E0AD2">
              <w:rPr>
                <w:spacing w:val="-2"/>
                <w:lang w:val="fr-FR"/>
              </w:rPr>
              <w:t>élaborer des prescriptions techniques applicables à l</w:t>
            </w:r>
            <w:r>
              <w:rPr>
                <w:spacing w:val="-2"/>
                <w:lang w:val="fr-FR"/>
              </w:rPr>
              <w:t>’</w:t>
            </w:r>
            <w:r w:rsidRPr="005E0AD2">
              <w:rPr>
                <w:spacing w:val="-2"/>
                <w:lang w:val="fr-FR"/>
              </w:rPr>
              <w:t>autopartage pour faciliter l</w:t>
            </w:r>
            <w:r>
              <w:rPr>
                <w:spacing w:val="-2"/>
                <w:lang w:val="fr-FR"/>
              </w:rPr>
              <w:t>’</w:t>
            </w:r>
            <w:r w:rsidRPr="005E0AD2">
              <w:rPr>
                <w:spacing w:val="-2"/>
                <w:lang w:val="fr-FR"/>
              </w:rPr>
              <w:t>intégration des véhicules dans les stratégies de transport multimodal.</w:t>
            </w:r>
            <w:r w:rsidRPr="00585BA9">
              <w:rPr>
                <w:b/>
                <w:bCs/>
                <w:spacing w:val="-2"/>
                <w:lang w:val="fr-FR"/>
              </w:rPr>
              <w:t xml:space="preserve"> </w:t>
            </w:r>
            <w:r w:rsidRPr="00C62E33">
              <w:rPr>
                <w:b/>
                <w:bCs/>
                <w:spacing w:val="-2"/>
                <w:lang w:val="fr-FR"/>
              </w:rPr>
              <w:t>Le</w:t>
            </w:r>
            <w:r w:rsidR="00FA4280">
              <w:rPr>
                <w:b/>
                <w:bCs/>
                <w:spacing w:val="-2"/>
                <w:lang w:val="fr-FR"/>
              </w:rPr>
              <w:t> </w:t>
            </w:r>
            <w:r w:rsidRPr="00C62E33">
              <w:rPr>
                <w:b/>
                <w:bCs/>
                <w:spacing w:val="-2"/>
                <w:lang w:val="fr-FR"/>
              </w:rPr>
              <w:t>GRSG a élaboré une série de nouveaux Règlements ONU visant à protéger les usagers de la route vulnérables au moyen des technologies les plus récentes (Règlements ONU n</w:t>
            </w:r>
            <w:r w:rsidRPr="00C33721">
              <w:rPr>
                <w:b/>
                <w:bCs/>
                <w:spacing w:val="-2"/>
                <w:vertAlign w:val="superscript"/>
                <w:lang w:val="fr-FR"/>
              </w:rPr>
              <w:t>os</w:t>
            </w:r>
            <w:r w:rsidRPr="00C62E33">
              <w:rPr>
                <w:b/>
                <w:bCs/>
                <w:spacing w:val="-2"/>
                <w:lang w:val="fr-FR"/>
              </w:rPr>
              <w:t xml:space="preserve"> 158, 159 et bientôt 165 sur les usagers vulnérables de la route à proximité immédiate de l</w:t>
            </w:r>
            <w:r>
              <w:rPr>
                <w:b/>
                <w:bCs/>
                <w:spacing w:val="-2"/>
                <w:lang w:val="fr-FR"/>
              </w:rPr>
              <w:t>’</w:t>
            </w:r>
            <w:r w:rsidRPr="00C62E33">
              <w:rPr>
                <w:b/>
                <w:bCs/>
                <w:spacing w:val="-2"/>
                <w:lang w:val="fr-FR"/>
              </w:rPr>
              <w:t>avant et du côté du véhicule).</w:t>
            </w:r>
          </w:p>
          <w:p w14:paraId="148EEBFD" w14:textId="62EE1F50" w:rsidR="000661F7" w:rsidRPr="005E0AD2" w:rsidRDefault="000661F7" w:rsidP="0094269B">
            <w:pPr>
              <w:spacing w:before="40" w:after="100"/>
              <w:ind w:right="113"/>
              <w:rPr>
                <w:spacing w:val="-2"/>
                <w:lang w:val="fr-FR"/>
              </w:rPr>
            </w:pPr>
            <w:r w:rsidRPr="005E0AD2">
              <w:rPr>
                <w:spacing w:val="-2"/>
                <w:lang w:val="fr-FR"/>
              </w:rPr>
              <w:t>Les sessions annuelles du SC.1 sont l</w:t>
            </w:r>
            <w:r>
              <w:rPr>
                <w:spacing w:val="-2"/>
                <w:lang w:val="fr-FR"/>
              </w:rPr>
              <w:t>’</w:t>
            </w:r>
            <w:r w:rsidRPr="005E0AD2">
              <w:rPr>
                <w:spacing w:val="-2"/>
                <w:lang w:val="fr-FR"/>
              </w:rPr>
              <w:t>occasion pour les États membres de mettre en commun et de présenter leurs initiatives sur la numérisation des systèmes routiers ou des infrastructures routières.</w:t>
            </w:r>
          </w:p>
          <w:p w14:paraId="4A001723" w14:textId="7C4B4D12" w:rsidR="000661F7" w:rsidRDefault="000661F7" w:rsidP="0094269B">
            <w:pPr>
              <w:spacing w:before="40" w:after="100"/>
              <w:ind w:right="113"/>
              <w:rPr>
                <w:spacing w:val="-2"/>
                <w:lang w:val="fr-FR"/>
              </w:rPr>
            </w:pPr>
            <w:r w:rsidRPr="005E0AD2">
              <w:rPr>
                <w:spacing w:val="-2"/>
                <w:lang w:val="fr-FR"/>
              </w:rPr>
              <w:t>En 2018, le SC.3 a ajouté à son ordre du jour la question de l</w:t>
            </w:r>
            <w:r>
              <w:rPr>
                <w:spacing w:val="-2"/>
                <w:lang w:val="fr-FR"/>
              </w:rPr>
              <w:t>’</w:t>
            </w:r>
            <w:r w:rsidRPr="005E0AD2">
              <w:rPr>
                <w:spacing w:val="-2"/>
                <w:lang w:val="fr-FR"/>
              </w:rPr>
              <w:t xml:space="preserve">automatisation dans le domaine de la navigation intérieure et des transports </w:t>
            </w:r>
            <w:r>
              <w:rPr>
                <w:spacing w:val="-2"/>
                <w:lang w:val="fr-FR"/>
              </w:rPr>
              <w:t>fluviaux</w:t>
            </w:r>
            <w:r w:rsidRPr="005E0AD2">
              <w:rPr>
                <w:spacing w:val="-2"/>
                <w:lang w:val="fr-FR"/>
              </w:rPr>
              <w:t xml:space="preserve"> intelligents. En 2019, il a adopté la résolution n</w:t>
            </w:r>
            <w:r w:rsidRPr="005E0AD2">
              <w:rPr>
                <w:spacing w:val="-2"/>
                <w:vertAlign w:val="superscript"/>
                <w:lang w:val="fr-FR"/>
              </w:rPr>
              <w:t>o</w:t>
            </w:r>
            <w:r w:rsidRPr="005E0AD2">
              <w:rPr>
                <w:spacing w:val="-2"/>
                <w:lang w:val="fr-FR"/>
              </w:rPr>
              <w:t xml:space="preserve"> 95, intitulée « Renforcement de la coopération internationale en faveur du développement de la navigation </w:t>
            </w:r>
            <w:r w:rsidRPr="005E0AD2">
              <w:rPr>
                <w:spacing w:val="-2"/>
                <w:lang w:val="fr-FR"/>
              </w:rPr>
              <w:lastRenderedPageBreak/>
              <w:t>automatisée ».</w:t>
            </w:r>
            <w:r w:rsidRPr="00585BA9">
              <w:rPr>
                <w:b/>
                <w:bCs/>
                <w:spacing w:val="-2"/>
                <w:lang w:val="fr-FR"/>
              </w:rPr>
              <w:t xml:space="preserve"> </w:t>
            </w:r>
            <w:r w:rsidRPr="00C62E33">
              <w:rPr>
                <w:b/>
                <w:bCs/>
                <w:spacing w:val="-2"/>
                <w:lang w:val="fr-FR"/>
              </w:rPr>
              <w:t xml:space="preserve">En 2019-2020, le SC.3 a adopté </w:t>
            </w:r>
            <w:r>
              <w:rPr>
                <w:b/>
                <w:bCs/>
                <w:spacing w:val="-2"/>
                <w:lang w:val="fr-FR"/>
              </w:rPr>
              <w:t>l</w:t>
            </w:r>
            <w:r w:rsidRPr="00C62E33">
              <w:rPr>
                <w:b/>
                <w:bCs/>
                <w:spacing w:val="-2"/>
                <w:lang w:val="fr-FR"/>
              </w:rPr>
              <w:t>es résolutions révisées n</w:t>
            </w:r>
            <w:r w:rsidRPr="00C33721">
              <w:rPr>
                <w:b/>
                <w:bCs/>
                <w:spacing w:val="-2"/>
                <w:vertAlign w:val="superscript"/>
                <w:lang w:val="fr-FR"/>
              </w:rPr>
              <w:t>os</w:t>
            </w:r>
            <w:r>
              <w:rPr>
                <w:b/>
                <w:bCs/>
                <w:spacing w:val="-2"/>
                <w:lang w:val="fr-FR"/>
              </w:rPr>
              <w:t> </w:t>
            </w:r>
            <w:r w:rsidRPr="00C62E33">
              <w:rPr>
                <w:b/>
                <w:bCs/>
                <w:spacing w:val="-2"/>
                <w:lang w:val="fr-FR"/>
              </w:rPr>
              <w:t>48, 63, 79 et 80 concernant les services d</w:t>
            </w:r>
            <w:r>
              <w:rPr>
                <w:b/>
                <w:bCs/>
                <w:spacing w:val="-2"/>
                <w:lang w:val="fr-FR"/>
              </w:rPr>
              <w:t>’</w:t>
            </w:r>
            <w:r w:rsidRPr="00C62E33">
              <w:rPr>
                <w:b/>
                <w:bCs/>
                <w:spacing w:val="-2"/>
                <w:lang w:val="fr-FR"/>
              </w:rPr>
              <w:t>information fluviale, qui ont été suivies par la brochure sur les services d</w:t>
            </w:r>
            <w:r>
              <w:rPr>
                <w:b/>
                <w:bCs/>
                <w:spacing w:val="-2"/>
                <w:lang w:val="fr-FR"/>
              </w:rPr>
              <w:t>’</w:t>
            </w:r>
            <w:r w:rsidRPr="00C62E33">
              <w:rPr>
                <w:b/>
                <w:bCs/>
                <w:spacing w:val="-2"/>
                <w:lang w:val="fr-FR"/>
              </w:rPr>
              <w:t>information fluviale dans la région de la Commission économique pour l</w:t>
            </w:r>
            <w:r>
              <w:rPr>
                <w:b/>
                <w:bCs/>
                <w:spacing w:val="-2"/>
                <w:lang w:val="fr-FR"/>
              </w:rPr>
              <w:t>’</w:t>
            </w:r>
            <w:r w:rsidRPr="00C62E33">
              <w:rPr>
                <w:b/>
                <w:bCs/>
                <w:spacing w:val="-2"/>
                <w:lang w:val="fr-FR"/>
              </w:rPr>
              <w:t xml:space="preserve">Europe, publiée en 2022. </w:t>
            </w:r>
            <w:r w:rsidRPr="00C33721">
              <w:rPr>
                <w:b/>
                <w:bCs/>
                <w:spacing w:val="-2"/>
                <w:lang w:val="fr-FR"/>
              </w:rPr>
              <w:t>Le SC.3 travaille actuellement à la mise à jour de la résolution n</w:t>
            </w:r>
            <w:r w:rsidRPr="00C33721">
              <w:rPr>
                <w:b/>
                <w:bCs/>
                <w:spacing w:val="-2"/>
                <w:vertAlign w:val="superscript"/>
                <w:lang w:val="fr-FR"/>
              </w:rPr>
              <w:t>o</w:t>
            </w:r>
            <w:r w:rsidR="00FA4280">
              <w:rPr>
                <w:b/>
                <w:bCs/>
                <w:spacing w:val="-2"/>
                <w:lang w:val="fr-FR"/>
              </w:rPr>
              <w:t> </w:t>
            </w:r>
            <w:r w:rsidRPr="00C33721">
              <w:rPr>
                <w:b/>
                <w:bCs/>
                <w:spacing w:val="-2"/>
                <w:lang w:val="fr-FR"/>
              </w:rPr>
              <w:t xml:space="preserve">58, intitulée </w:t>
            </w:r>
            <w:r>
              <w:rPr>
                <w:b/>
                <w:bCs/>
                <w:spacing w:val="-2"/>
                <w:lang w:val="fr-FR"/>
              </w:rPr>
              <w:t>« </w:t>
            </w:r>
            <w:r w:rsidRPr="00C33721">
              <w:rPr>
                <w:b/>
                <w:bCs/>
                <w:spacing w:val="-2"/>
                <w:lang w:val="fr-FR"/>
              </w:rPr>
              <w:t>Services de trafic fluvial sur les voies navigables</w:t>
            </w:r>
            <w:r>
              <w:rPr>
                <w:b/>
                <w:bCs/>
                <w:spacing w:val="-2"/>
                <w:lang w:val="fr-FR"/>
              </w:rPr>
              <w:t> »</w:t>
            </w:r>
            <w:r w:rsidRPr="00C33721">
              <w:rPr>
                <w:b/>
                <w:bCs/>
                <w:spacing w:val="-2"/>
                <w:lang w:val="fr-FR"/>
              </w:rPr>
              <w:t>.</w:t>
            </w:r>
            <w:r w:rsidRPr="00171699">
              <w:rPr>
                <w:spacing w:val="-2"/>
                <w:lang w:val="fr-FR"/>
              </w:rPr>
              <w:t xml:space="preserve"> </w:t>
            </w:r>
          </w:p>
          <w:p w14:paraId="00846579" w14:textId="6D9C2C99" w:rsidR="000661F7" w:rsidRPr="00C33721" w:rsidRDefault="000661F7" w:rsidP="0094269B">
            <w:pPr>
              <w:spacing w:before="40" w:after="100"/>
              <w:ind w:right="113"/>
              <w:rPr>
                <w:b/>
                <w:bCs/>
                <w:spacing w:val="-2"/>
                <w:lang w:val="fr-FR"/>
              </w:rPr>
            </w:pPr>
            <w:r w:rsidRPr="00C33721">
              <w:rPr>
                <w:b/>
                <w:bCs/>
                <w:spacing w:val="-2"/>
                <w:lang w:val="fr-FR"/>
              </w:rPr>
              <w:t>En 2021, le SC.3 a adopté la sixième révision du Code européen des voies de navigation intérieure (CEVNI) sur la base des résolutions récemment mises à jour, des normes du Comité européen pour l</w:t>
            </w:r>
            <w:r>
              <w:rPr>
                <w:b/>
                <w:bCs/>
                <w:spacing w:val="-2"/>
                <w:lang w:val="fr-FR"/>
              </w:rPr>
              <w:t>’</w:t>
            </w:r>
            <w:r w:rsidRPr="00C33721">
              <w:rPr>
                <w:b/>
                <w:bCs/>
                <w:spacing w:val="-2"/>
                <w:lang w:val="fr-FR"/>
              </w:rPr>
              <w:t>élaboration de standards dans le domaine de la navigation intérieure (CESNI) et des nouvelles évolutions du secteur.</w:t>
            </w:r>
          </w:p>
          <w:p w14:paraId="72357891" w14:textId="77777777" w:rsidR="000661F7" w:rsidRDefault="000661F7" w:rsidP="0094269B">
            <w:pPr>
              <w:spacing w:before="40" w:after="100"/>
              <w:ind w:right="113"/>
              <w:rPr>
                <w:spacing w:val="-2"/>
                <w:lang w:val="fr-FR"/>
              </w:rPr>
            </w:pPr>
            <w:r w:rsidRPr="005E0AD2">
              <w:rPr>
                <w:spacing w:val="-2"/>
                <w:lang w:val="fr-FR"/>
              </w:rPr>
              <w:t>La base de données SIG du réseau de voies navigables E, fondée sur le Livre bleu</w:t>
            </w:r>
            <w:r>
              <w:rPr>
                <w:spacing w:val="-2"/>
                <w:lang w:val="fr-FR"/>
              </w:rPr>
              <w:t xml:space="preserve"> et régulièrement mise à jour</w:t>
            </w:r>
            <w:r w:rsidRPr="005E0AD2">
              <w:rPr>
                <w:spacing w:val="-2"/>
                <w:lang w:val="fr-FR"/>
              </w:rPr>
              <w:t xml:space="preserve">, </w:t>
            </w:r>
            <w:r>
              <w:rPr>
                <w:spacing w:val="-2"/>
                <w:lang w:val="fr-FR"/>
              </w:rPr>
              <w:t>ainsi que</w:t>
            </w:r>
            <w:r w:rsidRPr="005E0AD2">
              <w:rPr>
                <w:spacing w:val="-2"/>
                <w:lang w:val="fr-FR"/>
              </w:rPr>
              <w:t xml:space="preserve"> la base de données des certificats internationaux de conducteur de bateau de plaisance </w:t>
            </w:r>
            <w:r>
              <w:rPr>
                <w:spacing w:val="-2"/>
                <w:lang w:val="fr-FR"/>
              </w:rPr>
              <w:t>délivrés</w:t>
            </w:r>
            <w:r w:rsidRPr="005E0AD2">
              <w:rPr>
                <w:spacing w:val="-2"/>
                <w:lang w:val="fr-FR"/>
              </w:rPr>
              <w:t xml:space="preserve"> par les différents pays sont accessibles depuis </w:t>
            </w:r>
            <w:r>
              <w:rPr>
                <w:spacing w:val="-2"/>
                <w:lang w:val="fr-FR"/>
              </w:rPr>
              <w:t>la</w:t>
            </w:r>
            <w:r w:rsidRPr="005E0AD2">
              <w:rPr>
                <w:spacing w:val="-2"/>
                <w:lang w:val="fr-FR"/>
              </w:rPr>
              <w:t xml:space="preserve"> page Web</w:t>
            </w:r>
            <w:r>
              <w:rPr>
                <w:spacing w:val="-2"/>
                <w:lang w:val="fr-FR"/>
              </w:rPr>
              <w:t xml:space="preserve"> du SC.3</w:t>
            </w:r>
            <w:r w:rsidRPr="005E0AD2">
              <w:rPr>
                <w:spacing w:val="-2"/>
                <w:lang w:val="fr-FR"/>
              </w:rPr>
              <w:t>.</w:t>
            </w:r>
          </w:p>
          <w:p w14:paraId="085F59ED" w14:textId="4722DA12" w:rsidR="000661F7" w:rsidRPr="00585BA9" w:rsidRDefault="000661F7" w:rsidP="0094269B">
            <w:pPr>
              <w:spacing w:before="40" w:after="100"/>
              <w:ind w:right="113"/>
              <w:rPr>
                <w:lang w:val="fr-FR"/>
              </w:rPr>
            </w:pPr>
            <w:r w:rsidRPr="00585BA9">
              <w:rPr>
                <w:lang w:val="fr-FR"/>
              </w:rPr>
              <w:t>Le SC.3 et le SC.3/WP.3 poursuivent leurs travaux sur la navigation intérieure automatisée, en échangeant des informations sur le sujet.</w:t>
            </w:r>
            <w:r w:rsidRPr="00E2307E">
              <w:rPr>
                <w:lang w:val="fr-FR"/>
              </w:rPr>
              <w:t xml:space="preserve"> </w:t>
            </w:r>
            <w:r w:rsidRPr="00585BA9">
              <w:rPr>
                <w:lang w:val="fr-FR"/>
              </w:rPr>
              <w:t>L</w:t>
            </w:r>
            <w:r>
              <w:rPr>
                <w:lang w:val="fr-FR"/>
              </w:rPr>
              <w:t>’</w:t>
            </w:r>
            <w:r w:rsidRPr="00585BA9">
              <w:rPr>
                <w:lang w:val="fr-FR"/>
              </w:rPr>
              <w:t xml:space="preserve">application des principes de navigation intérieure autonome aux voies de navigation intérieures peut grandement contribuer au développement de systèmes de transport intelligents dans le secteur et favoriser ainsi </w:t>
            </w:r>
            <w:r>
              <w:rPr>
                <w:lang w:val="fr-FR"/>
              </w:rPr>
              <w:t>l’application</w:t>
            </w:r>
            <w:r w:rsidRPr="00585BA9">
              <w:rPr>
                <w:lang w:val="fr-FR"/>
              </w:rPr>
              <w:t xml:space="preserve"> des objectifs de développement durable.</w:t>
            </w:r>
          </w:p>
          <w:p w14:paraId="4D0992DE" w14:textId="77777777" w:rsidR="000661F7" w:rsidRDefault="000661F7" w:rsidP="0094269B">
            <w:pPr>
              <w:spacing w:before="40" w:after="100"/>
              <w:ind w:right="113"/>
              <w:rPr>
                <w:b/>
                <w:bCs/>
                <w:lang w:val="fr-FR"/>
              </w:rPr>
            </w:pPr>
            <w:r w:rsidRPr="00E2307E">
              <w:rPr>
                <w:b/>
                <w:bCs/>
                <w:lang w:val="fr-FR"/>
              </w:rPr>
              <w:t>En 2022, le SC.3 a été invité à examiner une proposition actualisée de recensement des voies navigables</w:t>
            </w:r>
            <w:r>
              <w:rPr>
                <w:b/>
                <w:bCs/>
                <w:lang w:val="fr-FR"/>
              </w:rPr>
              <w:t> </w:t>
            </w:r>
            <w:r w:rsidRPr="00E2307E">
              <w:rPr>
                <w:b/>
                <w:bCs/>
                <w:lang w:val="fr-FR"/>
              </w:rPr>
              <w:t>E, établie par le secrétariat.</w:t>
            </w:r>
          </w:p>
          <w:p w14:paraId="03542A37" w14:textId="6804B564" w:rsidR="000661F7" w:rsidRDefault="000661F7" w:rsidP="0094269B">
            <w:pPr>
              <w:spacing w:before="40" w:after="100"/>
              <w:ind w:right="113"/>
              <w:rPr>
                <w:b/>
                <w:bCs/>
                <w:lang w:val="fr-FR"/>
              </w:rPr>
            </w:pPr>
            <w:r w:rsidRPr="00D952BE">
              <w:rPr>
                <w:b/>
                <w:bCs/>
                <w:lang w:val="fr-FR"/>
              </w:rPr>
              <w:t>En marge de la trente-cinquième session annuelle du WP.5, qui s</w:t>
            </w:r>
            <w:r>
              <w:rPr>
                <w:b/>
                <w:bCs/>
                <w:lang w:val="fr-FR"/>
              </w:rPr>
              <w:t>’</w:t>
            </w:r>
            <w:r w:rsidRPr="00D952BE">
              <w:rPr>
                <w:b/>
                <w:bCs/>
                <w:lang w:val="fr-FR"/>
              </w:rPr>
              <w:t>est tenue en septembre 2022, un atelier interrégional sur l</w:t>
            </w:r>
            <w:r>
              <w:rPr>
                <w:b/>
                <w:bCs/>
                <w:lang w:val="fr-FR"/>
              </w:rPr>
              <w:t>’</w:t>
            </w:r>
            <w:r w:rsidRPr="00D952BE">
              <w:rPr>
                <w:b/>
                <w:bCs/>
                <w:lang w:val="fr-FR"/>
              </w:rPr>
              <w:t>électrification de la mobilité urbaine</w:t>
            </w:r>
            <w:r>
              <w:rPr>
                <w:b/>
                <w:bCs/>
                <w:lang w:val="fr-FR"/>
              </w:rPr>
              <w:t xml:space="preserve"> et ses promesses </w:t>
            </w:r>
            <w:r>
              <w:rPr>
                <w:b/>
                <w:bCs/>
                <w:lang w:val="fr-FR"/>
              </w:rPr>
              <w:lastRenderedPageBreak/>
              <w:t xml:space="preserve">et défis </w:t>
            </w:r>
            <w:r w:rsidRPr="00D952BE">
              <w:rPr>
                <w:b/>
                <w:bCs/>
                <w:lang w:val="fr-FR"/>
              </w:rPr>
              <w:t>pour les transports, l</w:t>
            </w:r>
            <w:r>
              <w:rPr>
                <w:b/>
                <w:bCs/>
                <w:lang w:val="fr-FR"/>
              </w:rPr>
              <w:t>’</w:t>
            </w:r>
            <w:r w:rsidRPr="00D952BE">
              <w:rPr>
                <w:b/>
                <w:bCs/>
                <w:lang w:val="fr-FR"/>
              </w:rPr>
              <w:t>énergie et l</w:t>
            </w:r>
            <w:r>
              <w:rPr>
                <w:b/>
                <w:bCs/>
                <w:lang w:val="fr-FR"/>
              </w:rPr>
              <w:t>’</w:t>
            </w:r>
            <w:r w:rsidRPr="00D952BE">
              <w:rPr>
                <w:b/>
                <w:bCs/>
                <w:lang w:val="fr-FR"/>
              </w:rPr>
              <w:t>aménagement du territoire</w:t>
            </w:r>
            <w:r>
              <w:rPr>
                <w:b/>
                <w:bCs/>
                <w:lang w:val="fr-FR"/>
              </w:rPr>
              <w:t xml:space="preserve"> </w:t>
            </w:r>
            <w:r w:rsidRPr="00D952BE">
              <w:rPr>
                <w:b/>
                <w:bCs/>
                <w:lang w:val="fr-FR"/>
              </w:rPr>
              <w:t>a été organisé</w:t>
            </w:r>
            <w:r>
              <w:t xml:space="preserve"> </w:t>
            </w:r>
            <w:r w:rsidRPr="00D952BE">
              <w:rPr>
                <w:b/>
                <w:bCs/>
                <w:lang w:val="fr-FR"/>
              </w:rPr>
              <w:t>dans le cadre du module de travail du WP.5 sur la mobilité urbaine durable, les transports publics et l</w:t>
            </w:r>
            <w:r>
              <w:rPr>
                <w:b/>
                <w:bCs/>
                <w:lang w:val="fr-FR"/>
              </w:rPr>
              <w:t>e cyclisme</w:t>
            </w:r>
            <w:r w:rsidRPr="00D952BE">
              <w:rPr>
                <w:b/>
                <w:bCs/>
                <w:lang w:val="fr-FR"/>
              </w:rPr>
              <w:t>.</w:t>
            </w:r>
            <w:r>
              <w:rPr>
                <w:b/>
                <w:bCs/>
                <w:lang w:val="fr-FR"/>
              </w:rPr>
              <w:t xml:space="preserve"> </w:t>
            </w:r>
            <w:r w:rsidRPr="00D952BE">
              <w:rPr>
                <w:b/>
                <w:bCs/>
                <w:lang w:val="fr-FR"/>
              </w:rPr>
              <w:t>L</w:t>
            </w:r>
            <w:r>
              <w:rPr>
                <w:b/>
                <w:bCs/>
                <w:lang w:val="fr-FR"/>
              </w:rPr>
              <w:t>’</w:t>
            </w:r>
            <w:r w:rsidRPr="00D952BE">
              <w:rPr>
                <w:b/>
                <w:bCs/>
                <w:lang w:val="fr-FR"/>
              </w:rPr>
              <w:t>atelier a notamment permis de réfléchir</w:t>
            </w:r>
            <w:r>
              <w:rPr>
                <w:b/>
                <w:bCs/>
                <w:lang w:val="fr-FR"/>
              </w:rPr>
              <w:t>,</w:t>
            </w:r>
            <w:r w:rsidRPr="00D952BE">
              <w:rPr>
                <w:b/>
                <w:bCs/>
                <w:lang w:val="fr-FR"/>
              </w:rPr>
              <w:t xml:space="preserve"> et d</w:t>
            </w:r>
            <w:r>
              <w:rPr>
                <w:b/>
                <w:bCs/>
                <w:lang w:val="fr-FR"/>
              </w:rPr>
              <w:t>e compléter le</w:t>
            </w:r>
            <w:r w:rsidRPr="00D952BE">
              <w:rPr>
                <w:b/>
                <w:bCs/>
                <w:lang w:val="fr-FR"/>
              </w:rPr>
              <w:t xml:space="preserve"> document ECE/TRANS/WP.5/2022/2</w:t>
            </w:r>
            <w:r>
              <w:rPr>
                <w:b/>
                <w:bCs/>
                <w:lang w:val="fr-FR"/>
              </w:rPr>
              <w:t>,</w:t>
            </w:r>
            <w:r w:rsidRPr="00D952BE">
              <w:rPr>
                <w:b/>
                <w:bCs/>
                <w:lang w:val="fr-FR"/>
              </w:rPr>
              <w:t xml:space="preserve"> intitulé </w:t>
            </w:r>
            <w:r>
              <w:rPr>
                <w:b/>
                <w:bCs/>
                <w:lang w:val="fr-FR"/>
              </w:rPr>
              <w:t>« </w:t>
            </w:r>
            <w:r w:rsidRPr="00D952BE">
              <w:rPr>
                <w:b/>
                <w:bCs/>
                <w:lang w:val="fr-FR"/>
              </w:rPr>
              <w:t>État des lieux des nouvelles tendances en ce qui concerne les infrastructures de recharge pour véhicules électriques</w:t>
            </w:r>
            <w:r>
              <w:rPr>
                <w:b/>
                <w:bCs/>
                <w:lang w:val="fr-FR"/>
              </w:rPr>
              <w:t> »</w:t>
            </w:r>
            <w:r w:rsidRPr="00D952BE">
              <w:rPr>
                <w:b/>
                <w:bCs/>
                <w:lang w:val="fr-FR"/>
              </w:rPr>
              <w:t>, qui avait été é</w:t>
            </w:r>
            <w:r>
              <w:rPr>
                <w:b/>
                <w:bCs/>
                <w:lang w:val="fr-FR"/>
              </w:rPr>
              <w:t>tabli</w:t>
            </w:r>
            <w:r w:rsidRPr="00D952BE">
              <w:rPr>
                <w:b/>
                <w:bCs/>
                <w:lang w:val="fr-FR"/>
              </w:rPr>
              <w:t xml:space="preserve"> par le secrétariat à la demande </w:t>
            </w:r>
            <w:r>
              <w:rPr>
                <w:b/>
                <w:bCs/>
                <w:lang w:val="fr-FR"/>
              </w:rPr>
              <w:t>formulée par le</w:t>
            </w:r>
            <w:r w:rsidRPr="00D952BE">
              <w:rPr>
                <w:b/>
                <w:bCs/>
                <w:lang w:val="fr-FR"/>
              </w:rPr>
              <w:t xml:space="preserve"> </w:t>
            </w:r>
            <w:r>
              <w:rPr>
                <w:b/>
                <w:bCs/>
                <w:lang w:val="fr-FR"/>
              </w:rPr>
              <w:t>Comité</w:t>
            </w:r>
            <w:r w:rsidRPr="00D952BE">
              <w:rPr>
                <w:b/>
                <w:bCs/>
                <w:lang w:val="fr-FR"/>
              </w:rPr>
              <w:t xml:space="preserve"> </w:t>
            </w:r>
            <w:r>
              <w:rPr>
                <w:b/>
                <w:bCs/>
                <w:lang w:val="fr-FR"/>
              </w:rPr>
              <w:t>à</w:t>
            </w:r>
            <w:r w:rsidRPr="00D952BE">
              <w:rPr>
                <w:b/>
                <w:bCs/>
                <w:lang w:val="fr-FR"/>
              </w:rPr>
              <w:t xml:space="preserve"> sa précédente session, en février</w:t>
            </w:r>
            <w:r w:rsidR="00FA4280">
              <w:rPr>
                <w:b/>
                <w:bCs/>
                <w:lang w:val="fr-FR"/>
              </w:rPr>
              <w:t> </w:t>
            </w:r>
            <w:r w:rsidRPr="00D952BE">
              <w:rPr>
                <w:b/>
                <w:bCs/>
                <w:lang w:val="fr-FR"/>
              </w:rPr>
              <w:t>2022.</w:t>
            </w:r>
          </w:p>
          <w:p w14:paraId="4EE4321B" w14:textId="77777777" w:rsidR="000661F7" w:rsidRPr="00ED06D8" w:rsidRDefault="000661F7" w:rsidP="0094269B">
            <w:pPr>
              <w:spacing w:before="40" w:after="100"/>
              <w:ind w:right="113"/>
              <w:rPr>
                <w:lang w:val="fr-FR"/>
              </w:rPr>
            </w:pPr>
            <w:r w:rsidRPr="005D1405">
              <w:rPr>
                <w:b/>
                <w:bCs/>
                <w:lang w:val="fr-FR"/>
              </w:rPr>
              <w:t xml:space="preserve">Entre autres, </w:t>
            </w:r>
            <w:r>
              <w:rPr>
                <w:b/>
                <w:bCs/>
                <w:lang w:val="fr-FR"/>
              </w:rPr>
              <w:t>c</w:t>
            </w:r>
            <w:r w:rsidRPr="005D1405">
              <w:rPr>
                <w:b/>
                <w:bCs/>
                <w:lang w:val="fr-FR"/>
              </w:rPr>
              <w:t xml:space="preserve">e document </w:t>
            </w:r>
            <w:r>
              <w:rPr>
                <w:b/>
                <w:bCs/>
                <w:lang w:val="fr-FR"/>
              </w:rPr>
              <w:t>pose</w:t>
            </w:r>
            <w:r w:rsidRPr="005D1405">
              <w:rPr>
                <w:b/>
                <w:bCs/>
                <w:lang w:val="fr-FR"/>
              </w:rPr>
              <w:t xml:space="preserve"> des idées et des recommandations préliminaires pour un renforcement du rôle du </w:t>
            </w:r>
            <w:r>
              <w:rPr>
                <w:b/>
                <w:bCs/>
                <w:lang w:val="fr-FR"/>
              </w:rPr>
              <w:t>Comité</w:t>
            </w:r>
            <w:r w:rsidRPr="005D1405">
              <w:rPr>
                <w:b/>
                <w:bCs/>
                <w:lang w:val="fr-FR"/>
              </w:rPr>
              <w:t>, de celui du WP.5 en tant que groupe de réflexion du Comité, et de celui des autres groupes de travail.</w:t>
            </w:r>
          </w:p>
        </w:tc>
        <w:tc>
          <w:tcPr>
            <w:tcW w:w="2500" w:type="dxa"/>
            <w:shd w:val="clear" w:color="auto" w:fill="auto"/>
          </w:tcPr>
          <w:p w14:paraId="23632382" w14:textId="2936B941" w:rsidR="000661F7" w:rsidRPr="00986F54" w:rsidRDefault="000661F7" w:rsidP="0094269B">
            <w:pPr>
              <w:spacing w:before="40" w:after="100"/>
              <w:ind w:right="113"/>
              <w:rPr>
                <w:spacing w:val="-2"/>
                <w:lang w:val="fr-FR"/>
              </w:rPr>
            </w:pPr>
            <w:r w:rsidRPr="00986F54">
              <w:rPr>
                <w:spacing w:val="-2"/>
                <w:lang w:val="fr-FR"/>
              </w:rPr>
              <w:lastRenderedPageBreak/>
              <w:t>1. Sous réserve de l</w:t>
            </w:r>
            <w:r>
              <w:rPr>
                <w:spacing w:val="-2"/>
                <w:lang w:val="fr-FR"/>
              </w:rPr>
              <w:t>’</w:t>
            </w:r>
            <w:r w:rsidRPr="00986F54">
              <w:rPr>
                <w:spacing w:val="-2"/>
                <w:lang w:val="fr-FR"/>
              </w:rPr>
              <w:t xml:space="preserve">accord du </w:t>
            </w:r>
            <w:r>
              <w:rPr>
                <w:spacing w:val="-2"/>
                <w:lang w:val="fr-FR"/>
              </w:rPr>
              <w:t>Comité</w:t>
            </w:r>
            <w:r w:rsidRPr="00986F54">
              <w:rPr>
                <w:spacing w:val="-2"/>
                <w:lang w:val="fr-FR"/>
              </w:rPr>
              <w:t>, poursuivre les travaux visant à faire de l</w:t>
            </w:r>
            <w:r>
              <w:rPr>
                <w:spacing w:val="-2"/>
                <w:lang w:val="fr-FR"/>
              </w:rPr>
              <w:t>’</w:t>
            </w:r>
            <w:r w:rsidRPr="00986F54">
              <w:rPr>
                <w:spacing w:val="-2"/>
                <w:lang w:val="fr-FR"/>
              </w:rPr>
              <w:t>Observatoire l</w:t>
            </w:r>
            <w:r>
              <w:rPr>
                <w:spacing w:val="-2"/>
                <w:lang w:val="fr-FR"/>
              </w:rPr>
              <w:t>’</w:t>
            </w:r>
            <w:r w:rsidRPr="00986F54">
              <w:rPr>
                <w:spacing w:val="-2"/>
                <w:lang w:val="fr-FR"/>
              </w:rPr>
              <w:t>outil d</w:t>
            </w:r>
            <w:r>
              <w:rPr>
                <w:spacing w:val="-2"/>
                <w:lang w:val="fr-FR"/>
              </w:rPr>
              <w:t>’</w:t>
            </w:r>
            <w:r w:rsidRPr="00986F54">
              <w:rPr>
                <w:spacing w:val="-2"/>
                <w:lang w:val="fr-FR"/>
              </w:rPr>
              <w:t xml:space="preserve">intégration des travaux du </w:t>
            </w:r>
            <w:r>
              <w:rPr>
                <w:spacing w:val="-2"/>
                <w:lang w:val="fr-FR"/>
              </w:rPr>
              <w:t>Comité</w:t>
            </w:r>
            <w:r w:rsidRPr="00986F54">
              <w:rPr>
                <w:spacing w:val="-2"/>
                <w:lang w:val="fr-FR"/>
              </w:rPr>
              <w:t xml:space="preserve"> et de la Division dans le domaine de la connectivité, de promotion de la connectivité interrégionale et de facilitation du financement de nouveaux projets d</w:t>
            </w:r>
            <w:r>
              <w:rPr>
                <w:spacing w:val="-2"/>
                <w:lang w:val="fr-FR"/>
              </w:rPr>
              <w:t>’</w:t>
            </w:r>
            <w:r w:rsidRPr="00986F54">
              <w:rPr>
                <w:spacing w:val="-2"/>
                <w:lang w:val="fr-FR"/>
              </w:rPr>
              <w:t xml:space="preserve">infrastructures de transport. </w:t>
            </w:r>
          </w:p>
          <w:p w14:paraId="2D55F9B6" w14:textId="305E0111" w:rsidR="000661F7" w:rsidRPr="00986F54" w:rsidRDefault="000661F7" w:rsidP="0094269B">
            <w:pPr>
              <w:spacing w:before="40" w:after="100"/>
              <w:ind w:right="113"/>
              <w:rPr>
                <w:spacing w:val="-2"/>
                <w:lang w:val="fr-FR"/>
              </w:rPr>
            </w:pPr>
            <w:r w:rsidRPr="00986F54">
              <w:rPr>
                <w:spacing w:val="-2"/>
                <w:lang w:val="fr-FR"/>
              </w:rPr>
              <w:t>2. Mettre à jour l</w:t>
            </w:r>
            <w:r>
              <w:rPr>
                <w:spacing w:val="-2"/>
                <w:lang w:val="fr-FR"/>
              </w:rPr>
              <w:t>’</w:t>
            </w:r>
            <w:r w:rsidRPr="00986F54">
              <w:rPr>
                <w:spacing w:val="-2"/>
                <w:lang w:val="fr-FR"/>
              </w:rPr>
              <w:t>outil AGC/AGTC pour les paramètres d</w:t>
            </w:r>
            <w:r>
              <w:rPr>
                <w:spacing w:val="-2"/>
                <w:lang w:val="fr-FR"/>
              </w:rPr>
              <w:t>’</w:t>
            </w:r>
            <w:r w:rsidRPr="00986F54">
              <w:rPr>
                <w:spacing w:val="-2"/>
                <w:lang w:val="fr-FR"/>
              </w:rPr>
              <w:t xml:space="preserve">infrastructure. </w:t>
            </w:r>
          </w:p>
          <w:p w14:paraId="56597988" w14:textId="77777777" w:rsidR="000661F7" w:rsidRPr="00986F54" w:rsidRDefault="000661F7" w:rsidP="0094269B">
            <w:pPr>
              <w:spacing w:before="40" w:after="100"/>
              <w:ind w:right="113"/>
              <w:rPr>
                <w:spacing w:val="-2"/>
                <w:lang w:val="fr-FR"/>
              </w:rPr>
            </w:pPr>
            <w:r w:rsidRPr="00986F54">
              <w:rPr>
                <w:spacing w:val="-2"/>
                <w:lang w:val="fr-FR"/>
              </w:rPr>
              <w:t>3. Continuer de suivre et de soutenir les progrès techniques et technologiques des transports routier, ferroviair</w:t>
            </w:r>
            <w:r>
              <w:rPr>
                <w:spacing w:val="-2"/>
                <w:lang w:val="fr-FR"/>
              </w:rPr>
              <w:t>e,</w:t>
            </w:r>
            <w:r w:rsidRPr="00986F54">
              <w:rPr>
                <w:spacing w:val="-2"/>
                <w:lang w:val="fr-FR"/>
              </w:rPr>
              <w:t xml:space="preserve"> fluvial et intermodal.</w:t>
            </w:r>
          </w:p>
          <w:p w14:paraId="41983C02" w14:textId="77777777" w:rsidR="000661F7" w:rsidRPr="00986F54" w:rsidRDefault="000661F7" w:rsidP="0094269B">
            <w:pPr>
              <w:spacing w:before="40" w:after="100"/>
              <w:ind w:right="113"/>
              <w:rPr>
                <w:spacing w:val="-2"/>
                <w:lang w:val="fr-FR"/>
              </w:rPr>
            </w:pPr>
            <w:r w:rsidRPr="00986F54">
              <w:rPr>
                <w:spacing w:val="-2"/>
                <w:lang w:val="fr-FR"/>
              </w:rPr>
              <w:t xml:space="preserve">4. Œuvrer à la numérisation </w:t>
            </w:r>
            <w:r w:rsidRPr="00B5481A">
              <w:rPr>
                <w:spacing w:val="-2"/>
                <w:lang w:val="fr-FR"/>
              </w:rPr>
              <w:t xml:space="preserve">du </w:t>
            </w:r>
            <w:r>
              <w:rPr>
                <w:spacing w:val="-2"/>
                <w:lang w:val="fr-FR"/>
              </w:rPr>
              <w:t>code</w:t>
            </w:r>
            <w:r w:rsidRPr="00B5481A">
              <w:rPr>
                <w:spacing w:val="-2"/>
                <w:lang w:val="fr-FR"/>
              </w:rPr>
              <w:t xml:space="preserve"> CTU</w:t>
            </w:r>
            <w:r w:rsidRPr="00986F54">
              <w:rPr>
                <w:spacing w:val="-2"/>
                <w:lang w:val="fr-FR"/>
              </w:rPr>
              <w:t>.</w:t>
            </w:r>
          </w:p>
          <w:p w14:paraId="0842FE42" w14:textId="77777777" w:rsidR="000661F7" w:rsidRPr="00ED06D8" w:rsidRDefault="000661F7" w:rsidP="0094269B">
            <w:pPr>
              <w:spacing w:before="40" w:after="100"/>
              <w:ind w:right="113"/>
              <w:rPr>
                <w:lang w:val="fr-FR"/>
              </w:rPr>
            </w:pPr>
            <w:r w:rsidRPr="00986F54">
              <w:rPr>
                <w:spacing w:val="-2"/>
                <w:lang w:val="fr-FR"/>
              </w:rPr>
              <w:t>5. Poursuivre les travaux relatifs à la télématique dans le cadre de la Réunion commune RID/ADR/ADN</w:t>
            </w:r>
            <w:r>
              <w:rPr>
                <w:spacing w:val="-2"/>
                <w:lang w:val="fr-FR"/>
              </w:rPr>
              <w:t>.</w:t>
            </w:r>
          </w:p>
        </w:tc>
        <w:tc>
          <w:tcPr>
            <w:tcW w:w="1667" w:type="dxa"/>
            <w:shd w:val="clear" w:color="auto" w:fill="auto"/>
          </w:tcPr>
          <w:p w14:paraId="0D20E22D" w14:textId="77777777" w:rsidR="000661F7" w:rsidRPr="00ED06D8" w:rsidRDefault="000661F7" w:rsidP="0094269B">
            <w:pPr>
              <w:spacing w:before="40" w:after="100"/>
              <w:ind w:right="113"/>
              <w:rPr>
                <w:lang w:val="fr-FR"/>
              </w:rPr>
            </w:pPr>
            <w:r>
              <w:rPr>
                <w:lang w:val="fr-FR"/>
              </w:rPr>
              <w:t>1. Le secrétaire du WP.5</w:t>
            </w:r>
          </w:p>
          <w:p w14:paraId="419194AA" w14:textId="77777777" w:rsidR="000661F7" w:rsidRPr="00ED06D8" w:rsidRDefault="000661F7" w:rsidP="0094269B">
            <w:pPr>
              <w:spacing w:before="40" w:after="100"/>
              <w:ind w:right="113"/>
              <w:rPr>
                <w:lang w:val="fr-FR"/>
              </w:rPr>
            </w:pPr>
            <w:r>
              <w:rPr>
                <w:lang w:val="fr-FR"/>
              </w:rPr>
              <w:t>2. Les secrétaires du SC.2 et du WP.24</w:t>
            </w:r>
          </w:p>
          <w:p w14:paraId="09012011" w14:textId="77777777" w:rsidR="000661F7" w:rsidRPr="00ED06D8" w:rsidRDefault="000661F7" w:rsidP="0094269B">
            <w:pPr>
              <w:spacing w:before="40" w:after="100"/>
              <w:ind w:right="113"/>
              <w:rPr>
                <w:lang w:val="fr-FR"/>
              </w:rPr>
            </w:pPr>
            <w:r>
              <w:rPr>
                <w:lang w:val="fr-FR"/>
              </w:rPr>
              <w:t>3. Les secrétaires du SC.1, du SC.2, du SC.3, du WP.5 et du WP.24</w:t>
            </w:r>
          </w:p>
          <w:p w14:paraId="0B37EBA5" w14:textId="77777777" w:rsidR="000661F7" w:rsidRPr="00ED06D8" w:rsidRDefault="000661F7" w:rsidP="0094269B">
            <w:pPr>
              <w:spacing w:before="40" w:after="100"/>
              <w:ind w:right="113"/>
              <w:rPr>
                <w:lang w:val="fr-FR"/>
              </w:rPr>
            </w:pPr>
            <w:r>
              <w:rPr>
                <w:lang w:val="fr-FR"/>
              </w:rPr>
              <w:t xml:space="preserve">4. Le secrétaire du WP.24 </w:t>
            </w:r>
          </w:p>
          <w:p w14:paraId="7B57C6A5" w14:textId="77777777" w:rsidR="000661F7" w:rsidRPr="00ED06D8" w:rsidRDefault="000661F7" w:rsidP="0094269B">
            <w:pPr>
              <w:spacing w:before="40" w:after="100"/>
              <w:ind w:right="113"/>
              <w:rPr>
                <w:lang w:val="fr-FR"/>
              </w:rPr>
            </w:pPr>
            <w:r>
              <w:rPr>
                <w:lang w:val="fr-FR"/>
              </w:rPr>
              <w:t>5. Le secrétaire du WP.15/AC.1</w:t>
            </w:r>
          </w:p>
        </w:tc>
      </w:tr>
      <w:tr w:rsidR="000661F7" w:rsidRPr="00D466A5" w14:paraId="4247635B" w14:textId="77777777" w:rsidTr="0094269B">
        <w:tc>
          <w:tcPr>
            <w:tcW w:w="500" w:type="dxa"/>
            <w:shd w:val="clear" w:color="auto" w:fill="auto"/>
          </w:tcPr>
          <w:p w14:paraId="6F563260" w14:textId="77777777" w:rsidR="000661F7" w:rsidRPr="00C71A0E" w:rsidRDefault="000661F7" w:rsidP="0094269B">
            <w:pPr>
              <w:spacing w:before="40" w:after="120" w:line="230" w:lineRule="atLeast"/>
              <w:ind w:right="113"/>
            </w:pPr>
            <w:r w:rsidRPr="00C71A0E">
              <w:rPr>
                <w:lang w:val="fr-FR"/>
              </w:rPr>
              <w:lastRenderedPageBreak/>
              <w:t>5.17</w:t>
            </w:r>
          </w:p>
        </w:tc>
        <w:tc>
          <w:tcPr>
            <w:tcW w:w="1778" w:type="dxa"/>
            <w:shd w:val="clear" w:color="auto" w:fill="auto"/>
          </w:tcPr>
          <w:p w14:paraId="58D79205" w14:textId="77777777" w:rsidR="000661F7" w:rsidRPr="00C71A0E" w:rsidRDefault="000661F7" w:rsidP="0094269B">
            <w:pPr>
              <w:spacing w:before="40" w:after="120" w:line="230" w:lineRule="atLeast"/>
              <w:ind w:right="113"/>
              <w:rPr>
                <w:lang w:val="fr-FR"/>
              </w:rPr>
            </w:pPr>
            <w:r w:rsidRPr="00C71A0E">
              <w:rPr>
                <w:lang w:val="fr-FR"/>
              </w:rPr>
              <w:t>Renforcer la promotion des véhicules automatisés à partir de 2019, y compris en continuant de modifier les normes et instruments juridiques existants, et éventuellement en élaborant de nouveaux accords</w:t>
            </w:r>
          </w:p>
        </w:tc>
        <w:tc>
          <w:tcPr>
            <w:tcW w:w="3194" w:type="dxa"/>
            <w:shd w:val="clear" w:color="auto" w:fill="auto"/>
          </w:tcPr>
          <w:p w14:paraId="6109C17A" w14:textId="3179CBCB" w:rsidR="000661F7" w:rsidRPr="00837DDB" w:rsidRDefault="000661F7" w:rsidP="0094269B">
            <w:pPr>
              <w:spacing w:before="40" w:after="120" w:line="230" w:lineRule="atLeast"/>
              <w:ind w:right="113"/>
              <w:rPr>
                <w:spacing w:val="-2"/>
                <w:lang w:val="fr-FR"/>
              </w:rPr>
            </w:pPr>
            <w:bookmarkStart w:id="3" w:name="_Hlk42098085"/>
            <w:r w:rsidRPr="00837DDB">
              <w:rPr>
                <w:spacing w:val="-2"/>
                <w:lang w:val="fr-FR"/>
              </w:rPr>
              <w:t>Le WP.1 et le WP.29 se consacrent à cette tâche prioritaire. Le WP.1 débat de la nécessité de modifier la Convention sur la circulation routière de 1968 et les instruments connexes pour y intégrer des dispositions relatives au déploiement en toute sécurité de véhicules automatisés dans la circulation. Il réfléchit aussi à la possibilité d</w:t>
            </w:r>
            <w:r>
              <w:rPr>
                <w:spacing w:val="-2"/>
                <w:lang w:val="fr-FR"/>
              </w:rPr>
              <w:t>’</w:t>
            </w:r>
            <w:r w:rsidRPr="00837DDB">
              <w:rPr>
                <w:spacing w:val="-2"/>
                <w:lang w:val="fr-FR"/>
              </w:rPr>
              <w:t>élaborer un nouvel instrument distinct, qui régirait le déploiement de véhicules automatisés dans la circulation routière internationale.</w:t>
            </w:r>
            <w:r w:rsidRPr="00585BA9">
              <w:rPr>
                <w:b/>
                <w:bCs/>
                <w:spacing w:val="-2"/>
                <w:lang w:val="fr-FR"/>
              </w:rPr>
              <w:t xml:space="preserve"> </w:t>
            </w:r>
            <w:r w:rsidRPr="005D1405">
              <w:rPr>
                <w:b/>
                <w:bCs/>
                <w:spacing w:val="-2"/>
                <w:lang w:val="fr-FR"/>
              </w:rPr>
              <w:t>La proposition d</w:t>
            </w:r>
            <w:r>
              <w:rPr>
                <w:b/>
                <w:bCs/>
                <w:spacing w:val="-2"/>
                <w:lang w:val="fr-FR"/>
              </w:rPr>
              <w:t>’</w:t>
            </w:r>
            <w:r w:rsidRPr="005D1405">
              <w:rPr>
                <w:b/>
                <w:bCs/>
                <w:spacing w:val="-2"/>
                <w:lang w:val="fr-FR"/>
              </w:rPr>
              <w:t>amendement à la Convention de 1968 sur la circulation routière, élaborée par le WP.1, visant à faciliter le déploiement des véhicules automatisés sur le territoire des Parties contractantes, est entrée en vigueur le 14 juillet 2022. Un groupe d</w:t>
            </w:r>
            <w:r>
              <w:rPr>
                <w:b/>
                <w:bCs/>
                <w:spacing w:val="-2"/>
                <w:lang w:val="fr-FR"/>
              </w:rPr>
              <w:t>’</w:t>
            </w:r>
            <w:r w:rsidRPr="005D1405">
              <w:rPr>
                <w:b/>
                <w:bCs/>
                <w:spacing w:val="-2"/>
                <w:lang w:val="fr-FR"/>
              </w:rPr>
              <w:t>experts du WP.1 a travaillé à l</w:t>
            </w:r>
            <w:r>
              <w:rPr>
                <w:b/>
                <w:bCs/>
                <w:spacing w:val="-2"/>
                <w:lang w:val="fr-FR"/>
              </w:rPr>
              <w:t>’</w:t>
            </w:r>
            <w:r w:rsidRPr="005D1405">
              <w:rPr>
                <w:b/>
                <w:bCs/>
                <w:spacing w:val="-2"/>
                <w:lang w:val="fr-FR"/>
              </w:rPr>
              <w:t>élaboration d</w:t>
            </w:r>
            <w:r>
              <w:rPr>
                <w:b/>
                <w:bCs/>
                <w:spacing w:val="-2"/>
                <w:lang w:val="fr-FR"/>
              </w:rPr>
              <w:t>’</w:t>
            </w:r>
            <w:r w:rsidRPr="005D1405">
              <w:rPr>
                <w:b/>
                <w:bCs/>
                <w:spacing w:val="-2"/>
                <w:lang w:val="fr-FR"/>
              </w:rPr>
              <w:t>un nouvel instrument juridique sur l</w:t>
            </w:r>
            <w:r>
              <w:rPr>
                <w:b/>
                <w:bCs/>
                <w:spacing w:val="-2"/>
                <w:lang w:val="fr-FR"/>
              </w:rPr>
              <w:t>’</w:t>
            </w:r>
            <w:r w:rsidRPr="005D1405">
              <w:rPr>
                <w:b/>
                <w:bCs/>
                <w:spacing w:val="-2"/>
                <w:lang w:val="fr-FR"/>
              </w:rPr>
              <w:t>utilisation des véhicules automatisés dans la circulation internationale.</w:t>
            </w:r>
          </w:p>
          <w:p w14:paraId="4E50423B" w14:textId="46FF1604" w:rsidR="000661F7" w:rsidRDefault="000661F7" w:rsidP="0094269B">
            <w:pPr>
              <w:spacing w:before="40" w:after="120" w:line="230" w:lineRule="atLeast"/>
              <w:ind w:right="113"/>
              <w:rPr>
                <w:lang w:val="fr-FR"/>
              </w:rPr>
            </w:pPr>
            <w:r>
              <w:rPr>
                <w:lang w:val="fr-FR"/>
              </w:rPr>
              <w:t>Le WP.29 s’emploie à l’élaborer des règlements techniques applicables aux véhicules automatisés. À sa quatre</w:t>
            </w:r>
            <w:r w:rsidR="00FA4280">
              <w:rPr>
                <w:lang w:val="fr-FR"/>
              </w:rPr>
              <w:noBreakHyphen/>
            </w:r>
            <w:r>
              <w:rPr>
                <w:lang w:val="fr-FR"/>
              </w:rPr>
              <w:t xml:space="preserve">vingt-deuxième session </w:t>
            </w:r>
            <w:r>
              <w:rPr>
                <w:lang w:val="fr-FR"/>
              </w:rPr>
              <w:lastRenderedPageBreak/>
              <w:t>(février 2020), le Comité a approuvé un document-cadre du WP.29 sur les véhicules automatisés/autonomes. Un nouveau Règlement ONU relatif aux véhicules automatisés de niveau supérieur, qui prévoit des prescriptions relatives aux systèmes de stockage de données pour la conduite automatisée, et des nouveaux Règlements ONU sur la cybersécurité et les mises à jour des logiciel</w:t>
            </w:r>
            <w:r w:rsidRPr="00C33721">
              <w:rPr>
                <w:b/>
                <w:bCs/>
                <w:lang w:val="fr-FR"/>
              </w:rPr>
              <w:t xml:space="preserve"> </w:t>
            </w:r>
            <w:r w:rsidRPr="00937BDD">
              <w:rPr>
                <w:strike/>
                <w:lang w:val="fr-FR"/>
              </w:rPr>
              <w:t xml:space="preserve">sont </w:t>
            </w:r>
            <w:r w:rsidRPr="00CA0451">
              <w:rPr>
                <w:strike/>
                <w:lang w:val="fr-FR"/>
              </w:rPr>
              <w:t>mis aux voix</w:t>
            </w:r>
            <w:r>
              <w:rPr>
                <w:b/>
                <w:bCs/>
                <w:lang w:val="fr-FR"/>
              </w:rPr>
              <w:t xml:space="preserve"> ont</w:t>
            </w:r>
            <w:r w:rsidRPr="00C33721">
              <w:rPr>
                <w:b/>
                <w:bCs/>
                <w:lang w:val="fr-FR"/>
              </w:rPr>
              <w:t xml:space="preserve"> été adopté</w:t>
            </w:r>
            <w:r>
              <w:rPr>
                <w:b/>
                <w:bCs/>
                <w:lang w:val="fr-FR"/>
              </w:rPr>
              <w:t>s</w:t>
            </w:r>
            <w:r w:rsidRPr="00C33721">
              <w:rPr>
                <w:b/>
                <w:bCs/>
                <w:lang w:val="fr-FR"/>
              </w:rPr>
              <w:t xml:space="preserve"> </w:t>
            </w:r>
            <w:r>
              <w:rPr>
                <w:lang w:val="fr-FR"/>
              </w:rPr>
              <w:t>à la 181</w:t>
            </w:r>
            <w:r>
              <w:rPr>
                <w:vertAlign w:val="superscript"/>
                <w:lang w:val="fr-FR"/>
              </w:rPr>
              <w:t>e</w:t>
            </w:r>
            <w:r>
              <w:rPr>
                <w:lang w:val="fr-FR"/>
              </w:rPr>
              <w:t> session du WP.29 (juin 2020).</w:t>
            </w:r>
          </w:p>
          <w:p w14:paraId="7809B443" w14:textId="5F7D41B6" w:rsidR="000661F7" w:rsidRDefault="000661F7" w:rsidP="0094269B">
            <w:pPr>
              <w:spacing w:before="40" w:after="120" w:line="230" w:lineRule="atLeast"/>
              <w:ind w:right="113"/>
              <w:rPr>
                <w:b/>
                <w:bCs/>
                <w:lang w:val="fr-FR"/>
              </w:rPr>
            </w:pPr>
            <w:r w:rsidRPr="00C9567E">
              <w:rPr>
                <w:b/>
                <w:bCs/>
                <w:lang w:val="fr-FR"/>
              </w:rPr>
              <w:t>En mars 2022, le WP.29 a décidé que tous les groupes de travail procéderaient à un examen des Règlements et RTM ONU pour déterminer s</w:t>
            </w:r>
            <w:r>
              <w:rPr>
                <w:b/>
                <w:bCs/>
                <w:lang w:val="fr-FR"/>
              </w:rPr>
              <w:t>’</w:t>
            </w:r>
            <w:r w:rsidRPr="00C9567E">
              <w:rPr>
                <w:b/>
                <w:bCs/>
                <w:lang w:val="fr-FR"/>
              </w:rPr>
              <w:t xml:space="preserve">ils étaient adaptés aux systèmes de conduite automatisée </w:t>
            </w:r>
            <w:r w:rsidRPr="002C6286">
              <w:rPr>
                <w:b/>
                <w:bCs/>
                <w:lang w:val="fr-FR"/>
              </w:rPr>
              <w:t>jusqu</w:t>
            </w:r>
            <w:r>
              <w:rPr>
                <w:b/>
                <w:bCs/>
                <w:lang w:val="fr-FR"/>
              </w:rPr>
              <w:t>’</w:t>
            </w:r>
            <w:r w:rsidRPr="002C6286">
              <w:rPr>
                <w:b/>
                <w:bCs/>
                <w:lang w:val="fr-FR"/>
              </w:rPr>
              <w:t>en mars 2023</w:t>
            </w:r>
            <w:r>
              <w:rPr>
                <w:b/>
                <w:bCs/>
                <w:lang w:val="fr-FR"/>
              </w:rPr>
              <w:t>,</w:t>
            </w:r>
            <w:r w:rsidRPr="00C9567E">
              <w:rPr>
                <w:b/>
                <w:bCs/>
                <w:lang w:val="fr-FR"/>
              </w:rPr>
              <w:t xml:space="preserve"> et </w:t>
            </w:r>
            <w:r>
              <w:rPr>
                <w:b/>
                <w:bCs/>
                <w:lang w:val="fr-FR"/>
              </w:rPr>
              <w:t xml:space="preserve">il </w:t>
            </w:r>
            <w:r w:rsidRPr="00C9567E">
              <w:rPr>
                <w:b/>
                <w:bCs/>
                <w:lang w:val="fr-FR"/>
              </w:rPr>
              <w:t>a décidé de relancer la réflexion sur une méthode</w:t>
            </w:r>
            <w:r>
              <w:rPr>
                <w:b/>
                <w:bCs/>
                <w:lang w:val="fr-FR"/>
              </w:rPr>
              <w:t xml:space="preserve"> </w:t>
            </w:r>
            <w:r w:rsidRPr="00C9567E">
              <w:rPr>
                <w:b/>
                <w:bCs/>
                <w:lang w:val="fr-FR"/>
              </w:rPr>
              <w:t>coordonnée de notification. Plusieurs groupes de travail ont créé des équipes spéciales qui ont déjà échangé leurs points de vue sur le processus et commencé l</w:t>
            </w:r>
            <w:r>
              <w:rPr>
                <w:b/>
                <w:bCs/>
                <w:lang w:val="fr-FR"/>
              </w:rPr>
              <w:t>’</w:t>
            </w:r>
            <w:r w:rsidRPr="00C9567E">
              <w:rPr>
                <w:b/>
                <w:bCs/>
                <w:lang w:val="fr-FR"/>
              </w:rPr>
              <w:t>examen.</w:t>
            </w:r>
          </w:p>
          <w:p w14:paraId="27555E96" w14:textId="6D1B4365" w:rsidR="000661F7" w:rsidRPr="00C33721" w:rsidRDefault="000661F7" w:rsidP="0094269B">
            <w:pPr>
              <w:spacing w:before="40" w:after="120" w:line="230" w:lineRule="atLeast"/>
              <w:ind w:right="113"/>
              <w:rPr>
                <w:b/>
                <w:bCs/>
                <w:lang w:val="fr-FR"/>
              </w:rPr>
            </w:pPr>
            <w:r w:rsidRPr="00C9567E">
              <w:rPr>
                <w:b/>
                <w:bCs/>
                <w:lang w:val="fr-FR"/>
              </w:rPr>
              <w:t>En juin 2022, le WP.29 a adopté un amendement important au Règlement ONU n</w:t>
            </w:r>
            <w:r w:rsidRPr="00C33721">
              <w:rPr>
                <w:b/>
                <w:bCs/>
                <w:vertAlign w:val="superscript"/>
                <w:lang w:val="fr-FR"/>
              </w:rPr>
              <w:t>o</w:t>
            </w:r>
            <w:r w:rsidRPr="00C9567E">
              <w:rPr>
                <w:b/>
                <w:bCs/>
                <w:lang w:val="fr-FR"/>
              </w:rPr>
              <w:t xml:space="preserve"> 157 sur le système automatisé de maintien dans la voie (ALKS), qui vise aussi les véhicules lourds, en plus des voitures particulières. </w:t>
            </w:r>
            <w:r>
              <w:rPr>
                <w:b/>
                <w:bCs/>
                <w:spacing w:val="-2"/>
                <w:lang w:val="fr-FR"/>
              </w:rPr>
              <w:t>Lorsque</w:t>
            </w:r>
            <w:r w:rsidRPr="00D260D7">
              <w:rPr>
                <w:b/>
                <w:bCs/>
                <w:spacing w:val="-2"/>
                <w:lang w:val="fr-FR"/>
              </w:rPr>
              <w:t xml:space="preserve"> le système </w:t>
            </w:r>
            <w:r>
              <w:rPr>
                <w:b/>
                <w:bCs/>
                <w:spacing w:val="-2"/>
                <w:lang w:val="fr-FR"/>
              </w:rPr>
              <w:t xml:space="preserve">est </w:t>
            </w:r>
            <w:r w:rsidRPr="00D260D7">
              <w:rPr>
                <w:b/>
                <w:bCs/>
                <w:spacing w:val="-2"/>
                <w:lang w:val="fr-FR"/>
              </w:rPr>
              <w:t xml:space="preserve">activé, il </w:t>
            </w:r>
            <w:r>
              <w:rPr>
                <w:b/>
                <w:bCs/>
                <w:spacing w:val="-2"/>
                <w:lang w:val="fr-FR"/>
              </w:rPr>
              <w:t xml:space="preserve">devient le principal maître </w:t>
            </w:r>
            <w:r w:rsidRPr="00D260D7">
              <w:rPr>
                <w:b/>
                <w:bCs/>
                <w:spacing w:val="-2"/>
                <w:lang w:val="fr-FR"/>
              </w:rPr>
              <w:t xml:space="preserve">du véhicule et </w:t>
            </w:r>
            <w:r>
              <w:rPr>
                <w:b/>
                <w:bCs/>
                <w:spacing w:val="-2"/>
                <w:lang w:val="fr-FR"/>
              </w:rPr>
              <w:t>prend</w:t>
            </w:r>
            <w:r w:rsidRPr="005F218B">
              <w:rPr>
                <w:b/>
                <w:bCs/>
                <w:spacing w:val="-2"/>
                <w:lang w:val="fr-FR"/>
              </w:rPr>
              <w:t xml:space="preserve"> en charge les tâches</w:t>
            </w:r>
            <w:r w:rsidRPr="00D260D7">
              <w:rPr>
                <w:b/>
                <w:bCs/>
                <w:spacing w:val="-2"/>
                <w:lang w:val="fr-FR"/>
              </w:rPr>
              <w:t xml:space="preserve"> de conduite dynamique dans certains environnements</w:t>
            </w:r>
            <w:r w:rsidRPr="00C9567E">
              <w:rPr>
                <w:b/>
                <w:bCs/>
                <w:lang w:val="fr-FR"/>
              </w:rPr>
              <w:t xml:space="preserve"> jusqu</w:t>
            </w:r>
            <w:r>
              <w:rPr>
                <w:b/>
                <w:bCs/>
                <w:lang w:val="fr-FR"/>
              </w:rPr>
              <w:t>’</w:t>
            </w:r>
            <w:r w:rsidRPr="00C9567E">
              <w:rPr>
                <w:b/>
                <w:bCs/>
                <w:lang w:val="fr-FR"/>
              </w:rPr>
              <w:t>à une vitesse de 130</w:t>
            </w:r>
            <w:r w:rsidR="00523768">
              <w:rPr>
                <w:b/>
                <w:bCs/>
                <w:lang w:val="fr-FR"/>
              </w:rPr>
              <w:t> </w:t>
            </w:r>
            <w:r w:rsidRPr="00C9567E">
              <w:rPr>
                <w:b/>
                <w:bCs/>
                <w:lang w:val="fr-FR"/>
              </w:rPr>
              <w:t>km/h, y compris les changements de voi</w:t>
            </w:r>
            <w:r>
              <w:rPr>
                <w:b/>
                <w:bCs/>
                <w:lang w:val="fr-FR"/>
              </w:rPr>
              <w:t>e,</w:t>
            </w:r>
            <w:r w:rsidRPr="00C9567E">
              <w:rPr>
                <w:b/>
                <w:bCs/>
                <w:lang w:val="fr-FR"/>
              </w:rPr>
              <w:t xml:space="preserve"> ce qui </w:t>
            </w:r>
            <w:r>
              <w:rPr>
                <w:b/>
                <w:bCs/>
                <w:lang w:val="fr-FR"/>
              </w:rPr>
              <w:t>en fait</w:t>
            </w:r>
            <w:r w:rsidRPr="00C9567E">
              <w:rPr>
                <w:b/>
                <w:bCs/>
                <w:lang w:val="fr-FR"/>
              </w:rPr>
              <w:t xml:space="preserve"> le premier véritable système de conduite automatique sur autoroute.</w:t>
            </w:r>
          </w:p>
          <w:p w14:paraId="111A57DE" w14:textId="646FB01E" w:rsidR="000661F7" w:rsidRPr="00523768" w:rsidRDefault="000661F7" w:rsidP="0094269B">
            <w:pPr>
              <w:spacing w:before="40" w:after="120" w:line="230" w:lineRule="atLeast"/>
              <w:ind w:right="113"/>
              <w:rPr>
                <w:lang w:val="fr-FR"/>
              </w:rPr>
            </w:pPr>
            <w:r w:rsidRPr="00523768">
              <w:rPr>
                <w:lang w:val="fr-FR"/>
              </w:rPr>
              <w:t xml:space="preserve">Le WP.1 et le WP.29 ont resserré leur collaboration sur cette tâche prioritaire par l’intermédiaire de leur équipe spéciale exécutive et en organisant des manifestations conjointes. Le document ECE/TRANS/WP.1/2020/3 définit un cadre pour une collaboration et une méthode commune. Les échanges réguliers d’informations entre les deux groupes de travail au sujet de </w:t>
            </w:r>
            <w:r w:rsidRPr="00523768">
              <w:rPr>
                <w:lang w:val="fr-FR"/>
              </w:rPr>
              <w:lastRenderedPageBreak/>
              <w:t>l’automatisation des véhicules sont importants et bénéfiques. À l’avenir, chaque président devrait participer aux sessions de l’autre organe. En</w:t>
            </w:r>
            <w:r w:rsidR="00523768">
              <w:rPr>
                <w:lang w:val="fr-FR"/>
              </w:rPr>
              <w:t> </w:t>
            </w:r>
            <w:r w:rsidRPr="00523768">
              <w:rPr>
                <w:lang w:val="fr-FR"/>
              </w:rPr>
              <w:t>outre, les deux groupes de travail se sont dit intéressés par l’organisation d’une manifestation annuelle commune.</w:t>
            </w:r>
            <w:bookmarkEnd w:id="3"/>
          </w:p>
        </w:tc>
        <w:tc>
          <w:tcPr>
            <w:tcW w:w="2500" w:type="dxa"/>
            <w:shd w:val="clear" w:color="auto" w:fill="auto"/>
          </w:tcPr>
          <w:p w14:paraId="3AA99C0B" w14:textId="77777777" w:rsidR="000661F7" w:rsidRPr="00ED06D8" w:rsidRDefault="000661F7" w:rsidP="0094269B">
            <w:pPr>
              <w:spacing w:before="40" w:after="120" w:line="230" w:lineRule="atLeast"/>
              <w:ind w:right="113"/>
              <w:rPr>
                <w:lang w:val="fr-FR"/>
              </w:rPr>
            </w:pPr>
            <w:r>
              <w:rPr>
                <w:lang w:val="fr-FR"/>
              </w:rPr>
              <w:lastRenderedPageBreak/>
              <w:t>1. Poursuivre les travaux du WP.1 et du WP.29.</w:t>
            </w:r>
          </w:p>
          <w:p w14:paraId="17D414E9" w14:textId="77777777" w:rsidR="000661F7" w:rsidRPr="00ED06D8" w:rsidRDefault="000661F7" w:rsidP="0094269B">
            <w:pPr>
              <w:spacing w:before="40" w:after="120" w:line="230" w:lineRule="atLeast"/>
              <w:ind w:right="113"/>
              <w:rPr>
                <w:lang w:val="fr-FR"/>
              </w:rPr>
            </w:pPr>
            <w:r>
              <w:rPr>
                <w:lang w:val="fr-FR"/>
              </w:rPr>
              <w:t>2. Tenir une session commune chaque année.</w:t>
            </w:r>
          </w:p>
        </w:tc>
        <w:tc>
          <w:tcPr>
            <w:tcW w:w="1667" w:type="dxa"/>
            <w:shd w:val="clear" w:color="auto" w:fill="auto"/>
          </w:tcPr>
          <w:p w14:paraId="3E32E9FD" w14:textId="77777777" w:rsidR="000661F7" w:rsidRPr="00ED06D8" w:rsidRDefault="000661F7" w:rsidP="0094269B">
            <w:pPr>
              <w:spacing w:before="40" w:after="120" w:line="230" w:lineRule="atLeast"/>
              <w:ind w:right="113"/>
              <w:rPr>
                <w:lang w:val="fr-FR"/>
              </w:rPr>
            </w:pPr>
            <w:r>
              <w:rPr>
                <w:lang w:val="fr-FR"/>
              </w:rPr>
              <w:t xml:space="preserve">1-2. Les secrétariats du WP.1 et du WP.29 </w:t>
            </w:r>
          </w:p>
        </w:tc>
      </w:tr>
      <w:tr w:rsidR="000661F7" w:rsidRPr="0067484D" w14:paraId="2DF503BB" w14:textId="77777777" w:rsidTr="0094269B">
        <w:tc>
          <w:tcPr>
            <w:tcW w:w="500" w:type="dxa"/>
            <w:shd w:val="clear" w:color="auto" w:fill="auto"/>
          </w:tcPr>
          <w:p w14:paraId="47BB68BC" w14:textId="77777777" w:rsidR="000661F7" w:rsidRPr="0067484D" w:rsidRDefault="000661F7" w:rsidP="0094269B">
            <w:pPr>
              <w:spacing w:before="40" w:after="100" w:line="230" w:lineRule="atLeast"/>
              <w:ind w:right="113"/>
            </w:pPr>
            <w:r>
              <w:rPr>
                <w:lang w:val="fr-FR"/>
              </w:rPr>
              <w:lastRenderedPageBreak/>
              <w:t>5.18</w:t>
            </w:r>
          </w:p>
        </w:tc>
        <w:tc>
          <w:tcPr>
            <w:tcW w:w="1778" w:type="dxa"/>
            <w:shd w:val="clear" w:color="auto" w:fill="auto"/>
          </w:tcPr>
          <w:p w14:paraId="7BADC37E" w14:textId="77777777" w:rsidR="000661F7" w:rsidRPr="00ED06D8" w:rsidRDefault="000661F7" w:rsidP="0094269B">
            <w:pPr>
              <w:spacing w:before="40" w:after="100" w:line="230" w:lineRule="atLeast"/>
              <w:ind w:right="113"/>
              <w:rPr>
                <w:lang w:val="fr-FR"/>
              </w:rPr>
            </w:pPr>
            <w:r>
              <w:rPr>
                <w:lang w:val="fr-FR"/>
              </w:rPr>
              <w:t>Tenir des débats de haut niveau sur divers thèmes relatifs à la viabilité des transports intérieurs (à partir de 2019)</w:t>
            </w:r>
          </w:p>
        </w:tc>
        <w:tc>
          <w:tcPr>
            <w:tcW w:w="3194" w:type="dxa"/>
            <w:shd w:val="clear" w:color="auto" w:fill="auto"/>
          </w:tcPr>
          <w:p w14:paraId="5431B8C0" w14:textId="4E90D704" w:rsidR="000661F7" w:rsidRDefault="000661F7" w:rsidP="0094269B">
            <w:pPr>
              <w:spacing w:before="40" w:after="100" w:line="230" w:lineRule="atLeast"/>
              <w:ind w:right="113"/>
              <w:rPr>
                <w:spacing w:val="-2"/>
                <w:lang w:val="fr-FR"/>
              </w:rPr>
            </w:pPr>
            <w:r w:rsidRPr="005E0AD2">
              <w:rPr>
                <w:spacing w:val="-2"/>
                <w:lang w:val="fr-FR"/>
              </w:rPr>
              <w:t xml:space="preserve">Les débats de haut niveau sont traditionnellement organisés en ouverture des sessions annuelles du </w:t>
            </w:r>
            <w:r>
              <w:rPr>
                <w:spacing w:val="-2"/>
                <w:lang w:val="fr-FR"/>
              </w:rPr>
              <w:t>Comité</w:t>
            </w:r>
            <w:r w:rsidRPr="005E0AD2">
              <w:rPr>
                <w:spacing w:val="-2"/>
                <w:lang w:val="fr-FR"/>
              </w:rPr>
              <w:t>. En 2020, le débat de haut niveau a été consacré aux défis environnementaux à la viabilité des transports intérieurs</w:t>
            </w:r>
            <w:r>
              <w:rPr>
                <w:spacing w:val="-2"/>
                <w:lang w:val="fr-FR"/>
              </w:rPr>
              <w:t>. Il</w:t>
            </w:r>
            <w:r w:rsidRPr="005E0AD2">
              <w:rPr>
                <w:spacing w:val="-2"/>
                <w:lang w:val="fr-FR"/>
              </w:rPr>
              <w:t xml:space="preserve"> a réuni des ministres des transports de pays d</w:t>
            </w:r>
            <w:r>
              <w:rPr>
                <w:spacing w:val="-2"/>
                <w:lang w:val="fr-FR"/>
              </w:rPr>
              <w:t>’</w:t>
            </w:r>
            <w:r w:rsidRPr="005E0AD2">
              <w:rPr>
                <w:spacing w:val="-2"/>
                <w:lang w:val="fr-FR"/>
              </w:rPr>
              <w:t>Afriqu</w:t>
            </w:r>
            <w:r>
              <w:rPr>
                <w:spacing w:val="-2"/>
                <w:lang w:val="fr-FR"/>
              </w:rPr>
              <w:t>e,</w:t>
            </w:r>
            <w:r w:rsidRPr="005E0AD2">
              <w:rPr>
                <w:spacing w:val="-2"/>
                <w:lang w:val="fr-FR"/>
              </w:rPr>
              <w:t xml:space="preserve"> d</w:t>
            </w:r>
            <w:r>
              <w:rPr>
                <w:spacing w:val="-2"/>
                <w:lang w:val="fr-FR"/>
              </w:rPr>
              <w:t>’</w:t>
            </w:r>
            <w:r w:rsidRPr="005E0AD2">
              <w:rPr>
                <w:spacing w:val="-2"/>
                <w:lang w:val="fr-FR"/>
              </w:rPr>
              <w:t>Asi</w:t>
            </w:r>
            <w:r>
              <w:rPr>
                <w:spacing w:val="-2"/>
                <w:lang w:val="fr-FR"/>
              </w:rPr>
              <w:t>e,</w:t>
            </w:r>
            <w:r w:rsidRPr="005E0AD2">
              <w:rPr>
                <w:spacing w:val="-2"/>
                <w:lang w:val="fr-FR"/>
              </w:rPr>
              <w:t xml:space="preserve"> d</w:t>
            </w:r>
            <w:r>
              <w:rPr>
                <w:spacing w:val="-2"/>
                <w:lang w:val="fr-FR"/>
              </w:rPr>
              <w:t>’</w:t>
            </w:r>
            <w:r w:rsidRPr="005E0AD2">
              <w:rPr>
                <w:spacing w:val="-2"/>
                <w:lang w:val="fr-FR"/>
              </w:rPr>
              <w:t>Europe et du Moyen-Orient, ainsi que près de 400 participants de 72 pays, dont 36 pays non membres de la CE</w:t>
            </w:r>
            <w:r>
              <w:rPr>
                <w:spacing w:val="-2"/>
                <w:lang w:val="fr-FR"/>
              </w:rPr>
              <w:t>E,</w:t>
            </w:r>
            <w:r w:rsidRPr="005E0AD2">
              <w:rPr>
                <w:spacing w:val="-2"/>
                <w:lang w:val="fr-FR"/>
              </w:rPr>
              <w:t xml:space="preserve"> des chefs et hauts représentants d</w:t>
            </w:r>
            <w:r>
              <w:rPr>
                <w:spacing w:val="-2"/>
                <w:lang w:val="fr-FR"/>
              </w:rPr>
              <w:t>’</w:t>
            </w:r>
            <w:r w:rsidRPr="005E0AD2">
              <w:rPr>
                <w:spacing w:val="-2"/>
                <w:lang w:val="fr-FR"/>
              </w:rPr>
              <w:t>organisations intergouvernementales et non gouvernementales, et d</w:t>
            </w:r>
            <w:r>
              <w:rPr>
                <w:spacing w:val="-2"/>
                <w:lang w:val="fr-FR"/>
              </w:rPr>
              <w:t>’</w:t>
            </w:r>
            <w:r w:rsidRPr="005E0AD2">
              <w:rPr>
                <w:spacing w:val="-2"/>
                <w:lang w:val="fr-FR"/>
              </w:rPr>
              <w:t xml:space="preserve">autres parties prenantes clefs du secteur des transports intérieurs. </w:t>
            </w:r>
            <w:r w:rsidRPr="00585BA9">
              <w:rPr>
                <w:lang w:val="fr-FR"/>
              </w:rPr>
              <w:t xml:space="preserve">En 2021, le débat de haut niveau </w:t>
            </w:r>
            <w:r>
              <w:rPr>
                <w:lang w:val="fr-FR"/>
              </w:rPr>
              <w:t>avait</w:t>
            </w:r>
            <w:r w:rsidRPr="00585BA9">
              <w:rPr>
                <w:lang w:val="fr-FR"/>
              </w:rPr>
              <w:t xml:space="preserve"> pour thème « Retour vers un futur viable</w:t>
            </w:r>
            <w:r>
              <w:rPr>
                <w:lang w:val="fr-FR"/>
              </w:rPr>
              <w:t> :</w:t>
            </w:r>
            <w:r w:rsidRPr="00585BA9">
              <w:rPr>
                <w:lang w:val="fr-FR"/>
              </w:rPr>
              <w:t xml:space="preserve"> parvenir à une connectivité résiliente pour un redressement et une croissance économique durables après la pandémie de COVID-19 ». Y ont participé des ministres des transports d</w:t>
            </w:r>
            <w:r>
              <w:rPr>
                <w:lang w:val="fr-FR"/>
              </w:rPr>
              <w:t>’</w:t>
            </w:r>
            <w:r w:rsidRPr="00585BA9">
              <w:rPr>
                <w:lang w:val="fr-FR"/>
              </w:rPr>
              <w:t>Afriqu</w:t>
            </w:r>
            <w:r>
              <w:rPr>
                <w:lang w:val="fr-FR"/>
              </w:rPr>
              <w:t>e,</w:t>
            </w:r>
            <w:r w:rsidRPr="00585BA9">
              <w:rPr>
                <w:lang w:val="fr-FR"/>
              </w:rPr>
              <w:t xml:space="preserve"> d</w:t>
            </w:r>
            <w:r>
              <w:rPr>
                <w:lang w:val="fr-FR"/>
              </w:rPr>
              <w:t>’</w:t>
            </w:r>
            <w:r w:rsidRPr="00585BA9">
              <w:rPr>
                <w:lang w:val="fr-FR"/>
              </w:rPr>
              <w:t>Amérique latin</w:t>
            </w:r>
            <w:r>
              <w:rPr>
                <w:lang w:val="fr-FR"/>
              </w:rPr>
              <w:t>e,</w:t>
            </w:r>
            <w:r w:rsidRPr="00585BA9">
              <w:rPr>
                <w:lang w:val="fr-FR"/>
              </w:rPr>
              <w:t xml:space="preserve"> d</w:t>
            </w:r>
            <w:r>
              <w:rPr>
                <w:lang w:val="fr-FR"/>
              </w:rPr>
              <w:t>’</w:t>
            </w:r>
            <w:r w:rsidRPr="00585BA9">
              <w:rPr>
                <w:lang w:val="fr-FR"/>
              </w:rPr>
              <w:t>Asi</w:t>
            </w:r>
            <w:r>
              <w:rPr>
                <w:lang w:val="fr-FR"/>
              </w:rPr>
              <w:t>e,</w:t>
            </w:r>
            <w:r w:rsidRPr="00585BA9">
              <w:rPr>
                <w:lang w:val="fr-FR"/>
              </w:rPr>
              <w:t xml:space="preserve"> d</w:t>
            </w:r>
            <w:r>
              <w:rPr>
                <w:lang w:val="fr-FR"/>
              </w:rPr>
              <w:t>’</w:t>
            </w:r>
            <w:r w:rsidRPr="00585BA9">
              <w:rPr>
                <w:lang w:val="fr-FR"/>
              </w:rPr>
              <w:t>Europe et du Moyen-Orient. Le discours d</w:t>
            </w:r>
            <w:r>
              <w:rPr>
                <w:lang w:val="fr-FR"/>
              </w:rPr>
              <w:t>’</w:t>
            </w:r>
            <w:r w:rsidRPr="00585BA9">
              <w:rPr>
                <w:lang w:val="fr-FR"/>
              </w:rPr>
              <w:t>ouverture a été prononcé par la Commissaire européenne à la mobilité et aux transports. Cette manifestation a réuni 440 participants de plus de 83 pays, dont 40 pays non membres de la CE</w:t>
            </w:r>
            <w:r>
              <w:rPr>
                <w:lang w:val="fr-FR"/>
              </w:rPr>
              <w:t>E,</w:t>
            </w:r>
            <w:r w:rsidRPr="00585BA9">
              <w:rPr>
                <w:lang w:val="fr-FR"/>
              </w:rPr>
              <w:t xml:space="preserve"> et les chefs et représentants de haut niveau d</w:t>
            </w:r>
            <w:r>
              <w:rPr>
                <w:lang w:val="fr-FR"/>
              </w:rPr>
              <w:t>’</w:t>
            </w:r>
            <w:r w:rsidRPr="00585BA9">
              <w:rPr>
                <w:lang w:val="fr-FR"/>
              </w:rPr>
              <w:t>organisations intergouvernementales et non gouvernementales ainsi que les principaux acteurs des transports intérieurs.</w:t>
            </w:r>
            <w:r w:rsidRPr="00C9567E">
              <w:rPr>
                <w:lang w:val="fr-FR"/>
              </w:rPr>
              <w:t xml:space="preserve"> </w:t>
            </w:r>
          </w:p>
          <w:p w14:paraId="128980E2" w14:textId="7B63DCA1" w:rsidR="000661F7" w:rsidRPr="00C33721" w:rsidRDefault="000661F7" w:rsidP="0094269B">
            <w:pPr>
              <w:spacing w:before="40" w:after="100" w:line="230" w:lineRule="atLeast"/>
              <w:ind w:right="113"/>
              <w:rPr>
                <w:b/>
                <w:bCs/>
                <w:spacing w:val="-2"/>
                <w:lang w:val="fr-FR"/>
              </w:rPr>
            </w:pPr>
            <w:r w:rsidRPr="003974A1">
              <w:rPr>
                <w:b/>
                <w:bCs/>
                <w:spacing w:val="-2"/>
                <w:lang w:val="fr-FR"/>
              </w:rPr>
              <w:t xml:space="preserve">En 2022, la quatre-vingt-quatrième session du </w:t>
            </w:r>
            <w:r>
              <w:rPr>
                <w:b/>
                <w:bCs/>
                <w:spacing w:val="-2"/>
                <w:lang w:val="fr-FR"/>
              </w:rPr>
              <w:t>Comité</w:t>
            </w:r>
            <w:r w:rsidRPr="003974A1">
              <w:rPr>
                <w:b/>
                <w:bCs/>
                <w:spacing w:val="-2"/>
                <w:lang w:val="fr-FR"/>
              </w:rPr>
              <w:t xml:space="preserve"> (</w:t>
            </w:r>
            <w:r>
              <w:rPr>
                <w:b/>
                <w:bCs/>
                <w:spacing w:val="-2"/>
                <w:lang w:val="fr-FR"/>
              </w:rPr>
              <w:t>tenue sous forme</w:t>
            </w:r>
            <w:r w:rsidRPr="003974A1">
              <w:rPr>
                <w:b/>
                <w:bCs/>
                <w:spacing w:val="-2"/>
                <w:lang w:val="fr-FR"/>
              </w:rPr>
              <w:t xml:space="preserve"> hybrid</w:t>
            </w:r>
            <w:r>
              <w:rPr>
                <w:b/>
                <w:bCs/>
                <w:spacing w:val="-2"/>
                <w:lang w:val="fr-FR"/>
              </w:rPr>
              <w:t>e,</w:t>
            </w:r>
            <w:r w:rsidRPr="003974A1">
              <w:rPr>
                <w:b/>
                <w:bCs/>
                <w:spacing w:val="-2"/>
                <w:lang w:val="fr-FR"/>
              </w:rPr>
              <w:t xml:space="preserve"> </w:t>
            </w:r>
            <w:r>
              <w:rPr>
                <w:b/>
                <w:bCs/>
                <w:spacing w:val="-2"/>
                <w:lang w:val="fr-FR"/>
              </w:rPr>
              <w:t xml:space="preserve">du </w:t>
            </w:r>
            <w:r w:rsidRPr="003974A1">
              <w:rPr>
                <w:b/>
                <w:bCs/>
                <w:spacing w:val="-2"/>
                <w:lang w:val="fr-FR"/>
              </w:rPr>
              <w:t>22</w:t>
            </w:r>
            <w:r>
              <w:rPr>
                <w:b/>
                <w:bCs/>
                <w:spacing w:val="-2"/>
                <w:lang w:val="fr-FR"/>
              </w:rPr>
              <w:t xml:space="preserve"> au </w:t>
            </w:r>
            <w:r w:rsidRPr="003974A1">
              <w:rPr>
                <w:b/>
                <w:bCs/>
                <w:spacing w:val="-2"/>
                <w:lang w:val="fr-FR"/>
              </w:rPr>
              <w:t>25 février 2022)</w:t>
            </w:r>
            <w:r>
              <w:rPr>
                <w:b/>
                <w:bCs/>
                <w:spacing w:val="-2"/>
                <w:lang w:val="fr-FR"/>
              </w:rPr>
              <w:t>, qui</w:t>
            </w:r>
            <w:r w:rsidRPr="003974A1">
              <w:rPr>
                <w:b/>
                <w:bCs/>
                <w:spacing w:val="-2"/>
                <w:lang w:val="fr-FR"/>
              </w:rPr>
              <w:t xml:space="preserve"> marqu</w:t>
            </w:r>
            <w:r>
              <w:rPr>
                <w:b/>
                <w:bCs/>
                <w:spacing w:val="-2"/>
                <w:lang w:val="fr-FR"/>
              </w:rPr>
              <w:t>ait</w:t>
            </w:r>
            <w:r w:rsidRPr="003974A1">
              <w:rPr>
                <w:b/>
                <w:bCs/>
                <w:spacing w:val="-2"/>
                <w:lang w:val="fr-FR"/>
              </w:rPr>
              <w:t xml:space="preserve"> </w:t>
            </w:r>
            <w:r>
              <w:rPr>
                <w:b/>
                <w:bCs/>
                <w:spacing w:val="-2"/>
                <w:lang w:val="fr-FR"/>
              </w:rPr>
              <w:t>son</w:t>
            </w:r>
            <w:r w:rsidRPr="003974A1">
              <w:rPr>
                <w:b/>
                <w:bCs/>
                <w:spacing w:val="-2"/>
                <w:lang w:val="fr-FR"/>
              </w:rPr>
              <w:t xml:space="preserve"> soixante</w:t>
            </w:r>
            <w:r w:rsidR="00523768">
              <w:rPr>
                <w:b/>
                <w:bCs/>
                <w:spacing w:val="-2"/>
                <w:lang w:val="fr-FR"/>
              </w:rPr>
              <w:noBreakHyphen/>
            </w:r>
            <w:r w:rsidRPr="003974A1">
              <w:rPr>
                <w:b/>
                <w:bCs/>
                <w:spacing w:val="-2"/>
                <w:lang w:val="fr-FR"/>
              </w:rPr>
              <w:t>quinzième anniversaire</w:t>
            </w:r>
            <w:r>
              <w:rPr>
                <w:b/>
                <w:bCs/>
                <w:spacing w:val="-2"/>
                <w:lang w:val="fr-FR"/>
              </w:rPr>
              <w:t>,</w:t>
            </w:r>
            <w:r w:rsidRPr="003974A1">
              <w:rPr>
                <w:b/>
                <w:bCs/>
                <w:spacing w:val="-2"/>
                <w:lang w:val="fr-FR"/>
              </w:rPr>
              <w:t xml:space="preserve"> a été ouverte par la réunion ministérielle anniversaire</w:t>
            </w:r>
            <w:r>
              <w:rPr>
                <w:b/>
                <w:bCs/>
                <w:spacing w:val="-2"/>
                <w:lang w:val="fr-FR"/>
              </w:rPr>
              <w:t xml:space="preserve"> dont </w:t>
            </w:r>
            <w:r w:rsidRPr="003974A1">
              <w:rPr>
                <w:b/>
                <w:bCs/>
                <w:spacing w:val="-2"/>
                <w:lang w:val="fr-FR"/>
              </w:rPr>
              <w:t>le thème</w:t>
            </w:r>
            <w:r>
              <w:rPr>
                <w:b/>
                <w:bCs/>
                <w:spacing w:val="-2"/>
                <w:lang w:val="fr-FR"/>
              </w:rPr>
              <w:t xml:space="preserve"> était le suivant :</w:t>
            </w:r>
            <w:r w:rsidRPr="003974A1">
              <w:rPr>
                <w:b/>
                <w:bCs/>
                <w:spacing w:val="-2"/>
                <w:lang w:val="fr-FR"/>
              </w:rPr>
              <w:t xml:space="preserve"> «</w:t>
            </w:r>
            <w:r w:rsidR="00523768">
              <w:rPr>
                <w:b/>
                <w:bCs/>
                <w:spacing w:val="-2"/>
                <w:lang w:val="fr-FR"/>
              </w:rPr>
              <w:t> </w:t>
            </w:r>
            <w:r w:rsidRPr="003974A1">
              <w:rPr>
                <w:b/>
                <w:bCs/>
                <w:spacing w:val="-2"/>
                <w:lang w:val="fr-FR"/>
              </w:rPr>
              <w:t>Soixante</w:t>
            </w:r>
            <w:r w:rsidR="00523768">
              <w:rPr>
                <w:b/>
                <w:bCs/>
                <w:spacing w:val="-2"/>
                <w:lang w:val="fr-FR"/>
              </w:rPr>
              <w:noBreakHyphen/>
            </w:r>
            <w:r w:rsidRPr="003974A1">
              <w:rPr>
                <w:b/>
                <w:bCs/>
                <w:spacing w:val="-2"/>
                <w:lang w:val="fr-FR"/>
              </w:rPr>
              <w:t>quinzième anniversaire du Comité des transports intérieurs</w:t>
            </w:r>
            <w:r>
              <w:rPr>
                <w:b/>
                <w:bCs/>
                <w:spacing w:val="-2"/>
                <w:lang w:val="fr-FR"/>
              </w:rPr>
              <w:t> :</w:t>
            </w:r>
            <w:r w:rsidRPr="003974A1">
              <w:rPr>
                <w:b/>
                <w:bCs/>
                <w:spacing w:val="-2"/>
                <w:lang w:val="fr-FR"/>
              </w:rPr>
              <w:t xml:space="preserve"> relier les pays et </w:t>
            </w:r>
            <w:r w:rsidRPr="000713DB">
              <w:rPr>
                <w:b/>
                <w:bCs/>
                <w:spacing w:val="-2"/>
                <w:lang w:val="fr-FR"/>
              </w:rPr>
              <w:lastRenderedPageBreak/>
              <w:t>favoriser la mobilité durable</w:t>
            </w:r>
            <w:r w:rsidR="00523768" w:rsidRPr="000713DB">
              <w:rPr>
                <w:b/>
                <w:bCs/>
                <w:spacing w:val="-2"/>
                <w:lang w:val="fr-FR"/>
              </w:rPr>
              <w:t> </w:t>
            </w:r>
            <w:r w:rsidRPr="000713DB">
              <w:rPr>
                <w:b/>
                <w:bCs/>
                <w:spacing w:val="-2"/>
                <w:lang w:val="fr-FR"/>
              </w:rPr>
              <w:t>». Ce</w:t>
            </w:r>
            <w:r w:rsidR="00523768" w:rsidRPr="000713DB">
              <w:rPr>
                <w:b/>
                <w:bCs/>
                <w:spacing w:val="-2"/>
                <w:lang w:val="fr-FR"/>
              </w:rPr>
              <w:t> </w:t>
            </w:r>
            <w:r w:rsidRPr="000713DB">
              <w:rPr>
                <w:b/>
                <w:bCs/>
                <w:spacing w:val="-2"/>
                <w:lang w:val="fr-FR"/>
              </w:rPr>
              <w:t>débat ministériel</w:t>
            </w:r>
            <w:r w:rsidRPr="003974A1">
              <w:rPr>
                <w:b/>
                <w:bCs/>
                <w:spacing w:val="-2"/>
                <w:lang w:val="fr-FR"/>
              </w:rPr>
              <w:t xml:space="preserve"> a été ouvert par S.E. Georges Gilkinet, Vice-Premier Ministre et Ministre de la mobilité de la Belgique (pays présidant le </w:t>
            </w:r>
            <w:r>
              <w:rPr>
                <w:b/>
                <w:bCs/>
                <w:spacing w:val="-2"/>
                <w:lang w:val="fr-FR"/>
              </w:rPr>
              <w:t>Comité</w:t>
            </w:r>
            <w:r w:rsidRPr="003974A1">
              <w:rPr>
                <w:b/>
                <w:bCs/>
                <w:spacing w:val="-2"/>
                <w:lang w:val="fr-FR"/>
              </w:rPr>
              <w:t>)</w:t>
            </w:r>
            <w:r>
              <w:rPr>
                <w:b/>
                <w:bCs/>
                <w:spacing w:val="-2"/>
                <w:lang w:val="fr-FR"/>
              </w:rPr>
              <w:t>. Des</w:t>
            </w:r>
            <w:r w:rsidRPr="003974A1">
              <w:rPr>
                <w:b/>
                <w:bCs/>
                <w:spacing w:val="-2"/>
                <w:lang w:val="fr-FR"/>
              </w:rPr>
              <w:t xml:space="preserve"> ministres des transports d</w:t>
            </w:r>
            <w:r>
              <w:rPr>
                <w:b/>
                <w:bCs/>
                <w:spacing w:val="-2"/>
                <w:lang w:val="fr-FR"/>
              </w:rPr>
              <w:t>’</w:t>
            </w:r>
            <w:r w:rsidRPr="003974A1">
              <w:rPr>
                <w:b/>
                <w:bCs/>
                <w:spacing w:val="-2"/>
                <w:lang w:val="fr-FR"/>
              </w:rPr>
              <w:t>Afriqu</w:t>
            </w:r>
            <w:r>
              <w:rPr>
                <w:b/>
                <w:bCs/>
                <w:spacing w:val="-2"/>
                <w:lang w:val="fr-FR"/>
              </w:rPr>
              <w:t>e,</w:t>
            </w:r>
            <w:r w:rsidRPr="003974A1">
              <w:rPr>
                <w:b/>
                <w:bCs/>
                <w:spacing w:val="-2"/>
                <w:lang w:val="fr-FR"/>
              </w:rPr>
              <w:t xml:space="preserve"> d</w:t>
            </w:r>
            <w:r>
              <w:rPr>
                <w:b/>
                <w:bCs/>
                <w:spacing w:val="-2"/>
                <w:lang w:val="fr-FR"/>
              </w:rPr>
              <w:t>’</w:t>
            </w:r>
            <w:r w:rsidRPr="003974A1">
              <w:rPr>
                <w:b/>
                <w:bCs/>
                <w:spacing w:val="-2"/>
                <w:lang w:val="fr-FR"/>
              </w:rPr>
              <w:t>Asi</w:t>
            </w:r>
            <w:r>
              <w:rPr>
                <w:b/>
                <w:bCs/>
                <w:spacing w:val="-2"/>
                <w:lang w:val="fr-FR"/>
              </w:rPr>
              <w:t>e,</w:t>
            </w:r>
            <w:r w:rsidRPr="003974A1">
              <w:rPr>
                <w:b/>
                <w:bCs/>
                <w:spacing w:val="-2"/>
                <w:lang w:val="fr-FR"/>
              </w:rPr>
              <w:t xml:space="preserve"> d</w:t>
            </w:r>
            <w:r>
              <w:rPr>
                <w:b/>
                <w:bCs/>
                <w:spacing w:val="-2"/>
                <w:lang w:val="fr-FR"/>
              </w:rPr>
              <w:t>’</w:t>
            </w:r>
            <w:r w:rsidRPr="003974A1">
              <w:rPr>
                <w:b/>
                <w:bCs/>
                <w:spacing w:val="-2"/>
                <w:lang w:val="fr-FR"/>
              </w:rPr>
              <w:t>Europ</w:t>
            </w:r>
            <w:r>
              <w:rPr>
                <w:b/>
                <w:bCs/>
                <w:spacing w:val="-2"/>
                <w:lang w:val="fr-FR"/>
              </w:rPr>
              <w:t>e,</w:t>
            </w:r>
            <w:r w:rsidRPr="003974A1">
              <w:rPr>
                <w:b/>
                <w:bCs/>
                <w:spacing w:val="-2"/>
                <w:lang w:val="fr-FR"/>
              </w:rPr>
              <w:t xml:space="preserve"> d</w:t>
            </w:r>
            <w:r>
              <w:rPr>
                <w:b/>
                <w:bCs/>
                <w:spacing w:val="-2"/>
                <w:lang w:val="fr-FR"/>
              </w:rPr>
              <w:t>’</w:t>
            </w:r>
            <w:r w:rsidRPr="003974A1">
              <w:rPr>
                <w:b/>
                <w:bCs/>
                <w:spacing w:val="-2"/>
                <w:lang w:val="fr-FR"/>
              </w:rPr>
              <w:t>Amérique latine et du Moyen-Orient</w:t>
            </w:r>
            <w:r>
              <w:rPr>
                <w:b/>
                <w:bCs/>
                <w:spacing w:val="-2"/>
                <w:lang w:val="fr-FR"/>
              </w:rPr>
              <w:t xml:space="preserve"> y ont participé</w:t>
            </w:r>
            <w:r w:rsidRPr="003974A1">
              <w:rPr>
                <w:b/>
                <w:bCs/>
                <w:spacing w:val="-2"/>
                <w:lang w:val="fr-FR"/>
              </w:rPr>
              <w:t>. Les</w:t>
            </w:r>
            <w:r w:rsidR="00523768">
              <w:rPr>
                <w:b/>
                <w:bCs/>
                <w:spacing w:val="-2"/>
                <w:lang w:val="fr-FR"/>
              </w:rPr>
              <w:t> </w:t>
            </w:r>
            <w:r w:rsidRPr="003974A1">
              <w:rPr>
                <w:b/>
                <w:bCs/>
                <w:spacing w:val="-2"/>
                <w:lang w:val="fr-FR"/>
              </w:rPr>
              <w:t>discours d</w:t>
            </w:r>
            <w:r>
              <w:rPr>
                <w:b/>
                <w:bCs/>
                <w:spacing w:val="-2"/>
                <w:lang w:val="fr-FR"/>
              </w:rPr>
              <w:t>’</w:t>
            </w:r>
            <w:r w:rsidRPr="003974A1">
              <w:rPr>
                <w:b/>
                <w:bCs/>
                <w:spacing w:val="-2"/>
                <w:lang w:val="fr-FR"/>
              </w:rPr>
              <w:t>ouverture ont été prononcés par S.E. Simonetta Sommaruga, ancienne Présidente de la Confédération suisse et Chef (Ministre) du Département fédéral de l</w:t>
            </w:r>
            <w:r>
              <w:rPr>
                <w:b/>
                <w:bCs/>
                <w:spacing w:val="-2"/>
                <w:lang w:val="fr-FR"/>
              </w:rPr>
              <w:t>’</w:t>
            </w:r>
            <w:r w:rsidRPr="003974A1">
              <w:rPr>
                <w:b/>
                <w:bCs/>
                <w:spacing w:val="-2"/>
                <w:lang w:val="fr-FR"/>
              </w:rPr>
              <w:t>environnement, des transports, de l</w:t>
            </w:r>
            <w:r>
              <w:rPr>
                <w:b/>
                <w:bCs/>
                <w:spacing w:val="-2"/>
                <w:lang w:val="fr-FR"/>
              </w:rPr>
              <w:t>’</w:t>
            </w:r>
            <w:r w:rsidRPr="003974A1">
              <w:rPr>
                <w:b/>
                <w:bCs/>
                <w:spacing w:val="-2"/>
                <w:lang w:val="fr-FR"/>
              </w:rPr>
              <w:t>énergie et de la communication de la Suisse (pays hôte)</w:t>
            </w:r>
            <w:r>
              <w:rPr>
                <w:b/>
                <w:bCs/>
                <w:spacing w:val="-2"/>
                <w:lang w:val="fr-FR"/>
              </w:rPr>
              <w:t> ;</w:t>
            </w:r>
            <w:r w:rsidRPr="003974A1">
              <w:rPr>
                <w:b/>
                <w:bCs/>
                <w:spacing w:val="-2"/>
                <w:lang w:val="fr-FR"/>
              </w:rPr>
              <w:t xml:space="preserve"> S.E.</w:t>
            </w:r>
            <w:r w:rsidR="00523768">
              <w:rPr>
                <w:b/>
                <w:bCs/>
                <w:spacing w:val="-2"/>
                <w:lang w:val="fr-FR"/>
              </w:rPr>
              <w:t> </w:t>
            </w:r>
            <w:r w:rsidRPr="003974A1">
              <w:rPr>
                <w:b/>
                <w:bCs/>
                <w:spacing w:val="-2"/>
                <w:lang w:val="fr-FR"/>
              </w:rPr>
              <w:t>Mohammed Abdeljalil, Ministre des transports et de la logistique du Maroc</w:t>
            </w:r>
            <w:r>
              <w:rPr>
                <w:b/>
                <w:bCs/>
                <w:spacing w:val="-2"/>
                <w:lang w:val="fr-FR"/>
              </w:rPr>
              <w:t> ;</w:t>
            </w:r>
            <w:r w:rsidRPr="003974A1">
              <w:rPr>
                <w:b/>
                <w:bCs/>
                <w:spacing w:val="-2"/>
                <w:lang w:val="fr-FR"/>
              </w:rPr>
              <w:t xml:space="preserve"> et S.E. Juan Edghill, Ministre des infrastructures publiques de la République d</w:t>
            </w:r>
            <w:r>
              <w:rPr>
                <w:b/>
                <w:bCs/>
                <w:spacing w:val="-2"/>
                <w:lang w:val="fr-FR"/>
              </w:rPr>
              <w:t>u</w:t>
            </w:r>
            <w:r w:rsidRPr="003974A1">
              <w:rPr>
                <w:b/>
                <w:bCs/>
                <w:spacing w:val="-2"/>
                <w:lang w:val="fr-FR"/>
              </w:rPr>
              <w:t xml:space="preserve"> Guyan</w:t>
            </w:r>
            <w:r>
              <w:rPr>
                <w:b/>
                <w:bCs/>
                <w:spacing w:val="-2"/>
                <w:lang w:val="fr-FR"/>
              </w:rPr>
              <w:t>a</w:t>
            </w:r>
            <w:r w:rsidRPr="003974A1">
              <w:rPr>
                <w:b/>
                <w:bCs/>
                <w:spacing w:val="-2"/>
                <w:lang w:val="fr-FR"/>
              </w:rPr>
              <w:t>. Cette manifestation a réuni 550</w:t>
            </w:r>
            <w:r w:rsidR="00523768">
              <w:rPr>
                <w:b/>
                <w:bCs/>
                <w:spacing w:val="-2"/>
                <w:lang w:val="fr-FR"/>
              </w:rPr>
              <w:t> </w:t>
            </w:r>
            <w:r w:rsidRPr="003974A1">
              <w:rPr>
                <w:b/>
                <w:bCs/>
                <w:spacing w:val="-2"/>
                <w:lang w:val="fr-FR"/>
              </w:rPr>
              <w:t xml:space="preserve">participants </w:t>
            </w:r>
            <w:r>
              <w:rPr>
                <w:b/>
                <w:bCs/>
                <w:spacing w:val="-2"/>
                <w:lang w:val="fr-FR"/>
              </w:rPr>
              <w:t xml:space="preserve">venus </w:t>
            </w:r>
            <w:r w:rsidRPr="003974A1">
              <w:rPr>
                <w:b/>
                <w:bCs/>
                <w:spacing w:val="-2"/>
                <w:lang w:val="fr-FR"/>
              </w:rPr>
              <w:t>de plus de 92</w:t>
            </w:r>
            <w:r w:rsidR="00523768">
              <w:rPr>
                <w:b/>
                <w:bCs/>
                <w:spacing w:val="-2"/>
                <w:lang w:val="fr-FR"/>
              </w:rPr>
              <w:t> </w:t>
            </w:r>
            <w:r w:rsidRPr="003974A1">
              <w:rPr>
                <w:b/>
                <w:bCs/>
                <w:spacing w:val="-2"/>
                <w:lang w:val="fr-FR"/>
              </w:rPr>
              <w:t>pays, dont 49 non membres de la CE</w:t>
            </w:r>
            <w:r>
              <w:rPr>
                <w:b/>
                <w:bCs/>
                <w:spacing w:val="-2"/>
                <w:lang w:val="fr-FR"/>
              </w:rPr>
              <w:t>E,</w:t>
            </w:r>
            <w:r w:rsidRPr="003974A1">
              <w:rPr>
                <w:b/>
                <w:bCs/>
                <w:spacing w:val="-2"/>
                <w:lang w:val="fr-FR"/>
              </w:rPr>
              <w:t xml:space="preserve"> et les chefs et représentants de haut niveau d</w:t>
            </w:r>
            <w:r>
              <w:rPr>
                <w:b/>
                <w:bCs/>
                <w:spacing w:val="-2"/>
                <w:lang w:val="fr-FR"/>
              </w:rPr>
              <w:t>’</w:t>
            </w:r>
            <w:r w:rsidRPr="003974A1">
              <w:rPr>
                <w:b/>
                <w:bCs/>
                <w:spacing w:val="-2"/>
                <w:lang w:val="fr-FR"/>
              </w:rPr>
              <w:t xml:space="preserve">organisations intergouvernementales et non gouvernementales ainsi que les principaux acteurs du secteur des transports intérieurs. Les </w:t>
            </w:r>
            <w:r>
              <w:rPr>
                <w:b/>
                <w:bCs/>
                <w:spacing w:val="-2"/>
                <w:lang w:val="fr-FR"/>
              </w:rPr>
              <w:t>aspects les plus marquants</w:t>
            </w:r>
            <w:r w:rsidRPr="003974A1">
              <w:rPr>
                <w:b/>
                <w:bCs/>
                <w:spacing w:val="-2"/>
                <w:lang w:val="fr-FR"/>
              </w:rPr>
              <w:t xml:space="preserve"> d</w:t>
            </w:r>
            <w:r>
              <w:rPr>
                <w:b/>
                <w:bCs/>
                <w:spacing w:val="-2"/>
                <w:lang w:val="fr-FR"/>
              </w:rPr>
              <w:t>e ce</w:t>
            </w:r>
            <w:r w:rsidRPr="003974A1">
              <w:rPr>
                <w:b/>
                <w:bCs/>
                <w:spacing w:val="-2"/>
                <w:lang w:val="fr-FR"/>
              </w:rPr>
              <w:t xml:space="preserve"> débat politique de haut niveau figurent à l</w:t>
            </w:r>
            <w:r>
              <w:rPr>
                <w:b/>
                <w:bCs/>
                <w:spacing w:val="-2"/>
                <w:lang w:val="fr-FR"/>
              </w:rPr>
              <w:t>’</w:t>
            </w:r>
            <w:r w:rsidRPr="003974A1">
              <w:rPr>
                <w:b/>
                <w:bCs/>
                <w:spacing w:val="-2"/>
                <w:lang w:val="fr-FR"/>
              </w:rPr>
              <w:t>annexe I du document ECE/TRANS/316/Add.1.</w:t>
            </w:r>
          </w:p>
          <w:p w14:paraId="40221D7E" w14:textId="77777777" w:rsidR="000661F7" w:rsidRPr="005E0AD2" w:rsidRDefault="000661F7" w:rsidP="0094269B">
            <w:pPr>
              <w:spacing w:before="40" w:after="100" w:line="230" w:lineRule="atLeast"/>
              <w:ind w:right="113"/>
              <w:rPr>
                <w:spacing w:val="-2"/>
                <w:lang w:val="fr-FR"/>
              </w:rPr>
            </w:pPr>
            <w:r w:rsidRPr="005E0AD2">
              <w:rPr>
                <w:spacing w:val="-2"/>
                <w:lang w:val="fr-FR"/>
              </w:rPr>
              <w:t>Voir aussi la tâche 4.5.</w:t>
            </w:r>
          </w:p>
        </w:tc>
        <w:tc>
          <w:tcPr>
            <w:tcW w:w="2500" w:type="dxa"/>
            <w:shd w:val="clear" w:color="auto" w:fill="auto"/>
          </w:tcPr>
          <w:p w14:paraId="77D237DF" w14:textId="3DCA6BEF" w:rsidR="000661F7" w:rsidRPr="00ED06D8" w:rsidRDefault="000661F7" w:rsidP="0094269B">
            <w:pPr>
              <w:spacing w:before="40" w:after="100" w:line="230" w:lineRule="atLeast"/>
              <w:ind w:right="113"/>
              <w:rPr>
                <w:lang w:val="fr-FR"/>
              </w:rPr>
            </w:pPr>
            <w:r>
              <w:rPr>
                <w:lang w:val="fr-FR"/>
              </w:rPr>
              <w:lastRenderedPageBreak/>
              <w:t>Continuer de suivre l’actualité et de proposer de nouveaux sujets de débat.</w:t>
            </w:r>
          </w:p>
        </w:tc>
        <w:tc>
          <w:tcPr>
            <w:tcW w:w="1667" w:type="dxa"/>
            <w:shd w:val="clear" w:color="auto" w:fill="auto"/>
          </w:tcPr>
          <w:p w14:paraId="56B662B1" w14:textId="77777777" w:rsidR="000661F7" w:rsidRPr="0067484D" w:rsidRDefault="000661F7" w:rsidP="0094269B">
            <w:pPr>
              <w:spacing w:before="40" w:after="100" w:line="230" w:lineRule="atLeast"/>
              <w:ind w:right="113"/>
            </w:pPr>
            <w:r>
              <w:rPr>
                <w:lang w:val="fr-FR"/>
              </w:rPr>
              <w:t>Le secrétariat du Comité</w:t>
            </w:r>
          </w:p>
        </w:tc>
      </w:tr>
      <w:tr w:rsidR="000661F7" w:rsidRPr="0067484D" w14:paraId="6310C988" w14:textId="77777777" w:rsidTr="0094269B">
        <w:tc>
          <w:tcPr>
            <w:tcW w:w="500" w:type="dxa"/>
            <w:shd w:val="clear" w:color="auto" w:fill="auto"/>
          </w:tcPr>
          <w:p w14:paraId="2B9CF833" w14:textId="77777777" w:rsidR="000661F7" w:rsidRPr="0067484D" w:rsidRDefault="000661F7" w:rsidP="0094269B">
            <w:pPr>
              <w:spacing w:before="40" w:after="120"/>
              <w:ind w:right="113"/>
            </w:pPr>
            <w:r>
              <w:rPr>
                <w:lang w:val="fr-FR"/>
              </w:rPr>
              <w:t>5.19</w:t>
            </w:r>
          </w:p>
        </w:tc>
        <w:tc>
          <w:tcPr>
            <w:tcW w:w="1778" w:type="dxa"/>
            <w:shd w:val="clear" w:color="auto" w:fill="auto"/>
          </w:tcPr>
          <w:p w14:paraId="3FEA7925" w14:textId="7E53780E" w:rsidR="000661F7" w:rsidRPr="00ED06D8" w:rsidRDefault="000661F7" w:rsidP="0094269B">
            <w:pPr>
              <w:spacing w:before="40" w:after="120"/>
              <w:ind w:right="113"/>
              <w:rPr>
                <w:lang w:val="fr-FR"/>
              </w:rPr>
            </w:pPr>
            <w:r>
              <w:rPr>
                <w:lang w:val="fr-FR"/>
              </w:rPr>
              <w:t>Ajouter à l’ordre du jour du Comité des points sur les défis à relever dans différentes régions (à partir de 2020)</w:t>
            </w:r>
          </w:p>
        </w:tc>
        <w:tc>
          <w:tcPr>
            <w:tcW w:w="3194" w:type="dxa"/>
            <w:shd w:val="clear" w:color="auto" w:fill="auto"/>
          </w:tcPr>
          <w:p w14:paraId="3204DCDB" w14:textId="77777777" w:rsidR="00523768" w:rsidRDefault="000661F7" w:rsidP="0094269B">
            <w:pPr>
              <w:spacing w:before="40" w:after="120"/>
              <w:ind w:right="113"/>
              <w:rPr>
                <w:lang w:val="fr-FR"/>
              </w:rPr>
            </w:pPr>
            <w:r>
              <w:rPr>
                <w:lang w:val="fr-FR"/>
              </w:rPr>
              <w:t xml:space="preserve">Les problèmes que rencontrent différentes régions dans le domaine du transport ont été intégrés à l’ordre du jour </w:t>
            </w:r>
            <w:r w:rsidRPr="00585BA9">
              <w:rPr>
                <w:lang w:val="fr-FR"/>
              </w:rPr>
              <w:t>des</w:t>
            </w:r>
            <w:r w:rsidRPr="00523768">
              <w:rPr>
                <w:lang w:val="fr-FR"/>
              </w:rPr>
              <w:t xml:space="preserve"> </w:t>
            </w:r>
            <w:r>
              <w:rPr>
                <w:lang w:val="fr-FR"/>
              </w:rPr>
              <w:t xml:space="preserve">quatre-vingt-deuxième, </w:t>
            </w:r>
            <w:r w:rsidRPr="00585BA9">
              <w:rPr>
                <w:lang w:val="fr-FR"/>
              </w:rPr>
              <w:t>quatre</w:t>
            </w:r>
            <w:r w:rsidRPr="00585BA9">
              <w:rPr>
                <w:lang w:val="fr-FR"/>
              </w:rPr>
              <w:noBreakHyphen/>
              <w:t>vingt-troisième</w:t>
            </w:r>
            <w:r w:rsidRPr="003974A1">
              <w:rPr>
                <w:b/>
                <w:bCs/>
                <w:lang w:val="fr-FR"/>
              </w:rPr>
              <w:t xml:space="preserve"> </w:t>
            </w:r>
            <w:r>
              <w:rPr>
                <w:b/>
                <w:bCs/>
                <w:lang w:val="fr-FR"/>
              </w:rPr>
              <w:t>et quatre</w:t>
            </w:r>
            <w:r w:rsidR="00523768">
              <w:rPr>
                <w:b/>
                <w:bCs/>
                <w:lang w:val="fr-FR"/>
              </w:rPr>
              <w:noBreakHyphen/>
            </w:r>
            <w:r>
              <w:rPr>
                <w:b/>
                <w:bCs/>
                <w:lang w:val="fr-FR"/>
              </w:rPr>
              <w:t>vingt-quatrième sessions</w:t>
            </w:r>
            <w:r>
              <w:rPr>
                <w:lang w:val="fr-FR"/>
              </w:rPr>
              <w:t xml:space="preserve"> du Comité. Un rapport de la CESAP a été présenté au titre des points</w:t>
            </w:r>
            <w:r w:rsidR="00523768">
              <w:rPr>
                <w:lang w:val="fr-FR"/>
              </w:rPr>
              <w:t> </w:t>
            </w:r>
            <w:r>
              <w:rPr>
                <w:lang w:val="fr-FR"/>
              </w:rPr>
              <w:t>7</w:t>
            </w:r>
            <w:r w:rsidR="00523768">
              <w:rPr>
                <w:lang w:val="fr-FR"/>
              </w:rPr>
              <w:t> </w:t>
            </w:r>
            <w:r>
              <w:rPr>
                <w:lang w:val="fr-FR"/>
              </w:rPr>
              <w:t>b) et 7</w:t>
            </w:r>
            <w:r w:rsidR="00523768">
              <w:rPr>
                <w:lang w:val="fr-FR"/>
              </w:rPr>
              <w:t> </w:t>
            </w:r>
            <w:r>
              <w:rPr>
                <w:lang w:val="fr-FR"/>
              </w:rPr>
              <w:t>c) de l’ordre du jour.</w:t>
            </w:r>
          </w:p>
          <w:p w14:paraId="21365842" w14:textId="791B93DF" w:rsidR="000661F7" w:rsidRPr="003974A1" w:rsidRDefault="000661F7" w:rsidP="0094269B">
            <w:pPr>
              <w:spacing w:before="40" w:after="120"/>
              <w:ind w:right="113"/>
              <w:rPr>
                <w:lang w:val="fr-FR"/>
              </w:rPr>
            </w:pPr>
            <w:r w:rsidRPr="00D96E6C">
              <w:rPr>
                <w:lang w:val="fr-FR"/>
              </w:rPr>
              <w:t>Des</w:t>
            </w:r>
            <w:r w:rsidR="00523768">
              <w:rPr>
                <w:lang w:val="fr-FR"/>
              </w:rPr>
              <w:t> </w:t>
            </w:r>
            <w:r w:rsidRPr="00D96E6C">
              <w:rPr>
                <w:lang w:val="fr-FR"/>
              </w:rPr>
              <w:t>documents de recherche détaillés sur les tendances et les défis dans d</w:t>
            </w:r>
            <w:r>
              <w:rPr>
                <w:lang w:val="fr-FR"/>
              </w:rPr>
              <w:t>’</w:t>
            </w:r>
            <w:r w:rsidRPr="00D96E6C">
              <w:rPr>
                <w:lang w:val="fr-FR"/>
              </w:rPr>
              <w:t>autres régions ont été élaborés et ont servi de base aux débats sur ces points de l</w:t>
            </w:r>
            <w:r>
              <w:rPr>
                <w:lang w:val="fr-FR"/>
              </w:rPr>
              <w:t>’</w:t>
            </w:r>
            <w:r w:rsidRPr="00D96E6C">
              <w:rPr>
                <w:lang w:val="fr-FR"/>
              </w:rPr>
              <w:t>ordre du jour.</w:t>
            </w:r>
          </w:p>
        </w:tc>
        <w:tc>
          <w:tcPr>
            <w:tcW w:w="2500" w:type="dxa"/>
            <w:shd w:val="clear" w:color="auto" w:fill="auto"/>
          </w:tcPr>
          <w:p w14:paraId="3CE4B152" w14:textId="437004CC" w:rsidR="000661F7" w:rsidRPr="00ED06D8" w:rsidRDefault="000661F7" w:rsidP="0094269B">
            <w:pPr>
              <w:spacing w:before="40" w:after="120"/>
              <w:ind w:right="113"/>
              <w:rPr>
                <w:lang w:val="fr-FR"/>
              </w:rPr>
            </w:pPr>
            <w:r>
              <w:rPr>
                <w:lang w:val="fr-FR"/>
              </w:rPr>
              <w:t>Continuer de recenser les nouveaux problèmes rencontrés et de les intégrer à l’ordre du jour.</w:t>
            </w:r>
          </w:p>
        </w:tc>
        <w:tc>
          <w:tcPr>
            <w:tcW w:w="1667" w:type="dxa"/>
            <w:shd w:val="clear" w:color="auto" w:fill="auto"/>
          </w:tcPr>
          <w:p w14:paraId="2C736C5C" w14:textId="77777777" w:rsidR="000661F7" w:rsidRPr="0067484D" w:rsidRDefault="000661F7" w:rsidP="0094269B">
            <w:pPr>
              <w:spacing w:before="40" w:after="120"/>
              <w:ind w:right="113"/>
            </w:pPr>
            <w:r>
              <w:rPr>
                <w:lang w:val="fr-FR"/>
              </w:rPr>
              <w:t>Le secrétariat du Comité</w:t>
            </w:r>
          </w:p>
        </w:tc>
      </w:tr>
      <w:tr w:rsidR="000661F7" w:rsidRPr="00D466A5" w14:paraId="1ADFC75C" w14:textId="77777777" w:rsidTr="0094269B">
        <w:tc>
          <w:tcPr>
            <w:tcW w:w="500" w:type="dxa"/>
            <w:shd w:val="clear" w:color="auto" w:fill="auto"/>
          </w:tcPr>
          <w:p w14:paraId="16104485" w14:textId="77777777" w:rsidR="000661F7" w:rsidRPr="0067484D" w:rsidRDefault="000661F7" w:rsidP="00523768">
            <w:pPr>
              <w:keepNext/>
              <w:spacing w:before="40" w:after="120"/>
              <w:ind w:right="113"/>
            </w:pPr>
            <w:r>
              <w:rPr>
                <w:lang w:val="fr-FR"/>
              </w:rPr>
              <w:lastRenderedPageBreak/>
              <w:t>5.20</w:t>
            </w:r>
          </w:p>
        </w:tc>
        <w:tc>
          <w:tcPr>
            <w:tcW w:w="1778" w:type="dxa"/>
            <w:shd w:val="clear" w:color="auto" w:fill="auto"/>
          </w:tcPr>
          <w:p w14:paraId="09215B31" w14:textId="0F21CF0C" w:rsidR="000661F7" w:rsidRPr="00ED06D8" w:rsidRDefault="000661F7" w:rsidP="00523768">
            <w:pPr>
              <w:keepNext/>
              <w:spacing w:before="40" w:after="120"/>
              <w:ind w:right="113"/>
              <w:rPr>
                <w:lang w:val="fr-FR"/>
              </w:rPr>
            </w:pPr>
            <w:r>
              <w:rPr>
                <w:lang w:val="fr-FR"/>
              </w:rPr>
              <w:t>Appuyer la connectivité et la mobilité intermodales intégrées (à partir de 2020), y compris les projets TEM et TER, l’intermodalité et la logistique</w:t>
            </w:r>
          </w:p>
        </w:tc>
        <w:tc>
          <w:tcPr>
            <w:tcW w:w="3194" w:type="dxa"/>
            <w:shd w:val="clear" w:color="auto" w:fill="auto"/>
          </w:tcPr>
          <w:p w14:paraId="5FB4151B" w14:textId="067434CF" w:rsidR="000661F7" w:rsidRDefault="000661F7" w:rsidP="00523768">
            <w:pPr>
              <w:keepNext/>
              <w:spacing w:before="40" w:after="120"/>
              <w:ind w:right="113"/>
              <w:rPr>
                <w:lang w:val="fr-FR"/>
              </w:rPr>
            </w:pPr>
            <w:r>
              <w:rPr>
                <w:lang w:val="fr-FR"/>
              </w:rPr>
              <w:t xml:space="preserve">Le WP.24 contribue aux travaux sur le transport intermodal de marchandises et la logistique, l’objectif étant d’améliorer la connectivité des transports. </w:t>
            </w:r>
            <w:r w:rsidRPr="00D96E6C">
              <w:rPr>
                <w:lang w:val="fr-FR"/>
              </w:rPr>
              <w:t>Le WP.24 a rédigé et publié le Manuel pour l</w:t>
            </w:r>
            <w:r>
              <w:rPr>
                <w:lang w:val="fr-FR"/>
              </w:rPr>
              <w:t>’</w:t>
            </w:r>
            <w:r w:rsidRPr="00D96E6C">
              <w:rPr>
                <w:lang w:val="fr-FR"/>
              </w:rPr>
              <w:t>élaboration de plans directeurs nationaux sur le transport de marchandises et la logistique.</w:t>
            </w:r>
            <w:r w:rsidRPr="008A6DF9">
              <w:rPr>
                <w:lang w:val="fr-FR"/>
              </w:rPr>
              <w:t xml:space="preserve"> </w:t>
            </w:r>
            <w:r w:rsidRPr="00D96E6C">
              <w:rPr>
                <w:lang w:val="fr-FR"/>
              </w:rPr>
              <w:t xml:space="preserve">Ce manuel a été conçu pour aider les </w:t>
            </w:r>
            <w:r>
              <w:rPr>
                <w:lang w:val="fr-FR"/>
              </w:rPr>
              <w:t xml:space="preserve">États à favoriser </w:t>
            </w:r>
            <w:r w:rsidRPr="00D96E6C">
              <w:rPr>
                <w:lang w:val="fr-FR"/>
              </w:rPr>
              <w:t>un développement durable du secteur du fret et de la logistique.</w:t>
            </w:r>
            <w:r w:rsidRPr="008A6DF9">
              <w:rPr>
                <w:lang w:val="fr-FR"/>
              </w:rPr>
              <w:t xml:space="preserve"> </w:t>
            </w:r>
            <w:r w:rsidRPr="00D96E6C">
              <w:rPr>
                <w:lang w:val="fr-FR"/>
              </w:rPr>
              <w:t xml:space="preserve">Le WP.24 a approuvé une résolution sur le renforcement du transport intermodal de marchandises, que le </w:t>
            </w:r>
            <w:r>
              <w:rPr>
                <w:lang w:val="fr-FR"/>
              </w:rPr>
              <w:t>Comité</w:t>
            </w:r>
            <w:r w:rsidRPr="00D96E6C">
              <w:rPr>
                <w:lang w:val="fr-FR"/>
              </w:rPr>
              <w:t xml:space="preserve"> a ensuite adoptée.</w:t>
            </w:r>
            <w:r w:rsidRPr="008A6DF9">
              <w:rPr>
                <w:lang w:val="fr-FR"/>
              </w:rPr>
              <w:t xml:space="preserve"> </w:t>
            </w:r>
            <w:r w:rsidRPr="00D96E6C">
              <w:rPr>
                <w:lang w:val="fr-FR"/>
              </w:rPr>
              <w:t>L</w:t>
            </w:r>
            <w:r>
              <w:rPr>
                <w:lang w:val="fr-FR"/>
              </w:rPr>
              <w:t>’</w:t>
            </w:r>
            <w:r w:rsidRPr="00D96E6C">
              <w:rPr>
                <w:lang w:val="fr-FR"/>
              </w:rPr>
              <w:t>application de cette résolution, sous la direction du WP.24, doit contribuer à rendre le transport de marchandises plus efficace et plus durable.</w:t>
            </w:r>
            <w:r w:rsidRPr="008A6DF9">
              <w:rPr>
                <w:lang w:val="fr-FR"/>
              </w:rPr>
              <w:t xml:space="preserve"> </w:t>
            </w:r>
            <w:r>
              <w:rPr>
                <w:lang w:val="fr-FR"/>
              </w:rPr>
              <w:t>À</w:t>
            </w:r>
            <w:r w:rsidRPr="00D96E6C">
              <w:rPr>
                <w:lang w:val="fr-FR"/>
              </w:rPr>
              <w:t xml:space="preserve"> sa soixante-quatrième session, le WP.24 a pris des décisions importantes pour lancer </w:t>
            </w:r>
            <w:r>
              <w:rPr>
                <w:lang w:val="fr-FR"/>
              </w:rPr>
              <w:t xml:space="preserve">les actions qui lui étaient demandées </w:t>
            </w:r>
            <w:r w:rsidRPr="00D96E6C">
              <w:rPr>
                <w:lang w:val="fr-FR"/>
              </w:rPr>
              <w:t>dans la résolution.</w:t>
            </w:r>
          </w:p>
          <w:p w14:paraId="1A9A9064" w14:textId="0D78D9F8" w:rsidR="000661F7" w:rsidRPr="00C33721" w:rsidRDefault="000661F7" w:rsidP="00523768">
            <w:pPr>
              <w:keepNext/>
              <w:spacing w:before="40" w:after="120"/>
              <w:ind w:right="113"/>
              <w:rPr>
                <w:b/>
                <w:bCs/>
                <w:lang w:val="fr-FR"/>
              </w:rPr>
            </w:pPr>
            <w:r w:rsidRPr="00EE1193">
              <w:rPr>
                <w:b/>
                <w:bCs/>
                <w:lang w:val="fr-FR"/>
              </w:rPr>
              <w:t>En 2022, les secrétariats</w:t>
            </w:r>
            <w:r w:rsidRPr="008A6DF9">
              <w:rPr>
                <w:b/>
                <w:bCs/>
                <w:lang w:val="fr-FR"/>
              </w:rPr>
              <w:t xml:space="preserve"> du SC.3 et du WP.24 ont établi un projet de résolution du </w:t>
            </w:r>
            <w:r>
              <w:rPr>
                <w:b/>
                <w:bCs/>
                <w:lang w:val="fr-FR"/>
              </w:rPr>
              <w:t>Comité</w:t>
            </w:r>
            <w:r w:rsidRPr="008A6DF9">
              <w:rPr>
                <w:b/>
                <w:bCs/>
                <w:lang w:val="fr-FR"/>
              </w:rPr>
              <w:t xml:space="preserve"> intitulé </w:t>
            </w:r>
            <w:r>
              <w:rPr>
                <w:b/>
                <w:bCs/>
                <w:lang w:val="fr-FR"/>
              </w:rPr>
              <w:t>« </w:t>
            </w:r>
            <w:r w:rsidRPr="008A6DF9">
              <w:rPr>
                <w:b/>
                <w:bCs/>
                <w:lang w:val="fr-FR"/>
              </w:rPr>
              <w:t>Promotion du développement du transport de conteneurs sur les voies navigables intérieures</w:t>
            </w:r>
            <w:r>
              <w:rPr>
                <w:b/>
                <w:bCs/>
                <w:lang w:val="fr-FR"/>
              </w:rPr>
              <w:t> »</w:t>
            </w:r>
            <w:r w:rsidRPr="008A6DF9">
              <w:rPr>
                <w:b/>
                <w:bCs/>
                <w:lang w:val="fr-FR"/>
              </w:rPr>
              <w:t xml:space="preserve"> (ECE/TRANS/SC.3/2022/2-ECE/TRANS/WP.24/2022/15). </w:t>
            </w:r>
            <w:r>
              <w:rPr>
                <w:b/>
                <w:bCs/>
                <w:lang w:val="fr-FR"/>
              </w:rPr>
              <w:t>À</w:t>
            </w:r>
            <w:r w:rsidR="00EE1193">
              <w:rPr>
                <w:b/>
                <w:bCs/>
                <w:lang w:val="fr-FR"/>
              </w:rPr>
              <w:t> </w:t>
            </w:r>
            <w:r w:rsidRPr="008A6DF9">
              <w:rPr>
                <w:b/>
                <w:bCs/>
                <w:lang w:val="fr-FR"/>
              </w:rPr>
              <w:t>leurs sessions annuelles,</w:t>
            </w:r>
            <w:r>
              <w:rPr>
                <w:b/>
                <w:bCs/>
                <w:lang w:val="fr-FR"/>
              </w:rPr>
              <w:t xml:space="preserve"> l</w:t>
            </w:r>
            <w:r w:rsidRPr="008A6DF9">
              <w:rPr>
                <w:b/>
                <w:bCs/>
                <w:lang w:val="fr-FR"/>
              </w:rPr>
              <w:t xml:space="preserve">es deux groupes de travail ont approuvé le projet et demandé au secrétariat de le soumettre au </w:t>
            </w:r>
            <w:r>
              <w:rPr>
                <w:b/>
                <w:bCs/>
                <w:lang w:val="fr-FR"/>
              </w:rPr>
              <w:t>Comité</w:t>
            </w:r>
            <w:r w:rsidRPr="008A6DF9">
              <w:rPr>
                <w:b/>
                <w:bCs/>
                <w:lang w:val="fr-FR"/>
              </w:rPr>
              <w:t xml:space="preserve"> à sa quatre</w:t>
            </w:r>
            <w:r w:rsidR="00EE1193">
              <w:rPr>
                <w:b/>
                <w:bCs/>
                <w:lang w:val="fr-FR"/>
              </w:rPr>
              <w:noBreakHyphen/>
            </w:r>
            <w:r w:rsidRPr="008A6DF9">
              <w:rPr>
                <w:b/>
                <w:bCs/>
                <w:lang w:val="fr-FR"/>
              </w:rPr>
              <w:t>vingt-cinquième session pour adoption.</w:t>
            </w:r>
          </w:p>
          <w:p w14:paraId="36A20F2A" w14:textId="178D3700" w:rsidR="000661F7" w:rsidRPr="00ED06D8" w:rsidRDefault="000661F7" w:rsidP="00523768">
            <w:pPr>
              <w:keepNext/>
              <w:spacing w:before="40" w:after="120"/>
              <w:ind w:right="113"/>
              <w:rPr>
                <w:lang w:val="fr-FR"/>
              </w:rPr>
            </w:pPr>
            <w:r>
              <w:rPr>
                <w:lang w:val="fr-FR"/>
              </w:rPr>
              <w:t>Le WP.5 se consacre au transport intermodal de passagers au niveau urbain, dans le cadre du volet « mobilité urbaine durable » de son programme de travail, pour renforcer la connectivité urbaine du transport de passagers. U</w:t>
            </w:r>
            <w:r w:rsidRPr="00D96E6C">
              <w:rPr>
                <w:lang w:val="fr-FR"/>
              </w:rPr>
              <w:t>n manuel sur la mobilité urbaine durable et l</w:t>
            </w:r>
            <w:r>
              <w:rPr>
                <w:lang w:val="fr-FR"/>
              </w:rPr>
              <w:t>’</w:t>
            </w:r>
            <w:r w:rsidRPr="00D96E6C">
              <w:rPr>
                <w:lang w:val="fr-FR"/>
              </w:rPr>
              <w:t>aménagement du territoir</w:t>
            </w:r>
            <w:r>
              <w:rPr>
                <w:lang w:val="fr-FR"/>
              </w:rPr>
              <w:t>e,</w:t>
            </w:r>
            <w:r w:rsidRPr="00D96E6C">
              <w:rPr>
                <w:lang w:val="fr-FR"/>
              </w:rPr>
              <w:t xml:space="preserve"> élaboré dans le cadre du Programme paneuropéen sur les transports, la santé et l</w:t>
            </w:r>
            <w:r>
              <w:rPr>
                <w:lang w:val="fr-FR"/>
              </w:rPr>
              <w:t>’</w:t>
            </w:r>
            <w:r w:rsidRPr="00D96E6C">
              <w:rPr>
                <w:lang w:val="fr-FR"/>
              </w:rPr>
              <w:t>environnement (PPE-TSE), a été lancé</w:t>
            </w:r>
            <w:r>
              <w:rPr>
                <w:lang w:val="fr-FR"/>
              </w:rPr>
              <w:t xml:space="preserve"> e</w:t>
            </w:r>
            <w:r w:rsidRPr="00D96E6C">
              <w:rPr>
                <w:lang w:val="fr-FR"/>
              </w:rPr>
              <w:t>n septembre 2020.</w:t>
            </w:r>
          </w:p>
          <w:p w14:paraId="022C9900" w14:textId="1B89BBD2" w:rsidR="000661F7" w:rsidRPr="00ED06D8" w:rsidRDefault="000661F7" w:rsidP="00523768">
            <w:pPr>
              <w:keepNext/>
              <w:spacing w:before="40" w:after="120"/>
              <w:ind w:right="113"/>
              <w:rPr>
                <w:lang w:val="fr-FR"/>
              </w:rPr>
            </w:pPr>
            <w:r>
              <w:rPr>
                <w:lang w:val="fr-FR"/>
              </w:rPr>
              <w:t>Le projet TEM est axé sur la gestion des infrastructures et vise à aider les États participants à atteindre les ODD en lien avec les infrastructures routières au moyen d’initiatives stratégiques.</w:t>
            </w:r>
          </w:p>
          <w:p w14:paraId="03F64735" w14:textId="1722837F" w:rsidR="000661F7" w:rsidRPr="00ED06D8" w:rsidRDefault="000661F7" w:rsidP="00523768">
            <w:pPr>
              <w:keepNext/>
              <w:spacing w:before="40" w:after="120"/>
              <w:ind w:right="113"/>
              <w:rPr>
                <w:lang w:val="fr-FR"/>
              </w:rPr>
            </w:pPr>
            <w:r>
              <w:rPr>
                <w:lang w:val="fr-FR"/>
              </w:rPr>
              <w:lastRenderedPageBreak/>
              <w:t>Le projet TER est axé sur le développement du réseau ferroviaire des pays participants. Des activités telles que l’évaluation des réseaux et le Plan directeur pour les trains à grande vitesse favorisent la connectivité, l’intégration et l’harmonisation.</w:t>
            </w:r>
          </w:p>
        </w:tc>
        <w:tc>
          <w:tcPr>
            <w:tcW w:w="2500" w:type="dxa"/>
            <w:shd w:val="clear" w:color="auto" w:fill="auto"/>
          </w:tcPr>
          <w:p w14:paraId="1A166432" w14:textId="1A799A3B" w:rsidR="000661F7" w:rsidRPr="00ED06D8" w:rsidRDefault="000661F7" w:rsidP="00523768">
            <w:pPr>
              <w:keepNext/>
              <w:spacing w:before="40" w:after="120"/>
              <w:ind w:right="113"/>
              <w:rPr>
                <w:lang w:val="fr-FR"/>
              </w:rPr>
            </w:pPr>
            <w:r>
              <w:rPr>
                <w:lang w:val="fr-FR"/>
              </w:rPr>
              <w:lastRenderedPageBreak/>
              <w:t>1. Poursuivre les travaux consacrés au transport intermodal de marchandises et à la logistique, conformément au programme de travail du WP.24, harmonisé avec la Stratégie.</w:t>
            </w:r>
          </w:p>
          <w:p w14:paraId="680E9583" w14:textId="77777777" w:rsidR="000661F7" w:rsidRPr="00ED06D8" w:rsidRDefault="000661F7" w:rsidP="00523768">
            <w:pPr>
              <w:keepNext/>
              <w:spacing w:before="40" w:after="120"/>
              <w:ind w:right="113"/>
              <w:rPr>
                <w:lang w:val="fr-FR"/>
              </w:rPr>
            </w:pPr>
            <w:r>
              <w:rPr>
                <w:lang w:val="fr-FR"/>
              </w:rPr>
              <w:t xml:space="preserve">2. Poursuivre les travaux consacrés au transport intermodal de passagers en milieu urbain et, au besoin, étudier la question du transport intermodal de passagers dans un contexte plus large. </w:t>
            </w:r>
          </w:p>
          <w:p w14:paraId="128ABEDD" w14:textId="0DF7FA4E" w:rsidR="000661F7" w:rsidRPr="00ED06D8" w:rsidRDefault="000661F7" w:rsidP="00523768">
            <w:pPr>
              <w:keepNext/>
              <w:spacing w:before="40" w:after="120"/>
              <w:ind w:right="113"/>
              <w:rPr>
                <w:lang w:val="fr-FR"/>
              </w:rPr>
            </w:pPr>
            <w:r>
              <w:rPr>
                <w:lang w:val="fr-FR"/>
              </w:rPr>
              <w:t xml:space="preserve">3. Poursuivre les travaux menés dans les domaines stratégiques du plan stratégique du TEM pour la période 2017-2021 (protection de l’environnement, organisation et financement des routes, gestion des infrastructures routières, innovation et sécurité routière). </w:t>
            </w:r>
          </w:p>
          <w:p w14:paraId="6FC8CE3E" w14:textId="2307DDD9" w:rsidR="000661F7" w:rsidRPr="00ED06D8" w:rsidRDefault="000661F7" w:rsidP="00523768">
            <w:pPr>
              <w:keepNext/>
              <w:spacing w:before="40" w:after="120"/>
              <w:ind w:right="113"/>
              <w:rPr>
                <w:lang w:val="fr-FR"/>
              </w:rPr>
            </w:pPr>
            <w:r>
              <w:rPr>
                <w:lang w:val="fr-FR"/>
              </w:rPr>
              <w:t>4. Dans le cadre du projet TER, poursuivre les activités destinées à faciliter l’intégration des réseaux de chemin de fer des pays participants pour développer le secteur ferroviaire de ces pays.</w:t>
            </w:r>
          </w:p>
        </w:tc>
        <w:tc>
          <w:tcPr>
            <w:tcW w:w="1667" w:type="dxa"/>
            <w:shd w:val="clear" w:color="auto" w:fill="auto"/>
          </w:tcPr>
          <w:p w14:paraId="059D15F1" w14:textId="77777777" w:rsidR="000661F7" w:rsidRPr="00ED06D8" w:rsidRDefault="000661F7" w:rsidP="00523768">
            <w:pPr>
              <w:keepNext/>
              <w:spacing w:before="40" w:after="120"/>
              <w:ind w:right="113"/>
              <w:rPr>
                <w:lang w:val="fr-FR"/>
              </w:rPr>
            </w:pPr>
            <w:r>
              <w:rPr>
                <w:lang w:val="fr-FR"/>
              </w:rPr>
              <w:t>1. Le secrétaire du WP.24</w:t>
            </w:r>
          </w:p>
          <w:p w14:paraId="765F63F0" w14:textId="77777777" w:rsidR="000661F7" w:rsidRPr="00ED06D8" w:rsidRDefault="000661F7" w:rsidP="00523768">
            <w:pPr>
              <w:keepNext/>
              <w:spacing w:before="40" w:after="120"/>
              <w:ind w:right="113"/>
              <w:rPr>
                <w:lang w:val="fr-FR"/>
              </w:rPr>
            </w:pPr>
            <w:r>
              <w:rPr>
                <w:lang w:val="fr-FR"/>
              </w:rPr>
              <w:t>2. Le secrétaire du WP.5</w:t>
            </w:r>
          </w:p>
          <w:p w14:paraId="4489E087" w14:textId="77777777" w:rsidR="000661F7" w:rsidRPr="00ED06D8" w:rsidRDefault="000661F7" w:rsidP="00523768">
            <w:pPr>
              <w:keepNext/>
              <w:spacing w:before="40" w:after="120"/>
              <w:ind w:right="113"/>
              <w:rPr>
                <w:lang w:val="fr-FR"/>
              </w:rPr>
            </w:pPr>
            <w:r>
              <w:rPr>
                <w:lang w:val="fr-FR"/>
              </w:rPr>
              <w:t xml:space="preserve">3. Le Conseiller régional </w:t>
            </w:r>
          </w:p>
          <w:p w14:paraId="78777C12" w14:textId="77777777" w:rsidR="000661F7" w:rsidRPr="00ED06D8" w:rsidRDefault="000661F7" w:rsidP="00523768">
            <w:pPr>
              <w:keepNext/>
              <w:spacing w:before="40" w:after="120"/>
              <w:ind w:right="113"/>
              <w:rPr>
                <w:lang w:val="fr-FR"/>
              </w:rPr>
            </w:pPr>
            <w:r>
              <w:rPr>
                <w:lang w:val="fr-FR"/>
              </w:rPr>
              <w:t>4. Le secrétaire du SC.2</w:t>
            </w:r>
          </w:p>
        </w:tc>
      </w:tr>
      <w:tr w:rsidR="000661F7" w:rsidRPr="0067484D" w14:paraId="727BE05F" w14:textId="77777777" w:rsidTr="0094269B">
        <w:tc>
          <w:tcPr>
            <w:tcW w:w="500" w:type="dxa"/>
            <w:shd w:val="clear" w:color="auto" w:fill="auto"/>
          </w:tcPr>
          <w:p w14:paraId="15EFE1FA" w14:textId="77777777" w:rsidR="000661F7" w:rsidRPr="0067484D" w:rsidRDefault="000661F7" w:rsidP="0094269B">
            <w:pPr>
              <w:spacing w:before="40" w:after="120"/>
              <w:ind w:right="113"/>
            </w:pPr>
            <w:r w:rsidRPr="00415767">
              <w:rPr>
                <w:lang w:val="fr-FR"/>
              </w:rPr>
              <w:t>5.21</w:t>
            </w:r>
          </w:p>
        </w:tc>
        <w:tc>
          <w:tcPr>
            <w:tcW w:w="1778" w:type="dxa"/>
            <w:shd w:val="clear" w:color="auto" w:fill="auto"/>
          </w:tcPr>
          <w:p w14:paraId="2EBCE739" w14:textId="67029924" w:rsidR="000661F7" w:rsidRPr="00ED06D8" w:rsidRDefault="000661F7" w:rsidP="0094269B">
            <w:pPr>
              <w:spacing w:before="40" w:after="120"/>
              <w:ind w:right="113"/>
              <w:rPr>
                <w:lang w:val="fr-FR"/>
              </w:rPr>
            </w:pPr>
            <w:r>
              <w:rPr>
                <w:lang w:val="fr-FR"/>
              </w:rPr>
              <w:t>Continuer d’améliorer la collecte, la validation et la diffusion des données afin de produire des statistiques précises, qui permettent de fonder sur des données factuelles la prise de décisions dans le domaine des transports (à partir de 2019)</w:t>
            </w:r>
          </w:p>
        </w:tc>
        <w:tc>
          <w:tcPr>
            <w:tcW w:w="3194" w:type="dxa"/>
            <w:shd w:val="clear" w:color="auto" w:fill="auto"/>
          </w:tcPr>
          <w:p w14:paraId="1FFF406A" w14:textId="7358ACBE" w:rsidR="000661F7" w:rsidRPr="00ED06D8" w:rsidRDefault="000661F7" w:rsidP="0094269B">
            <w:pPr>
              <w:spacing w:before="40" w:after="120"/>
              <w:ind w:right="113"/>
              <w:rPr>
                <w:lang w:val="fr-FR"/>
              </w:rPr>
            </w:pPr>
            <w:r>
              <w:rPr>
                <w:lang w:val="fr-FR"/>
              </w:rPr>
              <w:t>Grâce à la publication de la cinquième édition du Glossaire des statistiques de transport, les pays sont en mesure de produire des statistiques comparables sur la sécurité routière, la répartition entre modes de transport et l’utilisation des transports publics. Le WP.6 s’est employé à élaborer un cadre d’orientation pour la mesure de l’indicateur 9.1.2 des ODD (nombre de passagers et volume de fret transportés), et il a publié de nouvelles données sur l’utilisation des tramways et des métros, qui donnent une idée de l’indicateur 11.2.1 des ODD, et restructuré son ordre du jour autour des ODD.</w:t>
            </w:r>
          </w:p>
        </w:tc>
        <w:tc>
          <w:tcPr>
            <w:tcW w:w="2500" w:type="dxa"/>
            <w:shd w:val="clear" w:color="auto" w:fill="auto"/>
          </w:tcPr>
          <w:p w14:paraId="1E56D9A8" w14:textId="7D895A4C" w:rsidR="000661F7" w:rsidRPr="00ED06D8" w:rsidRDefault="000661F7" w:rsidP="0094269B">
            <w:pPr>
              <w:spacing w:before="40" w:after="120"/>
              <w:ind w:right="113"/>
              <w:rPr>
                <w:lang w:val="fr-FR"/>
              </w:rPr>
            </w:pPr>
            <w:r>
              <w:rPr>
                <w:lang w:val="fr-FR"/>
              </w:rPr>
              <w:t xml:space="preserve">Continuer d’améliorer la collecte, la validation et la diffusion des données afin de produire des statistiques précises. </w:t>
            </w:r>
          </w:p>
        </w:tc>
        <w:tc>
          <w:tcPr>
            <w:tcW w:w="1667" w:type="dxa"/>
            <w:shd w:val="clear" w:color="auto" w:fill="auto"/>
          </w:tcPr>
          <w:p w14:paraId="04E8CFE3" w14:textId="77777777" w:rsidR="000661F7" w:rsidRPr="0067484D" w:rsidRDefault="000661F7" w:rsidP="0094269B">
            <w:pPr>
              <w:spacing w:before="40" w:after="120"/>
              <w:ind w:right="113"/>
            </w:pPr>
            <w:r>
              <w:rPr>
                <w:lang w:val="fr-FR"/>
              </w:rPr>
              <w:t xml:space="preserve">Le secrétaire du WP.6 </w:t>
            </w:r>
          </w:p>
        </w:tc>
      </w:tr>
      <w:tr w:rsidR="000661F7" w:rsidRPr="00D466A5" w14:paraId="61305A3F" w14:textId="77777777" w:rsidTr="0094269B">
        <w:tc>
          <w:tcPr>
            <w:tcW w:w="500" w:type="dxa"/>
            <w:shd w:val="clear" w:color="auto" w:fill="auto"/>
          </w:tcPr>
          <w:p w14:paraId="155BA376" w14:textId="77777777" w:rsidR="000661F7" w:rsidRPr="0067484D" w:rsidRDefault="000661F7" w:rsidP="0094269B">
            <w:pPr>
              <w:spacing w:before="40" w:after="100" w:line="230" w:lineRule="atLeast"/>
              <w:ind w:right="113"/>
            </w:pPr>
            <w:r>
              <w:rPr>
                <w:lang w:val="fr-FR"/>
              </w:rPr>
              <w:t>5.22</w:t>
            </w:r>
          </w:p>
        </w:tc>
        <w:tc>
          <w:tcPr>
            <w:tcW w:w="1778" w:type="dxa"/>
            <w:shd w:val="clear" w:color="auto" w:fill="auto"/>
          </w:tcPr>
          <w:p w14:paraId="779A9E96" w14:textId="77777777" w:rsidR="000661F7" w:rsidRPr="00ED06D8" w:rsidRDefault="000661F7" w:rsidP="0094269B">
            <w:pPr>
              <w:spacing w:before="40" w:after="100" w:line="230" w:lineRule="atLeast"/>
              <w:ind w:right="113"/>
              <w:rPr>
                <w:lang w:val="fr-FR"/>
              </w:rPr>
            </w:pPr>
            <w:r>
              <w:rPr>
                <w:lang w:val="fr-FR"/>
              </w:rPr>
              <w:t>Assurer un appui à la connectivité et aux corridors interrégionaux de transport intérieur (à partir de 2019)</w:t>
            </w:r>
          </w:p>
        </w:tc>
        <w:tc>
          <w:tcPr>
            <w:tcW w:w="3194" w:type="dxa"/>
            <w:shd w:val="clear" w:color="auto" w:fill="auto"/>
          </w:tcPr>
          <w:p w14:paraId="01C2CD98" w14:textId="645E2F49" w:rsidR="000661F7" w:rsidRPr="00DB6C34" w:rsidRDefault="000661F7" w:rsidP="0094269B">
            <w:pPr>
              <w:spacing w:before="40" w:after="100" w:line="230" w:lineRule="atLeast"/>
              <w:ind w:right="113"/>
              <w:rPr>
                <w:lang w:val="fr-FR"/>
              </w:rPr>
            </w:pPr>
            <w:r w:rsidRPr="00DB6C34">
              <w:rPr>
                <w:lang w:val="fr-FR"/>
              </w:rPr>
              <w:t>Le WP.5 se consacre à cette tâche prioritaire. Le développement des réseaux ou des liaisons de transport est l’un des principaux volets de ses travaux. Dans ce contexte, le WP.5 réfléchit aux moyens de promouvoir plus activement la mise en service des liaisons de transport Europe-Asie. Depuis plus de vingt ans, il est l’organe de tutelle du projet LTEA, ainsi que des projets TEM et TER et d’autres projets et initiatives connexes.</w:t>
            </w:r>
          </w:p>
          <w:p w14:paraId="2955DF51" w14:textId="66D05102" w:rsidR="000661F7" w:rsidRPr="00DB6C34" w:rsidRDefault="000661F7" w:rsidP="0094269B">
            <w:pPr>
              <w:spacing w:before="40" w:after="100" w:line="230" w:lineRule="atLeast"/>
              <w:ind w:right="113"/>
              <w:rPr>
                <w:lang w:val="fr-FR"/>
              </w:rPr>
            </w:pPr>
            <w:r w:rsidRPr="00DB6C34">
              <w:rPr>
                <w:lang w:val="fr-FR"/>
              </w:rPr>
              <w:t xml:space="preserve">Le WP.5 a consulté d’autres groupes de travail concernés par ce volet. </w:t>
            </w:r>
          </w:p>
          <w:p w14:paraId="5E64E883" w14:textId="45B1AF38" w:rsidR="000661F7" w:rsidRPr="00DB6C34" w:rsidRDefault="000661F7" w:rsidP="0094269B">
            <w:pPr>
              <w:spacing w:before="40" w:after="100" w:line="230" w:lineRule="atLeast"/>
              <w:ind w:right="113"/>
              <w:rPr>
                <w:lang w:val="fr-FR"/>
              </w:rPr>
            </w:pPr>
            <w:r w:rsidRPr="00DB6C34">
              <w:rPr>
                <w:lang w:val="fr-FR"/>
              </w:rPr>
              <w:t>Dans le cadre de ces travaux et conformément aux décisions du Comité et du Bureau du Comité, les secrétariats du WP.24 et de la CESAP ont organisé un forum sur la connectivité durable des transports entre l’Europe et l’Asie à la soixante</w:t>
            </w:r>
            <w:r w:rsidRPr="00DB6C34">
              <w:rPr>
                <w:lang w:val="fr-FR"/>
              </w:rPr>
              <w:noBreakHyphen/>
              <w:t>deuxième session du WP.24 (28 octobre-1</w:t>
            </w:r>
            <w:r w:rsidRPr="00DB6C34">
              <w:rPr>
                <w:vertAlign w:val="superscript"/>
                <w:lang w:val="fr-FR"/>
              </w:rPr>
              <w:t>er</w:t>
            </w:r>
            <w:r w:rsidRPr="00DB6C34">
              <w:rPr>
                <w:lang w:val="fr-FR"/>
              </w:rPr>
              <w:t xml:space="preserve"> novembre 2019).</w:t>
            </w:r>
          </w:p>
          <w:p w14:paraId="6038E25F" w14:textId="1D346B17" w:rsidR="000661F7" w:rsidRPr="00DB6C34" w:rsidRDefault="000661F7" w:rsidP="0094269B">
            <w:pPr>
              <w:spacing w:before="40" w:after="120"/>
              <w:ind w:right="113"/>
            </w:pPr>
            <w:r w:rsidRPr="00DB6C34">
              <w:rPr>
                <w:lang w:val="fr-FR"/>
              </w:rPr>
              <w:t xml:space="preserve">Dans le cadre du WP.5, les Gouvernements azerbaïdjanais, géorgien, kazakh, turc et ukrainien ont décidé d’élaborer et d’expérimenter un mécanisme de </w:t>
            </w:r>
            <w:r w:rsidRPr="00DB6C34">
              <w:rPr>
                <w:lang w:val="fr-FR"/>
              </w:rPr>
              <w:lastRenderedPageBreak/>
              <w:t>gestion de la coordination du couloir de la route 3 des liaisons de transport Europe-Asie et un mécanisme d’évaluation de ce couloir. À sa trente-quatrième session (septembre 2021), le WP.5 s’est félicité de cette initiative et a demandé au secrétariat de continuer à la soutenir et de lui rendre compte à sa session suivante des progrès réalisés en la matière.</w:t>
            </w:r>
          </w:p>
          <w:p w14:paraId="01514F3A" w14:textId="04D96A6B" w:rsidR="000661F7" w:rsidRPr="00DB6C34" w:rsidRDefault="000661F7" w:rsidP="0094269B">
            <w:pPr>
              <w:spacing w:before="40" w:after="120"/>
              <w:ind w:right="113"/>
            </w:pPr>
            <w:r w:rsidRPr="00DB6C34">
              <w:rPr>
                <w:lang w:val="fr-FR"/>
              </w:rPr>
              <w:t xml:space="preserve">Le WP.24 soutient les travaux de mise en service des couloirs de transport Europe-Asie en s’appuyant sur l’adhésion à l’AGTC et en renforçant son application. </w:t>
            </w:r>
          </w:p>
          <w:p w14:paraId="27590916" w14:textId="4D16D207" w:rsidR="000661F7" w:rsidRPr="00DB6C34" w:rsidRDefault="000661F7" w:rsidP="0094269B">
            <w:pPr>
              <w:spacing w:before="40" w:after="120"/>
              <w:ind w:right="113"/>
            </w:pPr>
            <w:r w:rsidRPr="00DB6C34">
              <w:rPr>
                <w:lang w:val="fr-FR"/>
              </w:rPr>
              <w:t>À sa trente-quatrième session (septembre 2021), le WP.5 s’est félicité des consultations interrégionales menées sur la connectivité durable des transports. Le WP.5 a invité le secrétariat à continuer à organiser et à faciliter de telles consultations sur des sujets ciblés d’intérêt interrégional, en coopération, si possible, avec les autres commissions régionales des Nations Unies ainsi qu’avec d’autres organisations régionales et interrégionales et projets pertinents.</w:t>
            </w:r>
            <w:r w:rsidRPr="00DB6C34">
              <w:rPr>
                <w:b/>
                <w:bCs/>
                <w:lang w:val="fr-FR"/>
              </w:rPr>
              <w:t xml:space="preserve"> Dans le cadre de ce mandat, le secrétariat du WP.5, conjointement avec le secrétariat de l’Organisation de coopération économique (OCE), a organisé, en marge de la trente</w:t>
            </w:r>
            <w:r w:rsidR="00DB6C34">
              <w:rPr>
                <w:b/>
                <w:bCs/>
                <w:lang w:val="fr-FR"/>
              </w:rPr>
              <w:noBreakHyphen/>
            </w:r>
            <w:r w:rsidRPr="00DB6C34">
              <w:rPr>
                <w:b/>
                <w:bCs/>
                <w:lang w:val="fr-FR"/>
              </w:rPr>
              <w:t>cinquième session annuelle du WP.5, une table ronde d’experts à propos de la capacité ferroviaire fonctionnelle des couloirs Transcaspien et Almaty-Istanbul, et notamment de la disponibilité d’horaires et de tarifs fiables convenus à l’échelle du couloir, ainsi que de l’efficacité des points de passage frontaliers en cours de route.</w:t>
            </w:r>
            <w:r w:rsidRPr="00DB6C34">
              <w:rPr>
                <w:b/>
                <w:bCs/>
              </w:rPr>
              <w:t xml:space="preserve"> </w:t>
            </w:r>
            <w:r w:rsidRPr="00DB6C34">
              <w:rPr>
                <w:b/>
                <w:bCs/>
                <w:lang w:val="fr-FR"/>
              </w:rPr>
              <w:t>Cette table ronde a réuni de hauts responsables des chemins de fer, des transports et des douanes des pays des deux couloirs, à savoir l’Azerbaïdjan, la Géorgie, l’Iran (République islamique d’), le Kazakhstan, l’Ouzbékistan et la Türkiye</w:t>
            </w:r>
            <w:r w:rsidRPr="00D1519C">
              <w:rPr>
                <w:b/>
                <w:bCs/>
                <w:lang w:val="fr-FR"/>
              </w:rPr>
              <w:t>. Sur la base du document</w:t>
            </w:r>
            <w:r w:rsidRPr="00DB6C34">
              <w:rPr>
                <w:b/>
                <w:bCs/>
                <w:lang w:val="fr-FR"/>
              </w:rPr>
              <w:t xml:space="preserve"> ECE/TRANS/WP.5/2022/1, établi par le secrétariat, la table ronde a </w:t>
            </w:r>
            <w:r w:rsidRPr="00DB6C34">
              <w:rPr>
                <w:b/>
                <w:bCs/>
                <w:lang w:val="fr-FR"/>
              </w:rPr>
              <w:lastRenderedPageBreak/>
              <w:t>débouché sur une liste de mesures prioritaires concernant l’harmonisation des tarifs, des services et des horaires, ainsi que les difficultés physiques et non physiques et les goulets d’étranglement déjà répertoriés. Ce</w:t>
            </w:r>
            <w:r w:rsidR="00D1519C">
              <w:rPr>
                <w:b/>
                <w:bCs/>
                <w:lang w:val="fr-FR"/>
              </w:rPr>
              <w:t> </w:t>
            </w:r>
            <w:r w:rsidRPr="00DB6C34">
              <w:rPr>
                <w:b/>
                <w:bCs/>
                <w:lang w:val="fr-FR"/>
              </w:rPr>
              <w:t>document présente des données et des informations sur les couloirs recueillies par un réseau de correspondants nationaux dans le domaine des chemins de fer, des transports et des douanes. Il donne un aperçu de l’évolution du commerce et des transports entre l’Europe et l’Asie et ses incidences sur les couloirs Transcaspien et Almaty-Istanbul. Le WP.5 a pris note avec satisfaction des échanges approfondis qui ont eu lieu lors de la table ronde organisée par les secrétariats de la CEE et de l’ECO pour étudier la capacité ferroviaire fonctionnelle des couloirs Transcaspien et Almaty-Istanbul. Il</w:t>
            </w:r>
            <w:r w:rsidR="00D1519C">
              <w:rPr>
                <w:b/>
                <w:bCs/>
                <w:lang w:val="fr-FR"/>
              </w:rPr>
              <w:t> </w:t>
            </w:r>
            <w:r w:rsidRPr="00DB6C34">
              <w:rPr>
                <w:b/>
                <w:bCs/>
                <w:lang w:val="fr-FR"/>
              </w:rPr>
              <w:t>a accueilli favorablement la demande des compagnies ferroviaires participantes et des administrations douanières des pays situés sur les deux couloirs de créer un comité de coordination qui se réunirait périodiquement sous la forme d’un groupe d’amis de la Présidence du WP.5, avec le concours du secrétariat de l’OCE, pour échanger des vues et des informations sur les questions suivantes, entre autres : les questions d’interopérabilité technique en suspens, l’établissement d’un calendrier et de tarifs unifiés pour les deux couloirs ; l’élaboration d’un plan de promotion des couloirs qui pourrait servir de base pour susciter un plus grand intérêt de la part des transporteurs et des transitaires du secteur privé, ainsi que pour stimuler les initiatives de numérisation des documents de transport et de douane. Le WP.5 a demandé aux pays concernés et au secrétariat d’établir un rapport actualisé avant sa session annuelle suivante.</w:t>
            </w:r>
          </w:p>
          <w:p w14:paraId="1DBE607F" w14:textId="3FB54E8B" w:rsidR="000661F7" w:rsidRPr="00DB6C34" w:rsidRDefault="000661F7" w:rsidP="0094269B">
            <w:pPr>
              <w:spacing w:before="40" w:after="100" w:line="230" w:lineRule="atLeast"/>
              <w:ind w:right="113"/>
              <w:rPr>
                <w:lang w:val="fr-FR"/>
              </w:rPr>
            </w:pPr>
            <w:r w:rsidRPr="00DB6C34">
              <w:rPr>
                <w:lang w:val="fr-FR"/>
              </w:rPr>
              <w:lastRenderedPageBreak/>
              <w:t xml:space="preserve">À sa trente-quatrième session, le WP.5 a décidé de créer un groupe d’experts chargé d’élaborer un module consacré aux infrastructures destinées au cyclisme et adopté le mandat et le cahier des charges proposés, </w:t>
            </w:r>
            <w:r w:rsidRPr="00DB6C34">
              <w:rPr>
                <w:b/>
                <w:bCs/>
                <w:lang w:val="fr-FR"/>
              </w:rPr>
              <w:t>que le Comité a approuvés à sa quatre-vingt-quatrième session (février 2022),</w:t>
            </w:r>
            <w:r w:rsidRPr="00DB6C34">
              <w:rPr>
                <w:lang w:val="fr-FR"/>
              </w:rPr>
              <w:t xml:space="preserve"> </w:t>
            </w:r>
            <w:r w:rsidRPr="00DB6C34">
              <w:rPr>
                <w:b/>
                <w:bCs/>
                <w:lang w:val="fr-FR"/>
              </w:rPr>
              <w:t xml:space="preserve">Le Groupe d’experts </w:t>
            </w:r>
            <w:r w:rsidRPr="00DB6C34">
              <w:rPr>
                <w:strike/>
                <w:lang w:val="fr-FR"/>
              </w:rPr>
              <w:t xml:space="preserve">devrait commencer </w:t>
            </w:r>
            <w:r w:rsidRPr="00DB6C34">
              <w:rPr>
                <w:b/>
                <w:bCs/>
                <w:lang w:val="fr-FR"/>
              </w:rPr>
              <w:t xml:space="preserve">a commencé en mai 2022 ses travaux visant à </w:t>
            </w:r>
            <w:r w:rsidRPr="00DB6C34">
              <w:rPr>
                <w:lang w:val="fr-FR"/>
              </w:rPr>
              <w:t>établir un réseau cyclable à l’échelle de la CEE et à en définir les normes minimales. Ces travaux visent à favoriser une mobilité cycliste sans discontinuité dans la région de la CEE.</w:t>
            </w:r>
          </w:p>
        </w:tc>
        <w:tc>
          <w:tcPr>
            <w:tcW w:w="2500" w:type="dxa"/>
            <w:shd w:val="clear" w:color="auto" w:fill="auto"/>
          </w:tcPr>
          <w:p w14:paraId="2B889C67" w14:textId="072E7386" w:rsidR="000661F7" w:rsidRPr="00DB6C34" w:rsidRDefault="000661F7" w:rsidP="0094269B">
            <w:pPr>
              <w:spacing w:before="40" w:after="100" w:line="230" w:lineRule="atLeast"/>
              <w:ind w:right="113"/>
              <w:rPr>
                <w:spacing w:val="-2"/>
                <w:lang w:val="fr-FR"/>
              </w:rPr>
            </w:pPr>
            <w:r w:rsidRPr="00DB6C34">
              <w:rPr>
                <w:lang w:val="fr-FR"/>
              </w:rPr>
              <w:lastRenderedPageBreak/>
              <w:t>1</w:t>
            </w:r>
            <w:r w:rsidRPr="00DB6C34">
              <w:rPr>
                <w:spacing w:val="-2"/>
                <w:lang w:val="fr-FR"/>
              </w:rPr>
              <w:t xml:space="preserve">. Poursuivre et renforcer le dialogue en organisant des tables rondes sur la connectivité interrégionale des transports dans le cadre du WP.5 et du WP.24, conformément aux orientations du Comité sur la recherche d’idées en matière de connectivité interrégionale. </w:t>
            </w:r>
          </w:p>
          <w:p w14:paraId="32E4D65A" w14:textId="6958B24B" w:rsidR="000661F7" w:rsidRPr="00DB6C34" w:rsidRDefault="000661F7" w:rsidP="0094269B">
            <w:pPr>
              <w:spacing w:before="40" w:after="100" w:line="230" w:lineRule="atLeast"/>
              <w:ind w:right="113"/>
              <w:rPr>
                <w:strike/>
                <w:spacing w:val="-2"/>
                <w:lang w:val="fr-FR"/>
              </w:rPr>
            </w:pPr>
            <w:r w:rsidRPr="00DB6C34">
              <w:rPr>
                <w:spacing w:val="-2"/>
                <w:lang w:val="fr-FR"/>
              </w:rPr>
              <w:t>2. Promouvoir plus activement la mise en service des liaisons de transport Europe-Asie et d’autres corridors de transport sur la base d’idées et de propositions concrètes, soumises par les pays concernés.</w:t>
            </w:r>
          </w:p>
          <w:p w14:paraId="0FFFFC00" w14:textId="439AE9C4" w:rsidR="000661F7" w:rsidRPr="00DB6C34" w:rsidRDefault="000661F7" w:rsidP="0094269B">
            <w:pPr>
              <w:spacing w:before="40" w:after="100" w:line="230" w:lineRule="atLeast"/>
              <w:ind w:right="113"/>
              <w:rPr>
                <w:lang w:val="fr-FR"/>
              </w:rPr>
            </w:pPr>
            <w:r w:rsidRPr="00DB6C34">
              <w:rPr>
                <w:spacing w:val="-2"/>
                <w:lang w:val="fr-FR"/>
              </w:rPr>
              <w:t>3. Continuer d’élaborer des publications, de mener des études et d’organiser des activités ciblées de renforcement des capacités à l’appui des travaux sur la connectivité.</w:t>
            </w:r>
          </w:p>
        </w:tc>
        <w:tc>
          <w:tcPr>
            <w:tcW w:w="1667" w:type="dxa"/>
            <w:shd w:val="clear" w:color="auto" w:fill="auto"/>
          </w:tcPr>
          <w:p w14:paraId="6A7337CB" w14:textId="77777777" w:rsidR="000661F7" w:rsidRPr="00ED06D8" w:rsidRDefault="000661F7" w:rsidP="0094269B">
            <w:pPr>
              <w:spacing w:before="40" w:after="100" w:line="230" w:lineRule="atLeast"/>
              <w:ind w:right="113"/>
              <w:rPr>
                <w:lang w:val="fr-FR"/>
              </w:rPr>
            </w:pPr>
            <w:r>
              <w:rPr>
                <w:lang w:val="fr-FR"/>
              </w:rPr>
              <w:t>1-3. Les secrétaires du WP.5 et du WP.24, en collaboration avec ceux des autres groupes de travail concernés</w:t>
            </w:r>
          </w:p>
        </w:tc>
      </w:tr>
      <w:tr w:rsidR="000661F7" w:rsidRPr="0067484D" w14:paraId="3C71DC8B" w14:textId="77777777" w:rsidTr="0094269B">
        <w:tc>
          <w:tcPr>
            <w:tcW w:w="500" w:type="dxa"/>
            <w:shd w:val="clear" w:color="auto" w:fill="auto"/>
          </w:tcPr>
          <w:p w14:paraId="17030FD6" w14:textId="77777777" w:rsidR="000661F7" w:rsidRPr="0067484D" w:rsidRDefault="000661F7" w:rsidP="0094269B">
            <w:pPr>
              <w:spacing w:before="40" w:after="100" w:line="230" w:lineRule="atLeast"/>
              <w:ind w:right="113"/>
            </w:pPr>
            <w:r>
              <w:rPr>
                <w:lang w:val="fr-FR"/>
              </w:rPr>
              <w:lastRenderedPageBreak/>
              <w:t>5.23</w:t>
            </w:r>
          </w:p>
        </w:tc>
        <w:tc>
          <w:tcPr>
            <w:tcW w:w="1778" w:type="dxa"/>
            <w:shd w:val="clear" w:color="auto" w:fill="auto"/>
          </w:tcPr>
          <w:p w14:paraId="6B833C43" w14:textId="4FC581FA" w:rsidR="000661F7" w:rsidRPr="00ED06D8" w:rsidRDefault="000661F7" w:rsidP="0094269B">
            <w:pPr>
              <w:spacing w:before="40" w:after="100" w:line="230" w:lineRule="atLeast"/>
              <w:ind w:right="113"/>
              <w:rPr>
                <w:lang w:val="fr-FR"/>
              </w:rPr>
            </w:pPr>
            <w:r>
              <w:rPr>
                <w:lang w:val="fr-FR"/>
              </w:rPr>
              <w:t>Promouvoir les transports et la mobilité urbaine durables au moyen de nouveaux outils et de nouvelles activités (à partir de 2019) (Programme paneuropéen sur les transports, la santé et l’environnement (PPE-TSE), poursuite du développement du module sur les polluants locaux du modèle ForFITS et examens relatifs aux transports et à la mobilité durables)</w:t>
            </w:r>
          </w:p>
        </w:tc>
        <w:tc>
          <w:tcPr>
            <w:tcW w:w="3194" w:type="dxa"/>
            <w:shd w:val="clear" w:color="auto" w:fill="auto"/>
          </w:tcPr>
          <w:p w14:paraId="24ABC709" w14:textId="6AF5C88F" w:rsidR="000661F7" w:rsidRDefault="000661F7" w:rsidP="0094269B">
            <w:pPr>
              <w:spacing w:before="40" w:after="120"/>
              <w:ind w:right="113"/>
            </w:pPr>
            <w:r>
              <w:rPr>
                <w:lang w:val="fr-FR"/>
              </w:rPr>
              <w:t>Pour harmoniser son programme de travail avec la Stratégie, le WP.5 y a ajouté un volet sur la mobilité urbaine durable. Dans ce contexte, il mène des travaux sur les transports et la mobilité urbaine durables. Il a notamment élaboré un manuel sur la mobilité urbaine et l’urbanisme durables</w:t>
            </w:r>
            <w:r w:rsidRPr="00DD0B2B">
              <w:rPr>
                <w:lang w:val="fr-FR"/>
              </w:rPr>
              <w:t xml:space="preserve"> </w:t>
            </w:r>
            <w:r w:rsidRPr="00D0599B">
              <w:rPr>
                <w:lang w:val="fr-FR"/>
              </w:rPr>
              <w:t>(voir aussi la tâche 5.20)</w:t>
            </w:r>
            <w:r w:rsidRPr="00DD0B2B">
              <w:rPr>
                <w:lang w:val="fr-FR"/>
              </w:rPr>
              <w:t>.</w:t>
            </w:r>
          </w:p>
          <w:p w14:paraId="6CFF5EF0" w14:textId="7B8960DB" w:rsidR="000661F7" w:rsidRDefault="000661F7" w:rsidP="0094269B">
            <w:pPr>
              <w:spacing w:before="40" w:after="120"/>
              <w:ind w:right="113"/>
              <w:rPr>
                <w:lang w:val="fr-FR"/>
              </w:rPr>
            </w:pPr>
            <w:r w:rsidRPr="00D0599B">
              <w:rPr>
                <w:lang w:val="fr-FR"/>
              </w:rPr>
              <w:t xml:space="preserve">Un atelier sur les transports </w:t>
            </w:r>
            <w:r w:rsidRPr="00D0599B">
              <w:rPr>
                <w:spacing w:val="-2"/>
                <w:lang w:val="fr-FR"/>
              </w:rPr>
              <w:t>urbains écologiques a été organisé dans le cadre de la trente-quatrième session du WP.5.</w:t>
            </w:r>
            <w:r w:rsidRPr="00DD0B2B">
              <w:rPr>
                <w:lang w:val="fr-FR"/>
              </w:rPr>
              <w:t xml:space="preserve"> </w:t>
            </w:r>
            <w:r w:rsidRPr="00D0599B">
              <w:rPr>
                <w:lang w:val="fr-FR"/>
              </w:rPr>
              <w:t>Les participants à l</w:t>
            </w:r>
            <w:r>
              <w:rPr>
                <w:lang w:val="fr-FR"/>
              </w:rPr>
              <w:t>’</w:t>
            </w:r>
            <w:r w:rsidRPr="00D0599B">
              <w:rPr>
                <w:lang w:val="fr-FR"/>
              </w:rPr>
              <w:t>atelier ont souligné l</w:t>
            </w:r>
            <w:r>
              <w:rPr>
                <w:lang w:val="fr-FR"/>
              </w:rPr>
              <w:t>’</w:t>
            </w:r>
            <w:r w:rsidRPr="00D0599B">
              <w:rPr>
                <w:lang w:val="fr-FR"/>
              </w:rPr>
              <w:t>importance de la mise au point d</w:t>
            </w:r>
            <w:r>
              <w:rPr>
                <w:lang w:val="fr-FR"/>
              </w:rPr>
              <w:t>’</w:t>
            </w:r>
            <w:r w:rsidRPr="00D0599B">
              <w:rPr>
                <w:lang w:val="fr-FR"/>
              </w:rPr>
              <w:t>un cadre réglementaire solide aux niveaux national et local concernant la mobilité urbaine et ses incidences sur la santé et l</w:t>
            </w:r>
            <w:r>
              <w:rPr>
                <w:lang w:val="fr-FR"/>
              </w:rPr>
              <w:t>’</w:t>
            </w:r>
            <w:r w:rsidRPr="00D0599B">
              <w:rPr>
                <w:lang w:val="fr-FR"/>
              </w:rPr>
              <w:t>environnement.</w:t>
            </w:r>
            <w:r w:rsidRPr="00DD0B2B">
              <w:rPr>
                <w:lang w:val="fr-FR"/>
              </w:rPr>
              <w:t xml:space="preserve"> </w:t>
            </w:r>
          </w:p>
          <w:p w14:paraId="1BE9FFA5" w14:textId="0B9D4429" w:rsidR="000661F7" w:rsidRPr="00DD0B2B" w:rsidRDefault="000661F7" w:rsidP="0094269B">
            <w:pPr>
              <w:spacing w:before="40" w:after="120"/>
              <w:ind w:right="113"/>
              <w:rPr>
                <w:b/>
                <w:bCs/>
              </w:rPr>
            </w:pPr>
            <w:r w:rsidRPr="00DD0B2B">
              <w:rPr>
                <w:b/>
                <w:bCs/>
              </w:rPr>
              <w:t>Un atelier interrégional sur l</w:t>
            </w:r>
            <w:r>
              <w:rPr>
                <w:b/>
                <w:bCs/>
              </w:rPr>
              <w:t>’</w:t>
            </w:r>
            <w:r w:rsidRPr="00DD0B2B">
              <w:rPr>
                <w:b/>
                <w:bCs/>
              </w:rPr>
              <w:t>électrification de la mobilité urbain</w:t>
            </w:r>
            <w:r>
              <w:rPr>
                <w:b/>
                <w:bCs/>
              </w:rPr>
              <w:t>e</w:t>
            </w:r>
            <w:r>
              <w:rPr>
                <w:b/>
                <w:bCs/>
                <w:lang w:val="fr-FR"/>
              </w:rPr>
              <w:t xml:space="preserve"> et ses promesses et défis </w:t>
            </w:r>
            <w:r w:rsidRPr="00D952BE">
              <w:rPr>
                <w:b/>
                <w:bCs/>
                <w:lang w:val="fr-FR"/>
              </w:rPr>
              <w:t>pour les transports, l</w:t>
            </w:r>
            <w:r>
              <w:rPr>
                <w:b/>
                <w:bCs/>
                <w:lang w:val="fr-FR"/>
              </w:rPr>
              <w:t>’</w:t>
            </w:r>
            <w:r w:rsidRPr="00D952BE">
              <w:rPr>
                <w:b/>
                <w:bCs/>
                <w:lang w:val="fr-FR"/>
              </w:rPr>
              <w:t>énergie et l</w:t>
            </w:r>
            <w:r>
              <w:rPr>
                <w:b/>
                <w:bCs/>
                <w:lang w:val="fr-FR"/>
              </w:rPr>
              <w:t>’</w:t>
            </w:r>
            <w:r w:rsidRPr="00D952BE">
              <w:rPr>
                <w:b/>
                <w:bCs/>
                <w:lang w:val="fr-FR"/>
              </w:rPr>
              <w:t>aménagement du territoire</w:t>
            </w:r>
            <w:r>
              <w:rPr>
                <w:b/>
                <w:bCs/>
              </w:rPr>
              <w:t xml:space="preserve"> </w:t>
            </w:r>
            <w:r w:rsidRPr="00DD0B2B">
              <w:rPr>
                <w:b/>
                <w:bCs/>
              </w:rPr>
              <w:t>pour les transports, l</w:t>
            </w:r>
            <w:r>
              <w:rPr>
                <w:b/>
                <w:bCs/>
              </w:rPr>
              <w:t>’</w:t>
            </w:r>
            <w:r w:rsidRPr="00DD0B2B">
              <w:rPr>
                <w:b/>
                <w:bCs/>
              </w:rPr>
              <w:t>énergie et l</w:t>
            </w:r>
            <w:r>
              <w:rPr>
                <w:b/>
                <w:bCs/>
              </w:rPr>
              <w:t>’</w:t>
            </w:r>
            <w:r w:rsidRPr="00DD0B2B">
              <w:rPr>
                <w:b/>
                <w:bCs/>
              </w:rPr>
              <w:t>aménagement du territoire a été organisé en marge de la trente</w:t>
            </w:r>
            <w:r w:rsidR="00D1519C">
              <w:rPr>
                <w:b/>
                <w:bCs/>
              </w:rPr>
              <w:noBreakHyphen/>
            </w:r>
            <w:r w:rsidRPr="00DD0B2B">
              <w:rPr>
                <w:b/>
                <w:bCs/>
              </w:rPr>
              <w:t>cinquième session annuelle du WP.5.</w:t>
            </w:r>
          </w:p>
          <w:p w14:paraId="7B012A7D" w14:textId="09B5074B" w:rsidR="000661F7" w:rsidRPr="00ED06D8" w:rsidRDefault="000661F7" w:rsidP="0094269B">
            <w:pPr>
              <w:spacing w:before="40" w:after="100" w:line="230" w:lineRule="atLeast"/>
              <w:ind w:right="113"/>
              <w:rPr>
                <w:lang w:val="fr-FR"/>
              </w:rPr>
            </w:pPr>
            <w:r>
              <w:rPr>
                <w:lang w:val="fr-FR"/>
              </w:rPr>
              <w:t>Le PPE-TSE (qui n’est pas un organe subsidiaire du Comité) se concentre sur des aspects particuliers de la mobilité urbaine, conformément à son mandat.</w:t>
            </w:r>
          </w:p>
          <w:p w14:paraId="76C7FD89" w14:textId="7E2D00DC" w:rsidR="000661F7" w:rsidRPr="00ED06D8" w:rsidRDefault="000661F7" w:rsidP="0094269B">
            <w:pPr>
              <w:spacing w:before="40" w:after="100" w:line="230" w:lineRule="atLeast"/>
              <w:ind w:right="113"/>
              <w:rPr>
                <w:lang w:val="fr-FR"/>
              </w:rPr>
            </w:pPr>
            <w:r>
              <w:rPr>
                <w:lang w:val="fr-FR"/>
              </w:rPr>
              <w:lastRenderedPageBreak/>
              <w:t>Des activités interdivisions sur l’économie circulaire et les transports durables sont en cours.</w:t>
            </w:r>
          </w:p>
          <w:p w14:paraId="715661FC" w14:textId="30CEFFE9" w:rsidR="000661F7" w:rsidRDefault="000661F7" w:rsidP="0094269B">
            <w:pPr>
              <w:spacing w:before="40" w:after="100" w:line="230" w:lineRule="atLeast"/>
              <w:ind w:right="113"/>
              <w:rPr>
                <w:lang w:val="fr-FR"/>
              </w:rPr>
            </w:pPr>
            <w:r>
              <w:rPr>
                <w:lang w:val="fr-FR"/>
              </w:rPr>
              <w:t>Le secrétariat applique les recommandations formulées à l’issue de l’évaluation du modèle ForFITS au cours de la période 2014-2018. Il</w:t>
            </w:r>
            <w:r w:rsidR="00D1519C">
              <w:rPr>
                <w:lang w:val="fr-FR"/>
              </w:rPr>
              <w:t> </w:t>
            </w:r>
            <w:r>
              <w:rPr>
                <w:lang w:val="fr-FR"/>
              </w:rPr>
              <w:t>s’efforce de trouver des possibilités d’interaction avec les groupes et outils existants de modélisation pour accroître les capacités de modélisation du modèle ForFITS à moindre coût tout en veillant à la cohérence des résultats entre les différents outils.</w:t>
            </w:r>
          </w:p>
          <w:p w14:paraId="19F9EC12" w14:textId="67182976" w:rsidR="000661F7" w:rsidRPr="00D0599B" w:rsidRDefault="000661F7" w:rsidP="0094269B">
            <w:pPr>
              <w:spacing w:before="40" w:after="100" w:line="230" w:lineRule="atLeast"/>
              <w:ind w:right="113"/>
              <w:rPr>
                <w:b/>
                <w:bCs/>
                <w:lang w:val="fr-FR"/>
              </w:rPr>
            </w:pPr>
            <w:r w:rsidRPr="00EE1DDE">
              <w:rPr>
                <w:b/>
                <w:bCs/>
                <w:lang w:val="fr-FR"/>
              </w:rPr>
              <w:t>Un atelier a été organisé dans le cadre du projet d</w:t>
            </w:r>
            <w:r>
              <w:rPr>
                <w:b/>
                <w:bCs/>
                <w:lang w:val="fr-FR"/>
              </w:rPr>
              <w:t>’</w:t>
            </w:r>
            <w:r w:rsidRPr="00EE1DDE">
              <w:rPr>
                <w:b/>
                <w:bCs/>
                <w:lang w:val="fr-FR"/>
              </w:rPr>
              <w:t>autopartage et de covoiturage pour présenter l</w:t>
            </w:r>
            <w:r>
              <w:rPr>
                <w:b/>
                <w:bCs/>
                <w:lang w:val="fr-FR"/>
              </w:rPr>
              <w:t>’</w:t>
            </w:r>
            <w:r w:rsidRPr="00EE1DDE">
              <w:rPr>
                <w:b/>
                <w:bCs/>
                <w:lang w:val="fr-FR"/>
              </w:rPr>
              <w:t>étude préliminaire sur ce secteur aux pays d</w:t>
            </w:r>
            <w:r>
              <w:rPr>
                <w:b/>
                <w:bCs/>
                <w:lang w:val="fr-FR"/>
              </w:rPr>
              <w:t>’</w:t>
            </w:r>
            <w:r w:rsidRPr="00EE1DDE">
              <w:rPr>
                <w:b/>
                <w:bCs/>
                <w:lang w:val="fr-FR"/>
              </w:rPr>
              <w:t xml:space="preserve">Asie centrale. </w:t>
            </w:r>
            <w:r>
              <w:rPr>
                <w:b/>
                <w:bCs/>
                <w:lang w:val="fr-FR"/>
              </w:rPr>
              <w:t>C</w:t>
            </w:r>
            <w:r w:rsidRPr="00EE1DDE">
              <w:rPr>
                <w:b/>
                <w:bCs/>
                <w:lang w:val="fr-FR"/>
              </w:rPr>
              <w:t xml:space="preserve">e projet </w:t>
            </w:r>
            <w:r>
              <w:rPr>
                <w:b/>
                <w:bCs/>
                <w:lang w:val="fr-FR"/>
              </w:rPr>
              <w:t>met actuellement l’accent sur des activités de conseil</w:t>
            </w:r>
            <w:r w:rsidRPr="00EE1DDE">
              <w:rPr>
                <w:b/>
                <w:bCs/>
                <w:lang w:val="fr-FR"/>
              </w:rPr>
              <w:t xml:space="preserve"> </w:t>
            </w:r>
            <w:r>
              <w:rPr>
                <w:b/>
                <w:bCs/>
                <w:lang w:val="fr-FR"/>
              </w:rPr>
              <w:t>relatives à</w:t>
            </w:r>
            <w:r w:rsidRPr="00EE1DDE">
              <w:rPr>
                <w:b/>
                <w:bCs/>
                <w:lang w:val="fr-FR"/>
              </w:rPr>
              <w:t xml:space="preserve"> </w:t>
            </w:r>
            <w:r>
              <w:rPr>
                <w:b/>
                <w:bCs/>
                <w:lang w:val="fr-FR"/>
              </w:rPr>
              <w:t>ce que pourrait être le cadre juridique autorisant</w:t>
            </w:r>
            <w:r w:rsidRPr="00EE1DDE">
              <w:rPr>
                <w:b/>
                <w:bCs/>
                <w:lang w:val="fr-FR"/>
              </w:rPr>
              <w:t xml:space="preserve"> les initiatives d</w:t>
            </w:r>
            <w:r>
              <w:rPr>
                <w:b/>
                <w:bCs/>
                <w:lang w:val="fr-FR"/>
              </w:rPr>
              <w:t>’</w:t>
            </w:r>
            <w:r w:rsidRPr="00EE1DDE">
              <w:rPr>
                <w:b/>
                <w:bCs/>
                <w:lang w:val="fr-FR"/>
              </w:rPr>
              <w:t>autopartage et de covoiturage dans trois États d</w:t>
            </w:r>
            <w:r>
              <w:rPr>
                <w:b/>
                <w:bCs/>
                <w:lang w:val="fr-FR"/>
              </w:rPr>
              <w:t>’</w:t>
            </w:r>
            <w:r w:rsidRPr="00EE1DDE">
              <w:rPr>
                <w:b/>
                <w:bCs/>
                <w:lang w:val="fr-FR"/>
              </w:rPr>
              <w:t>Asie centrale qui sont membres de la CEE.</w:t>
            </w:r>
          </w:p>
        </w:tc>
        <w:tc>
          <w:tcPr>
            <w:tcW w:w="2500" w:type="dxa"/>
            <w:shd w:val="clear" w:color="auto" w:fill="auto"/>
          </w:tcPr>
          <w:p w14:paraId="23E23B31" w14:textId="77777777" w:rsidR="000661F7" w:rsidRPr="00ED06D8" w:rsidRDefault="000661F7" w:rsidP="0094269B">
            <w:pPr>
              <w:spacing w:before="40" w:after="100" w:line="230" w:lineRule="atLeast"/>
              <w:ind w:right="113"/>
              <w:rPr>
                <w:lang w:val="fr-FR"/>
              </w:rPr>
            </w:pPr>
            <w:r>
              <w:rPr>
                <w:lang w:val="fr-FR"/>
              </w:rPr>
              <w:lastRenderedPageBreak/>
              <w:t>1. Poursuivre les travaux sur les transports et la mobilité urbaine durables.</w:t>
            </w:r>
          </w:p>
          <w:p w14:paraId="390599AC" w14:textId="3FABB2DA" w:rsidR="000661F7" w:rsidRPr="00ED06D8" w:rsidRDefault="000661F7" w:rsidP="0094269B">
            <w:pPr>
              <w:spacing w:before="40" w:after="100" w:line="230" w:lineRule="atLeast"/>
              <w:ind w:right="113"/>
              <w:rPr>
                <w:lang w:val="fr-FR"/>
              </w:rPr>
            </w:pPr>
            <w:r>
              <w:rPr>
                <w:lang w:val="fr-FR"/>
              </w:rPr>
              <w:t>2. Continuer d’appliquer le modèle ForFITS.</w:t>
            </w:r>
          </w:p>
          <w:p w14:paraId="26E53147" w14:textId="77777777" w:rsidR="000661F7" w:rsidRPr="00ED06D8" w:rsidRDefault="000661F7" w:rsidP="0094269B">
            <w:pPr>
              <w:spacing w:before="40" w:after="100" w:line="230" w:lineRule="atLeast"/>
              <w:ind w:right="113"/>
              <w:rPr>
                <w:lang w:val="fr-FR"/>
              </w:rPr>
            </w:pPr>
            <w:r>
              <w:rPr>
                <w:lang w:val="fr-FR"/>
              </w:rPr>
              <w:t>3. Continuer de prêter assistance au PPE-TSE.</w:t>
            </w:r>
          </w:p>
          <w:p w14:paraId="41A049CF" w14:textId="4C7CA7B2" w:rsidR="000661F7" w:rsidRPr="00ED06D8" w:rsidRDefault="000661F7" w:rsidP="0094269B">
            <w:pPr>
              <w:spacing w:before="40" w:after="100" w:line="230" w:lineRule="atLeast"/>
              <w:ind w:right="113"/>
              <w:rPr>
                <w:lang w:val="fr-FR"/>
              </w:rPr>
            </w:pPr>
            <w:r>
              <w:rPr>
                <w:lang w:val="fr-FR"/>
              </w:rPr>
              <w:t>4. Faire annuellement rapport au Comité sur les aspects du transport liés à l’économie circulaire et sur les transports durables.</w:t>
            </w:r>
          </w:p>
          <w:p w14:paraId="3D3C5BF2" w14:textId="077B11A8" w:rsidR="000661F7" w:rsidRPr="00ED06D8" w:rsidRDefault="000661F7" w:rsidP="0094269B">
            <w:pPr>
              <w:spacing w:before="40" w:after="100" w:line="230" w:lineRule="atLeast"/>
              <w:ind w:right="113"/>
              <w:rPr>
                <w:lang w:val="fr-FR"/>
              </w:rPr>
            </w:pPr>
            <w:r>
              <w:rPr>
                <w:lang w:val="fr-FR"/>
              </w:rPr>
              <w:t>5. Charger un groupe de travail d’examiner les initiatives lancées dans le domaine des transports durables et de mettre en lien les initiatives menées au sein de la Division.</w:t>
            </w:r>
          </w:p>
        </w:tc>
        <w:tc>
          <w:tcPr>
            <w:tcW w:w="1667" w:type="dxa"/>
            <w:shd w:val="clear" w:color="auto" w:fill="auto"/>
          </w:tcPr>
          <w:p w14:paraId="4FA03345" w14:textId="77777777" w:rsidR="000661F7" w:rsidRPr="00ED06D8" w:rsidRDefault="000661F7" w:rsidP="0094269B">
            <w:pPr>
              <w:spacing w:before="40" w:after="100" w:line="230" w:lineRule="atLeast"/>
              <w:ind w:right="113"/>
              <w:rPr>
                <w:lang w:val="fr-FR"/>
              </w:rPr>
            </w:pPr>
            <w:r>
              <w:rPr>
                <w:lang w:val="fr-FR"/>
              </w:rPr>
              <w:t>1. Le secrétaire du WP.5 et le secrétariat du PPE</w:t>
            </w:r>
            <w:r>
              <w:rPr>
                <w:lang w:val="fr-FR"/>
              </w:rPr>
              <w:noBreakHyphen/>
              <w:t>TSE</w:t>
            </w:r>
          </w:p>
          <w:p w14:paraId="4FDBCE88" w14:textId="77777777" w:rsidR="000661F7" w:rsidRPr="00ED06D8" w:rsidRDefault="000661F7" w:rsidP="0094269B">
            <w:pPr>
              <w:spacing w:before="40" w:after="100" w:line="230" w:lineRule="atLeast"/>
              <w:ind w:right="113"/>
              <w:rPr>
                <w:lang w:val="fr-FR"/>
              </w:rPr>
            </w:pPr>
            <w:r>
              <w:rPr>
                <w:lang w:val="fr-FR"/>
              </w:rPr>
              <w:t xml:space="preserve">2. Le secrétariat du WP.29 </w:t>
            </w:r>
          </w:p>
          <w:p w14:paraId="3E8F29E6" w14:textId="77777777" w:rsidR="000661F7" w:rsidRPr="00ED06D8" w:rsidRDefault="000661F7" w:rsidP="0094269B">
            <w:pPr>
              <w:spacing w:before="40" w:after="100" w:line="230" w:lineRule="atLeast"/>
              <w:ind w:right="113"/>
              <w:rPr>
                <w:lang w:val="fr-FR"/>
              </w:rPr>
            </w:pPr>
            <w:r>
              <w:rPr>
                <w:lang w:val="fr-FR"/>
              </w:rPr>
              <w:t xml:space="preserve">3. Le secrétariat du PPE-TSE </w:t>
            </w:r>
          </w:p>
          <w:p w14:paraId="15472503" w14:textId="77777777" w:rsidR="000661F7" w:rsidRPr="00ED06D8" w:rsidRDefault="000661F7" w:rsidP="0094269B">
            <w:pPr>
              <w:spacing w:before="40" w:after="100" w:line="230" w:lineRule="atLeast"/>
              <w:ind w:right="113"/>
              <w:rPr>
                <w:lang w:val="fr-FR"/>
              </w:rPr>
            </w:pPr>
            <w:r>
              <w:rPr>
                <w:lang w:val="fr-FR"/>
              </w:rPr>
              <w:t>4. Les secrétaires de tous les groupes de travail concernés</w:t>
            </w:r>
          </w:p>
          <w:p w14:paraId="6563B05D" w14:textId="77777777" w:rsidR="000661F7" w:rsidRPr="00AE73BA" w:rsidRDefault="000661F7" w:rsidP="0094269B">
            <w:pPr>
              <w:spacing w:before="40" w:after="100" w:line="230" w:lineRule="atLeast"/>
              <w:ind w:right="113"/>
            </w:pPr>
            <w:r>
              <w:rPr>
                <w:lang w:val="fr-FR"/>
              </w:rPr>
              <w:t xml:space="preserve">5. Le secrétariat du Comité </w:t>
            </w:r>
          </w:p>
        </w:tc>
      </w:tr>
      <w:tr w:rsidR="000661F7" w:rsidRPr="00D466A5" w14:paraId="464974AD" w14:textId="77777777" w:rsidTr="0094269B">
        <w:tc>
          <w:tcPr>
            <w:tcW w:w="500" w:type="dxa"/>
            <w:shd w:val="clear" w:color="auto" w:fill="auto"/>
          </w:tcPr>
          <w:p w14:paraId="77268487" w14:textId="77777777" w:rsidR="000661F7" w:rsidRPr="0067484D" w:rsidRDefault="000661F7" w:rsidP="0094269B">
            <w:pPr>
              <w:spacing w:before="40" w:after="120"/>
              <w:ind w:right="113"/>
            </w:pPr>
            <w:r w:rsidRPr="001E4BC7">
              <w:rPr>
                <w:lang w:val="fr-FR"/>
              </w:rPr>
              <w:t>5.24</w:t>
            </w:r>
          </w:p>
        </w:tc>
        <w:tc>
          <w:tcPr>
            <w:tcW w:w="1778" w:type="dxa"/>
            <w:shd w:val="clear" w:color="auto" w:fill="auto"/>
          </w:tcPr>
          <w:p w14:paraId="1BB72C8D" w14:textId="006A1040" w:rsidR="000661F7" w:rsidRPr="00ED06D8" w:rsidRDefault="000661F7" w:rsidP="0094269B">
            <w:pPr>
              <w:spacing w:before="40" w:after="120"/>
              <w:ind w:right="113"/>
              <w:rPr>
                <w:lang w:val="fr-FR"/>
              </w:rPr>
            </w:pPr>
            <w:r>
              <w:rPr>
                <w:lang w:val="fr-FR"/>
              </w:rPr>
              <w:t>Évaluer l’incidence des changements climatiques sur les infrastructures de transport</w:t>
            </w:r>
          </w:p>
        </w:tc>
        <w:tc>
          <w:tcPr>
            <w:tcW w:w="3194" w:type="dxa"/>
            <w:shd w:val="clear" w:color="auto" w:fill="auto"/>
          </w:tcPr>
          <w:p w14:paraId="5D34DA4A" w14:textId="2837ED24" w:rsidR="000661F7" w:rsidRDefault="000661F7" w:rsidP="0094269B">
            <w:pPr>
              <w:spacing w:before="40" w:after="120"/>
              <w:ind w:right="113"/>
              <w:rPr>
                <w:b/>
                <w:bCs/>
                <w:lang w:val="fr-FR"/>
              </w:rPr>
            </w:pPr>
            <w:r>
              <w:rPr>
                <w:lang w:val="fr-FR"/>
              </w:rPr>
              <w:t>Le WP.5 se consacre à cette tâche prioritaire. En février 2020, il a publié un rapport consacré aux effets des changements climatiques sur les réseaux de transport internationaux et à l’adaptation à ces changements, établi par son Groupe d’experts chargé d’étudier les effets des changements climatiques sur les réseaux et nœuds de transport internationaux et l’adaptation à ces changements. Le Groupe d’experts chargé d’évaluer les effets des changements climatiques sur les transports intérieurs et l’adaptation à ces changements (EGCCIA) poursuit ces travaux et les élargit dans le cadre de son mandat pour la période 2020</w:t>
            </w:r>
            <w:r w:rsidR="00181905">
              <w:rPr>
                <w:lang w:val="fr-FR"/>
              </w:rPr>
              <w:noBreakHyphen/>
            </w:r>
            <w:r>
              <w:rPr>
                <w:lang w:val="fr-FR"/>
              </w:rPr>
              <w:t>2025.</w:t>
            </w:r>
            <w:r w:rsidRPr="00C33721">
              <w:rPr>
                <w:b/>
                <w:bCs/>
                <w:lang w:val="fr-FR"/>
              </w:rPr>
              <w:t xml:space="preserve"> </w:t>
            </w:r>
            <w:r>
              <w:rPr>
                <w:b/>
                <w:bCs/>
                <w:lang w:val="fr-FR"/>
              </w:rPr>
              <w:t>Ses</w:t>
            </w:r>
            <w:r w:rsidRPr="00EF1D90">
              <w:rPr>
                <w:b/>
                <w:bCs/>
                <w:lang w:val="fr-FR"/>
              </w:rPr>
              <w:t xml:space="preserve"> principales tâches sont les suivantes</w:t>
            </w:r>
            <w:r>
              <w:rPr>
                <w:b/>
                <w:bCs/>
                <w:lang w:val="fr-FR"/>
              </w:rPr>
              <w:t> :</w:t>
            </w:r>
            <w:r w:rsidRPr="00EF1D90">
              <w:rPr>
                <w:b/>
                <w:bCs/>
                <w:lang w:val="fr-FR"/>
              </w:rPr>
              <w:t xml:space="preserve"> a)</w:t>
            </w:r>
            <w:r w:rsidR="00181905">
              <w:rPr>
                <w:b/>
                <w:bCs/>
                <w:lang w:val="fr-FR"/>
              </w:rPr>
              <w:t> </w:t>
            </w:r>
            <w:r w:rsidRPr="00EF1D90">
              <w:rPr>
                <w:b/>
                <w:bCs/>
                <w:lang w:val="fr-FR"/>
              </w:rPr>
              <w:t xml:space="preserve">élaborer de nouvelles cartes présentant des projections de phénomènes météorologiques extrêmes et liées à des seuils spécifiques de </w:t>
            </w:r>
            <w:r>
              <w:rPr>
                <w:b/>
                <w:bCs/>
                <w:lang w:val="fr-FR"/>
              </w:rPr>
              <w:t xml:space="preserve">ces </w:t>
            </w:r>
            <w:r w:rsidRPr="00EF1D90">
              <w:rPr>
                <w:b/>
                <w:bCs/>
                <w:lang w:val="fr-FR"/>
              </w:rPr>
              <w:t>phénomènes</w:t>
            </w:r>
            <w:r>
              <w:rPr>
                <w:b/>
                <w:bCs/>
                <w:lang w:val="fr-FR"/>
              </w:rPr>
              <w:t> ;</w:t>
            </w:r>
            <w:r w:rsidRPr="00EF1D90">
              <w:rPr>
                <w:b/>
                <w:bCs/>
                <w:lang w:val="fr-FR"/>
              </w:rPr>
              <w:t xml:space="preserve"> b)</w:t>
            </w:r>
            <w:r>
              <w:rPr>
                <w:b/>
                <w:bCs/>
                <w:lang w:val="fr-FR"/>
              </w:rPr>
              <w:t> discuter d</w:t>
            </w:r>
            <w:r w:rsidRPr="00EF1D90">
              <w:rPr>
                <w:b/>
                <w:bCs/>
                <w:lang w:val="fr-FR"/>
              </w:rPr>
              <w:t>es épreuves de résistance pour les infrastructures de transport</w:t>
            </w:r>
            <w:r>
              <w:rPr>
                <w:b/>
                <w:bCs/>
                <w:lang w:val="fr-FR"/>
              </w:rPr>
              <w:t> ;</w:t>
            </w:r>
            <w:r w:rsidRPr="00EF1D90">
              <w:rPr>
                <w:b/>
                <w:bCs/>
                <w:lang w:val="fr-FR"/>
              </w:rPr>
              <w:t xml:space="preserve"> c)</w:t>
            </w:r>
            <w:r>
              <w:rPr>
                <w:b/>
                <w:bCs/>
                <w:lang w:val="fr-FR"/>
              </w:rPr>
              <w:t> </w:t>
            </w:r>
            <w:r w:rsidRPr="00EF1D90">
              <w:rPr>
                <w:b/>
                <w:bCs/>
                <w:lang w:val="fr-FR"/>
              </w:rPr>
              <w:t xml:space="preserve">réaliser une analyse de rentabilité pour </w:t>
            </w:r>
            <w:r w:rsidRPr="00EF1D90">
              <w:rPr>
                <w:b/>
                <w:bCs/>
                <w:lang w:val="fr-FR"/>
              </w:rPr>
              <w:lastRenderedPageBreak/>
              <w:t>l</w:t>
            </w:r>
            <w:r>
              <w:rPr>
                <w:b/>
                <w:bCs/>
                <w:lang w:val="fr-FR"/>
              </w:rPr>
              <w:t>’</w:t>
            </w:r>
            <w:r w:rsidRPr="00EF1D90">
              <w:rPr>
                <w:b/>
                <w:bCs/>
                <w:lang w:val="fr-FR"/>
              </w:rPr>
              <w:t>adaptation des transports</w:t>
            </w:r>
            <w:r>
              <w:rPr>
                <w:b/>
                <w:bCs/>
                <w:lang w:val="fr-FR"/>
              </w:rPr>
              <w:t> ;</w:t>
            </w:r>
            <w:r w:rsidRPr="00EF1D90">
              <w:rPr>
                <w:b/>
                <w:bCs/>
                <w:lang w:val="fr-FR"/>
              </w:rPr>
              <w:t xml:space="preserve"> d)</w:t>
            </w:r>
            <w:r>
              <w:rPr>
                <w:b/>
                <w:bCs/>
                <w:lang w:val="fr-FR"/>
              </w:rPr>
              <w:t> </w:t>
            </w:r>
            <w:r w:rsidRPr="00EF1D90">
              <w:rPr>
                <w:b/>
                <w:bCs/>
                <w:lang w:val="fr-FR"/>
              </w:rPr>
              <w:t>réfléchir à une base de données des mesures d</w:t>
            </w:r>
            <w:r>
              <w:rPr>
                <w:b/>
                <w:bCs/>
                <w:lang w:val="fr-FR"/>
              </w:rPr>
              <w:t>’</w:t>
            </w:r>
            <w:r w:rsidRPr="00EF1D90">
              <w:rPr>
                <w:b/>
                <w:bCs/>
                <w:lang w:val="fr-FR"/>
              </w:rPr>
              <w:t xml:space="preserve">adaptation pour les transports. </w:t>
            </w:r>
          </w:p>
          <w:p w14:paraId="4FA72425" w14:textId="51FB9CB0" w:rsidR="000661F7" w:rsidRDefault="000661F7" w:rsidP="0094269B">
            <w:pPr>
              <w:spacing w:before="40" w:after="120"/>
              <w:ind w:right="113"/>
              <w:rPr>
                <w:b/>
                <w:bCs/>
                <w:lang w:val="fr-FR"/>
              </w:rPr>
            </w:pPr>
            <w:r w:rsidRPr="00EF1D90">
              <w:rPr>
                <w:b/>
                <w:bCs/>
                <w:lang w:val="fr-FR"/>
              </w:rPr>
              <w:t xml:space="preserve">Une conférence internationale intitulée </w:t>
            </w:r>
            <w:r>
              <w:rPr>
                <w:b/>
                <w:bCs/>
                <w:lang w:val="fr-FR"/>
              </w:rPr>
              <w:t>« </w:t>
            </w:r>
            <w:r w:rsidRPr="00EF1D90">
              <w:rPr>
                <w:b/>
                <w:bCs/>
                <w:lang w:val="fr-FR"/>
              </w:rPr>
              <w:t>Assessment of Climate Change Impacts</w:t>
            </w:r>
            <w:r>
              <w:rPr>
                <w:b/>
                <w:bCs/>
                <w:lang w:val="fr-FR"/>
              </w:rPr>
              <w:t> :</w:t>
            </w:r>
            <w:r w:rsidRPr="00EF1D90">
              <w:rPr>
                <w:b/>
                <w:bCs/>
                <w:lang w:val="fr-FR"/>
              </w:rPr>
              <w:t xml:space="preserve"> Deployment of New Technologies and Materials for Maintaining Design Road Characteristics During Adaptation of Transport Infrastructure to Climate Change</w:t>
            </w:r>
            <w:r>
              <w:rPr>
                <w:b/>
                <w:bCs/>
                <w:lang w:val="fr-FR"/>
              </w:rPr>
              <w:t> »</w:t>
            </w:r>
            <w:r w:rsidRPr="00EF1D90">
              <w:rPr>
                <w:b/>
                <w:bCs/>
                <w:lang w:val="fr-FR"/>
              </w:rPr>
              <w:t xml:space="preserve"> (Évaluation des effets des changements climatiques</w:t>
            </w:r>
            <w:r>
              <w:rPr>
                <w:b/>
                <w:bCs/>
                <w:lang w:val="fr-FR"/>
              </w:rPr>
              <w:t> :</w:t>
            </w:r>
            <w:r w:rsidRPr="00EF1D90">
              <w:rPr>
                <w:b/>
                <w:bCs/>
                <w:lang w:val="fr-FR"/>
              </w:rPr>
              <w:t xml:space="preserve"> Déplo</w:t>
            </w:r>
            <w:r>
              <w:rPr>
                <w:b/>
                <w:bCs/>
                <w:lang w:val="fr-FR"/>
              </w:rPr>
              <w:t>yer</w:t>
            </w:r>
            <w:r w:rsidRPr="00EF1D90">
              <w:rPr>
                <w:b/>
                <w:bCs/>
                <w:lang w:val="fr-FR"/>
              </w:rPr>
              <w:t xml:space="preserve"> de nouvelles technologies et de nouveaux matériaux pour maintenir les caractéristiques nominales des routes pendant l</w:t>
            </w:r>
            <w:r>
              <w:rPr>
                <w:b/>
                <w:bCs/>
                <w:lang w:val="fr-FR"/>
              </w:rPr>
              <w:t>’</w:t>
            </w:r>
            <w:r w:rsidRPr="00EF1D90">
              <w:rPr>
                <w:b/>
                <w:bCs/>
                <w:lang w:val="fr-FR"/>
              </w:rPr>
              <w:t>adaptation des infrastructures de transport aux changements climatiques) s</w:t>
            </w:r>
            <w:r>
              <w:rPr>
                <w:b/>
                <w:bCs/>
                <w:lang w:val="fr-FR"/>
              </w:rPr>
              <w:t>’</w:t>
            </w:r>
            <w:r w:rsidRPr="00EF1D90">
              <w:rPr>
                <w:b/>
                <w:bCs/>
                <w:lang w:val="fr-FR"/>
              </w:rPr>
              <w:t>est tenue à Moscou les 15 et 16</w:t>
            </w:r>
            <w:r w:rsidR="00181905">
              <w:rPr>
                <w:b/>
                <w:bCs/>
                <w:lang w:val="fr-FR"/>
              </w:rPr>
              <w:t> </w:t>
            </w:r>
            <w:r w:rsidRPr="00EF1D90">
              <w:rPr>
                <w:b/>
                <w:bCs/>
                <w:lang w:val="fr-FR"/>
              </w:rPr>
              <w:t>novembre 2021.</w:t>
            </w:r>
            <w:r>
              <w:rPr>
                <w:b/>
                <w:bCs/>
                <w:lang w:val="fr-FR"/>
              </w:rPr>
              <w:t xml:space="preserve"> </w:t>
            </w:r>
            <w:r w:rsidRPr="00EF1D90">
              <w:rPr>
                <w:b/>
                <w:bCs/>
                <w:lang w:val="fr-FR"/>
              </w:rPr>
              <w:t xml:space="preserve">Elle a contribué à sensibiliser les experts </w:t>
            </w:r>
            <w:r>
              <w:rPr>
                <w:b/>
                <w:bCs/>
                <w:lang w:val="fr-FR"/>
              </w:rPr>
              <w:t>des</w:t>
            </w:r>
            <w:r w:rsidRPr="00EF1D90">
              <w:rPr>
                <w:b/>
                <w:bCs/>
                <w:lang w:val="fr-FR"/>
              </w:rPr>
              <w:t xml:space="preserve"> transport</w:t>
            </w:r>
            <w:r>
              <w:rPr>
                <w:b/>
                <w:bCs/>
                <w:lang w:val="fr-FR"/>
              </w:rPr>
              <w:t>s</w:t>
            </w:r>
            <w:r w:rsidRPr="00EF1D90">
              <w:rPr>
                <w:b/>
                <w:bCs/>
                <w:lang w:val="fr-FR"/>
              </w:rPr>
              <w:t xml:space="preserve"> des pays d</w:t>
            </w:r>
            <w:r>
              <w:rPr>
                <w:b/>
                <w:bCs/>
                <w:lang w:val="fr-FR"/>
              </w:rPr>
              <w:t>’</w:t>
            </w:r>
            <w:r w:rsidRPr="00EF1D90">
              <w:rPr>
                <w:b/>
                <w:bCs/>
                <w:lang w:val="fr-FR"/>
              </w:rPr>
              <w:t>Europe de l</w:t>
            </w:r>
            <w:r>
              <w:rPr>
                <w:b/>
                <w:bCs/>
                <w:lang w:val="fr-FR"/>
              </w:rPr>
              <w:t>’</w:t>
            </w:r>
            <w:r w:rsidRPr="00EF1D90">
              <w:rPr>
                <w:b/>
                <w:bCs/>
                <w:lang w:val="fr-FR"/>
              </w:rPr>
              <w:t>Est, du Caucase et d</w:t>
            </w:r>
            <w:r>
              <w:rPr>
                <w:b/>
                <w:bCs/>
                <w:lang w:val="fr-FR"/>
              </w:rPr>
              <w:t>’</w:t>
            </w:r>
            <w:r w:rsidRPr="00EF1D90">
              <w:rPr>
                <w:b/>
                <w:bCs/>
                <w:lang w:val="fr-FR"/>
              </w:rPr>
              <w:t>Asie centrale aux techniques d</w:t>
            </w:r>
            <w:r>
              <w:rPr>
                <w:b/>
                <w:bCs/>
                <w:lang w:val="fr-FR"/>
              </w:rPr>
              <w:t>’</w:t>
            </w:r>
            <w:r w:rsidRPr="00EF1D90">
              <w:rPr>
                <w:b/>
                <w:bCs/>
                <w:lang w:val="fr-FR"/>
              </w:rPr>
              <w:t>évaluation des futures incidences climatiques sur les systèmes de transport et à la recherche de mesures d</w:t>
            </w:r>
            <w:r>
              <w:rPr>
                <w:b/>
                <w:bCs/>
                <w:lang w:val="fr-FR"/>
              </w:rPr>
              <w:t>’</w:t>
            </w:r>
            <w:r w:rsidRPr="00EF1D90">
              <w:rPr>
                <w:b/>
                <w:bCs/>
                <w:lang w:val="fr-FR"/>
              </w:rPr>
              <w:t>adaptation appropriées afin de prévenir d</w:t>
            </w:r>
            <w:r>
              <w:rPr>
                <w:b/>
                <w:bCs/>
                <w:lang w:val="fr-FR"/>
              </w:rPr>
              <w:t>’</w:t>
            </w:r>
            <w:r w:rsidRPr="00EF1D90">
              <w:rPr>
                <w:b/>
                <w:bCs/>
                <w:lang w:val="fr-FR"/>
              </w:rPr>
              <w:t xml:space="preserve">éventuelles perturbations </w:t>
            </w:r>
            <w:r>
              <w:rPr>
                <w:b/>
                <w:bCs/>
                <w:lang w:val="fr-FR"/>
              </w:rPr>
              <w:t>dans les</w:t>
            </w:r>
            <w:r w:rsidRPr="00EF1D90">
              <w:rPr>
                <w:b/>
                <w:bCs/>
                <w:lang w:val="fr-FR"/>
              </w:rPr>
              <w:t xml:space="preserve"> transports.</w:t>
            </w:r>
          </w:p>
          <w:p w14:paraId="5A22826C" w14:textId="4FD35261" w:rsidR="000661F7" w:rsidRDefault="000661F7" w:rsidP="0094269B">
            <w:pPr>
              <w:spacing w:before="40" w:after="120"/>
              <w:ind w:right="113"/>
              <w:rPr>
                <w:b/>
                <w:bCs/>
                <w:lang w:val="fr-FR"/>
              </w:rPr>
            </w:pPr>
            <w:r w:rsidRPr="00EF1D90">
              <w:rPr>
                <w:b/>
                <w:bCs/>
                <w:lang w:val="fr-FR"/>
              </w:rPr>
              <w:t>L</w:t>
            </w:r>
            <w:r>
              <w:rPr>
                <w:b/>
                <w:bCs/>
                <w:lang w:val="fr-FR"/>
              </w:rPr>
              <w:t>’</w:t>
            </w:r>
            <w:r w:rsidRPr="00EF1D90">
              <w:rPr>
                <w:b/>
                <w:bCs/>
                <w:lang w:val="fr-FR"/>
              </w:rPr>
              <w:t xml:space="preserve">atelier intitulé </w:t>
            </w:r>
            <w:r>
              <w:rPr>
                <w:b/>
                <w:bCs/>
                <w:lang w:val="fr-FR"/>
              </w:rPr>
              <w:t>« </w:t>
            </w:r>
            <w:r w:rsidRPr="00EF1D90">
              <w:rPr>
                <w:b/>
                <w:bCs/>
                <w:lang w:val="fr-FR"/>
              </w:rPr>
              <w:t xml:space="preserve">Changements climatiques et situation hydrique extrême sur les voies navigables européennes et conséquences sur </w:t>
            </w:r>
            <w:r w:rsidRPr="00CB18A8">
              <w:rPr>
                <w:b/>
                <w:bCs/>
                <w:lang w:val="fr-FR"/>
              </w:rPr>
              <w:t>les transports par voie navigable</w:t>
            </w:r>
            <w:r>
              <w:rPr>
                <w:b/>
                <w:bCs/>
                <w:lang w:val="fr-FR"/>
              </w:rPr>
              <w:t> »</w:t>
            </w:r>
            <w:r w:rsidRPr="00EF1D90">
              <w:rPr>
                <w:b/>
                <w:bCs/>
                <w:lang w:val="fr-FR"/>
              </w:rPr>
              <w:t xml:space="preserve"> s</w:t>
            </w:r>
            <w:r>
              <w:rPr>
                <w:b/>
                <w:bCs/>
                <w:lang w:val="fr-FR"/>
              </w:rPr>
              <w:t>’</w:t>
            </w:r>
            <w:r w:rsidRPr="00EF1D90">
              <w:rPr>
                <w:b/>
                <w:bCs/>
                <w:lang w:val="fr-FR"/>
              </w:rPr>
              <w:t>est tenu le 17 février 2021</w:t>
            </w:r>
            <w:r>
              <w:rPr>
                <w:b/>
                <w:bCs/>
                <w:lang w:val="fr-FR"/>
              </w:rPr>
              <w:t>,</w:t>
            </w:r>
            <w:r w:rsidRPr="00EF1D90">
              <w:rPr>
                <w:b/>
                <w:bCs/>
                <w:lang w:val="fr-FR"/>
              </w:rPr>
              <w:t xml:space="preserve"> </w:t>
            </w:r>
            <w:r>
              <w:rPr>
                <w:b/>
                <w:bCs/>
                <w:lang w:val="fr-FR"/>
              </w:rPr>
              <w:t>à</w:t>
            </w:r>
            <w:r w:rsidRPr="00EF1D90">
              <w:rPr>
                <w:b/>
                <w:bCs/>
                <w:lang w:val="fr-FR"/>
              </w:rPr>
              <w:t xml:space="preserve"> la cinquante-huitième session du SC.3/WP.3.</w:t>
            </w:r>
            <w:r>
              <w:rPr>
                <w:b/>
                <w:bCs/>
                <w:lang w:val="fr-FR"/>
              </w:rPr>
              <w:t xml:space="preserve"> </w:t>
            </w:r>
            <w:r w:rsidRPr="00B40125">
              <w:rPr>
                <w:b/>
                <w:bCs/>
                <w:lang w:val="fr-FR"/>
              </w:rPr>
              <w:t>Les exposés et le</w:t>
            </w:r>
            <w:r>
              <w:rPr>
                <w:b/>
                <w:bCs/>
                <w:lang w:val="fr-FR"/>
              </w:rPr>
              <w:t>s</w:t>
            </w:r>
            <w:r w:rsidRPr="00B40125">
              <w:rPr>
                <w:b/>
                <w:bCs/>
                <w:lang w:val="fr-FR"/>
              </w:rPr>
              <w:t xml:space="preserve"> débat</w:t>
            </w:r>
            <w:r>
              <w:rPr>
                <w:b/>
                <w:bCs/>
                <w:lang w:val="fr-FR"/>
              </w:rPr>
              <w:t>s</w:t>
            </w:r>
            <w:r w:rsidRPr="00B40125">
              <w:rPr>
                <w:b/>
                <w:bCs/>
                <w:lang w:val="fr-FR"/>
              </w:rPr>
              <w:t xml:space="preserve"> ont porté sur</w:t>
            </w:r>
            <w:r w:rsidR="00181905">
              <w:rPr>
                <w:b/>
                <w:bCs/>
                <w:lang w:val="fr-FR"/>
              </w:rPr>
              <w:t> :</w:t>
            </w:r>
            <w:r w:rsidRPr="00B40125">
              <w:rPr>
                <w:b/>
                <w:bCs/>
                <w:lang w:val="fr-FR"/>
              </w:rPr>
              <w:t xml:space="preserve"> a) les effets des phénomènes de changement climatique sur la navigation intérieure et côtière</w:t>
            </w:r>
            <w:r>
              <w:rPr>
                <w:b/>
                <w:bCs/>
                <w:lang w:val="fr-FR"/>
              </w:rPr>
              <w:t> ;</w:t>
            </w:r>
            <w:r w:rsidRPr="00B40125">
              <w:rPr>
                <w:b/>
                <w:bCs/>
                <w:lang w:val="fr-FR"/>
              </w:rPr>
              <w:t xml:space="preserve"> b)</w:t>
            </w:r>
            <w:r>
              <w:rPr>
                <w:b/>
                <w:bCs/>
                <w:lang w:val="fr-FR"/>
              </w:rPr>
              <w:t> </w:t>
            </w:r>
            <w:r w:rsidRPr="00B40125">
              <w:rPr>
                <w:b/>
                <w:bCs/>
                <w:lang w:val="fr-FR"/>
              </w:rPr>
              <w:t>les mesures et stratégies visant à faire face aux effets des changements climatiques sur les transports par voie navigable</w:t>
            </w:r>
            <w:r>
              <w:rPr>
                <w:b/>
                <w:bCs/>
                <w:lang w:val="fr-FR"/>
              </w:rPr>
              <w:t> ;</w:t>
            </w:r>
            <w:r w:rsidRPr="00B40125">
              <w:rPr>
                <w:b/>
                <w:bCs/>
                <w:lang w:val="fr-FR"/>
              </w:rPr>
              <w:t xml:space="preserve"> c)</w:t>
            </w:r>
            <w:r>
              <w:rPr>
                <w:b/>
                <w:bCs/>
                <w:lang w:val="fr-FR"/>
              </w:rPr>
              <w:t> </w:t>
            </w:r>
            <w:r w:rsidRPr="00B40125">
              <w:rPr>
                <w:b/>
                <w:bCs/>
                <w:lang w:val="fr-FR"/>
              </w:rPr>
              <w:t>les obstacles à l</w:t>
            </w:r>
            <w:r>
              <w:rPr>
                <w:b/>
                <w:bCs/>
                <w:lang w:val="fr-FR"/>
              </w:rPr>
              <w:t>’</w:t>
            </w:r>
            <w:r w:rsidRPr="00B40125">
              <w:rPr>
                <w:b/>
                <w:bCs/>
                <w:lang w:val="fr-FR"/>
              </w:rPr>
              <w:t>intégration des mesures d</w:t>
            </w:r>
            <w:r>
              <w:rPr>
                <w:b/>
                <w:bCs/>
                <w:lang w:val="fr-FR"/>
              </w:rPr>
              <w:t>’</w:t>
            </w:r>
            <w:r w:rsidRPr="00B40125">
              <w:rPr>
                <w:b/>
                <w:bCs/>
                <w:lang w:val="fr-FR"/>
              </w:rPr>
              <w:t>adaptation aux changements climatiques dans les processus de planification et d</w:t>
            </w:r>
            <w:r>
              <w:rPr>
                <w:b/>
                <w:bCs/>
                <w:lang w:val="fr-FR"/>
              </w:rPr>
              <w:t>’</w:t>
            </w:r>
            <w:r w:rsidRPr="00B40125">
              <w:rPr>
                <w:b/>
                <w:bCs/>
                <w:lang w:val="fr-FR"/>
              </w:rPr>
              <w:t>exploitation du secteur</w:t>
            </w:r>
            <w:r>
              <w:rPr>
                <w:b/>
                <w:bCs/>
                <w:lang w:val="fr-FR"/>
              </w:rPr>
              <w:t> ;</w:t>
            </w:r>
            <w:r w:rsidRPr="00B40125">
              <w:rPr>
                <w:b/>
                <w:bCs/>
                <w:lang w:val="fr-FR"/>
              </w:rPr>
              <w:t xml:space="preserve"> d) les sources de données et les méthodologies des projections </w:t>
            </w:r>
            <w:r w:rsidRPr="00B40125">
              <w:rPr>
                <w:b/>
                <w:bCs/>
                <w:lang w:val="fr-FR"/>
              </w:rPr>
              <w:lastRenderedPageBreak/>
              <w:t>climatiques</w:t>
            </w:r>
            <w:r>
              <w:rPr>
                <w:b/>
                <w:bCs/>
                <w:lang w:val="fr-FR"/>
              </w:rPr>
              <w:t> ;</w:t>
            </w:r>
            <w:r w:rsidRPr="00B40125">
              <w:rPr>
                <w:b/>
                <w:bCs/>
                <w:lang w:val="fr-FR"/>
              </w:rPr>
              <w:t xml:space="preserve"> e) les mesures recommandées pour que le SC.3 aide les pays à relever ce défi.</w:t>
            </w:r>
            <w:r>
              <w:rPr>
                <w:b/>
                <w:bCs/>
                <w:lang w:val="fr-FR"/>
              </w:rPr>
              <w:t xml:space="preserve"> </w:t>
            </w:r>
            <w:r w:rsidRPr="00B40125">
              <w:rPr>
                <w:b/>
                <w:bCs/>
                <w:lang w:val="fr-FR"/>
              </w:rPr>
              <w:t>Les participants ont souligné les graves dommages économiques causés par</w:t>
            </w:r>
            <w:r>
              <w:rPr>
                <w:b/>
                <w:bCs/>
                <w:lang w:val="fr-FR"/>
              </w:rPr>
              <w:t> </w:t>
            </w:r>
            <w:r w:rsidRPr="00B40125">
              <w:rPr>
                <w:b/>
                <w:bCs/>
                <w:lang w:val="fr-FR"/>
              </w:rPr>
              <w:t>les faibles niveaux d</w:t>
            </w:r>
            <w:r>
              <w:rPr>
                <w:b/>
                <w:bCs/>
                <w:lang w:val="fr-FR"/>
              </w:rPr>
              <w:t>’</w:t>
            </w:r>
            <w:r w:rsidRPr="00B40125">
              <w:rPr>
                <w:b/>
                <w:bCs/>
                <w:lang w:val="fr-FR"/>
              </w:rPr>
              <w:t>eau sur les</w:t>
            </w:r>
            <w:r>
              <w:rPr>
                <w:b/>
                <w:bCs/>
                <w:lang w:val="fr-FR"/>
              </w:rPr>
              <w:t> </w:t>
            </w:r>
            <w:r w:rsidRPr="00B40125">
              <w:rPr>
                <w:b/>
                <w:bCs/>
                <w:lang w:val="fr-FR"/>
              </w:rPr>
              <w:t xml:space="preserve">rivières européennes et insisté sur la nécessité </w:t>
            </w:r>
            <w:r>
              <w:rPr>
                <w:b/>
                <w:bCs/>
                <w:lang w:val="fr-FR"/>
              </w:rPr>
              <w:t>de </w:t>
            </w:r>
            <w:r w:rsidRPr="00B40125">
              <w:rPr>
                <w:b/>
                <w:bCs/>
                <w:lang w:val="fr-FR"/>
              </w:rPr>
              <w:t>mesures d</w:t>
            </w:r>
            <w:r>
              <w:rPr>
                <w:b/>
                <w:bCs/>
                <w:lang w:val="fr-FR"/>
              </w:rPr>
              <w:t>’</w:t>
            </w:r>
            <w:r w:rsidRPr="00B40125">
              <w:rPr>
                <w:b/>
                <w:bCs/>
                <w:lang w:val="fr-FR"/>
              </w:rPr>
              <w:t xml:space="preserve">adaptation urgentes et </w:t>
            </w:r>
            <w:r>
              <w:rPr>
                <w:b/>
                <w:bCs/>
                <w:lang w:val="fr-FR"/>
              </w:rPr>
              <w:t>de</w:t>
            </w:r>
            <w:r w:rsidRPr="00B40125">
              <w:rPr>
                <w:b/>
                <w:bCs/>
                <w:lang w:val="fr-FR"/>
              </w:rPr>
              <w:t xml:space="preserve"> stratégies d</w:t>
            </w:r>
            <w:r>
              <w:rPr>
                <w:b/>
                <w:bCs/>
                <w:lang w:val="fr-FR"/>
              </w:rPr>
              <w:t>’</w:t>
            </w:r>
            <w:r w:rsidRPr="00B40125">
              <w:rPr>
                <w:b/>
                <w:bCs/>
                <w:lang w:val="fr-FR"/>
              </w:rPr>
              <w:t>adaptation</w:t>
            </w:r>
            <w:r>
              <w:rPr>
                <w:b/>
                <w:bCs/>
                <w:lang w:val="fr-FR"/>
              </w:rPr>
              <w:t xml:space="preserve"> adoptées de façon harmonisée</w:t>
            </w:r>
            <w:r w:rsidRPr="00B40125">
              <w:rPr>
                <w:b/>
                <w:bCs/>
                <w:lang w:val="fr-FR"/>
              </w:rPr>
              <w:t>.</w:t>
            </w:r>
          </w:p>
          <w:p w14:paraId="78F2410C" w14:textId="6592F231" w:rsidR="000661F7" w:rsidRDefault="000661F7" w:rsidP="0094269B">
            <w:pPr>
              <w:spacing w:before="40" w:after="120"/>
              <w:ind w:right="113"/>
              <w:rPr>
                <w:b/>
                <w:bCs/>
                <w:lang w:val="fr-FR"/>
              </w:rPr>
            </w:pPr>
            <w:r w:rsidRPr="00B40125">
              <w:rPr>
                <w:b/>
                <w:bCs/>
                <w:lang w:val="fr-FR"/>
              </w:rPr>
              <w:t>En 2022, le SC.3 et le SC.3/WP.3 ont organisé des ateliers et des tables rondes au cours desquels divers aspects des mesures d</w:t>
            </w:r>
            <w:r>
              <w:rPr>
                <w:b/>
                <w:bCs/>
                <w:lang w:val="fr-FR"/>
              </w:rPr>
              <w:t>’</w:t>
            </w:r>
            <w:r w:rsidRPr="00B40125">
              <w:rPr>
                <w:b/>
                <w:bCs/>
                <w:lang w:val="fr-FR"/>
              </w:rPr>
              <w:t>atténuation et d</w:t>
            </w:r>
            <w:r>
              <w:rPr>
                <w:b/>
                <w:bCs/>
                <w:lang w:val="fr-FR"/>
              </w:rPr>
              <w:t>’</w:t>
            </w:r>
            <w:r w:rsidRPr="00B40125">
              <w:rPr>
                <w:b/>
                <w:bCs/>
                <w:lang w:val="fr-FR"/>
              </w:rPr>
              <w:t>adaptation aux changements climatiques ont été abordés</w:t>
            </w:r>
            <w:r>
              <w:rPr>
                <w:b/>
                <w:bCs/>
                <w:lang w:val="fr-FR"/>
              </w:rPr>
              <w:t> :</w:t>
            </w:r>
            <w:r w:rsidRPr="00B40125">
              <w:rPr>
                <w:b/>
                <w:bCs/>
                <w:lang w:val="fr-FR"/>
              </w:rPr>
              <w:t xml:space="preserve"> a)</w:t>
            </w:r>
            <w:r w:rsidR="00181905">
              <w:rPr>
                <w:b/>
                <w:bCs/>
                <w:lang w:val="fr-FR"/>
              </w:rPr>
              <w:t> </w:t>
            </w:r>
            <w:r w:rsidRPr="00B40125">
              <w:rPr>
                <w:b/>
                <w:bCs/>
                <w:lang w:val="fr-FR"/>
              </w:rPr>
              <w:t>le 16 février 2022, la prévention de la pollution par les bateaux de navigation intérieure et l</w:t>
            </w:r>
            <w:r>
              <w:rPr>
                <w:b/>
                <w:bCs/>
                <w:lang w:val="fr-FR"/>
              </w:rPr>
              <w:t>’</w:t>
            </w:r>
            <w:r w:rsidRPr="00B40125">
              <w:rPr>
                <w:b/>
                <w:bCs/>
                <w:lang w:val="fr-FR"/>
              </w:rPr>
              <w:t>écologisation du secteur du transport par voie navigable</w:t>
            </w:r>
            <w:r>
              <w:rPr>
                <w:b/>
                <w:bCs/>
                <w:lang w:val="fr-FR"/>
              </w:rPr>
              <w:t> ;</w:t>
            </w:r>
            <w:r w:rsidRPr="00B40125">
              <w:rPr>
                <w:b/>
                <w:bCs/>
                <w:lang w:val="fr-FR"/>
              </w:rPr>
              <w:t xml:space="preserve"> b)</w:t>
            </w:r>
            <w:r w:rsidR="00181905">
              <w:rPr>
                <w:b/>
                <w:bCs/>
                <w:lang w:val="fr-FR"/>
              </w:rPr>
              <w:t> </w:t>
            </w:r>
            <w:r w:rsidRPr="00B40125">
              <w:rPr>
                <w:b/>
                <w:bCs/>
                <w:lang w:val="fr-FR"/>
              </w:rPr>
              <w:t>le</w:t>
            </w:r>
            <w:r w:rsidR="00181905">
              <w:rPr>
                <w:b/>
                <w:bCs/>
                <w:lang w:val="fr-FR"/>
              </w:rPr>
              <w:t> </w:t>
            </w:r>
            <w:r w:rsidRPr="00B40125">
              <w:rPr>
                <w:b/>
                <w:bCs/>
                <w:lang w:val="fr-FR"/>
              </w:rPr>
              <w:t>29 juin 2022, la mise en place d</w:t>
            </w:r>
            <w:r>
              <w:rPr>
                <w:b/>
                <w:bCs/>
                <w:lang w:val="fr-FR"/>
              </w:rPr>
              <w:t>’</w:t>
            </w:r>
            <w:r w:rsidRPr="00B40125">
              <w:rPr>
                <w:b/>
                <w:bCs/>
                <w:lang w:val="fr-FR"/>
              </w:rPr>
              <w:t>un réseau de voies navigables modernes, durables et résilientes</w:t>
            </w:r>
            <w:r>
              <w:rPr>
                <w:b/>
                <w:bCs/>
                <w:lang w:val="fr-FR"/>
              </w:rPr>
              <w:t> ;</w:t>
            </w:r>
            <w:r w:rsidRPr="00B40125">
              <w:rPr>
                <w:b/>
                <w:bCs/>
                <w:lang w:val="fr-FR"/>
              </w:rPr>
              <w:t xml:space="preserve"> c) le 13 octobre 2022, les matériaux, équipements et technologies novateurs dans les transports par voie navigable.</w:t>
            </w:r>
            <w:r>
              <w:rPr>
                <w:b/>
                <w:bCs/>
                <w:lang w:val="fr-FR"/>
              </w:rPr>
              <w:t xml:space="preserve"> </w:t>
            </w:r>
            <w:r w:rsidRPr="00B40125">
              <w:rPr>
                <w:b/>
                <w:bCs/>
                <w:lang w:val="fr-FR"/>
              </w:rPr>
              <w:t>Les ateliers ont abordé les projets et expériences récents et en cours dans le domaine de l</w:t>
            </w:r>
            <w:r>
              <w:rPr>
                <w:b/>
                <w:bCs/>
                <w:lang w:val="fr-FR"/>
              </w:rPr>
              <w:t>’</w:t>
            </w:r>
            <w:r w:rsidRPr="00B40125">
              <w:rPr>
                <w:b/>
                <w:bCs/>
                <w:lang w:val="fr-FR"/>
              </w:rPr>
              <w:t>écologisation et du réaménagement des bateaux, des carburants de substitution, des technologies novatrices et de l</w:t>
            </w:r>
            <w:r>
              <w:rPr>
                <w:b/>
                <w:bCs/>
                <w:lang w:val="fr-FR"/>
              </w:rPr>
              <w:t>’</w:t>
            </w:r>
            <w:r w:rsidRPr="00B40125">
              <w:rPr>
                <w:b/>
                <w:bCs/>
                <w:lang w:val="fr-FR"/>
              </w:rPr>
              <w:t>écologisation des infrastructures et des ports.</w:t>
            </w:r>
          </w:p>
          <w:p w14:paraId="00B66512" w14:textId="7BACEC6B" w:rsidR="000661F7" w:rsidRPr="00ED06D8" w:rsidRDefault="000661F7" w:rsidP="0094269B">
            <w:pPr>
              <w:spacing w:before="40" w:after="120"/>
              <w:ind w:right="113"/>
              <w:rPr>
                <w:lang w:val="fr-FR"/>
              </w:rPr>
            </w:pPr>
            <w:r w:rsidRPr="00B40125">
              <w:rPr>
                <w:b/>
                <w:bCs/>
                <w:lang w:val="fr-FR"/>
              </w:rPr>
              <w:t xml:space="preserve">En 2022, un atelier a été organisé au sein du SC.2, intitulé </w:t>
            </w:r>
            <w:r>
              <w:rPr>
                <w:b/>
                <w:bCs/>
                <w:lang w:val="fr-FR"/>
              </w:rPr>
              <w:t>« </w:t>
            </w:r>
            <w:r w:rsidRPr="00B40125">
              <w:rPr>
                <w:b/>
                <w:bCs/>
                <w:lang w:val="fr-FR"/>
              </w:rPr>
              <w:t>Les conséquences des changements climatiques sur les chemins de fer</w:t>
            </w:r>
            <w:r>
              <w:rPr>
                <w:b/>
                <w:bCs/>
                <w:lang w:val="fr-FR"/>
              </w:rPr>
              <w:t> :</w:t>
            </w:r>
            <w:r w:rsidRPr="00B40125">
              <w:rPr>
                <w:b/>
                <w:bCs/>
                <w:lang w:val="fr-FR"/>
              </w:rPr>
              <w:t xml:space="preserve"> comment s</w:t>
            </w:r>
            <w:r>
              <w:rPr>
                <w:b/>
                <w:bCs/>
                <w:lang w:val="fr-FR"/>
              </w:rPr>
              <w:t>’</w:t>
            </w:r>
            <w:r w:rsidRPr="00B40125">
              <w:rPr>
                <w:b/>
                <w:bCs/>
                <w:lang w:val="fr-FR"/>
              </w:rPr>
              <w:t>en protéger, s</w:t>
            </w:r>
            <w:r>
              <w:rPr>
                <w:b/>
                <w:bCs/>
                <w:lang w:val="fr-FR"/>
              </w:rPr>
              <w:t>’</w:t>
            </w:r>
            <w:r w:rsidRPr="00B40125">
              <w:rPr>
                <w:b/>
                <w:bCs/>
                <w:lang w:val="fr-FR"/>
              </w:rPr>
              <w:t>y adapter et les limiter</w:t>
            </w:r>
            <w:r>
              <w:rPr>
                <w:b/>
                <w:bCs/>
                <w:lang w:val="fr-FR"/>
              </w:rPr>
              <w:t> ».</w:t>
            </w:r>
          </w:p>
        </w:tc>
        <w:tc>
          <w:tcPr>
            <w:tcW w:w="2500" w:type="dxa"/>
            <w:shd w:val="clear" w:color="auto" w:fill="auto"/>
          </w:tcPr>
          <w:p w14:paraId="705012D1" w14:textId="1C77A123" w:rsidR="000661F7" w:rsidRPr="00ED06D8" w:rsidRDefault="000661F7" w:rsidP="0094269B">
            <w:pPr>
              <w:spacing w:before="40" w:after="120"/>
              <w:ind w:right="113"/>
              <w:rPr>
                <w:lang w:val="fr-FR"/>
              </w:rPr>
            </w:pPr>
            <w:r>
              <w:rPr>
                <w:lang w:val="fr-FR"/>
              </w:rPr>
              <w:lastRenderedPageBreak/>
              <w:t>Poursuivre et élargir les travaux consacrés aux effets des changements climatiques sur les transports dans le cadre du mandat de l’EGCCIA pour la période 2020-2025.</w:t>
            </w:r>
          </w:p>
        </w:tc>
        <w:tc>
          <w:tcPr>
            <w:tcW w:w="1667" w:type="dxa"/>
            <w:shd w:val="clear" w:color="auto" w:fill="auto"/>
          </w:tcPr>
          <w:p w14:paraId="4AEECD5E" w14:textId="68CD7440" w:rsidR="000661F7" w:rsidRPr="00ED06D8" w:rsidRDefault="000661F7" w:rsidP="0094269B">
            <w:pPr>
              <w:spacing w:before="40" w:after="120"/>
              <w:ind w:right="113"/>
              <w:rPr>
                <w:lang w:val="fr-FR"/>
              </w:rPr>
            </w:pPr>
            <w:r>
              <w:rPr>
                <w:lang w:val="fr-FR"/>
              </w:rPr>
              <w:t xml:space="preserve">Les secrétaires du WP.5 et de l’EGCCIA </w:t>
            </w:r>
          </w:p>
        </w:tc>
      </w:tr>
      <w:tr w:rsidR="000661F7" w:rsidRPr="00D466A5" w14:paraId="76A9D02C" w14:textId="77777777" w:rsidTr="0094269B">
        <w:tc>
          <w:tcPr>
            <w:tcW w:w="500" w:type="dxa"/>
            <w:shd w:val="clear" w:color="auto" w:fill="auto"/>
          </w:tcPr>
          <w:p w14:paraId="0B0DEF69" w14:textId="77777777" w:rsidR="000661F7" w:rsidRPr="008A3E6B" w:rsidRDefault="000661F7" w:rsidP="00181905">
            <w:pPr>
              <w:keepNext/>
              <w:spacing w:before="40" w:after="120"/>
              <w:ind w:right="113"/>
              <w:rPr>
                <w:b/>
                <w:bCs/>
              </w:rPr>
            </w:pPr>
            <w:r>
              <w:rPr>
                <w:b/>
                <w:bCs/>
                <w:lang w:val="fr-FR"/>
              </w:rPr>
              <w:lastRenderedPageBreak/>
              <w:t>6.</w:t>
            </w:r>
          </w:p>
        </w:tc>
        <w:tc>
          <w:tcPr>
            <w:tcW w:w="9139" w:type="dxa"/>
            <w:gridSpan w:val="4"/>
            <w:shd w:val="clear" w:color="auto" w:fill="auto"/>
          </w:tcPr>
          <w:p w14:paraId="30A64B77" w14:textId="77777777" w:rsidR="000661F7" w:rsidRPr="00ED06D8" w:rsidRDefault="000661F7" w:rsidP="00181905">
            <w:pPr>
              <w:keepNext/>
              <w:spacing w:before="40" w:after="120"/>
              <w:ind w:right="113"/>
              <w:rPr>
                <w:b/>
                <w:bCs/>
                <w:lang w:val="fr-FR"/>
              </w:rPr>
            </w:pPr>
            <w:r>
              <w:rPr>
                <w:b/>
                <w:bCs/>
                <w:lang w:val="fr-FR"/>
              </w:rPr>
              <w:t>Mesures relatives à la priorité spéciale que constitue la sécurité routière</w:t>
            </w:r>
          </w:p>
        </w:tc>
      </w:tr>
      <w:tr w:rsidR="000661F7" w:rsidRPr="00D466A5" w14:paraId="72B1EE80" w14:textId="77777777" w:rsidTr="0094269B">
        <w:tc>
          <w:tcPr>
            <w:tcW w:w="500" w:type="dxa"/>
            <w:shd w:val="clear" w:color="auto" w:fill="auto"/>
          </w:tcPr>
          <w:p w14:paraId="6BA40DCF" w14:textId="77777777" w:rsidR="000661F7" w:rsidRPr="0067484D" w:rsidRDefault="000661F7" w:rsidP="00181905">
            <w:pPr>
              <w:keepNext/>
              <w:spacing w:before="40" w:after="120"/>
              <w:ind w:right="113"/>
            </w:pPr>
            <w:r>
              <w:rPr>
                <w:lang w:val="fr-FR"/>
              </w:rPr>
              <w:t>6.1</w:t>
            </w:r>
          </w:p>
        </w:tc>
        <w:tc>
          <w:tcPr>
            <w:tcW w:w="1778" w:type="dxa"/>
            <w:shd w:val="clear" w:color="auto" w:fill="auto"/>
          </w:tcPr>
          <w:p w14:paraId="0FB2B8B6" w14:textId="4E471E9E" w:rsidR="000661F7" w:rsidRPr="00ED06D8" w:rsidRDefault="000661F7" w:rsidP="00181905">
            <w:pPr>
              <w:keepNext/>
              <w:spacing w:before="40" w:after="100"/>
              <w:ind w:right="113"/>
              <w:rPr>
                <w:lang w:val="fr-FR"/>
              </w:rPr>
            </w:pPr>
            <w:r>
              <w:rPr>
                <w:lang w:val="fr-FR"/>
              </w:rPr>
              <w:t>Aider la communauté internationale à atteindre les objectifs relatifs à la sécurité routière dans le monde au moyen d’activités de renforcement des capacités</w:t>
            </w:r>
          </w:p>
        </w:tc>
        <w:tc>
          <w:tcPr>
            <w:tcW w:w="3194" w:type="dxa"/>
            <w:shd w:val="clear" w:color="auto" w:fill="auto"/>
          </w:tcPr>
          <w:p w14:paraId="5664D0FE" w14:textId="0DC57E84" w:rsidR="000661F7" w:rsidRPr="00ED06D8" w:rsidRDefault="000661F7" w:rsidP="00181905">
            <w:pPr>
              <w:keepNext/>
              <w:spacing w:before="40" w:after="100"/>
              <w:ind w:right="113"/>
              <w:rPr>
                <w:lang w:val="fr-FR"/>
              </w:rPr>
            </w:pPr>
            <w:r>
              <w:rPr>
                <w:lang w:val="fr-FR"/>
              </w:rPr>
              <w:t>Le secrétariat a mené des études de performance en matière de sécurité routière et d’autres activités de renforcement des capacités, financées par l’Envoyé spécial du Secrétaire général pour la sécurité routière.</w:t>
            </w:r>
          </w:p>
          <w:p w14:paraId="74B286EC" w14:textId="66731F74" w:rsidR="000661F7" w:rsidRDefault="000661F7" w:rsidP="00181905">
            <w:pPr>
              <w:keepNext/>
              <w:spacing w:before="40" w:after="100"/>
              <w:ind w:right="113"/>
              <w:rPr>
                <w:lang w:val="fr-FR"/>
              </w:rPr>
            </w:pPr>
            <w:r>
              <w:rPr>
                <w:lang w:val="fr-FR"/>
              </w:rPr>
              <w:t xml:space="preserve">La CEE accueille le Fonds des Nations Unies pour la sécurité routière, qui soutient l’exécution de projets de renforcement des capacités en matière de sécurité routière dans les pays à revenu faible et intermédiaire. </w:t>
            </w:r>
          </w:p>
          <w:p w14:paraId="7FEF0617" w14:textId="603601B0" w:rsidR="000661F7" w:rsidRPr="00D0599B" w:rsidRDefault="000661F7" w:rsidP="00181905">
            <w:pPr>
              <w:keepNext/>
              <w:spacing w:before="40" w:after="100"/>
              <w:ind w:right="113"/>
            </w:pPr>
            <w:r w:rsidRPr="00D0599B">
              <w:rPr>
                <w:lang w:val="fr-FR"/>
              </w:rPr>
              <w:t>Des projets d</w:t>
            </w:r>
            <w:r>
              <w:rPr>
                <w:lang w:val="fr-FR"/>
              </w:rPr>
              <w:t>’</w:t>
            </w:r>
            <w:r w:rsidRPr="00D0599B">
              <w:rPr>
                <w:lang w:val="fr-FR"/>
              </w:rPr>
              <w:t>assistance technique visant à promouvoir les instruments juridiques de l</w:t>
            </w:r>
            <w:r>
              <w:rPr>
                <w:lang w:val="fr-FR"/>
              </w:rPr>
              <w:t>’</w:t>
            </w:r>
            <w:r w:rsidRPr="00D0599B">
              <w:rPr>
                <w:lang w:val="fr-FR"/>
              </w:rPr>
              <w:t xml:space="preserve">ONU relevant de la compétence du </w:t>
            </w:r>
            <w:r>
              <w:rPr>
                <w:lang w:val="fr-FR"/>
              </w:rPr>
              <w:t>Comité</w:t>
            </w:r>
            <w:r w:rsidRPr="00D0599B">
              <w:rPr>
                <w:lang w:val="fr-FR"/>
              </w:rPr>
              <w:t xml:space="preserve">, en particulier dans le domaine des </w:t>
            </w:r>
            <w:r>
              <w:rPr>
                <w:lang w:val="fr-FR"/>
              </w:rPr>
              <w:t>Règlement</w:t>
            </w:r>
            <w:r w:rsidRPr="00D0599B">
              <w:rPr>
                <w:lang w:val="fr-FR"/>
              </w:rPr>
              <w:t>s concernant les véhicules, ont été soumis et approuvés avec succès lors des premier</w:t>
            </w:r>
            <w:r w:rsidRPr="00937BDD">
              <w:rPr>
                <w:strike/>
                <w:lang w:val="fr-FR"/>
              </w:rPr>
              <w:t xml:space="preserve"> et</w:t>
            </w:r>
            <w:r>
              <w:rPr>
                <w:lang w:val="fr-FR"/>
              </w:rPr>
              <w:t xml:space="preserve">, </w:t>
            </w:r>
            <w:r w:rsidRPr="00D0599B">
              <w:rPr>
                <w:lang w:val="fr-FR"/>
              </w:rPr>
              <w:t xml:space="preserve">deuxième </w:t>
            </w:r>
            <w:r w:rsidRPr="00D0599B">
              <w:rPr>
                <w:b/>
                <w:bCs/>
                <w:lang w:val="fr-FR"/>
              </w:rPr>
              <w:t xml:space="preserve">et troisième </w:t>
            </w:r>
            <w:r w:rsidRPr="00D0599B">
              <w:rPr>
                <w:lang w:val="fr-FR"/>
              </w:rPr>
              <w:t>appels lancés par le Fonds.</w:t>
            </w:r>
            <w:r w:rsidRPr="00B40125">
              <w:rPr>
                <w:lang w:val="fr-FR"/>
              </w:rPr>
              <w:t xml:space="preserve"> </w:t>
            </w:r>
          </w:p>
          <w:p w14:paraId="0FC99206" w14:textId="36BD2A39" w:rsidR="000661F7" w:rsidRPr="00D0599B" w:rsidRDefault="000661F7" w:rsidP="00181905">
            <w:pPr>
              <w:keepNext/>
              <w:spacing w:before="40" w:after="100"/>
              <w:ind w:right="113"/>
              <w:rPr>
                <w:lang w:val="fr-FR"/>
              </w:rPr>
            </w:pPr>
            <w:r w:rsidRPr="00D0599B">
              <w:rPr>
                <w:lang w:val="fr-FR"/>
              </w:rPr>
              <w:t>Des activités de renforcement des capacités en dehors de la région de la CEE sont organisées avec le soutien de l</w:t>
            </w:r>
            <w:r>
              <w:rPr>
                <w:lang w:val="fr-FR"/>
              </w:rPr>
              <w:t>’</w:t>
            </w:r>
            <w:r w:rsidRPr="00D0599B">
              <w:rPr>
                <w:lang w:val="fr-FR"/>
              </w:rPr>
              <w:t>Envoyé spécial, la dernière l</w:t>
            </w:r>
            <w:r>
              <w:rPr>
                <w:lang w:val="fr-FR"/>
              </w:rPr>
              <w:t>’</w:t>
            </w:r>
            <w:r w:rsidRPr="00D0599B">
              <w:rPr>
                <w:lang w:val="fr-FR"/>
              </w:rPr>
              <w:t>ayant été en novembre 2021 au Botswana.</w:t>
            </w:r>
          </w:p>
          <w:p w14:paraId="42F3B8C9" w14:textId="148F79D5" w:rsidR="000661F7" w:rsidRDefault="000661F7" w:rsidP="00181905">
            <w:pPr>
              <w:keepNext/>
              <w:spacing w:before="40" w:after="100"/>
              <w:ind w:right="113"/>
              <w:rPr>
                <w:b/>
                <w:bCs/>
                <w:lang w:val="fr-FR"/>
              </w:rPr>
            </w:pPr>
            <w:r w:rsidRPr="00180635">
              <w:rPr>
                <w:b/>
                <w:bCs/>
                <w:lang w:val="fr-FR"/>
              </w:rPr>
              <w:t>Dans le cadre des projets financés par le Fonds, des activités de renforcement des capacités axées sur la sûreté des véhicules ont été menées en 2022 en Côte d</w:t>
            </w:r>
            <w:r>
              <w:rPr>
                <w:b/>
                <w:bCs/>
                <w:lang w:val="fr-FR"/>
              </w:rPr>
              <w:t>’</w:t>
            </w:r>
            <w:r w:rsidRPr="00180635">
              <w:rPr>
                <w:b/>
                <w:bCs/>
                <w:lang w:val="fr-FR"/>
              </w:rPr>
              <w:t>Ivoire et au Rwanda</w:t>
            </w:r>
            <w:r>
              <w:rPr>
                <w:b/>
                <w:bCs/>
                <w:lang w:val="fr-FR"/>
              </w:rPr>
              <w:t>.</w:t>
            </w:r>
          </w:p>
          <w:p w14:paraId="1B04D13C" w14:textId="71BB0B43" w:rsidR="000661F7" w:rsidRPr="00D0599B" w:rsidRDefault="000661F7" w:rsidP="00181905">
            <w:pPr>
              <w:keepNext/>
              <w:spacing w:before="40" w:after="100"/>
              <w:ind w:right="113"/>
              <w:rPr>
                <w:b/>
                <w:bCs/>
                <w:lang w:val="fr-FR"/>
              </w:rPr>
            </w:pPr>
            <w:r w:rsidRPr="00180635">
              <w:rPr>
                <w:b/>
                <w:bCs/>
                <w:lang w:val="fr-FR"/>
              </w:rPr>
              <w:t xml:space="preserve">En 2022, les activités de renforcement des capacités en ligne </w:t>
            </w:r>
            <w:r>
              <w:rPr>
                <w:b/>
                <w:bCs/>
                <w:lang w:val="fr-FR"/>
              </w:rPr>
              <w:t xml:space="preserve">menées </w:t>
            </w:r>
            <w:r w:rsidRPr="00180635">
              <w:rPr>
                <w:b/>
                <w:bCs/>
                <w:lang w:val="fr-FR"/>
              </w:rPr>
              <w:t>sur la sûreté des véhicules concern</w:t>
            </w:r>
            <w:r>
              <w:rPr>
                <w:b/>
                <w:bCs/>
                <w:lang w:val="fr-FR"/>
              </w:rPr>
              <w:t>aient</w:t>
            </w:r>
            <w:r w:rsidRPr="00180635">
              <w:rPr>
                <w:b/>
                <w:bCs/>
                <w:lang w:val="fr-FR"/>
              </w:rPr>
              <w:t xml:space="preserve"> le Botswana, le Kenya, l</w:t>
            </w:r>
            <w:r>
              <w:rPr>
                <w:b/>
                <w:bCs/>
                <w:lang w:val="fr-FR"/>
              </w:rPr>
              <w:t>’</w:t>
            </w:r>
            <w:r w:rsidRPr="00180635">
              <w:rPr>
                <w:b/>
                <w:bCs/>
                <w:lang w:val="fr-FR"/>
              </w:rPr>
              <w:t>Arabie saoudit</w:t>
            </w:r>
            <w:r>
              <w:rPr>
                <w:b/>
                <w:bCs/>
                <w:lang w:val="fr-FR"/>
              </w:rPr>
              <w:t>e,</w:t>
            </w:r>
            <w:r w:rsidRPr="00180635">
              <w:rPr>
                <w:b/>
                <w:bCs/>
                <w:lang w:val="fr-FR"/>
              </w:rPr>
              <w:t xml:space="preserve"> le Viet Nam, le Turkménistan, la Serbie et la Bosnie-Herzégovine.</w:t>
            </w:r>
          </w:p>
        </w:tc>
        <w:tc>
          <w:tcPr>
            <w:tcW w:w="2500" w:type="dxa"/>
            <w:shd w:val="clear" w:color="auto" w:fill="auto"/>
          </w:tcPr>
          <w:p w14:paraId="22DBB8F3" w14:textId="7516B554" w:rsidR="000661F7" w:rsidRPr="00ED06D8" w:rsidRDefault="000661F7" w:rsidP="00181905">
            <w:pPr>
              <w:keepNext/>
              <w:spacing w:before="40" w:after="100"/>
              <w:ind w:right="113"/>
              <w:rPr>
                <w:lang w:val="fr-FR"/>
              </w:rPr>
            </w:pPr>
            <w:r>
              <w:rPr>
                <w:lang w:val="fr-FR"/>
              </w:rPr>
              <w:t>1. Continuer de produire des études de performance en matière de sécurité routière. Deux de ces études seront menées avec le soutien de l’Envoyé spécial du Secrétaire général pour la sécurité routière.</w:t>
            </w:r>
          </w:p>
          <w:p w14:paraId="6253070F" w14:textId="7A94FD63" w:rsidR="000661F7" w:rsidRPr="00ED06D8" w:rsidRDefault="000661F7" w:rsidP="00181905">
            <w:pPr>
              <w:keepNext/>
              <w:spacing w:before="40" w:after="100"/>
              <w:ind w:right="113"/>
              <w:rPr>
                <w:lang w:val="fr-FR"/>
              </w:rPr>
            </w:pPr>
            <w:r>
              <w:rPr>
                <w:lang w:val="fr-FR"/>
              </w:rPr>
              <w:t>2. Poursuivre les activités de renforcement des capacités en fonction de la demande. Trois à cinq de ces activités seront menées avec le soutien de l’Envoyé spécial du Secrétaire général pour la sécurité routière.</w:t>
            </w:r>
          </w:p>
          <w:p w14:paraId="2642C0EA" w14:textId="6E480262" w:rsidR="000661F7" w:rsidRPr="00ED06D8" w:rsidRDefault="000661F7" w:rsidP="00181905">
            <w:pPr>
              <w:keepNext/>
              <w:spacing w:before="40" w:after="100"/>
              <w:ind w:right="113"/>
              <w:rPr>
                <w:lang w:val="fr-FR"/>
              </w:rPr>
            </w:pPr>
            <w:r>
              <w:rPr>
                <w:lang w:val="fr-FR"/>
              </w:rPr>
              <w:t xml:space="preserve">3. Mettre au point des projets d’assistance technique dans le cadre des demandes d’aides financières au Fonds des Nations Unies pour la sécurité </w:t>
            </w:r>
            <w:r w:rsidRPr="00D933B3">
              <w:rPr>
                <w:lang w:val="fr-FR"/>
              </w:rPr>
              <w:t>routière pour appliquer les instruments</w:t>
            </w:r>
            <w:r>
              <w:rPr>
                <w:lang w:val="fr-FR"/>
              </w:rPr>
              <w:t xml:space="preserve"> juridiques de l’ONU ou de l’application des recommandations du Comité concernant l’amélioration des systèmes nationaux de sécurité routière (voir aussi la tâche 6.2).</w:t>
            </w:r>
          </w:p>
        </w:tc>
        <w:tc>
          <w:tcPr>
            <w:tcW w:w="1667" w:type="dxa"/>
            <w:shd w:val="clear" w:color="auto" w:fill="auto"/>
          </w:tcPr>
          <w:p w14:paraId="69EF8B26" w14:textId="385C0B34" w:rsidR="000661F7" w:rsidRPr="00ED06D8" w:rsidRDefault="000661F7" w:rsidP="00181905">
            <w:pPr>
              <w:keepNext/>
              <w:spacing w:before="40" w:after="100"/>
              <w:ind w:right="113"/>
              <w:rPr>
                <w:lang w:val="fr-FR"/>
              </w:rPr>
            </w:pPr>
            <w:r>
              <w:rPr>
                <w:lang w:val="fr-FR"/>
              </w:rPr>
              <w:t xml:space="preserve">1-2. Le secrétariat de l’Envoyé spécial du Secrétaire général pour la sécurité routière, en collaboration avec les secrétaires des groupes de travail concernés, sous réserve de la prorogation du mandat de l’Envoyé spécial </w:t>
            </w:r>
          </w:p>
          <w:p w14:paraId="25BA2F36" w14:textId="77777777" w:rsidR="000661F7" w:rsidRPr="00ED06D8" w:rsidRDefault="000661F7" w:rsidP="00181905">
            <w:pPr>
              <w:keepNext/>
              <w:spacing w:before="40" w:after="100"/>
              <w:ind w:right="113"/>
              <w:rPr>
                <w:lang w:val="fr-FR"/>
              </w:rPr>
            </w:pPr>
            <w:r>
              <w:rPr>
                <w:lang w:val="fr-FR"/>
              </w:rPr>
              <w:t xml:space="preserve">3. Les secrétaires des groupes de travail concernés, coordonnés par le secrétariat du Comité </w:t>
            </w:r>
          </w:p>
        </w:tc>
      </w:tr>
      <w:tr w:rsidR="000661F7" w:rsidRPr="00D466A5" w14:paraId="3E8E3FD7" w14:textId="77777777" w:rsidTr="0094269B">
        <w:tc>
          <w:tcPr>
            <w:tcW w:w="500" w:type="dxa"/>
            <w:shd w:val="clear" w:color="auto" w:fill="auto"/>
          </w:tcPr>
          <w:p w14:paraId="2F179412" w14:textId="77777777" w:rsidR="000661F7" w:rsidRPr="0067484D" w:rsidRDefault="000661F7" w:rsidP="00D933B3">
            <w:pPr>
              <w:keepNext/>
              <w:spacing w:before="40" w:after="120"/>
              <w:ind w:right="113"/>
            </w:pPr>
            <w:r>
              <w:rPr>
                <w:lang w:val="fr-FR"/>
              </w:rPr>
              <w:lastRenderedPageBreak/>
              <w:t>6.2</w:t>
            </w:r>
          </w:p>
        </w:tc>
        <w:tc>
          <w:tcPr>
            <w:tcW w:w="1778" w:type="dxa"/>
            <w:shd w:val="clear" w:color="auto" w:fill="auto"/>
          </w:tcPr>
          <w:p w14:paraId="36983BD9" w14:textId="6CF95C5E" w:rsidR="000661F7" w:rsidRPr="00ED06D8" w:rsidRDefault="000661F7" w:rsidP="00D933B3">
            <w:pPr>
              <w:keepNext/>
              <w:spacing w:before="40" w:after="100"/>
              <w:ind w:right="113"/>
              <w:rPr>
                <w:lang w:val="fr-FR"/>
              </w:rPr>
            </w:pPr>
            <w:r>
              <w:rPr>
                <w:lang w:val="fr-FR"/>
              </w:rPr>
              <w:t>Aider la communauté internationale à atteindre les objectifs relatifs à la sécurité routière dans le monde au moyen de travaux analytiques, de dialogues sur les mesures à prendre et d’outils</w:t>
            </w:r>
          </w:p>
        </w:tc>
        <w:tc>
          <w:tcPr>
            <w:tcW w:w="3194" w:type="dxa"/>
            <w:shd w:val="clear" w:color="auto" w:fill="auto"/>
          </w:tcPr>
          <w:p w14:paraId="093CCE59" w14:textId="48588AB7" w:rsidR="000661F7" w:rsidRDefault="000661F7" w:rsidP="00D933B3">
            <w:pPr>
              <w:keepNext/>
              <w:spacing w:before="40" w:after="100"/>
              <w:ind w:right="113"/>
              <w:rPr>
                <w:lang w:val="fr-FR"/>
              </w:rPr>
            </w:pPr>
            <w:r>
              <w:rPr>
                <w:lang w:val="fr-FR"/>
              </w:rPr>
              <w:t xml:space="preserve">Le Comité a adopté ses recommandations concernant l’amélioration des systèmes nationaux de sécurité routière. Ces recommandations constituent un plan directeur universel, qui peut être appliqué au système national de sécurité routière de n’importe quel pays. Elles aident les pays à recenser les lacunes de leur système et à y remédier par des mesures ciblées et interdépendantes, qui doivent être prises par différents acteurs. Les pays devraient les appliquer prochainement. </w:t>
            </w:r>
          </w:p>
          <w:p w14:paraId="7CC4EFFD" w14:textId="5D2632C8" w:rsidR="000661F7" w:rsidRPr="00D0599B" w:rsidRDefault="000661F7" w:rsidP="00D933B3">
            <w:pPr>
              <w:keepNext/>
              <w:spacing w:before="40" w:after="100"/>
              <w:ind w:right="113"/>
              <w:rPr>
                <w:lang w:val="fr-FR"/>
              </w:rPr>
            </w:pPr>
            <w:r w:rsidRPr="00D0599B">
              <w:rPr>
                <w:lang w:val="fr-FR"/>
              </w:rPr>
              <w:t>Les Recommandations ont ensuite été intégrées dans le Plan mondial pour la Décennie d</w:t>
            </w:r>
            <w:r>
              <w:rPr>
                <w:lang w:val="fr-FR"/>
              </w:rPr>
              <w:t>’</w:t>
            </w:r>
            <w:r w:rsidRPr="00D0599B">
              <w:rPr>
                <w:lang w:val="fr-FR"/>
              </w:rPr>
              <w:t>action pour la sécurité routière 2021-2030, qui a été élaboré en application directe de la résolution</w:t>
            </w:r>
            <w:r w:rsidR="00D933B3">
              <w:rPr>
                <w:lang w:val="fr-FR"/>
              </w:rPr>
              <w:t> </w:t>
            </w:r>
            <w:r w:rsidRPr="00D0599B">
              <w:rPr>
                <w:lang w:val="fr-FR"/>
              </w:rPr>
              <w:t>74/299 de l</w:t>
            </w:r>
            <w:r>
              <w:rPr>
                <w:lang w:val="fr-FR"/>
              </w:rPr>
              <w:t>’</w:t>
            </w:r>
            <w:r w:rsidRPr="00D0599B">
              <w:rPr>
                <w:lang w:val="fr-FR"/>
              </w:rPr>
              <w:t>Assemblée général</w:t>
            </w:r>
            <w:r>
              <w:rPr>
                <w:lang w:val="fr-FR"/>
              </w:rPr>
              <w:t>e,</w:t>
            </w:r>
            <w:r w:rsidRPr="00D0599B">
              <w:rPr>
                <w:lang w:val="fr-FR"/>
              </w:rPr>
              <w:t xml:space="preserve"> ce qui a permis d</w:t>
            </w:r>
            <w:r>
              <w:rPr>
                <w:lang w:val="fr-FR"/>
              </w:rPr>
              <w:t>’</w:t>
            </w:r>
            <w:r w:rsidRPr="00D0599B">
              <w:rPr>
                <w:lang w:val="fr-FR"/>
              </w:rPr>
              <w:t>accroître la visibilité des Recommandations.</w:t>
            </w:r>
          </w:p>
          <w:p w14:paraId="2A37BDF0" w14:textId="77E11C98" w:rsidR="000661F7" w:rsidRPr="00D466A5" w:rsidRDefault="000661F7" w:rsidP="00D933B3">
            <w:pPr>
              <w:keepNext/>
              <w:spacing w:before="40" w:after="100"/>
              <w:ind w:right="113"/>
              <w:rPr>
                <w:lang w:val="fr-FR"/>
              </w:rPr>
            </w:pPr>
            <w:r w:rsidRPr="002508EE">
              <w:rPr>
                <w:b/>
                <w:bCs/>
                <w:lang w:val="fr-FR"/>
              </w:rPr>
              <w:t>À l</w:t>
            </w:r>
            <w:r>
              <w:rPr>
                <w:b/>
                <w:bCs/>
                <w:lang w:val="fr-FR"/>
              </w:rPr>
              <w:t>’</w:t>
            </w:r>
            <w:r w:rsidRPr="002508EE">
              <w:rPr>
                <w:b/>
                <w:bCs/>
                <w:lang w:val="fr-FR"/>
              </w:rPr>
              <w:t xml:space="preserve">occasion du soixante-quinzième anniversaire du </w:t>
            </w:r>
            <w:r>
              <w:rPr>
                <w:b/>
                <w:bCs/>
                <w:lang w:val="fr-FR"/>
              </w:rPr>
              <w:t>Comité</w:t>
            </w:r>
            <w:r w:rsidRPr="002508EE">
              <w:rPr>
                <w:b/>
                <w:bCs/>
                <w:lang w:val="fr-FR"/>
              </w:rPr>
              <w:t xml:space="preserve">, une brochure consacrée aux recommandations du </w:t>
            </w:r>
            <w:r>
              <w:rPr>
                <w:b/>
                <w:bCs/>
                <w:lang w:val="fr-FR"/>
              </w:rPr>
              <w:t>Comité</w:t>
            </w:r>
            <w:r w:rsidRPr="002508EE">
              <w:rPr>
                <w:b/>
                <w:bCs/>
                <w:lang w:val="fr-FR"/>
              </w:rPr>
              <w:t xml:space="preserve"> a été publiée afin de les promouvoir auprès des pays à revenu faible ou intermédiaire.</w:t>
            </w:r>
          </w:p>
        </w:tc>
        <w:tc>
          <w:tcPr>
            <w:tcW w:w="2500" w:type="dxa"/>
            <w:shd w:val="clear" w:color="auto" w:fill="auto"/>
          </w:tcPr>
          <w:p w14:paraId="377E71EF" w14:textId="785CB2A8" w:rsidR="000661F7" w:rsidRPr="00321568" w:rsidRDefault="000661F7" w:rsidP="00D933B3">
            <w:pPr>
              <w:keepNext/>
              <w:spacing w:before="40" w:after="100"/>
              <w:ind w:right="113"/>
              <w:rPr>
                <w:spacing w:val="-2"/>
                <w:lang w:val="fr-FR"/>
              </w:rPr>
            </w:pPr>
            <w:r w:rsidRPr="00321568">
              <w:rPr>
                <w:spacing w:val="-2"/>
                <w:lang w:val="fr-FR"/>
              </w:rPr>
              <w:t xml:space="preserve">1. Promouvoir et faire connaître les recommandations du </w:t>
            </w:r>
            <w:r>
              <w:rPr>
                <w:spacing w:val="-2"/>
                <w:lang w:val="fr-FR"/>
              </w:rPr>
              <w:t>Comité</w:t>
            </w:r>
            <w:r w:rsidRPr="00321568">
              <w:rPr>
                <w:spacing w:val="-2"/>
                <w:lang w:val="fr-FR"/>
              </w:rPr>
              <w:t xml:space="preserve"> concernant l</w:t>
            </w:r>
            <w:r>
              <w:rPr>
                <w:spacing w:val="-2"/>
                <w:lang w:val="fr-FR"/>
              </w:rPr>
              <w:t>’</w:t>
            </w:r>
            <w:r w:rsidRPr="00321568">
              <w:rPr>
                <w:spacing w:val="-2"/>
                <w:lang w:val="fr-FR"/>
              </w:rPr>
              <w:t>amélioration des systèmes nationaux de sécurité routière.</w:t>
            </w:r>
          </w:p>
          <w:p w14:paraId="08E5BE30" w14:textId="15E1383C" w:rsidR="000661F7" w:rsidRPr="00321568" w:rsidRDefault="000661F7" w:rsidP="00D933B3">
            <w:pPr>
              <w:keepNext/>
              <w:spacing w:before="40" w:after="100"/>
              <w:ind w:right="113"/>
              <w:rPr>
                <w:spacing w:val="-2"/>
                <w:lang w:val="fr-FR"/>
              </w:rPr>
            </w:pPr>
            <w:r w:rsidRPr="00321568">
              <w:rPr>
                <w:spacing w:val="-2"/>
                <w:lang w:val="fr-FR"/>
              </w:rPr>
              <w:t>2. Revoir et actualiser périodiquement les recommandations pour les maintenir en phase avec l</w:t>
            </w:r>
            <w:r>
              <w:rPr>
                <w:spacing w:val="-2"/>
                <w:lang w:val="fr-FR"/>
              </w:rPr>
              <w:t>’</w:t>
            </w:r>
            <w:r w:rsidRPr="00321568">
              <w:rPr>
                <w:spacing w:val="-2"/>
                <w:lang w:val="fr-FR"/>
              </w:rPr>
              <w:t>évolution des instruments juridiques de l</w:t>
            </w:r>
            <w:r>
              <w:rPr>
                <w:spacing w:val="-2"/>
                <w:lang w:val="fr-FR"/>
              </w:rPr>
              <w:t>’</w:t>
            </w:r>
            <w:r w:rsidRPr="00321568">
              <w:rPr>
                <w:spacing w:val="-2"/>
                <w:lang w:val="fr-FR"/>
              </w:rPr>
              <w:t xml:space="preserve">ONU relatifs à la sécurité routière et des bonnes pratiques, notamment. </w:t>
            </w:r>
          </w:p>
        </w:tc>
        <w:tc>
          <w:tcPr>
            <w:tcW w:w="1667" w:type="dxa"/>
            <w:shd w:val="clear" w:color="auto" w:fill="auto"/>
          </w:tcPr>
          <w:p w14:paraId="70BDDB2D" w14:textId="77777777" w:rsidR="000661F7" w:rsidRPr="00ED06D8" w:rsidRDefault="000661F7" w:rsidP="00D933B3">
            <w:pPr>
              <w:keepNext/>
              <w:spacing w:before="40" w:after="100"/>
              <w:ind w:right="113"/>
              <w:rPr>
                <w:lang w:val="fr-FR"/>
              </w:rPr>
            </w:pPr>
            <w:r>
              <w:rPr>
                <w:lang w:val="fr-FR"/>
              </w:rPr>
              <w:t xml:space="preserve">1-2. Le secrétariat du Comité, en collaboration avec les Secrétaires des groupes de travail concernés </w:t>
            </w:r>
          </w:p>
        </w:tc>
      </w:tr>
      <w:tr w:rsidR="000661F7" w:rsidRPr="00F774A4" w14:paraId="67349265" w14:textId="77777777" w:rsidTr="0094269B">
        <w:tc>
          <w:tcPr>
            <w:tcW w:w="500" w:type="dxa"/>
            <w:shd w:val="clear" w:color="auto" w:fill="auto"/>
          </w:tcPr>
          <w:p w14:paraId="7233E38F" w14:textId="77777777" w:rsidR="000661F7" w:rsidRPr="000713DB" w:rsidRDefault="000661F7" w:rsidP="0094269B">
            <w:pPr>
              <w:spacing w:before="40" w:after="100"/>
              <w:ind w:right="113"/>
              <w:rPr>
                <w:b/>
                <w:bCs/>
                <w:lang w:val="fr-FR"/>
              </w:rPr>
            </w:pPr>
            <w:r w:rsidRPr="000713DB">
              <w:rPr>
                <w:b/>
                <w:bCs/>
                <w:lang w:val="fr-FR"/>
              </w:rPr>
              <w:t>7.</w:t>
            </w:r>
          </w:p>
        </w:tc>
        <w:tc>
          <w:tcPr>
            <w:tcW w:w="9139" w:type="dxa"/>
            <w:gridSpan w:val="4"/>
            <w:shd w:val="clear" w:color="auto" w:fill="auto"/>
          </w:tcPr>
          <w:p w14:paraId="4BADD797" w14:textId="77777777" w:rsidR="000661F7" w:rsidRPr="000713DB" w:rsidRDefault="000661F7" w:rsidP="0094269B">
            <w:pPr>
              <w:spacing w:before="40" w:after="100"/>
              <w:ind w:right="113"/>
              <w:rPr>
                <w:b/>
                <w:bCs/>
                <w:lang w:val="fr-FR"/>
              </w:rPr>
            </w:pPr>
            <w:r w:rsidRPr="000713DB">
              <w:rPr>
                <w:b/>
                <w:bCs/>
                <w:lang w:val="fr-FR"/>
              </w:rPr>
              <w:t>Mobilisation de ressources</w:t>
            </w:r>
          </w:p>
        </w:tc>
      </w:tr>
      <w:tr w:rsidR="000661F7" w:rsidRPr="00D466A5" w14:paraId="3C8C7579" w14:textId="77777777" w:rsidTr="0094269B">
        <w:tc>
          <w:tcPr>
            <w:tcW w:w="500" w:type="dxa"/>
            <w:shd w:val="clear" w:color="auto" w:fill="auto"/>
          </w:tcPr>
          <w:p w14:paraId="66E12506" w14:textId="77777777" w:rsidR="000661F7" w:rsidRPr="0067484D" w:rsidRDefault="000661F7" w:rsidP="0094269B">
            <w:pPr>
              <w:spacing w:before="40" w:after="100"/>
              <w:ind w:right="113"/>
            </w:pPr>
          </w:p>
        </w:tc>
        <w:tc>
          <w:tcPr>
            <w:tcW w:w="1778" w:type="dxa"/>
            <w:shd w:val="clear" w:color="auto" w:fill="auto"/>
          </w:tcPr>
          <w:p w14:paraId="66564C71" w14:textId="77777777" w:rsidR="000661F7" w:rsidRPr="0067484D" w:rsidRDefault="000661F7" w:rsidP="0094269B">
            <w:pPr>
              <w:spacing w:before="40" w:after="100"/>
              <w:ind w:right="113"/>
            </w:pPr>
          </w:p>
        </w:tc>
        <w:tc>
          <w:tcPr>
            <w:tcW w:w="3194" w:type="dxa"/>
            <w:shd w:val="clear" w:color="auto" w:fill="auto"/>
          </w:tcPr>
          <w:p w14:paraId="17BF6F28" w14:textId="697C50CB" w:rsidR="000661F7" w:rsidRPr="00CD65DE" w:rsidRDefault="000661F7" w:rsidP="0094269B">
            <w:pPr>
              <w:spacing w:before="40" w:after="100"/>
              <w:ind w:right="113"/>
              <w:rPr>
                <w:spacing w:val="-2"/>
                <w:lang w:val="fr-FR"/>
              </w:rPr>
            </w:pPr>
            <w:r w:rsidRPr="00CD65DE">
              <w:rPr>
                <w:spacing w:val="-2"/>
                <w:lang w:val="fr-FR"/>
              </w:rPr>
              <w:t>Le secrétariat a établi un document dans lequel sont présentées plusieurs options de renforcement de la capacité du sous-programme « Transports » à attirer des ressources à consacrer aux effectifs. Ce document est en cours d</w:t>
            </w:r>
            <w:r>
              <w:rPr>
                <w:spacing w:val="-2"/>
                <w:lang w:val="fr-FR"/>
              </w:rPr>
              <w:t>’</w:t>
            </w:r>
            <w:r w:rsidRPr="00CD65DE">
              <w:rPr>
                <w:spacing w:val="-2"/>
                <w:lang w:val="fr-FR"/>
              </w:rPr>
              <w:t xml:space="preserve">examen par le Bureau du </w:t>
            </w:r>
            <w:r>
              <w:rPr>
                <w:spacing w:val="-2"/>
                <w:lang w:val="fr-FR"/>
              </w:rPr>
              <w:t>Comité</w:t>
            </w:r>
            <w:r w:rsidRPr="00CD65DE">
              <w:rPr>
                <w:spacing w:val="-2"/>
                <w:lang w:val="fr-FR"/>
              </w:rPr>
              <w:t xml:space="preserve">. </w:t>
            </w:r>
          </w:p>
          <w:p w14:paraId="26181EC9" w14:textId="130C9C79" w:rsidR="000661F7" w:rsidRPr="00ED06D8" w:rsidRDefault="000661F7" w:rsidP="0094269B">
            <w:pPr>
              <w:spacing w:before="40" w:after="100"/>
              <w:ind w:right="113"/>
              <w:rPr>
                <w:lang w:val="fr-FR"/>
              </w:rPr>
            </w:pPr>
            <w:r>
              <w:rPr>
                <w:lang w:val="fr-FR"/>
              </w:rPr>
              <w:t>Divers projets, tels que le projet SITCIN ou le projet de plateforme d’apprentissage en ligne, sont financés par le Compte de l’ONU pour le développement.</w:t>
            </w:r>
          </w:p>
          <w:p w14:paraId="0661C2EA" w14:textId="7B762690" w:rsidR="000661F7" w:rsidRPr="00ED06D8" w:rsidRDefault="000661F7" w:rsidP="0094269B">
            <w:pPr>
              <w:spacing w:before="40" w:after="100"/>
              <w:ind w:right="113"/>
              <w:rPr>
                <w:lang w:val="fr-FR"/>
              </w:rPr>
            </w:pPr>
            <w:r>
              <w:rPr>
                <w:lang w:val="fr-FR"/>
              </w:rPr>
              <w:t xml:space="preserve">La Fédération de Russie a fourni des ressources extrabudgétaires au WP.5 pour l’aider à mener ses travaux sur la mobilité urbaine et l’urbanisme. </w:t>
            </w:r>
          </w:p>
          <w:p w14:paraId="6F7F3FD4" w14:textId="1B5AC0A3" w:rsidR="000661F7" w:rsidRPr="00D5725A" w:rsidRDefault="000661F7" w:rsidP="0094269B">
            <w:pPr>
              <w:spacing w:before="40" w:after="100"/>
              <w:ind w:right="113"/>
              <w:rPr>
                <w:spacing w:val="-2"/>
                <w:lang w:val="fr-FR"/>
              </w:rPr>
            </w:pPr>
            <w:r w:rsidRPr="00D5725A">
              <w:rPr>
                <w:spacing w:val="-2"/>
                <w:lang w:val="fr-FR"/>
              </w:rPr>
              <w:t>Les Pays-Bas ont apporté un soutien financier aux activités d</w:t>
            </w:r>
            <w:r>
              <w:rPr>
                <w:spacing w:val="-2"/>
                <w:lang w:val="fr-FR"/>
              </w:rPr>
              <w:t>’</w:t>
            </w:r>
            <w:r w:rsidRPr="00D5725A">
              <w:rPr>
                <w:spacing w:val="-2"/>
                <w:lang w:val="fr-FR"/>
              </w:rPr>
              <w:t>évaluation des effets des changements climatiques sur les infrastructures de transport et</w:t>
            </w:r>
            <w:r w:rsidRPr="002508EE">
              <w:rPr>
                <w:b/>
                <w:bCs/>
                <w:spacing w:val="-2"/>
                <w:lang w:val="fr-FR"/>
              </w:rPr>
              <w:t xml:space="preserve"> ont offert des fonds supplémentaires en </w:t>
            </w:r>
            <w:r w:rsidRPr="002508EE">
              <w:rPr>
                <w:b/>
                <w:bCs/>
                <w:spacing w:val="-2"/>
                <w:lang w:val="fr-FR"/>
              </w:rPr>
              <w:lastRenderedPageBreak/>
              <w:t>2021 et 2022 pour appuyer les travaux sur la résilience des transports.</w:t>
            </w:r>
            <w:r w:rsidRPr="002508EE" w:rsidDel="002508EE">
              <w:rPr>
                <w:b/>
                <w:bCs/>
                <w:spacing w:val="-2"/>
                <w:lang w:val="fr-FR"/>
              </w:rPr>
              <w:t xml:space="preserve"> </w:t>
            </w:r>
          </w:p>
          <w:p w14:paraId="7FC0AA63" w14:textId="648D1E22" w:rsidR="000661F7" w:rsidRPr="00D5725A" w:rsidRDefault="000661F7" w:rsidP="0094269B">
            <w:pPr>
              <w:spacing w:before="40" w:after="100"/>
              <w:ind w:right="113"/>
              <w:rPr>
                <w:spacing w:val="-2"/>
                <w:lang w:val="fr-FR"/>
              </w:rPr>
            </w:pPr>
            <w:r w:rsidRPr="00D5725A">
              <w:rPr>
                <w:spacing w:val="-2"/>
                <w:lang w:val="fr-FR"/>
              </w:rPr>
              <w:t>La BID soutient les travaux de mise au point de l</w:t>
            </w:r>
            <w:r>
              <w:rPr>
                <w:spacing w:val="-2"/>
                <w:lang w:val="fr-FR"/>
              </w:rPr>
              <w:t>’</w:t>
            </w:r>
            <w:r w:rsidRPr="00D5725A">
              <w:rPr>
                <w:spacing w:val="-2"/>
                <w:lang w:val="fr-FR"/>
              </w:rPr>
              <w:t>Observatoire des infrastructures de transport sur la base d</w:t>
            </w:r>
            <w:r>
              <w:rPr>
                <w:spacing w:val="-2"/>
                <w:lang w:val="fr-FR"/>
              </w:rPr>
              <w:t>’</w:t>
            </w:r>
            <w:r w:rsidRPr="00D5725A">
              <w:rPr>
                <w:spacing w:val="-2"/>
                <w:lang w:val="fr-FR"/>
              </w:rPr>
              <w:t xml:space="preserve">un SIG (voir aussi la tâche 5.16). </w:t>
            </w:r>
          </w:p>
          <w:p w14:paraId="1D559A45" w14:textId="02B4FE30" w:rsidR="000661F7" w:rsidRPr="00CD65DE" w:rsidRDefault="000661F7" w:rsidP="0094269B">
            <w:pPr>
              <w:spacing w:before="40" w:after="100"/>
              <w:ind w:right="113"/>
            </w:pPr>
            <w:r w:rsidRPr="00CD65DE">
              <w:rPr>
                <w:lang w:val="fr-FR"/>
              </w:rPr>
              <w:t>Depuis plus de dix ans, l</w:t>
            </w:r>
            <w:r>
              <w:rPr>
                <w:lang w:val="fr-FR"/>
              </w:rPr>
              <w:t>’</w:t>
            </w:r>
            <w:r w:rsidRPr="00CD65DE">
              <w:rPr>
                <w:lang w:val="fr-FR"/>
              </w:rPr>
              <w:t xml:space="preserve">Organisation pour la sécurité et la coopération en Europe (OSCE) soutient financièrement les travaux consacrés aux liaisons de transport Europe-Asie et à la sécurité des transports intérieurs. </w:t>
            </w:r>
            <w:r w:rsidRPr="00445181">
              <w:rPr>
                <w:lang w:val="fr-FR"/>
              </w:rPr>
              <w:t>Elle a récemment financé la mise au point d</w:t>
            </w:r>
            <w:r>
              <w:rPr>
                <w:lang w:val="fr-FR"/>
              </w:rPr>
              <w:t>’</w:t>
            </w:r>
            <w:r w:rsidRPr="00445181">
              <w:rPr>
                <w:lang w:val="fr-FR"/>
              </w:rPr>
              <w:t>un portail d</w:t>
            </w:r>
            <w:r>
              <w:rPr>
                <w:lang w:val="fr-FR"/>
              </w:rPr>
              <w:t>’</w:t>
            </w:r>
            <w:r w:rsidRPr="00445181">
              <w:rPr>
                <w:lang w:val="fr-FR"/>
              </w:rPr>
              <w:t>information et de formation en ligne sur le système eTIR.</w:t>
            </w:r>
          </w:p>
          <w:p w14:paraId="780BF7BE" w14:textId="77777777" w:rsidR="000661F7" w:rsidRDefault="000661F7" w:rsidP="0094269B">
            <w:pPr>
              <w:spacing w:before="40" w:after="100"/>
              <w:ind w:right="113"/>
              <w:rPr>
                <w:lang w:val="fr-FR"/>
              </w:rPr>
            </w:pPr>
            <w:r w:rsidRPr="00445181">
              <w:rPr>
                <w:lang w:val="fr-FR"/>
              </w:rPr>
              <w:t>La Fédération de Russie a fourni un financement extrabudgétaire pour soutenir les travaux de transformation numérique du Code de bonne</w:t>
            </w:r>
            <w:r>
              <w:rPr>
                <w:lang w:val="fr-FR"/>
              </w:rPr>
              <w:t>s</w:t>
            </w:r>
            <w:r w:rsidRPr="00445181">
              <w:rPr>
                <w:lang w:val="fr-FR"/>
              </w:rPr>
              <w:t xml:space="preserve"> pratique</w:t>
            </w:r>
            <w:r>
              <w:rPr>
                <w:lang w:val="fr-FR"/>
              </w:rPr>
              <w:t>s</w:t>
            </w:r>
            <w:r w:rsidRPr="00445181">
              <w:rPr>
                <w:lang w:val="fr-FR"/>
              </w:rPr>
              <w:t xml:space="preserve"> pour le chargement des cargaisons dans des engins de transport (code CTU).</w:t>
            </w:r>
            <w:r w:rsidRPr="002508EE">
              <w:rPr>
                <w:lang w:val="fr-FR"/>
              </w:rPr>
              <w:t xml:space="preserve"> </w:t>
            </w:r>
          </w:p>
          <w:p w14:paraId="7E2C3A71" w14:textId="77777777" w:rsidR="000661F7" w:rsidRDefault="000661F7" w:rsidP="00A323D4">
            <w:pPr>
              <w:keepNext/>
              <w:keepLines/>
              <w:spacing w:before="40" w:after="100"/>
              <w:ind w:right="113"/>
              <w:rPr>
                <w:b/>
                <w:bCs/>
              </w:rPr>
            </w:pPr>
            <w:r w:rsidRPr="002508EE">
              <w:rPr>
                <w:b/>
                <w:bCs/>
              </w:rPr>
              <w:t>En 2022, deux projets financés par le Fonds ont été menés à bien par la Division des transports durables de la CEE</w:t>
            </w:r>
            <w:r>
              <w:rPr>
                <w:b/>
                <w:bCs/>
              </w:rPr>
              <w:t> :</w:t>
            </w:r>
          </w:p>
          <w:p w14:paraId="01CAFC29" w14:textId="3E4DB8B7" w:rsidR="000661F7" w:rsidRPr="002508EE" w:rsidRDefault="000661F7" w:rsidP="0094269B">
            <w:pPr>
              <w:spacing w:before="40" w:after="100"/>
              <w:ind w:right="113"/>
              <w:rPr>
                <w:b/>
                <w:bCs/>
              </w:rPr>
            </w:pPr>
            <w:r w:rsidRPr="002508EE">
              <w:rPr>
                <w:b/>
                <w:bCs/>
              </w:rPr>
              <w:t xml:space="preserve">a) </w:t>
            </w:r>
            <w:r>
              <w:rPr>
                <w:b/>
                <w:bCs/>
              </w:rPr>
              <w:t>« </w:t>
            </w:r>
            <w:r w:rsidRPr="002508EE">
              <w:rPr>
                <w:b/>
                <w:bCs/>
              </w:rPr>
              <w:t>Des véhicules d</w:t>
            </w:r>
            <w:r>
              <w:rPr>
                <w:b/>
                <w:bCs/>
              </w:rPr>
              <w:t>’</w:t>
            </w:r>
            <w:r w:rsidRPr="002508EE">
              <w:rPr>
                <w:b/>
                <w:bCs/>
              </w:rPr>
              <w:t>occasion plus sûrs et plus propres pour l</w:t>
            </w:r>
            <w:r>
              <w:rPr>
                <w:b/>
                <w:bCs/>
              </w:rPr>
              <w:t>’</w:t>
            </w:r>
            <w:r w:rsidRPr="002508EE">
              <w:rPr>
                <w:b/>
                <w:bCs/>
              </w:rPr>
              <w:t>Afriqu</w:t>
            </w:r>
            <w:r>
              <w:rPr>
                <w:b/>
                <w:bCs/>
              </w:rPr>
              <w:t>e »,</w:t>
            </w:r>
            <w:r w:rsidRPr="002508EE">
              <w:rPr>
                <w:b/>
                <w:bCs/>
              </w:rPr>
              <w:t xml:space="preserve"> en coopération avec le PNUE</w:t>
            </w:r>
            <w:r>
              <w:rPr>
                <w:b/>
                <w:bCs/>
              </w:rPr>
              <w:t> ;</w:t>
            </w:r>
          </w:p>
          <w:p w14:paraId="63387527" w14:textId="77777777" w:rsidR="000661F7" w:rsidRDefault="000661F7" w:rsidP="0094269B">
            <w:pPr>
              <w:spacing w:before="40" w:after="100"/>
              <w:ind w:right="113"/>
              <w:rPr>
                <w:b/>
                <w:bCs/>
                <w:lang w:val="fr-FR"/>
              </w:rPr>
            </w:pPr>
            <w:r w:rsidRPr="00127F73">
              <w:rPr>
                <w:b/>
                <w:bCs/>
                <w:lang w:val="fr-FR"/>
              </w:rPr>
              <w:t xml:space="preserve">b) </w:t>
            </w:r>
            <w:r>
              <w:rPr>
                <w:b/>
                <w:bCs/>
                <w:lang w:val="fr-FR"/>
              </w:rPr>
              <w:t>« </w:t>
            </w:r>
            <w:r w:rsidRPr="00127F73">
              <w:rPr>
                <w:b/>
                <w:bCs/>
                <w:lang w:val="fr-FR"/>
              </w:rPr>
              <w:t>Des casques plus sûrs pour le Rwanda</w:t>
            </w:r>
            <w:r>
              <w:rPr>
                <w:b/>
                <w:bCs/>
                <w:lang w:val="fr-FR"/>
              </w:rPr>
              <w:t> »</w:t>
            </w:r>
            <w:r w:rsidRPr="00127F73">
              <w:rPr>
                <w:b/>
                <w:bCs/>
                <w:lang w:val="fr-FR"/>
              </w:rPr>
              <w:t>, en coopération avec la CEA.</w:t>
            </w:r>
          </w:p>
          <w:p w14:paraId="07F34538" w14:textId="07FA49AD" w:rsidR="000661F7" w:rsidRPr="00C33721" w:rsidRDefault="000661F7" w:rsidP="0094269B">
            <w:pPr>
              <w:spacing w:before="40" w:after="100"/>
              <w:ind w:right="113"/>
              <w:rPr>
                <w:lang w:val="fr-FR"/>
              </w:rPr>
            </w:pPr>
            <w:r w:rsidRPr="00445181">
              <w:rPr>
                <w:lang w:val="fr-FR"/>
              </w:rPr>
              <w:t>L</w:t>
            </w:r>
            <w:r>
              <w:rPr>
                <w:lang w:val="fr-FR"/>
              </w:rPr>
              <w:t>’</w:t>
            </w:r>
            <w:r w:rsidRPr="00445181">
              <w:rPr>
                <w:lang w:val="fr-FR"/>
              </w:rPr>
              <w:t>Allemagne a détaché un administrateur auxiliaire auprès de la Section de la réglementation des véhicules et de l</w:t>
            </w:r>
            <w:r>
              <w:rPr>
                <w:lang w:val="fr-FR"/>
              </w:rPr>
              <w:t>’</w:t>
            </w:r>
            <w:r w:rsidRPr="00445181">
              <w:rPr>
                <w:lang w:val="fr-FR"/>
              </w:rPr>
              <w:t>innovation dans les transports de la Division des transports durables pour soutenir, de novembre 2021 à novembre 2023</w:t>
            </w:r>
            <w:r>
              <w:rPr>
                <w:lang w:val="fr-FR"/>
              </w:rPr>
              <w:t>,</w:t>
            </w:r>
            <w:r w:rsidRPr="00445181">
              <w:rPr>
                <w:lang w:val="fr-FR"/>
              </w:rPr>
              <w:t xml:space="preserve"> les travaux sur les systèmes de transport intelligents et la conduite automatisé</w:t>
            </w:r>
            <w:r>
              <w:rPr>
                <w:lang w:val="fr-FR"/>
              </w:rPr>
              <w:t>e.</w:t>
            </w:r>
          </w:p>
          <w:p w14:paraId="1AB33CFA" w14:textId="4F4A14B1" w:rsidR="000661F7" w:rsidRDefault="000661F7" w:rsidP="0094269B">
            <w:pPr>
              <w:spacing w:before="40" w:after="100"/>
              <w:ind w:right="113"/>
              <w:rPr>
                <w:b/>
                <w:bCs/>
                <w:lang w:val="fr-FR"/>
              </w:rPr>
            </w:pPr>
            <w:r w:rsidRPr="00127F73">
              <w:rPr>
                <w:b/>
                <w:bCs/>
                <w:lang w:val="fr-FR"/>
              </w:rPr>
              <w:t>Un administrateur auxiliaire a été mis à disposition par l</w:t>
            </w:r>
            <w:r>
              <w:rPr>
                <w:b/>
                <w:bCs/>
                <w:lang w:val="fr-FR"/>
              </w:rPr>
              <w:t>’</w:t>
            </w:r>
            <w:r w:rsidRPr="00127F73">
              <w:rPr>
                <w:b/>
                <w:bCs/>
                <w:lang w:val="fr-FR"/>
              </w:rPr>
              <w:t>Allemagne d</w:t>
            </w:r>
            <w:r>
              <w:rPr>
                <w:b/>
                <w:bCs/>
                <w:lang w:val="fr-FR"/>
              </w:rPr>
              <w:t>’</w:t>
            </w:r>
            <w:r w:rsidRPr="00127F73">
              <w:rPr>
                <w:b/>
                <w:bCs/>
                <w:lang w:val="fr-FR"/>
              </w:rPr>
              <w:t xml:space="preserve">octobre 2022 à octobre 2024 pour appuyer les travaux du </w:t>
            </w:r>
            <w:r>
              <w:rPr>
                <w:b/>
                <w:bCs/>
                <w:lang w:val="fr-FR"/>
              </w:rPr>
              <w:t>Comité</w:t>
            </w:r>
            <w:r w:rsidRPr="00127F73">
              <w:rPr>
                <w:b/>
                <w:bCs/>
                <w:lang w:val="fr-FR"/>
              </w:rPr>
              <w:t>.</w:t>
            </w:r>
          </w:p>
          <w:p w14:paraId="69370F2C" w14:textId="58A3F751" w:rsidR="000661F7" w:rsidRPr="00C33721" w:rsidRDefault="000661F7" w:rsidP="0094269B">
            <w:pPr>
              <w:spacing w:before="40" w:after="100"/>
              <w:ind w:right="113"/>
              <w:rPr>
                <w:b/>
                <w:bCs/>
                <w:lang w:val="fr-FR"/>
              </w:rPr>
            </w:pPr>
            <w:r w:rsidRPr="00C33721">
              <w:rPr>
                <w:b/>
                <w:bCs/>
                <w:lang w:val="fr-FR"/>
              </w:rPr>
              <w:t>L</w:t>
            </w:r>
            <w:r>
              <w:rPr>
                <w:b/>
                <w:bCs/>
                <w:lang w:val="fr-FR"/>
              </w:rPr>
              <w:t>’</w:t>
            </w:r>
            <w:r w:rsidRPr="00C33721">
              <w:rPr>
                <w:b/>
                <w:bCs/>
                <w:lang w:val="fr-FR"/>
              </w:rPr>
              <w:t>organisation du soixante</w:t>
            </w:r>
            <w:r w:rsidR="00D933B3">
              <w:rPr>
                <w:b/>
                <w:bCs/>
                <w:lang w:val="fr-FR"/>
              </w:rPr>
              <w:noBreakHyphen/>
            </w:r>
            <w:r w:rsidRPr="00C33721">
              <w:rPr>
                <w:b/>
                <w:bCs/>
                <w:lang w:val="fr-FR"/>
              </w:rPr>
              <w:t xml:space="preserve">quinzième anniversaire </w:t>
            </w:r>
            <w:r>
              <w:rPr>
                <w:b/>
                <w:bCs/>
                <w:lang w:val="fr-FR"/>
              </w:rPr>
              <w:t>du CTI</w:t>
            </w:r>
            <w:r w:rsidRPr="00C33721">
              <w:rPr>
                <w:b/>
                <w:bCs/>
                <w:lang w:val="fr-FR"/>
              </w:rPr>
              <w:t xml:space="preserve"> a bénéficié du soutien généreux des Gouvernements suisse et </w:t>
            </w:r>
            <w:r w:rsidRPr="00C33721">
              <w:rPr>
                <w:b/>
                <w:bCs/>
                <w:lang w:val="fr-FR"/>
              </w:rPr>
              <w:lastRenderedPageBreak/>
              <w:t>autrichien, ainsi que du Comité international de l</w:t>
            </w:r>
            <w:r>
              <w:rPr>
                <w:b/>
                <w:bCs/>
                <w:lang w:val="fr-FR"/>
              </w:rPr>
              <w:t>’</w:t>
            </w:r>
            <w:r w:rsidRPr="00C33721">
              <w:rPr>
                <w:b/>
                <w:bCs/>
                <w:lang w:val="fr-FR"/>
              </w:rPr>
              <w:t>inspection technique automobile.</w:t>
            </w:r>
          </w:p>
        </w:tc>
        <w:tc>
          <w:tcPr>
            <w:tcW w:w="2500" w:type="dxa"/>
            <w:shd w:val="clear" w:color="auto" w:fill="auto"/>
          </w:tcPr>
          <w:p w14:paraId="004DE859" w14:textId="77777777" w:rsidR="000661F7" w:rsidRPr="00ED06D8" w:rsidRDefault="000661F7" w:rsidP="0094269B">
            <w:pPr>
              <w:spacing w:before="40" w:after="100"/>
              <w:ind w:right="113"/>
              <w:rPr>
                <w:lang w:val="fr-FR"/>
              </w:rPr>
            </w:pPr>
            <w:r>
              <w:rPr>
                <w:lang w:val="fr-FR"/>
              </w:rPr>
              <w:lastRenderedPageBreak/>
              <w:t>1. Adopter et exécuter le plan de mobilisation de ressources.</w:t>
            </w:r>
          </w:p>
          <w:p w14:paraId="47D75E3F" w14:textId="17982BBB" w:rsidR="000661F7" w:rsidRPr="00ED06D8" w:rsidRDefault="000661F7" w:rsidP="0094269B">
            <w:pPr>
              <w:spacing w:before="40" w:after="100"/>
              <w:ind w:right="113"/>
              <w:rPr>
                <w:lang w:val="fr-FR"/>
              </w:rPr>
            </w:pPr>
            <w:r>
              <w:rPr>
                <w:lang w:val="fr-FR"/>
              </w:rPr>
              <w:t>2. Mettre au point des projets ciblés de mobilisation de ressources auprès de donateurs publics ou privés pour faciliter l’exécution des tâches prioritaires de la Stratégie.</w:t>
            </w:r>
          </w:p>
        </w:tc>
        <w:tc>
          <w:tcPr>
            <w:tcW w:w="1667" w:type="dxa"/>
            <w:shd w:val="clear" w:color="auto" w:fill="auto"/>
          </w:tcPr>
          <w:p w14:paraId="2C476E68" w14:textId="77777777" w:rsidR="000661F7" w:rsidRPr="00ED06D8" w:rsidRDefault="000661F7" w:rsidP="0094269B">
            <w:pPr>
              <w:spacing w:before="40" w:after="100"/>
              <w:ind w:right="113"/>
              <w:rPr>
                <w:lang w:val="fr-FR"/>
              </w:rPr>
            </w:pPr>
            <w:r>
              <w:rPr>
                <w:lang w:val="fr-FR"/>
              </w:rPr>
              <w:t>1. Le secrétariat du Comité, en collaboration avec le Bureau du Comité</w:t>
            </w:r>
          </w:p>
          <w:p w14:paraId="4B6353A3" w14:textId="77777777" w:rsidR="000661F7" w:rsidRPr="00ED06D8" w:rsidRDefault="000661F7" w:rsidP="0094269B">
            <w:pPr>
              <w:spacing w:before="40" w:after="100"/>
              <w:ind w:right="113"/>
              <w:rPr>
                <w:lang w:val="fr-FR"/>
              </w:rPr>
            </w:pPr>
            <w:r>
              <w:rPr>
                <w:lang w:val="fr-FR"/>
              </w:rPr>
              <w:t xml:space="preserve">2. Le secrétariat du Comité, en collaboration avec les Secrétaires des groupes de travail concernés </w:t>
            </w:r>
          </w:p>
        </w:tc>
      </w:tr>
      <w:tr w:rsidR="000661F7" w:rsidRPr="00F774A4" w14:paraId="1D4176E8" w14:textId="77777777" w:rsidTr="00BE2749">
        <w:tc>
          <w:tcPr>
            <w:tcW w:w="500" w:type="dxa"/>
            <w:shd w:val="clear" w:color="auto" w:fill="auto"/>
          </w:tcPr>
          <w:p w14:paraId="738373F4" w14:textId="77777777" w:rsidR="000661F7" w:rsidRPr="00F774A4" w:rsidRDefault="000661F7" w:rsidP="00A323D4">
            <w:pPr>
              <w:keepNext/>
              <w:keepLines/>
              <w:spacing w:before="40" w:after="120"/>
              <w:ind w:right="113"/>
              <w:rPr>
                <w:b/>
                <w:bCs/>
                <w:lang w:val="fr-FR"/>
              </w:rPr>
            </w:pPr>
            <w:r w:rsidRPr="00F774A4">
              <w:rPr>
                <w:b/>
                <w:bCs/>
                <w:lang w:val="fr-FR"/>
              </w:rPr>
              <w:lastRenderedPageBreak/>
              <w:t>8.</w:t>
            </w:r>
          </w:p>
        </w:tc>
        <w:tc>
          <w:tcPr>
            <w:tcW w:w="1778" w:type="dxa"/>
            <w:shd w:val="clear" w:color="auto" w:fill="auto"/>
          </w:tcPr>
          <w:p w14:paraId="15043F0B" w14:textId="77777777" w:rsidR="000661F7" w:rsidRPr="00F774A4" w:rsidRDefault="000661F7" w:rsidP="00A323D4">
            <w:pPr>
              <w:keepNext/>
              <w:keepLines/>
              <w:spacing w:before="40" w:after="120"/>
              <w:ind w:right="113"/>
              <w:rPr>
                <w:b/>
                <w:bCs/>
                <w:lang w:val="fr-FR"/>
              </w:rPr>
            </w:pPr>
            <w:r w:rsidRPr="00F774A4">
              <w:rPr>
                <w:b/>
                <w:bCs/>
                <w:lang w:val="fr-FR"/>
              </w:rPr>
              <w:t>Partenariats</w:t>
            </w:r>
          </w:p>
        </w:tc>
        <w:tc>
          <w:tcPr>
            <w:tcW w:w="3194" w:type="dxa"/>
            <w:shd w:val="clear" w:color="auto" w:fill="auto"/>
          </w:tcPr>
          <w:p w14:paraId="5EF355F2" w14:textId="77777777" w:rsidR="000661F7" w:rsidRPr="00F774A4" w:rsidRDefault="000661F7" w:rsidP="00A323D4">
            <w:pPr>
              <w:keepNext/>
              <w:keepLines/>
              <w:spacing w:before="40" w:after="120"/>
              <w:ind w:right="113"/>
              <w:rPr>
                <w:b/>
                <w:bCs/>
                <w:lang w:val="fr-FR"/>
              </w:rPr>
            </w:pPr>
          </w:p>
        </w:tc>
        <w:tc>
          <w:tcPr>
            <w:tcW w:w="2500" w:type="dxa"/>
            <w:shd w:val="clear" w:color="auto" w:fill="auto"/>
          </w:tcPr>
          <w:p w14:paraId="383513A9" w14:textId="77777777" w:rsidR="000661F7" w:rsidRPr="00F774A4" w:rsidRDefault="000661F7" w:rsidP="00A323D4">
            <w:pPr>
              <w:keepNext/>
              <w:keepLines/>
              <w:spacing w:before="40" w:after="120"/>
              <w:ind w:right="113"/>
              <w:rPr>
                <w:b/>
                <w:bCs/>
                <w:lang w:val="fr-FR"/>
              </w:rPr>
            </w:pPr>
          </w:p>
        </w:tc>
        <w:tc>
          <w:tcPr>
            <w:tcW w:w="1667" w:type="dxa"/>
            <w:shd w:val="clear" w:color="auto" w:fill="auto"/>
          </w:tcPr>
          <w:p w14:paraId="673FFFB3" w14:textId="77777777" w:rsidR="000661F7" w:rsidRPr="00F774A4" w:rsidRDefault="000661F7" w:rsidP="00A323D4">
            <w:pPr>
              <w:keepNext/>
              <w:keepLines/>
              <w:spacing w:before="40" w:after="120"/>
              <w:ind w:right="113"/>
              <w:rPr>
                <w:b/>
                <w:bCs/>
                <w:lang w:val="fr-FR"/>
              </w:rPr>
            </w:pPr>
          </w:p>
        </w:tc>
      </w:tr>
      <w:tr w:rsidR="000661F7" w:rsidRPr="00D466A5" w14:paraId="3065DB83" w14:textId="77777777" w:rsidTr="00BE2749">
        <w:tc>
          <w:tcPr>
            <w:tcW w:w="500" w:type="dxa"/>
            <w:shd w:val="clear" w:color="auto" w:fill="auto"/>
          </w:tcPr>
          <w:p w14:paraId="737B65F0" w14:textId="77777777" w:rsidR="000661F7" w:rsidRPr="0067484D" w:rsidRDefault="000661F7" w:rsidP="00A323D4">
            <w:pPr>
              <w:keepNext/>
              <w:keepLines/>
              <w:spacing w:before="40" w:after="120"/>
              <w:ind w:right="113"/>
            </w:pPr>
          </w:p>
        </w:tc>
        <w:tc>
          <w:tcPr>
            <w:tcW w:w="1778" w:type="dxa"/>
            <w:shd w:val="clear" w:color="auto" w:fill="auto"/>
          </w:tcPr>
          <w:p w14:paraId="6002A936" w14:textId="77777777" w:rsidR="000661F7" w:rsidRPr="0067484D" w:rsidRDefault="000661F7" w:rsidP="00A323D4">
            <w:pPr>
              <w:keepNext/>
              <w:keepLines/>
              <w:spacing w:before="40" w:after="120"/>
              <w:ind w:right="113"/>
            </w:pPr>
          </w:p>
        </w:tc>
        <w:tc>
          <w:tcPr>
            <w:tcW w:w="3194" w:type="dxa"/>
            <w:vMerge w:val="restart"/>
            <w:shd w:val="clear" w:color="auto" w:fill="auto"/>
          </w:tcPr>
          <w:p w14:paraId="612274BA" w14:textId="09A6BBCE" w:rsidR="000661F7" w:rsidRPr="00ED06D8" w:rsidRDefault="000661F7" w:rsidP="00A323D4">
            <w:pPr>
              <w:keepNext/>
              <w:keepLines/>
              <w:spacing w:before="40" w:after="120"/>
              <w:ind w:right="113"/>
              <w:rPr>
                <w:lang w:val="fr-FR"/>
              </w:rPr>
            </w:pPr>
            <w:r>
              <w:rPr>
                <w:lang w:val="fr-FR"/>
              </w:rPr>
              <w:t>La Division des transports durables collabore, dans le domaine des transports intérieurs, avec d’autres commissions régionales de l’ONU. Elle les associe à quelques projets qu’elle dirige (voir aussi la tâche 4.6).</w:t>
            </w:r>
          </w:p>
          <w:p w14:paraId="01E4E3EF" w14:textId="2C9FC54A" w:rsidR="000661F7" w:rsidRPr="00ED06D8" w:rsidRDefault="000661F7" w:rsidP="00A323D4">
            <w:pPr>
              <w:keepNext/>
              <w:keepLines/>
              <w:spacing w:before="40" w:after="120"/>
              <w:ind w:right="113"/>
              <w:rPr>
                <w:lang w:val="fr-FR"/>
              </w:rPr>
            </w:pPr>
            <w:r>
              <w:rPr>
                <w:lang w:val="fr-FR"/>
              </w:rPr>
              <w:t xml:space="preserve">La CEE coopère, dans le domaine des transports en général, avec diverses organisations, associations et institutions internationales (BAsD, CEMN, OACI, OMI, OIT, OMS, UPU, UIC, OSCE, OSJD, OMD, OMC, OTIF, CCNR, AIEA, CIT, IRU, OCE et CETMO). Cette coopération sera renforcée à chaque fois que cela se justifiera. </w:t>
            </w:r>
            <w:r w:rsidR="002D1F98">
              <w:rPr>
                <w:lang w:val="fr-FR"/>
              </w:rPr>
              <w:t>La CEE</w:t>
            </w:r>
            <w:r>
              <w:rPr>
                <w:lang w:val="fr-FR"/>
              </w:rPr>
              <w:t xml:space="preserve"> a commencé à collaborer avec l’Organisation de Shanghai pour la coopération en 2020. En outre, la Division des transports durables coopère étroitement avec d’autres sous-programmes du secrétariat. Cette coopération se fait dans le cadre de domaines d’interaction. La Division des transports durables dirige les travaux menés au titre du domaine d’interaction « mobilité durable et connectivité intelligente » et contribue à trois autres domaines d’interaction : « utilisation durable des ressources naturelles », « villes intelligentes et durables pour tous les âges », et « mesure et suivi des ODD ». </w:t>
            </w:r>
          </w:p>
        </w:tc>
        <w:tc>
          <w:tcPr>
            <w:tcW w:w="2500" w:type="dxa"/>
            <w:shd w:val="clear" w:color="auto" w:fill="auto"/>
          </w:tcPr>
          <w:p w14:paraId="4508EB91" w14:textId="70B98221" w:rsidR="000661F7" w:rsidRPr="00ED06D8" w:rsidRDefault="000661F7" w:rsidP="00A323D4">
            <w:pPr>
              <w:keepNext/>
              <w:keepLines/>
              <w:spacing w:before="40" w:after="120"/>
              <w:ind w:right="113"/>
              <w:rPr>
                <w:lang w:val="fr-FR"/>
              </w:rPr>
            </w:pPr>
            <w:r>
              <w:rPr>
                <w:lang w:val="fr-FR"/>
              </w:rPr>
              <w:t>1. Poursuivre et resserrer la collaboration avec d’autres commissions régionales de l’ONU.</w:t>
            </w:r>
          </w:p>
          <w:p w14:paraId="0241E5CF" w14:textId="0D181D25" w:rsidR="000661F7" w:rsidRPr="00ED06D8" w:rsidRDefault="000661F7" w:rsidP="00A323D4">
            <w:pPr>
              <w:keepNext/>
              <w:keepLines/>
              <w:spacing w:before="40" w:after="120"/>
              <w:ind w:right="113"/>
              <w:rPr>
                <w:lang w:val="fr-FR"/>
              </w:rPr>
            </w:pPr>
            <w:r>
              <w:rPr>
                <w:lang w:val="fr-FR"/>
              </w:rPr>
              <w:t>2. Poursuivre et resserrer la collaboration avec diverses organisations, associations et institutions internationales, y compris avec des établissements d’enseignement, en particulier pour appliquer la Stratégie.</w:t>
            </w:r>
          </w:p>
        </w:tc>
        <w:tc>
          <w:tcPr>
            <w:tcW w:w="1667" w:type="dxa"/>
            <w:shd w:val="clear" w:color="auto" w:fill="auto"/>
          </w:tcPr>
          <w:p w14:paraId="3519EF4C" w14:textId="77777777" w:rsidR="000661F7" w:rsidRPr="00ED06D8" w:rsidRDefault="000661F7" w:rsidP="00A323D4">
            <w:pPr>
              <w:keepNext/>
              <w:keepLines/>
              <w:spacing w:before="40" w:after="120"/>
              <w:ind w:right="113"/>
              <w:rPr>
                <w:lang w:val="fr-FR"/>
              </w:rPr>
            </w:pPr>
            <w:r>
              <w:rPr>
                <w:lang w:val="fr-FR"/>
              </w:rPr>
              <w:t>1-2. Le secrétariat du Comité, en collaboration avec les secrétariats des groupes de travail concernés</w:t>
            </w:r>
          </w:p>
          <w:p w14:paraId="3EFDF9D3" w14:textId="77777777" w:rsidR="000661F7" w:rsidRPr="00ED06D8" w:rsidRDefault="000661F7" w:rsidP="00A323D4">
            <w:pPr>
              <w:keepNext/>
              <w:keepLines/>
              <w:spacing w:before="40" w:after="120"/>
              <w:ind w:right="113"/>
              <w:rPr>
                <w:lang w:val="fr-FR"/>
              </w:rPr>
            </w:pPr>
            <w:r>
              <w:rPr>
                <w:lang w:val="fr-FR"/>
              </w:rPr>
              <w:t>3. Les membres de la Division, selon les besoins</w:t>
            </w:r>
          </w:p>
        </w:tc>
      </w:tr>
      <w:tr w:rsidR="000661F7" w:rsidRPr="00D466A5" w14:paraId="1DC2545B" w14:textId="77777777" w:rsidTr="00BE2749">
        <w:tc>
          <w:tcPr>
            <w:tcW w:w="500" w:type="dxa"/>
            <w:tcBorders>
              <w:bottom w:val="single" w:sz="12" w:space="0" w:color="auto"/>
            </w:tcBorders>
            <w:shd w:val="clear" w:color="auto" w:fill="auto"/>
          </w:tcPr>
          <w:p w14:paraId="4EA2EB7C" w14:textId="77777777" w:rsidR="000661F7" w:rsidRDefault="000661F7" w:rsidP="0094269B">
            <w:pPr>
              <w:spacing w:before="40" w:after="120"/>
              <w:ind w:right="113"/>
              <w:rPr>
                <w:lang w:val="fr-FR"/>
              </w:rPr>
            </w:pPr>
          </w:p>
        </w:tc>
        <w:tc>
          <w:tcPr>
            <w:tcW w:w="1778" w:type="dxa"/>
            <w:tcBorders>
              <w:bottom w:val="single" w:sz="12" w:space="0" w:color="auto"/>
            </w:tcBorders>
            <w:shd w:val="clear" w:color="auto" w:fill="auto"/>
          </w:tcPr>
          <w:p w14:paraId="5B30C50B" w14:textId="77777777" w:rsidR="000661F7" w:rsidRDefault="000661F7" w:rsidP="0094269B">
            <w:pPr>
              <w:keepNext/>
              <w:spacing w:before="40" w:after="120"/>
              <w:ind w:right="113"/>
              <w:rPr>
                <w:lang w:val="fr-FR"/>
              </w:rPr>
            </w:pPr>
          </w:p>
        </w:tc>
        <w:tc>
          <w:tcPr>
            <w:tcW w:w="3194" w:type="dxa"/>
            <w:vMerge/>
            <w:tcBorders>
              <w:bottom w:val="single" w:sz="12" w:space="0" w:color="auto"/>
            </w:tcBorders>
            <w:shd w:val="clear" w:color="auto" w:fill="auto"/>
          </w:tcPr>
          <w:p w14:paraId="79041E65" w14:textId="77777777" w:rsidR="000661F7" w:rsidRDefault="000661F7" w:rsidP="0094269B">
            <w:pPr>
              <w:spacing w:before="40" w:after="120"/>
              <w:ind w:right="113"/>
              <w:rPr>
                <w:lang w:val="fr-FR"/>
              </w:rPr>
            </w:pPr>
          </w:p>
        </w:tc>
        <w:tc>
          <w:tcPr>
            <w:tcW w:w="2500" w:type="dxa"/>
            <w:tcBorders>
              <w:bottom w:val="single" w:sz="12" w:space="0" w:color="auto"/>
            </w:tcBorders>
            <w:shd w:val="clear" w:color="auto" w:fill="auto"/>
          </w:tcPr>
          <w:p w14:paraId="2E0EFC02" w14:textId="5C540B73" w:rsidR="000661F7" w:rsidRDefault="000661F7" w:rsidP="0094269B">
            <w:pPr>
              <w:spacing w:before="40" w:after="120"/>
              <w:ind w:right="113"/>
              <w:rPr>
                <w:lang w:val="fr-FR"/>
              </w:rPr>
            </w:pPr>
            <w:r>
              <w:rPr>
                <w:lang w:val="fr-FR"/>
              </w:rPr>
              <w:t>3. Poursuivre les travaux dans le cadre des domaines d’interaction de la CEE.</w:t>
            </w:r>
          </w:p>
        </w:tc>
        <w:tc>
          <w:tcPr>
            <w:tcW w:w="1667" w:type="dxa"/>
            <w:tcBorders>
              <w:bottom w:val="single" w:sz="12" w:space="0" w:color="auto"/>
            </w:tcBorders>
            <w:shd w:val="clear" w:color="auto" w:fill="auto"/>
          </w:tcPr>
          <w:p w14:paraId="0FE6A12F" w14:textId="77777777" w:rsidR="000661F7" w:rsidRDefault="000661F7" w:rsidP="0094269B">
            <w:pPr>
              <w:spacing w:before="40" w:after="120"/>
              <w:ind w:right="113"/>
              <w:rPr>
                <w:lang w:val="fr-FR"/>
              </w:rPr>
            </w:pPr>
          </w:p>
        </w:tc>
      </w:tr>
    </w:tbl>
    <w:p w14:paraId="7EBE8FF4" w14:textId="160C08A3" w:rsidR="000661F7" w:rsidRPr="00BE2749" w:rsidRDefault="00BE2749" w:rsidP="00BE2749">
      <w:pPr>
        <w:pStyle w:val="SingleTxtG"/>
        <w:spacing w:before="240" w:after="0"/>
        <w:jc w:val="center"/>
        <w:rPr>
          <w:u w:val="single"/>
        </w:rPr>
      </w:pPr>
      <w:r>
        <w:rPr>
          <w:u w:val="single"/>
        </w:rPr>
        <w:tab/>
      </w:r>
      <w:r>
        <w:rPr>
          <w:u w:val="single"/>
        </w:rPr>
        <w:tab/>
      </w:r>
      <w:r>
        <w:rPr>
          <w:u w:val="single"/>
        </w:rPr>
        <w:tab/>
      </w:r>
      <w:r>
        <w:rPr>
          <w:u w:val="single"/>
        </w:rPr>
        <w:tab/>
      </w:r>
    </w:p>
    <w:sectPr w:rsidR="000661F7" w:rsidRPr="00BE2749" w:rsidSect="000661F7">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62F70" w14:textId="77777777" w:rsidR="00402DF3" w:rsidRDefault="00402DF3" w:rsidP="00F95C08">
      <w:pPr>
        <w:spacing w:line="240" w:lineRule="auto"/>
      </w:pPr>
    </w:p>
  </w:endnote>
  <w:endnote w:type="continuationSeparator" w:id="0">
    <w:p w14:paraId="64627AE8" w14:textId="77777777" w:rsidR="00402DF3" w:rsidRPr="00AC3823" w:rsidRDefault="00402DF3" w:rsidP="00AC3823">
      <w:pPr>
        <w:pStyle w:val="Pieddepage"/>
      </w:pPr>
    </w:p>
  </w:endnote>
  <w:endnote w:type="continuationNotice" w:id="1">
    <w:p w14:paraId="1B0166BC" w14:textId="77777777" w:rsidR="00402DF3" w:rsidRDefault="00402D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C31DE" w14:textId="332AD5C4" w:rsidR="000661F7" w:rsidRPr="000661F7" w:rsidRDefault="000661F7" w:rsidP="000661F7">
    <w:pPr>
      <w:pStyle w:val="Pieddepage"/>
      <w:tabs>
        <w:tab w:val="right" w:pos="9638"/>
      </w:tabs>
    </w:pPr>
    <w:r w:rsidRPr="000661F7">
      <w:rPr>
        <w:b/>
        <w:sz w:val="18"/>
      </w:rPr>
      <w:fldChar w:fldCharType="begin"/>
    </w:r>
    <w:r w:rsidRPr="000661F7">
      <w:rPr>
        <w:b/>
        <w:sz w:val="18"/>
      </w:rPr>
      <w:instrText xml:space="preserve"> PAGE  \* MERGEFORMAT </w:instrText>
    </w:r>
    <w:r w:rsidRPr="000661F7">
      <w:rPr>
        <w:b/>
        <w:sz w:val="18"/>
      </w:rPr>
      <w:fldChar w:fldCharType="separate"/>
    </w:r>
    <w:r w:rsidRPr="000661F7">
      <w:rPr>
        <w:b/>
        <w:noProof/>
        <w:sz w:val="18"/>
      </w:rPr>
      <w:t>2</w:t>
    </w:r>
    <w:r w:rsidRPr="000661F7">
      <w:rPr>
        <w:b/>
        <w:sz w:val="18"/>
      </w:rPr>
      <w:fldChar w:fldCharType="end"/>
    </w:r>
    <w:r>
      <w:rPr>
        <w:b/>
        <w:sz w:val="18"/>
      </w:rPr>
      <w:tab/>
    </w:r>
    <w:r>
      <w:t>GE.22-28207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D94D" w14:textId="059AB2E4" w:rsidR="000661F7" w:rsidRPr="000661F7" w:rsidRDefault="000661F7" w:rsidP="000661F7">
    <w:pPr>
      <w:pStyle w:val="Pieddepage"/>
      <w:tabs>
        <w:tab w:val="right" w:pos="9638"/>
      </w:tabs>
      <w:rPr>
        <w:b/>
        <w:sz w:val="18"/>
      </w:rPr>
    </w:pPr>
    <w:r>
      <w:t>GE.22-28207</w:t>
    </w:r>
    <w:r>
      <w:tab/>
    </w:r>
    <w:r w:rsidRPr="000661F7">
      <w:rPr>
        <w:b/>
        <w:sz w:val="18"/>
      </w:rPr>
      <w:fldChar w:fldCharType="begin"/>
    </w:r>
    <w:r w:rsidRPr="000661F7">
      <w:rPr>
        <w:b/>
        <w:sz w:val="18"/>
      </w:rPr>
      <w:instrText xml:space="preserve"> PAGE  \* MERGEFORMAT </w:instrText>
    </w:r>
    <w:r w:rsidRPr="000661F7">
      <w:rPr>
        <w:b/>
        <w:sz w:val="18"/>
      </w:rPr>
      <w:fldChar w:fldCharType="separate"/>
    </w:r>
    <w:r w:rsidRPr="000661F7">
      <w:rPr>
        <w:b/>
        <w:noProof/>
        <w:sz w:val="18"/>
      </w:rPr>
      <w:t>3</w:t>
    </w:r>
    <w:r w:rsidRPr="000661F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626B1" w14:textId="120ADF10" w:rsidR="007F20FA" w:rsidRPr="000661F7" w:rsidRDefault="000661F7" w:rsidP="000661F7">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34F691BC" wp14:editId="05E8A628">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22-28207  (F)</w:t>
    </w:r>
    <w:r>
      <w:rPr>
        <w:noProof/>
        <w:sz w:val="20"/>
      </w:rPr>
      <w:drawing>
        <wp:anchor distT="0" distB="0" distL="114300" distR="114300" simplePos="0" relativeHeight="251660288" behindDoc="0" locked="0" layoutInCell="1" allowOverlap="1" wp14:anchorId="507BCD15" wp14:editId="287E63C3">
          <wp:simplePos x="0" y="0"/>
          <wp:positionH relativeFrom="margin">
            <wp:posOffset>5489575</wp:posOffset>
          </wp:positionH>
          <wp:positionV relativeFrom="margin">
            <wp:posOffset>8891905</wp:posOffset>
          </wp:positionV>
          <wp:extent cx="561975" cy="5619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020223    0</w:t>
    </w:r>
    <w:r w:rsidR="00675FC8">
      <w:rPr>
        <w:sz w:val="20"/>
      </w:rPr>
      <w:t>3</w:t>
    </w:r>
    <w:r>
      <w:rPr>
        <w:sz w:val="20"/>
      </w:rPr>
      <w:t>0223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23040" w14:textId="77777777" w:rsidR="00402DF3" w:rsidRPr="00AC3823" w:rsidRDefault="00402DF3" w:rsidP="00AC3823">
      <w:pPr>
        <w:pStyle w:val="Pieddepage"/>
        <w:tabs>
          <w:tab w:val="right" w:pos="2155"/>
        </w:tabs>
        <w:spacing w:after="80" w:line="240" w:lineRule="atLeast"/>
        <w:ind w:left="680"/>
        <w:rPr>
          <w:u w:val="single"/>
        </w:rPr>
      </w:pPr>
      <w:r>
        <w:rPr>
          <w:u w:val="single"/>
        </w:rPr>
        <w:tab/>
      </w:r>
    </w:p>
  </w:footnote>
  <w:footnote w:type="continuationSeparator" w:id="0">
    <w:p w14:paraId="55C6762A" w14:textId="77777777" w:rsidR="00402DF3" w:rsidRPr="00AC3823" w:rsidRDefault="00402DF3" w:rsidP="00AC3823">
      <w:pPr>
        <w:pStyle w:val="Pieddepage"/>
        <w:tabs>
          <w:tab w:val="right" w:pos="2155"/>
        </w:tabs>
        <w:spacing w:after="80" w:line="240" w:lineRule="atLeast"/>
        <w:ind w:left="680"/>
        <w:rPr>
          <w:u w:val="single"/>
        </w:rPr>
      </w:pPr>
      <w:r>
        <w:rPr>
          <w:u w:val="single"/>
        </w:rPr>
        <w:tab/>
      </w:r>
    </w:p>
  </w:footnote>
  <w:footnote w:type="continuationNotice" w:id="1">
    <w:p w14:paraId="303FEA15" w14:textId="77777777" w:rsidR="00402DF3" w:rsidRPr="00AC3823" w:rsidRDefault="00402DF3">
      <w:pPr>
        <w:spacing w:line="240" w:lineRule="auto"/>
        <w:rPr>
          <w:sz w:val="2"/>
          <w:szCs w:val="2"/>
        </w:rPr>
      </w:pPr>
    </w:p>
  </w:footnote>
  <w:footnote w:id="2">
    <w:p w14:paraId="432AD716" w14:textId="58E1693F" w:rsidR="000661F7" w:rsidRPr="00C33721" w:rsidRDefault="000661F7" w:rsidP="000661F7">
      <w:pPr>
        <w:pStyle w:val="Notedebasdepage"/>
        <w:rPr>
          <w:lang w:val="fr-FR"/>
        </w:rPr>
      </w:pPr>
      <w:r>
        <w:tab/>
      </w:r>
      <w:r w:rsidRPr="00937BDD">
        <w:rPr>
          <w:rStyle w:val="Appelnotedebasdep"/>
        </w:rPr>
        <w:footnoteRef/>
      </w:r>
      <w:r w:rsidRPr="00C33721">
        <w:rPr>
          <w:lang w:val="fr-FR"/>
        </w:rPr>
        <w:t xml:space="preserve"> </w:t>
      </w:r>
      <w:r w:rsidRPr="00C33721">
        <w:rPr>
          <w:lang w:val="fr-FR"/>
        </w:rPr>
        <w:tab/>
        <w:t>Conformément à la décision du CTI ECE/TRANS/294, par.</w:t>
      </w:r>
      <w:r w:rsidR="008E3605">
        <w:rPr>
          <w:lang w:val="fr-FR"/>
        </w:rPr>
        <w:t> </w:t>
      </w:r>
      <w:r w:rsidRPr="00C33721">
        <w:rPr>
          <w:lang w:val="fr-FR"/>
        </w:rPr>
        <w:t>18, et suite à l</w:t>
      </w:r>
      <w:r w:rsidR="008E3605">
        <w:rPr>
          <w:lang w:val="fr-FR"/>
        </w:rPr>
        <w:t>’</w:t>
      </w:r>
      <w:r w:rsidRPr="00C33721">
        <w:rPr>
          <w:lang w:val="fr-FR"/>
        </w:rPr>
        <w:t xml:space="preserve">adoption par le Conseil économique et social de la résolution intitulée </w:t>
      </w:r>
      <w:r w:rsidR="008E3605">
        <w:rPr>
          <w:lang w:val="fr-FR"/>
        </w:rPr>
        <w:t>« </w:t>
      </w:r>
      <w:r w:rsidRPr="00C33721">
        <w:rPr>
          <w:lang w:val="fr-FR"/>
        </w:rPr>
        <w:t>Mandat révisé du Comité des transports intérieurs de la Commission économique pour l</w:t>
      </w:r>
      <w:r w:rsidR="008E3605">
        <w:rPr>
          <w:lang w:val="fr-FR"/>
        </w:rPr>
        <w:t>’</w:t>
      </w:r>
      <w:r w:rsidRPr="00C33721">
        <w:rPr>
          <w:lang w:val="fr-FR"/>
        </w:rPr>
        <w:t>Europe</w:t>
      </w:r>
      <w:r w:rsidR="008E3605">
        <w:rPr>
          <w:lang w:val="fr-FR"/>
        </w:rPr>
        <w:t> »</w:t>
      </w:r>
      <w:r w:rsidRPr="00C33721">
        <w:rPr>
          <w:lang w:val="fr-FR"/>
        </w:rPr>
        <w:t xml:space="preserve"> (document E/2022/L.4) le 16 février 2022. L</w:t>
      </w:r>
      <w:r w:rsidR="008E3605">
        <w:rPr>
          <w:lang w:val="fr-FR"/>
        </w:rPr>
        <w:t>’</w:t>
      </w:r>
      <w:r>
        <w:rPr>
          <w:lang w:val="fr-FR"/>
        </w:rPr>
        <w:t>harmonisation des travaux</w:t>
      </w:r>
      <w:r w:rsidRPr="00C33721">
        <w:rPr>
          <w:lang w:val="fr-FR"/>
        </w:rPr>
        <w:t xml:space="preserve"> des organes subsidiaires </w:t>
      </w:r>
      <w:r>
        <w:rPr>
          <w:lang w:val="fr-FR"/>
        </w:rPr>
        <w:t>avec</w:t>
      </w:r>
      <w:r w:rsidRPr="00C33721">
        <w:rPr>
          <w:lang w:val="fr-FR"/>
        </w:rPr>
        <w:t xml:space="preserve"> le mandat du CTI </w:t>
      </w:r>
      <w:r>
        <w:rPr>
          <w:lang w:val="fr-FR"/>
        </w:rPr>
        <w:t>est</w:t>
      </w:r>
      <w:r w:rsidRPr="00C33721">
        <w:rPr>
          <w:lang w:val="fr-FR"/>
        </w:rPr>
        <w:t xml:space="preserve"> soumis</w:t>
      </w:r>
      <w:r>
        <w:rPr>
          <w:lang w:val="fr-FR"/>
        </w:rPr>
        <w:t>e</w:t>
      </w:r>
      <w:r w:rsidRPr="00C33721">
        <w:rPr>
          <w:lang w:val="fr-FR"/>
        </w:rPr>
        <w:t xml:space="preserve"> à la décision du CTI à sa quatre vingt-cinquième session.</w:t>
      </w:r>
    </w:p>
  </w:footnote>
  <w:footnote w:id="3">
    <w:p w14:paraId="5D8A5164" w14:textId="77777777" w:rsidR="000661F7" w:rsidRPr="00E06D75" w:rsidRDefault="000661F7" w:rsidP="000661F7">
      <w:pPr>
        <w:pStyle w:val="Notedebasdepage"/>
      </w:pPr>
      <w:r w:rsidRPr="00D55D52">
        <w:rPr>
          <w:lang w:val="fr-FR"/>
        </w:rPr>
        <w:tab/>
      </w:r>
      <w:r w:rsidRPr="00937BDD">
        <w:rPr>
          <w:rStyle w:val="Appelnotedebasdep"/>
        </w:rPr>
        <w:footnoteRef/>
      </w:r>
      <w:r w:rsidRPr="00FF2601">
        <w:rPr>
          <w:spacing w:val="-2"/>
          <w:lang w:val="fr-FR"/>
        </w:rPr>
        <w:tab/>
      </w:r>
      <w:hyperlink r:id="rId1" w:history="1">
        <w:r w:rsidRPr="000C2F19">
          <w:rPr>
            <w:rStyle w:val="Lienhypertexte"/>
            <w:spacing w:val="-2"/>
            <w:lang w:val="fr-FR"/>
          </w:rPr>
          <w:t>https://unece.org/fileadmin/DAM/trans/danger/publi/adr/guidelines/ADR_Guidelines_Telematics_f.pdf</w:t>
        </w:r>
      </w:hyperlink>
      <w:r w:rsidRPr="00FF2601">
        <w:rPr>
          <w:spacing w:val="-2"/>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469BB" w14:textId="384A84C1" w:rsidR="000661F7" w:rsidRPr="000661F7" w:rsidRDefault="008B729F">
    <w:pPr>
      <w:pStyle w:val="En-tte"/>
    </w:pPr>
    <w:r>
      <w:fldChar w:fldCharType="begin"/>
    </w:r>
    <w:r>
      <w:instrText xml:space="preserve"> TITLE  \* MERGEFORMAT </w:instrText>
    </w:r>
    <w:r>
      <w:fldChar w:fldCharType="separate"/>
    </w:r>
    <w:r>
      <w:t>ECE/TRANS/2023/3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3A066" w14:textId="5DFC1E09" w:rsidR="000661F7" w:rsidRPr="000661F7" w:rsidRDefault="008B729F" w:rsidP="000661F7">
    <w:pPr>
      <w:pStyle w:val="En-tte"/>
      <w:jc w:val="right"/>
    </w:pPr>
    <w:r>
      <w:fldChar w:fldCharType="begin"/>
    </w:r>
    <w:r>
      <w:instrText xml:space="preserve"> TITLE  \* MERGEFORMAT </w:instrText>
    </w:r>
    <w:r>
      <w:fldChar w:fldCharType="separate"/>
    </w:r>
    <w:r>
      <w:t>ECE/TRANS/2023/3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8"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0"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7"/>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9"/>
  </w:num>
  <w:num w:numId="15">
    <w:abstractNumId w:val="17"/>
  </w:num>
  <w:num w:numId="16">
    <w:abstractNumId w:val="11"/>
  </w:num>
  <w:num w:numId="17">
    <w:abstractNumId w:val="15"/>
  </w:num>
  <w:num w:numId="18">
    <w:abstractNumId w:val="14"/>
  </w:num>
  <w:num w:numId="19">
    <w:abstractNumId w:val="10"/>
  </w:num>
  <w:num w:numId="20">
    <w:abstractNumId w:val="12"/>
  </w:num>
  <w:num w:numId="21">
    <w:abstractNumId w:val="16"/>
  </w:num>
  <w:num w:numId="22">
    <w:abstractNumId w:val="13"/>
  </w:num>
  <w:num w:numId="23">
    <w:abstractNumId w:val="1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DF3"/>
    <w:rsid w:val="00017F94"/>
    <w:rsid w:val="00023842"/>
    <w:rsid w:val="000334F9"/>
    <w:rsid w:val="00045FEB"/>
    <w:rsid w:val="000661F7"/>
    <w:rsid w:val="000713DB"/>
    <w:rsid w:val="0007796D"/>
    <w:rsid w:val="000B7790"/>
    <w:rsid w:val="00111F2F"/>
    <w:rsid w:val="0014365E"/>
    <w:rsid w:val="00143C66"/>
    <w:rsid w:val="00155950"/>
    <w:rsid w:val="00175D9C"/>
    <w:rsid w:val="00176178"/>
    <w:rsid w:val="00181905"/>
    <w:rsid w:val="001E76F0"/>
    <w:rsid w:val="001F525A"/>
    <w:rsid w:val="00201148"/>
    <w:rsid w:val="00223272"/>
    <w:rsid w:val="0024779E"/>
    <w:rsid w:val="00257168"/>
    <w:rsid w:val="002744B8"/>
    <w:rsid w:val="002832AC"/>
    <w:rsid w:val="002D1F98"/>
    <w:rsid w:val="002D5CB8"/>
    <w:rsid w:val="002D7C93"/>
    <w:rsid w:val="00305801"/>
    <w:rsid w:val="003916DE"/>
    <w:rsid w:val="003B4759"/>
    <w:rsid w:val="003E4B90"/>
    <w:rsid w:val="00400220"/>
    <w:rsid w:val="00402DF3"/>
    <w:rsid w:val="004045CD"/>
    <w:rsid w:val="00421996"/>
    <w:rsid w:val="00441C3B"/>
    <w:rsid w:val="00446FE5"/>
    <w:rsid w:val="00452396"/>
    <w:rsid w:val="004770C6"/>
    <w:rsid w:val="00477EB2"/>
    <w:rsid w:val="004837D8"/>
    <w:rsid w:val="00485800"/>
    <w:rsid w:val="004B4EB0"/>
    <w:rsid w:val="004E2EED"/>
    <w:rsid w:val="004E468C"/>
    <w:rsid w:val="00513BBF"/>
    <w:rsid w:val="00523768"/>
    <w:rsid w:val="005505B7"/>
    <w:rsid w:val="00573BE5"/>
    <w:rsid w:val="00586ED3"/>
    <w:rsid w:val="00596AA9"/>
    <w:rsid w:val="005B46ED"/>
    <w:rsid w:val="005E50C2"/>
    <w:rsid w:val="00661416"/>
    <w:rsid w:val="00675BA2"/>
    <w:rsid w:val="00675FC8"/>
    <w:rsid w:val="006D670D"/>
    <w:rsid w:val="006F21BB"/>
    <w:rsid w:val="0071601D"/>
    <w:rsid w:val="00722EC0"/>
    <w:rsid w:val="00766385"/>
    <w:rsid w:val="007831D2"/>
    <w:rsid w:val="007A62E6"/>
    <w:rsid w:val="007A7E29"/>
    <w:rsid w:val="007B104D"/>
    <w:rsid w:val="007F20FA"/>
    <w:rsid w:val="0080684C"/>
    <w:rsid w:val="00871C75"/>
    <w:rsid w:val="008776DC"/>
    <w:rsid w:val="008B729F"/>
    <w:rsid w:val="008D5EF9"/>
    <w:rsid w:val="008E3605"/>
    <w:rsid w:val="008E556F"/>
    <w:rsid w:val="009446C0"/>
    <w:rsid w:val="009705C8"/>
    <w:rsid w:val="009C1CF4"/>
    <w:rsid w:val="009F6B74"/>
    <w:rsid w:val="00A17114"/>
    <w:rsid w:val="00A3029F"/>
    <w:rsid w:val="00A30353"/>
    <w:rsid w:val="00A323D4"/>
    <w:rsid w:val="00AC3823"/>
    <w:rsid w:val="00AE323C"/>
    <w:rsid w:val="00AF0CB5"/>
    <w:rsid w:val="00B00181"/>
    <w:rsid w:val="00B00B0D"/>
    <w:rsid w:val="00B45F2E"/>
    <w:rsid w:val="00B765F7"/>
    <w:rsid w:val="00B77993"/>
    <w:rsid w:val="00BA0CA9"/>
    <w:rsid w:val="00BB645B"/>
    <w:rsid w:val="00BB7971"/>
    <w:rsid w:val="00BE2749"/>
    <w:rsid w:val="00C02897"/>
    <w:rsid w:val="00C028D1"/>
    <w:rsid w:val="00C97039"/>
    <w:rsid w:val="00CC2BF5"/>
    <w:rsid w:val="00D1519C"/>
    <w:rsid w:val="00D22656"/>
    <w:rsid w:val="00D3439C"/>
    <w:rsid w:val="00D5479D"/>
    <w:rsid w:val="00D63499"/>
    <w:rsid w:val="00D7622E"/>
    <w:rsid w:val="00D933B3"/>
    <w:rsid w:val="00DB1831"/>
    <w:rsid w:val="00DB6C34"/>
    <w:rsid w:val="00DD3BFD"/>
    <w:rsid w:val="00DD6182"/>
    <w:rsid w:val="00DF6678"/>
    <w:rsid w:val="00E00688"/>
    <w:rsid w:val="00E0299A"/>
    <w:rsid w:val="00E66164"/>
    <w:rsid w:val="00E85C74"/>
    <w:rsid w:val="00EA6547"/>
    <w:rsid w:val="00ED7237"/>
    <w:rsid w:val="00EE1193"/>
    <w:rsid w:val="00EE25FC"/>
    <w:rsid w:val="00EF2E22"/>
    <w:rsid w:val="00F14D4F"/>
    <w:rsid w:val="00F35BAF"/>
    <w:rsid w:val="00F42044"/>
    <w:rsid w:val="00F660DF"/>
    <w:rsid w:val="00F71F10"/>
    <w:rsid w:val="00F94664"/>
    <w:rsid w:val="00F9573C"/>
    <w:rsid w:val="00F95C08"/>
    <w:rsid w:val="00FA2E11"/>
    <w:rsid w:val="00FA4280"/>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EB21F"/>
  <w15:docId w15:val="{37D1CD41-9D0A-4D28-9E7B-C5E1B1A9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
    <w:basedOn w:val="Policepardfaut"/>
    <w:uiPriority w:val="99"/>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uiPriority w:val="39"/>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iPriority w:val="99"/>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uiPriority w:val="99"/>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uiPriority w:val="99"/>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F35BAF"/>
    <w:rPr>
      <w:rFonts w:ascii="Tahoma" w:hAnsi="Tahoma" w:cs="Tahoma"/>
      <w:sz w:val="16"/>
      <w:szCs w:val="16"/>
      <w:lang w:eastAsia="en-US"/>
    </w:rPr>
  </w:style>
  <w:style w:type="character" w:customStyle="1" w:styleId="SingleTxtGChar">
    <w:name w:val="_ Single Txt_G Char"/>
    <w:link w:val="SingleTxtG"/>
    <w:rsid w:val="000661F7"/>
    <w:rPr>
      <w:rFonts w:ascii="Times New Roman" w:eastAsiaTheme="minorHAnsi" w:hAnsi="Times New Roman" w:cs="Times New Roman"/>
      <w:sz w:val="20"/>
      <w:szCs w:val="20"/>
      <w:lang w:eastAsia="en-US"/>
    </w:rPr>
  </w:style>
  <w:style w:type="character" w:customStyle="1" w:styleId="HChGChar">
    <w:name w:val="_ H _Ch_G Char"/>
    <w:link w:val="HChG"/>
    <w:rsid w:val="000661F7"/>
    <w:rPr>
      <w:rFonts w:ascii="Times New Roman" w:eastAsiaTheme="minorHAnsi" w:hAnsi="Times New Roman" w:cs="Times New Roman"/>
      <w:b/>
      <w:sz w:val="28"/>
      <w:szCs w:val="20"/>
      <w:lang w:eastAsia="en-US"/>
    </w:rPr>
  </w:style>
  <w:style w:type="character" w:customStyle="1" w:styleId="CommentaireCar">
    <w:name w:val="Commentaire Car"/>
    <w:basedOn w:val="Policepardfaut"/>
    <w:link w:val="Commentaire"/>
    <w:semiHidden/>
    <w:rsid w:val="000661F7"/>
    <w:rPr>
      <w:rFonts w:ascii="Times New Roman" w:hAnsi="Times New Roman" w:cs="Times New Roman"/>
      <w:sz w:val="20"/>
      <w:szCs w:val="20"/>
      <w:lang w:val="en-GB" w:eastAsia="fr-FR"/>
    </w:rPr>
  </w:style>
  <w:style w:type="paragraph" w:styleId="Commentaire">
    <w:name w:val="annotation text"/>
    <w:basedOn w:val="Normal"/>
    <w:link w:val="CommentaireCar"/>
    <w:semiHidden/>
    <w:unhideWhenUsed/>
    <w:rsid w:val="000661F7"/>
    <w:pPr>
      <w:kinsoku/>
      <w:overflowPunct/>
      <w:autoSpaceDE/>
      <w:autoSpaceDN/>
      <w:adjustRightInd/>
      <w:snapToGrid/>
      <w:spacing w:line="240" w:lineRule="auto"/>
    </w:pPr>
    <w:rPr>
      <w:rFonts w:eastAsia="Times New Roman"/>
      <w:lang w:val="en-GB" w:eastAsia="fr-FR"/>
    </w:rPr>
  </w:style>
  <w:style w:type="character" w:customStyle="1" w:styleId="CommentaireCar1">
    <w:name w:val="Commentaire Car1"/>
    <w:basedOn w:val="Policepardfaut"/>
    <w:uiPriority w:val="99"/>
    <w:semiHidden/>
    <w:rsid w:val="000661F7"/>
    <w:rPr>
      <w:rFonts w:ascii="Times New Roman" w:eastAsiaTheme="minorHAnsi" w:hAnsi="Times New Roman" w:cs="Times New Roman"/>
      <w:sz w:val="20"/>
      <w:szCs w:val="20"/>
      <w:lang w:eastAsia="en-US"/>
    </w:rPr>
  </w:style>
  <w:style w:type="character" w:customStyle="1" w:styleId="ObjetducommentaireCar">
    <w:name w:val="Objet du commentaire Car"/>
    <w:basedOn w:val="CommentaireCar"/>
    <w:link w:val="Objetducommentaire"/>
    <w:semiHidden/>
    <w:rsid w:val="000661F7"/>
    <w:rPr>
      <w:rFonts w:ascii="Times New Roman" w:hAnsi="Times New Roman" w:cs="Times New Roman"/>
      <w:b/>
      <w:bCs/>
      <w:sz w:val="20"/>
      <w:szCs w:val="20"/>
      <w:lang w:val="en-GB" w:eastAsia="fr-FR"/>
    </w:rPr>
  </w:style>
  <w:style w:type="paragraph" w:styleId="Objetducommentaire">
    <w:name w:val="annotation subject"/>
    <w:basedOn w:val="Commentaire"/>
    <w:next w:val="Commentaire"/>
    <w:link w:val="ObjetducommentaireCar"/>
    <w:semiHidden/>
    <w:unhideWhenUsed/>
    <w:rsid w:val="000661F7"/>
    <w:rPr>
      <w:b/>
      <w:bCs/>
    </w:rPr>
  </w:style>
  <w:style w:type="character" w:customStyle="1" w:styleId="ObjetducommentaireCar1">
    <w:name w:val="Objet du commentaire Car1"/>
    <w:basedOn w:val="CommentaireCar1"/>
    <w:uiPriority w:val="99"/>
    <w:semiHidden/>
    <w:rsid w:val="000661F7"/>
    <w:rPr>
      <w:rFonts w:ascii="Times New Roman" w:eastAsiaTheme="minorHAnsi" w:hAnsi="Times New Roman" w:cs="Times New Roman"/>
      <w:b/>
      <w:bCs/>
      <w:sz w:val="20"/>
      <w:szCs w:val="20"/>
      <w:lang w:eastAsia="en-US"/>
    </w:rPr>
  </w:style>
  <w:style w:type="paragraph" w:styleId="Rvision">
    <w:name w:val="Revision"/>
    <w:hidden/>
    <w:uiPriority w:val="99"/>
    <w:semiHidden/>
    <w:rsid w:val="000661F7"/>
    <w:pPr>
      <w:spacing w:after="0" w:line="240" w:lineRule="auto"/>
    </w:pPr>
    <w:rPr>
      <w:rFonts w:ascii="Times New Roman" w:eastAsiaTheme="minorHAnsi" w:hAnsi="Times New Roman" w:cs="Times New Roman"/>
      <w:sz w:val="20"/>
      <w:szCs w:val="20"/>
      <w:lang w:eastAsia="en-US"/>
    </w:rPr>
  </w:style>
  <w:style w:type="character" w:styleId="Mentionnonrsolue">
    <w:name w:val="Unresolved Mention"/>
    <w:basedOn w:val="Policepardfaut"/>
    <w:uiPriority w:val="99"/>
    <w:semiHidden/>
    <w:unhideWhenUsed/>
    <w:rsid w:val="000661F7"/>
    <w:rPr>
      <w:color w:val="605E5C"/>
      <w:shd w:val="clear" w:color="auto" w:fill="E1DFDD"/>
    </w:rPr>
  </w:style>
  <w:style w:type="paragraph" w:styleId="Paragraphedeliste">
    <w:name w:val="List Paragraph"/>
    <w:basedOn w:val="Normal"/>
    <w:uiPriority w:val="34"/>
    <w:semiHidden/>
    <w:qFormat/>
    <w:rsid w:val="000661F7"/>
    <w:pPr>
      <w:ind w:left="720"/>
      <w:contextualSpacing/>
    </w:pPr>
  </w:style>
  <w:style w:type="character" w:styleId="Marquedecommentaire">
    <w:name w:val="annotation reference"/>
    <w:basedOn w:val="Policepardfaut"/>
    <w:semiHidden/>
    <w:unhideWhenUsed/>
    <w:rsid w:val="000661F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unece.org/fileadmin/DAM/trans/danger/publi/adr/guidelines/ADR_Guidelines_Telematics_f.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ECE_TRANS.dotm</Template>
  <TotalTime>0</TotalTime>
  <Pages>57</Pages>
  <Words>16780</Words>
  <Characters>100681</Characters>
  <Application>Microsoft Office Word</Application>
  <DocSecurity>0</DocSecurity>
  <Lines>14383</Lines>
  <Paragraphs>6182</Paragraphs>
  <ScaleCrop>false</ScaleCrop>
  <HeadingPairs>
    <vt:vector size="2" baseType="variant">
      <vt:variant>
        <vt:lpstr>Titre</vt:lpstr>
      </vt:variant>
      <vt:variant>
        <vt:i4>1</vt:i4>
      </vt:variant>
    </vt:vector>
  </HeadingPairs>
  <TitlesOfParts>
    <vt:vector size="1" baseType="lpstr">
      <vt:lpstr>ECE/TRANS/2023/3</vt:lpstr>
    </vt:vector>
  </TitlesOfParts>
  <Company>DCM</Company>
  <LinksUpToDate>false</LinksUpToDate>
  <CharactersWithSpaces>111279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ECE/TRANS/2023/3</dc:title>
  <dc:subject/>
  <dc:creator>Julien OKRZESIK</dc:creator>
  <cp:keywords/>
  <cp:lastModifiedBy>Julien Okrzesik</cp:lastModifiedBy>
  <cp:revision>3</cp:revision>
  <cp:lastPrinted>2023-02-03T14:59:00Z</cp:lastPrinted>
  <dcterms:created xsi:type="dcterms:W3CDTF">2023-02-03T14:59:00Z</dcterms:created>
  <dcterms:modified xsi:type="dcterms:W3CDTF">2023-02-03T15:01:00Z</dcterms:modified>
</cp:coreProperties>
</file>