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8A4EDF"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29AE3AEE" w:rsidR="003F1AB4" w:rsidRPr="008A4EDF" w:rsidRDefault="003F1AB4" w:rsidP="003F1AB4">
            <w:pPr>
              <w:jc w:val="right"/>
            </w:pPr>
            <w:r w:rsidRPr="008A4EDF">
              <w:rPr>
                <w:sz w:val="40"/>
              </w:rPr>
              <w:t>ECE</w:t>
            </w:r>
            <w:r w:rsidRPr="008A4EDF">
              <w:t>/TRANS/WP.29/GRE/202</w:t>
            </w:r>
            <w:r w:rsidR="0002472C" w:rsidRPr="008A4EDF">
              <w:t>3</w:t>
            </w:r>
            <w:r w:rsidRPr="008A4EDF">
              <w:t>/</w:t>
            </w:r>
            <w:r w:rsidR="008A4EDF" w:rsidRPr="008A4EDF">
              <w:t>5</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1C5F9E" w:rsidRDefault="003F1AB4" w:rsidP="003F1AB4">
            <w:pPr>
              <w:spacing w:before="240" w:line="240" w:lineRule="exact"/>
            </w:pPr>
            <w:r w:rsidRPr="001C5F9E">
              <w:t>Distr.: General</w:t>
            </w:r>
          </w:p>
          <w:p w14:paraId="2ACA1E89" w14:textId="0D45FD55" w:rsidR="000A0737" w:rsidRPr="00DE7BEA" w:rsidRDefault="008A4EDF" w:rsidP="000A0737">
            <w:pPr>
              <w:spacing w:line="240" w:lineRule="exact"/>
            </w:pPr>
            <w:r>
              <w:t xml:space="preserve">6 </w:t>
            </w:r>
            <w:r w:rsidR="000A0737" w:rsidRPr="00DE7BEA">
              <w:t>February 202</w:t>
            </w:r>
            <w:r w:rsidR="000A0737">
              <w:t>3</w:t>
            </w:r>
          </w:p>
          <w:p w14:paraId="5FF26AE7" w14:textId="77777777" w:rsidR="003F1AB4" w:rsidRPr="001C5F9E" w:rsidRDefault="003F1AB4" w:rsidP="003F1AB4">
            <w:pPr>
              <w:spacing w:line="240" w:lineRule="exact"/>
            </w:pPr>
          </w:p>
          <w:p w14:paraId="71FBFBB4" w14:textId="711B7C45" w:rsidR="000A0737" w:rsidRPr="001C5F9E" w:rsidRDefault="003F1AB4" w:rsidP="002C1AD7">
            <w:pPr>
              <w:spacing w:line="240" w:lineRule="exact"/>
            </w:pPr>
            <w:r w:rsidRPr="001C5F9E">
              <w:t>Original: English</w:t>
            </w:r>
          </w:p>
        </w:tc>
      </w:tr>
    </w:tbl>
    <w:p w14:paraId="32D3E06F" w14:textId="394FCE03"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15CBE644" w14:textId="77777777" w:rsidR="000A0737" w:rsidRPr="00F61414" w:rsidRDefault="000A0737" w:rsidP="000A0737">
      <w:pPr>
        <w:ind w:right="1134"/>
        <w:rPr>
          <w:b/>
        </w:rPr>
      </w:pPr>
      <w:r w:rsidRPr="00F61414">
        <w:rPr>
          <w:b/>
        </w:rPr>
        <w:t>Eighty-</w:t>
      </w:r>
      <w:r>
        <w:rPr>
          <w:b/>
        </w:rPr>
        <w:t>eighth</w:t>
      </w:r>
      <w:r w:rsidRPr="00F61414">
        <w:rPr>
          <w:b/>
        </w:rPr>
        <w:t xml:space="preserve"> session</w:t>
      </w:r>
    </w:p>
    <w:p w14:paraId="4A4D8D9A" w14:textId="77777777" w:rsidR="000A0737" w:rsidRPr="00F61414" w:rsidRDefault="000A0737" w:rsidP="000A0737">
      <w:pPr>
        <w:ind w:right="1134"/>
      </w:pPr>
      <w:r w:rsidRPr="00F61414">
        <w:t xml:space="preserve">Geneva, </w:t>
      </w:r>
      <w:r>
        <w:t xml:space="preserve">25-28 April </w:t>
      </w:r>
      <w:r w:rsidRPr="00F61414">
        <w:t>202</w:t>
      </w:r>
      <w:r>
        <w:t>3</w:t>
      </w:r>
    </w:p>
    <w:p w14:paraId="1C3E310D" w14:textId="19278089" w:rsidR="000A0737" w:rsidRPr="00F61414" w:rsidRDefault="000A0737" w:rsidP="000A0737">
      <w:pPr>
        <w:ind w:right="1134"/>
        <w:rPr>
          <w:bCs/>
        </w:rPr>
      </w:pPr>
      <w:r w:rsidRPr="008A4EDF">
        <w:rPr>
          <w:bCs/>
        </w:rPr>
        <w:t>Item 4 of the provisional agenda</w:t>
      </w:r>
    </w:p>
    <w:p w14:paraId="18EC8CFA" w14:textId="699E8C41" w:rsidR="000A0737" w:rsidRPr="005C0062" w:rsidRDefault="000A0737" w:rsidP="000A0737">
      <w:pPr>
        <w:ind w:right="1467"/>
        <w:rPr>
          <w:b/>
          <w:bCs/>
        </w:rPr>
      </w:pPr>
      <w:r w:rsidRPr="005C0062">
        <w:rPr>
          <w:b/>
          <w:bCs/>
        </w:rPr>
        <w:t xml:space="preserve">Simplification of </w:t>
      </w:r>
      <w:r w:rsidR="00F05B3A">
        <w:rPr>
          <w:b/>
          <w:bCs/>
        </w:rPr>
        <w:t>l</w:t>
      </w:r>
      <w:r w:rsidRPr="005C0062">
        <w:rPr>
          <w:b/>
          <w:bCs/>
        </w:rPr>
        <w:t xml:space="preserve">ighting and </w:t>
      </w:r>
      <w:r w:rsidR="00F05B3A">
        <w:rPr>
          <w:b/>
          <w:bCs/>
        </w:rPr>
        <w:t>L</w:t>
      </w:r>
      <w:r w:rsidRPr="005C0062">
        <w:rPr>
          <w:b/>
          <w:bCs/>
        </w:rPr>
        <w:t>ight-</w:t>
      </w:r>
      <w:r w:rsidR="00F05B3A">
        <w:rPr>
          <w:b/>
          <w:bCs/>
        </w:rPr>
        <w:t>S</w:t>
      </w:r>
      <w:r w:rsidRPr="005C0062">
        <w:rPr>
          <w:b/>
          <w:bCs/>
        </w:rPr>
        <w:t>ignalling UN Regulations</w:t>
      </w:r>
    </w:p>
    <w:p w14:paraId="1BE1B729" w14:textId="5E29BA1A" w:rsidR="00732AD2" w:rsidRPr="00525E6C" w:rsidRDefault="00732AD2" w:rsidP="003F1AB4">
      <w:pPr>
        <w:pStyle w:val="HChG"/>
      </w:pPr>
      <w:r w:rsidRPr="00525E6C">
        <w:tab/>
      </w:r>
      <w:r w:rsidRPr="00525E6C">
        <w:tab/>
      </w:r>
      <w:r w:rsidR="00F3615B" w:rsidRPr="00E7399D">
        <w:t xml:space="preserve">Proposal </w:t>
      </w:r>
      <w:r w:rsidR="00AD217F">
        <w:t xml:space="preserve">for </w:t>
      </w:r>
      <w:r w:rsidR="00270AAF">
        <w:t>a new [0</w:t>
      </w:r>
      <w:r w:rsidR="00673B20">
        <w:t>3</w:t>
      </w:r>
      <w:r w:rsidR="00270AAF">
        <w:t xml:space="preserve">] </w:t>
      </w:r>
      <w:r w:rsidR="00AD217F">
        <w:t xml:space="preserve">series of amendments to </w:t>
      </w:r>
      <w:r w:rsidR="00F3615B">
        <w:t xml:space="preserve">UN </w:t>
      </w:r>
      <w:r w:rsidR="00F3615B" w:rsidRPr="00137502">
        <w:t>Regulation</w:t>
      </w:r>
      <w:r w:rsidR="00F3615B">
        <w:t xml:space="preserve"> No. </w:t>
      </w:r>
      <w:r w:rsidR="00673B20">
        <w:t>74</w:t>
      </w:r>
    </w:p>
    <w:p w14:paraId="51369146" w14:textId="5E130A3A"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319E2D2D" w14:textId="34086292" w:rsidR="00A45AFB" w:rsidRPr="00270AAF" w:rsidRDefault="00A45AFB" w:rsidP="00270AAF">
      <w:pPr>
        <w:pStyle w:val="SingleTxtG"/>
        <w:tabs>
          <w:tab w:val="left" w:pos="8505"/>
        </w:tabs>
        <w:ind w:firstLine="567"/>
      </w:pPr>
      <w:r w:rsidRPr="00270AAF">
        <w:t xml:space="preserve">The text reproduced below was prepared by the Informal Working Group on Simplification of Lighting and Light-Signalling Regulations (IWG SLR) </w:t>
      </w:r>
      <w:r w:rsidR="00270AAF" w:rsidRPr="00270AAF">
        <w:t>with the aim</w:t>
      </w:r>
      <w:r w:rsidRPr="00270AAF">
        <w:t xml:space="preserve"> to enable </w:t>
      </w:r>
      <w:bookmarkStart w:id="0" w:name="_Hlk124152453"/>
      <w:r w:rsidR="00270AAF" w:rsidRPr="00270AAF">
        <w:t xml:space="preserve">the </w:t>
      </w:r>
      <w:r w:rsidRPr="00270AAF">
        <w:t xml:space="preserve">phasing out </w:t>
      </w:r>
      <w:r w:rsidR="00270AAF" w:rsidRPr="00270AAF">
        <w:t xml:space="preserve">of </w:t>
      </w:r>
      <w:r w:rsidRPr="00270AAF">
        <w:t xml:space="preserve">the installation of </w:t>
      </w:r>
      <w:r w:rsidR="009A72C1">
        <w:t>older</w:t>
      </w:r>
      <w:r w:rsidR="009A72C1" w:rsidRPr="00270AAF">
        <w:t xml:space="preserve"> </w:t>
      </w:r>
      <w:r w:rsidR="00270AAF" w:rsidRPr="00270AAF">
        <w:t>lamps/devices</w:t>
      </w:r>
      <w:bookmarkEnd w:id="0"/>
      <w:r w:rsidRPr="00270AAF">
        <w:t>.</w:t>
      </w:r>
      <w:r w:rsidRPr="00270AAF" w:rsidDel="005E0749">
        <w:t xml:space="preserve"> </w:t>
      </w:r>
      <w:r w:rsidRPr="00270AAF">
        <w:t xml:space="preserve">The modifications to the existing text of UN Regulation No. </w:t>
      </w:r>
      <w:r w:rsidR="00673B20">
        <w:t>74</w:t>
      </w:r>
      <w:r w:rsidRPr="00270AAF">
        <w:t xml:space="preserve"> are marked in bold for new or strikethrough for deleted characters.</w:t>
      </w:r>
    </w:p>
    <w:p w14:paraId="6CF57D06" w14:textId="77A5E063" w:rsidR="0053129E" w:rsidRPr="003F1AB4" w:rsidRDefault="0053129E" w:rsidP="00E317C2">
      <w:pPr>
        <w:pStyle w:val="SingleTxtG"/>
        <w:tabs>
          <w:tab w:val="left" w:pos="8505"/>
        </w:tabs>
        <w:ind w:firstLine="567"/>
        <w:rPr>
          <w:bCs/>
        </w:rPr>
      </w:pPr>
    </w:p>
    <w:p w14:paraId="20CA5035" w14:textId="77777777" w:rsidR="0053129E" w:rsidRPr="00525E6C" w:rsidRDefault="0053129E" w:rsidP="0053129E">
      <w:pPr>
        <w:rPr>
          <w:lang w:val="en-US"/>
        </w:rPr>
        <w:sectPr w:rsidR="0053129E" w:rsidRPr="00525E6C"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755D06E3" w14:textId="77777777" w:rsidR="00673B20" w:rsidRPr="00BB44EF" w:rsidRDefault="00673B20" w:rsidP="00673B20">
      <w:pPr>
        <w:pStyle w:val="SingleTxtG"/>
        <w:ind w:left="2268" w:right="1133" w:hanging="1134"/>
        <w:rPr>
          <w:iCs/>
          <w:kern w:val="2"/>
          <w:lang w:eastAsia="ja-JP"/>
        </w:rPr>
      </w:pPr>
      <w:r w:rsidRPr="00BB44EF">
        <w:rPr>
          <w:i/>
          <w:iCs/>
          <w:kern w:val="2"/>
          <w:lang w:eastAsia="ja-JP"/>
        </w:rPr>
        <w:t xml:space="preserve">Paragraph 6.1.1., </w:t>
      </w:r>
      <w:r w:rsidRPr="00BB44EF">
        <w:rPr>
          <w:iCs/>
          <w:kern w:val="2"/>
          <w:lang w:eastAsia="ja-JP"/>
        </w:rPr>
        <w:t xml:space="preserve">amend to </w:t>
      </w:r>
      <w:r w:rsidRPr="00BB44EF">
        <w:t>read</w:t>
      </w:r>
      <w:r w:rsidRPr="00BB44EF">
        <w:rPr>
          <w:iCs/>
          <w:kern w:val="2"/>
          <w:lang w:eastAsia="ja-JP"/>
        </w:rPr>
        <w:t>:</w:t>
      </w:r>
    </w:p>
    <w:p w14:paraId="0CDE325F" w14:textId="491FAF0A" w:rsidR="00673B20" w:rsidRPr="00BB44EF" w:rsidRDefault="00673B20" w:rsidP="00673B20">
      <w:pPr>
        <w:pStyle w:val="SingleTxtG"/>
        <w:ind w:left="2268" w:hanging="1134"/>
        <w:rPr>
          <w:iCs/>
          <w:kern w:val="2"/>
          <w:lang w:eastAsia="ja-JP"/>
        </w:rPr>
      </w:pPr>
      <w:r>
        <w:rPr>
          <w:iCs/>
          <w:kern w:val="2"/>
          <w:lang w:eastAsia="ja-JP"/>
        </w:rPr>
        <w:t>“</w:t>
      </w:r>
      <w:r w:rsidRPr="00BB44EF">
        <w:rPr>
          <w:iCs/>
          <w:kern w:val="2"/>
          <w:lang w:eastAsia="ja-JP"/>
        </w:rPr>
        <w:t>6.1.1.</w:t>
      </w:r>
      <w:r w:rsidRPr="00BB44EF">
        <w:rPr>
          <w:iCs/>
          <w:kern w:val="2"/>
          <w:lang w:eastAsia="ja-JP"/>
        </w:rPr>
        <w:tab/>
        <w:t>Number</w:t>
      </w:r>
    </w:p>
    <w:p w14:paraId="433F1C63" w14:textId="6AB32315" w:rsidR="00673B20" w:rsidRPr="00BB44EF" w:rsidRDefault="00673B20" w:rsidP="00673B20">
      <w:pPr>
        <w:pStyle w:val="SingleTxtG"/>
        <w:ind w:left="2552" w:hanging="284"/>
      </w:pPr>
      <w:r w:rsidRPr="00BB44EF">
        <w:t>One or two</w:t>
      </w:r>
      <w:r w:rsidR="009A72C1" w:rsidRPr="002C1AD7">
        <w:rPr>
          <w:b/>
          <w:bCs/>
        </w:rPr>
        <w:t>,</w:t>
      </w:r>
      <w:r w:rsidRPr="00BB44EF">
        <w:t xml:space="preserve"> </w:t>
      </w:r>
      <w:r w:rsidRPr="00BB44EF">
        <w:rPr>
          <w:strike/>
        </w:rPr>
        <w:t>of</w:t>
      </w:r>
      <w:r w:rsidRPr="00BB44EF">
        <w:rPr>
          <w:u w:color="000000"/>
        </w:rPr>
        <w:t xml:space="preserve"> </w:t>
      </w:r>
      <w:r w:rsidRPr="00BB44EF">
        <w:rPr>
          <w:strike/>
          <w:u w:color="000000"/>
        </w:rPr>
        <w:t>approved type</w:t>
      </w:r>
      <w:r w:rsidRPr="00BB44EF">
        <w:rPr>
          <w:u w:color="000000"/>
        </w:rPr>
        <w:t xml:space="preserve"> </w:t>
      </w:r>
      <w:r w:rsidRPr="00BB44EF">
        <w:rPr>
          <w:b/>
          <w:bCs/>
          <w:u w:color="000000"/>
        </w:rPr>
        <w:t>type-approved</w:t>
      </w:r>
      <w:r w:rsidRPr="00BB44EF">
        <w:rPr>
          <w:u w:color="000000"/>
        </w:rPr>
        <w:t xml:space="preserve"> </w:t>
      </w:r>
      <w:r w:rsidRPr="00BB44EF">
        <w:t>according to</w:t>
      </w:r>
      <w:r w:rsidRPr="002C1AD7">
        <w:rPr>
          <w:strike/>
        </w:rPr>
        <w:t>:</w:t>
      </w:r>
    </w:p>
    <w:p w14:paraId="6730CC71" w14:textId="77777777" w:rsidR="00673B20" w:rsidRPr="00BB44EF" w:rsidRDefault="00673B20" w:rsidP="00673B20">
      <w:pPr>
        <w:pStyle w:val="SingleTxtG"/>
        <w:ind w:left="2694" w:hanging="426"/>
        <w:rPr>
          <w:strike/>
        </w:rPr>
      </w:pPr>
      <w:r w:rsidRPr="00BB44EF">
        <w:rPr>
          <w:strike/>
        </w:rPr>
        <w:t>(a)</w:t>
      </w:r>
      <w:r w:rsidRPr="00BB44EF">
        <w:rPr>
          <w:strike/>
        </w:rPr>
        <w:tab/>
        <w:t>Regulation No. 113;</w:t>
      </w:r>
    </w:p>
    <w:p w14:paraId="561FFA05" w14:textId="77777777" w:rsidR="00673B20" w:rsidRPr="00BB44EF" w:rsidRDefault="00673B20" w:rsidP="00673B20">
      <w:pPr>
        <w:pStyle w:val="SingleTxtG"/>
        <w:ind w:left="2694" w:hanging="426"/>
        <w:rPr>
          <w:strike/>
        </w:rPr>
      </w:pPr>
      <w:r w:rsidRPr="00BB44EF">
        <w:rPr>
          <w:strike/>
        </w:rPr>
        <w:t>(b)</w:t>
      </w:r>
      <w:r w:rsidRPr="00BB44EF">
        <w:rPr>
          <w:strike/>
        </w:rPr>
        <w:tab/>
        <w:t>Class A or B of UN Regulation No. 112;</w:t>
      </w:r>
    </w:p>
    <w:p w14:paraId="23C76C08" w14:textId="77777777" w:rsidR="00673B20" w:rsidRPr="008A4EDF" w:rsidRDefault="00673B20" w:rsidP="00673B20">
      <w:pPr>
        <w:pStyle w:val="SingleTxtG"/>
        <w:ind w:left="2694" w:hanging="426"/>
        <w:rPr>
          <w:strike/>
          <w:lang w:val="es-ES"/>
        </w:rPr>
      </w:pPr>
      <w:r w:rsidRPr="008A4EDF">
        <w:rPr>
          <w:strike/>
          <w:lang w:val="es-ES"/>
        </w:rPr>
        <w:t>(c)</w:t>
      </w:r>
      <w:r w:rsidRPr="008A4EDF">
        <w:rPr>
          <w:strike/>
          <w:lang w:val="es-ES"/>
        </w:rPr>
        <w:tab/>
        <w:t xml:space="preserve">UN </w:t>
      </w:r>
      <w:proofErr w:type="spellStart"/>
      <w:r w:rsidRPr="008A4EDF">
        <w:rPr>
          <w:strike/>
          <w:lang w:val="es-ES"/>
        </w:rPr>
        <w:t>Regulation</w:t>
      </w:r>
      <w:proofErr w:type="spellEnd"/>
      <w:r w:rsidRPr="008A4EDF">
        <w:rPr>
          <w:strike/>
          <w:lang w:val="es-ES"/>
        </w:rPr>
        <w:t xml:space="preserve"> No. 1;</w:t>
      </w:r>
    </w:p>
    <w:p w14:paraId="34883D0F" w14:textId="77777777" w:rsidR="00673B20" w:rsidRPr="008A4EDF" w:rsidRDefault="00673B20" w:rsidP="00673B20">
      <w:pPr>
        <w:pStyle w:val="SingleTxtG"/>
        <w:ind w:left="2694" w:hanging="426"/>
        <w:rPr>
          <w:strike/>
          <w:lang w:val="es-ES"/>
        </w:rPr>
      </w:pPr>
      <w:r w:rsidRPr="008A4EDF">
        <w:rPr>
          <w:strike/>
          <w:lang w:val="es-ES"/>
        </w:rPr>
        <w:t>(d)</w:t>
      </w:r>
      <w:r w:rsidRPr="008A4EDF">
        <w:rPr>
          <w:strike/>
          <w:lang w:val="es-ES"/>
        </w:rPr>
        <w:tab/>
        <w:t xml:space="preserve">UN </w:t>
      </w:r>
      <w:proofErr w:type="spellStart"/>
      <w:r w:rsidRPr="008A4EDF">
        <w:rPr>
          <w:strike/>
          <w:lang w:val="es-ES"/>
        </w:rPr>
        <w:t>Regulation</w:t>
      </w:r>
      <w:proofErr w:type="spellEnd"/>
      <w:r w:rsidRPr="008A4EDF">
        <w:rPr>
          <w:strike/>
          <w:lang w:val="es-ES"/>
        </w:rPr>
        <w:t xml:space="preserve"> No. 57;</w:t>
      </w:r>
    </w:p>
    <w:p w14:paraId="699B2D3B" w14:textId="77777777" w:rsidR="00673B20" w:rsidRPr="008A4EDF" w:rsidRDefault="00673B20" w:rsidP="00673B20">
      <w:pPr>
        <w:pStyle w:val="SingleTxtG"/>
        <w:ind w:left="2694" w:hanging="426"/>
        <w:rPr>
          <w:strike/>
          <w:lang w:val="es-ES"/>
        </w:rPr>
      </w:pPr>
      <w:r w:rsidRPr="008A4EDF">
        <w:rPr>
          <w:strike/>
          <w:lang w:val="es-ES"/>
        </w:rPr>
        <w:t>(f)</w:t>
      </w:r>
      <w:r w:rsidRPr="008A4EDF">
        <w:rPr>
          <w:strike/>
          <w:lang w:val="es-ES"/>
        </w:rPr>
        <w:tab/>
        <w:t xml:space="preserve">UN </w:t>
      </w:r>
      <w:proofErr w:type="spellStart"/>
      <w:r w:rsidRPr="008A4EDF">
        <w:rPr>
          <w:strike/>
          <w:lang w:val="es-ES"/>
        </w:rPr>
        <w:t>Regulation</w:t>
      </w:r>
      <w:proofErr w:type="spellEnd"/>
      <w:r w:rsidRPr="008A4EDF">
        <w:rPr>
          <w:strike/>
          <w:lang w:val="es-ES"/>
        </w:rPr>
        <w:t xml:space="preserve"> No. 72;</w:t>
      </w:r>
    </w:p>
    <w:p w14:paraId="012326E6" w14:textId="77777777" w:rsidR="00673B20" w:rsidRPr="008A4EDF" w:rsidRDefault="00673B20" w:rsidP="00673B20">
      <w:pPr>
        <w:pStyle w:val="SingleTxtG"/>
        <w:ind w:left="2694" w:hanging="426"/>
        <w:rPr>
          <w:strike/>
          <w:lang w:val="es-ES"/>
        </w:rPr>
      </w:pPr>
      <w:r w:rsidRPr="008A4EDF">
        <w:rPr>
          <w:strike/>
          <w:lang w:val="es-ES"/>
        </w:rPr>
        <w:t>(g)</w:t>
      </w:r>
      <w:r w:rsidRPr="008A4EDF">
        <w:rPr>
          <w:strike/>
          <w:lang w:val="es-ES"/>
        </w:rPr>
        <w:tab/>
        <w:t xml:space="preserve">UN </w:t>
      </w:r>
      <w:proofErr w:type="spellStart"/>
      <w:r w:rsidRPr="008A4EDF">
        <w:rPr>
          <w:strike/>
          <w:lang w:val="es-ES"/>
        </w:rPr>
        <w:t>Regulation</w:t>
      </w:r>
      <w:proofErr w:type="spellEnd"/>
      <w:r w:rsidRPr="008A4EDF">
        <w:rPr>
          <w:strike/>
          <w:lang w:val="es-ES"/>
        </w:rPr>
        <w:t xml:space="preserve"> No. 76;</w:t>
      </w:r>
    </w:p>
    <w:p w14:paraId="3C97FFB3" w14:textId="30CC4FC5" w:rsidR="00673B20" w:rsidRPr="00BB44EF" w:rsidRDefault="00673B20" w:rsidP="00673B20">
      <w:pPr>
        <w:spacing w:after="120"/>
        <w:ind w:left="2268" w:right="1133"/>
        <w:jc w:val="both"/>
        <w:rPr>
          <w:b/>
        </w:rPr>
      </w:pPr>
      <w:r w:rsidRPr="00BB44EF">
        <w:rPr>
          <w:bCs/>
          <w:iCs/>
          <w:strike/>
          <w:kern w:val="2"/>
          <w:lang w:eastAsia="ja-JP"/>
        </w:rPr>
        <w:t xml:space="preserve">(g) </w:t>
      </w:r>
      <w:r w:rsidRPr="00BB44EF">
        <w:rPr>
          <w:bCs/>
          <w:iCs/>
          <w:strike/>
          <w:kern w:val="2"/>
          <w:lang w:eastAsia="ja-JP"/>
        </w:rPr>
        <w:tab/>
      </w:r>
      <w:r w:rsidRPr="00BB44EF">
        <w:rPr>
          <w:bCs/>
          <w:iCs/>
          <w:kern w:val="2"/>
          <w:lang w:eastAsia="ja-JP"/>
        </w:rPr>
        <w:t>Class A, B, BS, CS</w:t>
      </w:r>
      <w:r w:rsidRPr="00BB44EF">
        <w:rPr>
          <w:bCs/>
          <w:iCs/>
          <w:strike/>
          <w:kern w:val="2"/>
          <w:lang w:eastAsia="ja-JP"/>
        </w:rPr>
        <w:t>,</w:t>
      </w:r>
      <w:r w:rsidRPr="00BB44EF">
        <w:rPr>
          <w:bCs/>
          <w:iCs/>
          <w:kern w:val="2"/>
          <w:lang w:eastAsia="ja-JP"/>
        </w:rPr>
        <w:t xml:space="preserve"> </w:t>
      </w:r>
      <w:r w:rsidRPr="00BB44EF">
        <w:rPr>
          <w:b/>
          <w:iCs/>
          <w:kern w:val="2"/>
          <w:lang w:eastAsia="ja-JP"/>
        </w:rPr>
        <w:t xml:space="preserve">or </w:t>
      </w:r>
      <w:r w:rsidRPr="00BB44EF">
        <w:rPr>
          <w:bCs/>
          <w:iCs/>
          <w:kern w:val="2"/>
          <w:lang w:eastAsia="ja-JP"/>
        </w:rPr>
        <w:t xml:space="preserve">DS </w:t>
      </w:r>
      <w:r w:rsidRPr="00BB44EF">
        <w:rPr>
          <w:bCs/>
          <w:iCs/>
          <w:strike/>
          <w:kern w:val="2"/>
          <w:lang w:eastAsia="ja-JP"/>
        </w:rPr>
        <w:t>or ES</w:t>
      </w:r>
      <w:r w:rsidRPr="00BB44EF">
        <w:rPr>
          <w:bCs/>
          <w:iCs/>
          <w:kern w:val="2"/>
          <w:lang w:eastAsia="ja-JP"/>
        </w:rPr>
        <w:t xml:space="preserve"> of </w:t>
      </w:r>
      <w:r w:rsidRPr="00BB44EF">
        <w:rPr>
          <w:b/>
        </w:rPr>
        <w:t xml:space="preserve">the 01 or subsequent series of amendments to </w:t>
      </w:r>
      <w:r w:rsidRPr="00BB44EF">
        <w:rPr>
          <w:bCs/>
          <w:iCs/>
          <w:kern w:val="2"/>
          <w:lang w:eastAsia="ja-JP"/>
        </w:rPr>
        <w:t>UN Regulation No. 149.</w:t>
      </w:r>
      <w:r>
        <w:t>”</w:t>
      </w:r>
    </w:p>
    <w:p w14:paraId="2E394E12" w14:textId="77777777" w:rsidR="00673B20" w:rsidRPr="00BB44EF" w:rsidRDefault="00673B20" w:rsidP="00673B20">
      <w:pPr>
        <w:spacing w:after="120"/>
        <w:ind w:left="2268" w:right="1395" w:hanging="1134"/>
        <w:jc w:val="both"/>
        <w:rPr>
          <w:rFonts w:asciiTheme="majorBidi" w:hAnsiTheme="majorBidi" w:cstheme="majorBidi"/>
        </w:rPr>
      </w:pPr>
      <w:r w:rsidRPr="00BB44EF">
        <w:rPr>
          <w:i/>
        </w:rPr>
        <w:t>Paragraph</w:t>
      </w:r>
      <w:r w:rsidRPr="00BB44EF">
        <w:rPr>
          <w:rFonts w:asciiTheme="majorBidi" w:hAnsiTheme="majorBidi" w:cstheme="majorBidi"/>
          <w:i/>
          <w:iCs/>
        </w:rPr>
        <w:t xml:space="preserve"> 6.1.7.</w:t>
      </w:r>
      <w:r w:rsidRPr="00BB44EF">
        <w:rPr>
          <w:rFonts w:asciiTheme="majorBidi" w:hAnsiTheme="majorBidi" w:cstheme="majorBidi"/>
        </w:rPr>
        <w:t>, amend to read:</w:t>
      </w:r>
    </w:p>
    <w:p w14:paraId="6774D7E3" w14:textId="1614F58B" w:rsidR="00673B20" w:rsidRPr="00BB44EF" w:rsidRDefault="00673B20" w:rsidP="00673B20">
      <w:pPr>
        <w:pStyle w:val="SingleTxtG"/>
        <w:ind w:left="2268" w:right="992" w:hanging="1134"/>
        <w:rPr>
          <w:rFonts w:asciiTheme="majorBidi" w:hAnsiTheme="majorBidi" w:cstheme="majorBidi"/>
        </w:rPr>
      </w:pPr>
      <w:r>
        <w:t>“</w:t>
      </w:r>
      <w:r w:rsidRPr="00BB44EF">
        <w:rPr>
          <w:rFonts w:asciiTheme="majorBidi" w:hAnsiTheme="majorBidi" w:cstheme="majorBidi"/>
        </w:rPr>
        <w:t xml:space="preserve">6.1.7. </w:t>
      </w:r>
      <w:r w:rsidRPr="00BB44EF">
        <w:rPr>
          <w:rFonts w:asciiTheme="majorBidi" w:hAnsiTheme="majorBidi" w:cstheme="majorBidi"/>
        </w:rPr>
        <w:tab/>
        <w:t xml:space="preserve">Electrical connections </w:t>
      </w:r>
    </w:p>
    <w:p w14:paraId="088B0705" w14:textId="77777777" w:rsidR="00673B20" w:rsidRPr="00BB44EF" w:rsidRDefault="00673B20" w:rsidP="00673B20">
      <w:pPr>
        <w:pStyle w:val="SingleTxtG"/>
        <w:ind w:left="2268" w:right="992"/>
      </w:pPr>
      <w:r w:rsidRPr="00BB44EF">
        <w:t>The passing-beam(s) may remain switched ON with the driving-beam(s).</w:t>
      </w:r>
    </w:p>
    <w:p w14:paraId="5898FF57" w14:textId="77777777" w:rsidR="00673B20" w:rsidRPr="00BB44EF" w:rsidRDefault="00673B20" w:rsidP="00673B20">
      <w:pPr>
        <w:pStyle w:val="SingleTxtG"/>
        <w:ind w:left="2268" w:right="992"/>
      </w:pPr>
      <w:r w:rsidRPr="00BB44EF">
        <w:t>However, when the vehicle is fitted with secondary driving-beam(s) approved in accordance with UN Regulations No</w:t>
      </w:r>
      <w:r w:rsidRPr="00BB44EF">
        <w:rPr>
          <w:strike/>
        </w:rPr>
        <w:t>s</w:t>
      </w:r>
      <w:r w:rsidRPr="00BB44EF">
        <w:t xml:space="preserve">. </w:t>
      </w:r>
      <w:r w:rsidRPr="00BB44EF">
        <w:rPr>
          <w:strike/>
        </w:rPr>
        <w:t xml:space="preserve">113 or </w:t>
      </w:r>
      <w:r w:rsidRPr="00BB44EF">
        <w:t>149, at least one of the following lamps shall remain switched ON with the secondary driving beam(s):</w:t>
      </w:r>
    </w:p>
    <w:p w14:paraId="0088931D" w14:textId="77777777" w:rsidR="00673B20" w:rsidRPr="00BB44EF" w:rsidRDefault="00673B20" w:rsidP="00673B20">
      <w:pPr>
        <w:spacing w:after="120"/>
        <w:ind w:left="2835" w:rightChars="540" w:right="1080" w:hanging="567"/>
        <w:jc w:val="both"/>
        <w:rPr>
          <w:iCs/>
        </w:rPr>
      </w:pPr>
      <w:r w:rsidRPr="00BB44EF">
        <w:rPr>
          <w:iCs/>
        </w:rPr>
        <w:t>(a)</w:t>
      </w:r>
      <w:r w:rsidRPr="00BB44EF">
        <w:rPr>
          <w:iCs/>
        </w:rPr>
        <w:tab/>
        <w:t>Passing-beam(s);</w:t>
      </w:r>
    </w:p>
    <w:p w14:paraId="12805F3C" w14:textId="77777777" w:rsidR="00673B20" w:rsidRPr="00BB44EF" w:rsidRDefault="00673B20" w:rsidP="00673B20">
      <w:pPr>
        <w:spacing w:after="120"/>
        <w:ind w:left="2835" w:rightChars="540" w:right="1080" w:hanging="567"/>
        <w:jc w:val="both"/>
        <w:rPr>
          <w:iCs/>
          <w:strike/>
        </w:rPr>
      </w:pPr>
      <w:r w:rsidRPr="00BB44EF">
        <w:rPr>
          <w:iCs/>
          <w:strike/>
        </w:rPr>
        <w:t>(b)</w:t>
      </w:r>
      <w:r w:rsidRPr="00BB44EF">
        <w:rPr>
          <w:iCs/>
          <w:strike/>
        </w:rPr>
        <w:tab/>
        <w:t>Primary driving beam approved according to UN Regulations Nos. 113 or 149;</w:t>
      </w:r>
    </w:p>
    <w:p w14:paraId="61D22DE7" w14:textId="61AD4782" w:rsidR="00673B20" w:rsidRPr="00BB44EF" w:rsidRDefault="00673B20" w:rsidP="00673B20">
      <w:pPr>
        <w:pStyle w:val="SingleTxtG"/>
        <w:ind w:left="2835" w:right="992" w:hanging="567"/>
        <w:rPr>
          <w:i/>
          <w:iCs/>
          <w:kern w:val="2"/>
          <w:lang w:eastAsia="ja-JP"/>
        </w:rPr>
      </w:pPr>
      <w:r w:rsidRPr="00BB44EF">
        <w:rPr>
          <w:iCs/>
          <w:strike/>
        </w:rPr>
        <w:t>(c)</w:t>
      </w:r>
      <w:r w:rsidRPr="00BB44EF">
        <w:rPr>
          <w:b/>
          <w:bCs/>
          <w:iCs/>
        </w:rPr>
        <w:t>(b)</w:t>
      </w:r>
      <w:r w:rsidRPr="00BB44EF">
        <w:rPr>
          <w:iCs/>
        </w:rPr>
        <w:tab/>
        <w:t xml:space="preserve">Driving-beam of Class A or B approved according to the 01 </w:t>
      </w:r>
      <w:r w:rsidRPr="0021206E">
        <w:rPr>
          <w:iCs/>
          <w:strike/>
        </w:rPr>
        <w:t>and</w:t>
      </w:r>
      <w:r w:rsidRPr="00BB44EF">
        <w:rPr>
          <w:iCs/>
        </w:rPr>
        <w:t xml:space="preserve"> </w:t>
      </w:r>
      <w:r w:rsidRPr="0021206E">
        <w:rPr>
          <w:b/>
          <w:bCs/>
          <w:iCs/>
        </w:rPr>
        <w:t>or</w:t>
      </w:r>
      <w:r w:rsidRPr="00BB44EF">
        <w:rPr>
          <w:iCs/>
        </w:rPr>
        <w:tab/>
        <w:t>subsequent series of amendments to UN Regulation No. 149.</w:t>
      </w:r>
      <w:r>
        <w:t>”</w:t>
      </w:r>
    </w:p>
    <w:p w14:paraId="4397E84F" w14:textId="77777777" w:rsidR="00673B20" w:rsidRPr="00BB44EF" w:rsidRDefault="00673B20" w:rsidP="00673B20">
      <w:pPr>
        <w:pStyle w:val="SingleTxtG"/>
        <w:ind w:left="2268" w:right="1133" w:hanging="1134"/>
        <w:rPr>
          <w:bCs/>
          <w:iCs/>
          <w:kern w:val="2"/>
          <w:lang w:eastAsia="ja-JP"/>
        </w:rPr>
      </w:pPr>
      <w:r w:rsidRPr="00BB44EF">
        <w:rPr>
          <w:bCs/>
          <w:i/>
          <w:iCs/>
          <w:kern w:val="2"/>
          <w:lang w:eastAsia="ja-JP"/>
        </w:rPr>
        <w:t xml:space="preserve">Paragraph 6.2.1. and footnote *, </w:t>
      </w:r>
      <w:r w:rsidRPr="00BB44EF">
        <w:rPr>
          <w:bCs/>
          <w:kern w:val="2"/>
          <w:lang w:eastAsia="ja-JP"/>
        </w:rPr>
        <w:t>amend to read:</w:t>
      </w:r>
    </w:p>
    <w:p w14:paraId="35B801FB" w14:textId="3EB54A68" w:rsidR="00673B20" w:rsidRPr="00BB44EF" w:rsidRDefault="00673B20" w:rsidP="00673B20">
      <w:pPr>
        <w:pStyle w:val="SingleTxtG"/>
        <w:ind w:left="2268" w:hanging="1134"/>
        <w:rPr>
          <w:bCs/>
          <w:iCs/>
          <w:kern w:val="2"/>
          <w:lang w:eastAsia="ja-JP"/>
        </w:rPr>
      </w:pPr>
      <w:r>
        <w:rPr>
          <w:bCs/>
          <w:iCs/>
          <w:kern w:val="2"/>
          <w:lang w:eastAsia="ja-JP"/>
        </w:rPr>
        <w:t>“</w:t>
      </w:r>
      <w:r w:rsidRPr="00BB44EF">
        <w:rPr>
          <w:bCs/>
          <w:iCs/>
          <w:kern w:val="2"/>
          <w:lang w:eastAsia="ja-JP"/>
        </w:rPr>
        <w:t>6.2.1.</w:t>
      </w:r>
      <w:r w:rsidRPr="00BB44EF">
        <w:rPr>
          <w:bCs/>
          <w:iCs/>
          <w:kern w:val="2"/>
          <w:lang w:eastAsia="ja-JP"/>
        </w:rPr>
        <w:tab/>
        <w:t>Number</w:t>
      </w:r>
    </w:p>
    <w:p w14:paraId="6F30C782" w14:textId="59CED665" w:rsidR="00673B20" w:rsidRPr="00BB44EF" w:rsidRDefault="00673B20" w:rsidP="00673B20">
      <w:pPr>
        <w:pStyle w:val="SingleTxtG"/>
        <w:ind w:left="2268"/>
        <w:rPr>
          <w:bCs/>
          <w:iCs/>
          <w:kern w:val="2"/>
          <w:lang w:eastAsia="ja-JP"/>
        </w:rPr>
      </w:pPr>
      <w:r w:rsidRPr="00BB44EF">
        <w:rPr>
          <w:bCs/>
          <w:iCs/>
          <w:kern w:val="2"/>
          <w:lang w:eastAsia="ja-JP"/>
        </w:rPr>
        <w:t>One or two</w:t>
      </w:r>
      <w:r w:rsidR="009A72C1" w:rsidRPr="002C1AD7">
        <w:rPr>
          <w:b/>
          <w:iCs/>
          <w:kern w:val="2"/>
          <w:lang w:eastAsia="ja-JP"/>
        </w:rPr>
        <w:t>,</w:t>
      </w:r>
      <w:r w:rsidRPr="00BB44EF">
        <w:rPr>
          <w:bCs/>
          <w:iCs/>
          <w:kern w:val="2"/>
          <w:lang w:eastAsia="ja-JP"/>
        </w:rPr>
        <w:t xml:space="preserve"> </w:t>
      </w:r>
      <w:r w:rsidRPr="00BB44EF">
        <w:rPr>
          <w:bCs/>
          <w:iCs/>
          <w:strike/>
          <w:kern w:val="2"/>
          <w:lang w:eastAsia="ja-JP"/>
        </w:rPr>
        <w:t xml:space="preserve">of </w:t>
      </w:r>
      <w:r w:rsidRPr="00BB44EF">
        <w:rPr>
          <w:strike/>
          <w:u w:color="000000"/>
        </w:rPr>
        <w:t>approved type</w:t>
      </w:r>
      <w:r w:rsidRPr="00BB44EF">
        <w:rPr>
          <w:u w:color="000000"/>
        </w:rPr>
        <w:t xml:space="preserve"> </w:t>
      </w:r>
      <w:r w:rsidRPr="00BB44EF">
        <w:rPr>
          <w:b/>
          <w:bCs/>
          <w:u w:color="000000"/>
        </w:rPr>
        <w:t>type-approved</w:t>
      </w:r>
      <w:r w:rsidRPr="00BB44EF">
        <w:rPr>
          <w:u w:color="000000"/>
        </w:rPr>
        <w:t xml:space="preserve"> </w:t>
      </w:r>
      <w:r w:rsidRPr="00BB44EF">
        <w:rPr>
          <w:bCs/>
          <w:iCs/>
          <w:kern w:val="2"/>
          <w:lang w:eastAsia="ja-JP"/>
        </w:rPr>
        <w:t>according to</w:t>
      </w:r>
      <w:r w:rsidR="002C1AD7" w:rsidRPr="002C1AD7">
        <w:rPr>
          <w:strike/>
        </w:rPr>
        <w:t>:</w:t>
      </w:r>
    </w:p>
    <w:p w14:paraId="3D62B173" w14:textId="77777777" w:rsidR="00673B20" w:rsidRPr="00BB44EF" w:rsidRDefault="00673B20" w:rsidP="00673B20">
      <w:pPr>
        <w:pStyle w:val="SingleTxtG"/>
        <w:ind w:left="2268"/>
        <w:rPr>
          <w:bCs/>
          <w:iCs/>
          <w:strike/>
          <w:kern w:val="2"/>
          <w:lang w:eastAsia="ja-JP"/>
        </w:rPr>
      </w:pPr>
      <w:r w:rsidRPr="00BB44EF">
        <w:rPr>
          <w:bCs/>
          <w:iCs/>
          <w:strike/>
          <w:kern w:val="2"/>
          <w:lang w:eastAsia="ja-JP"/>
        </w:rPr>
        <w:t>(a)</w:t>
      </w:r>
      <w:r w:rsidRPr="00BB44EF">
        <w:rPr>
          <w:bCs/>
          <w:iCs/>
          <w:strike/>
          <w:kern w:val="2"/>
          <w:lang w:eastAsia="ja-JP"/>
        </w:rPr>
        <w:tab/>
        <w:t>Regulation No. 113*;</w:t>
      </w:r>
    </w:p>
    <w:p w14:paraId="0E3E5FEC" w14:textId="77777777" w:rsidR="00673B20" w:rsidRPr="00BB44EF" w:rsidRDefault="00673B20" w:rsidP="00673B20">
      <w:pPr>
        <w:pStyle w:val="SingleTxtG"/>
        <w:ind w:left="2268"/>
        <w:rPr>
          <w:bCs/>
          <w:iCs/>
          <w:strike/>
          <w:kern w:val="2"/>
          <w:lang w:eastAsia="ja-JP"/>
        </w:rPr>
      </w:pPr>
      <w:r w:rsidRPr="00BB44EF">
        <w:rPr>
          <w:bCs/>
          <w:iCs/>
          <w:strike/>
          <w:kern w:val="2"/>
          <w:lang w:eastAsia="ja-JP"/>
        </w:rPr>
        <w:t>(b)</w:t>
      </w:r>
      <w:r w:rsidRPr="00BB44EF">
        <w:rPr>
          <w:bCs/>
          <w:iCs/>
          <w:strike/>
          <w:kern w:val="2"/>
          <w:lang w:eastAsia="ja-JP"/>
        </w:rPr>
        <w:tab/>
        <w:t>Class A or B of UN Regulation No. 112;</w:t>
      </w:r>
    </w:p>
    <w:p w14:paraId="09F29DBB" w14:textId="77777777" w:rsidR="00673B20" w:rsidRPr="00BB44EF" w:rsidRDefault="00673B20" w:rsidP="00673B20">
      <w:pPr>
        <w:pStyle w:val="SingleTxtG"/>
        <w:ind w:left="2268"/>
        <w:rPr>
          <w:bCs/>
          <w:iCs/>
          <w:strike/>
          <w:kern w:val="2"/>
          <w:lang w:eastAsia="ja-JP"/>
        </w:rPr>
      </w:pPr>
      <w:r w:rsidRPr="00BB44EF">
        <w:rPr>
          <w:bCs/>
          <w:iCs/>
          <w:strike/>
          <w:kern w:val="2"/>
          <w:lang w:eastAsia="ja-JP"/>
        </w:rPr>
        <w:t>(c)</w:t>
      </w:r>
      <w:r w:rsidRPr="00BB44EF">
        <w:rPr>
          <w:bCs/>
          <w:iCs/>
          <w:strike/>
          <w:kern w:val="2"/>
          <w:lang w:eastAsia="ja-JP"/>
        </w:rPr>
        <w:tab/>
        <w:t>Regulation No. 1;</w:t>
      </w:r>
    </w:p>
    <w:p w14:paraId="3B99BCDE" w14:textId="77777777" w:rsidR="00673B20" w:rsidRPr="00BB44EF" w:rsidRDefault="00673B20" w:rsidP="00673B20">
      <w:pPr>
        <w:pStyle w:val="SingleTxtG"/>
        <w:ind w:left="2268"/>
        <w:rPr>
          <w:bCs/>
          <w:iCs/>
          <w:strike/>
          <w:kern w:val="2"/>
          <w:lang w:eastAsia="ja-JP"/>
        </w:rPr>
      </w:pPr>
      <w:r w:rsidRPr="00BB44EF">
        <w:rPr>
          <w:bCs/>
          <w:iCs/>
          <w:strike/>
          <w:kern w:val="2"/>
          <w:lang w:eastAsia="ja-JP"/>
        </w:rPr>
        <w:t>(d)</w:t>
      </w:r>
      <w:r w:rsidRPr="00BB44EF">
        <w:rPr>
          <w:bCs/>
          <w:iCs/>
          <w:strike/>
          <w:kern w:val="2"/>
          <w:lang w:eastAsia="ja-JP"/>
        </w:rPr>
        <w:tab/>
        <w:t>Regulation No. 56;</w:t>
      </w:r>
    </w:p>
    <w:p w14:paraId="13EF5164" w14:textId="77777777" w:rsidR="00673B20" w:rsidRPr="00BB44EF" w:rsidRDefault="00673B20" w:rsidP="00673B20">
      <w:pPr>
        <w:pStyle w:val="SingleTxtG"/>
        <w:ind w:left="2268"/>
        <w:rPr>
          <w:bCs/>
          <w:iCs/>
          <w:strike/>
          <w:kern w:val="2"/>
          <w:lang w:eastAsia="ja-JP"/>
        </w:rPr>
      </w:pPr>
      <w:r w:rsidRPr="00BB44EF">
        <w:rPr>
          <w:bCs/>
          <w:iCs/>
          <w:strike/>
          <w:kern w:val="2"/>
          <w:lang w:eastAsia="ja-JP"/>
        </w:rPr>
        <w:t>(e)</w:t>
      </w:r>
      <w:r w:rsidRPr="00BB44EF">
        <w:rPr>
          <w:bCs/>
          <w:iCs/>
          <w:strike/>
          <w:kern w:val="2"/>
          <w:lang w:eastAsia="ja-JP"/>
        </w:rPr>
        <w:tab/>
        <w:t>Regulation No. 57;</w:t>
      </w:r>
    </w:p>
    <w:p w14:paraId="5F121A68" w14:textId="77777777" w:rsidR="00673B20" w:rsidRPr="00BB44EF" w:rsidRDefault="00673B20" w:rsidP="00673B20">
      <w:pPr>
        <w:pStyle w:val="SingleTxtG"/>
        <w:ind w:left="2268"/>
        <w:rPr>
          <w:bCs/>
          <w:iCs/>
          <w:strike/>
          <w:kern w:val="2"/>
          <w:lang w:eastAsia="ja-JP"/>
        </w:rPr>
      </w:pPr>
      <w:r w:rsidRPr="00BB44EF">
        <w:rPr>
          <w:bCs/>
          <w:iCs/>
          <w:strike/>
          <w:kern w:val="2"/>
          <w:lang w:eastAsia="ja-JP"/>
        </w:rPr>
        <w:t>(f)</w:t>
      </w:r>
      <w:r w:rsidRPr="00BB44EF">
        <w:rPr>
          <w:bCs/>
          <w:iCs/>
          <w:strike/>
          <w:kern w:val="2"/>
          <w:lang w:eastAsia="ja-JP"/>
        </w:rPr>
        <w:tab/>
        <w:t>Regulation No. 72;</w:t>
      </w:r>
    </w:p>
    <w:p w14:paraId="548BE0A5" w14:textId="77777777" w:rsidR="00673B20" w:rsidRPr="00BB44EF" w:rsidRDefault="00673B20" w:rsidP="00673B20">
      <w:pPr>
        <w:pStyle w:val="SingleTxtG"/>
        <w:ind w:left="2268"/>
        <w:rPr>
          <w:bCs/>
          <w:iCs/>
          <w:strike/>
          <w:kern w:val="2"/>
          <w:lang w:eastAsia="ja-JP"/>
        </w:rPr>
      </w:pPr>
      <w:r w:rsidRPr="00BB44EF">
        <w:rPr>
          <w:bCs/>
          <w:iCs/>
          <w:strike/>
          <w:kern w:val="2"/>
          <w:lang w:eastAsia="ja-JP"/>
        </w:rPr>
        <w:t>(g)</w:t>
      </w:r>
      <w:r w:rsidRPr="00BB44EF">
        <w:rPr>
          <w:bCs/>
          <w:iCs/>
          <w:strike/>
          <w:kern w:val="2"/>
          <w:lang w:eastAsia="ja-JP"/>
        </w:rPr>
        <w:tab/>
        <w:t>Regulation No. 76</w:t>
      </w:r>
    </w:p>
    <w:p w14:paraId="1536041E" w14:textId="77777777" w:rsidR="00673B20" w:rsidRPr="00BB44EF" w:rsidRDefault="00673B20" w:rsidP="00673B20">
      <w:pPr>
        <w:pStyle w:val="SingleTxtG"/>
        <w:ind w:left="2268"/>
        <w:rPr>
          <w:bCs/>
          <w:iCs/>
          <w:strike/>
          <w:kern w:val="2"/>
          <w:lang w:eastAsia="ja-JP"/>
        </w:rPr>
      </w:pPr>
      <w:r w:rsidRPr="00BB44EF">
        <w:rPr>
          <w:bCs/>
          <w:iCs/>
          <w:strike/>
          <w:kern w:val="2"/>
          <w:lang w:eastAsia="ja-JP"/>
        </w:rPr>
        <w:t>(h)</w:t>
      </w:r>
      <w:r w:rsidRPr="00BB44EF">
        <w:rPr>
          <w:bCs/>
          <w:iCs/>
          <w:strike/>
          <w:kern w:val="2"/>
          <w:lang w:eastAsia="ja-JP"/>
        </w:rPr>
        <w:tab/>
        <w:t>Regulation No. 82.</w:t>
      </w:r>
    </w:p>
    <w:p w14:paraId="5448B522" w14:textId="77777777" w:rsidR="00673B20" w:rsidRPr="00BB44EF" w:rsidRDefault="00673B20" w:rsidP="00673B20">
      <w:pPr>
        <w:pStyle w:val="SingleTxtG"/>
        <w:ind w:left="2835" w:hanging="567"/>
        <w:rPr>
          <w:bCs/>
          <w:iCs/>
          <w:kern w:val="2"/>
          <w:lang w:eastAsia="ja-JP"/>
        </w:rPr>
      </w:pPr>
      <w:r w:rsidRPr="00BB44EF">
        <w:rPr>
          <w:bCs/>
          <w:iCs/>
          <w:strike/>
          <w:kern w:val="2"/>
          <w:lang w:eastAsia="ja-JP"/>
        </w:rPr>
        <w:t>(</w:t>
      </w:r>
      <w:proofErr w:type="spellStart"/>
      <w:r w:rsidRPr="00BB44EF">
        <w:rPr>
          <w:bCs/>
          <w:iCs/>
          <w:strike/>
          <w:kern w:val="2"/>
          <w:lang w:eastAsia="ja-JP"/>
        </w:rPr>
        <w:t>i</w:t>
      </w:r>
      <w:proofErr w:type="spellEnd"/>
      <w:r w:rsidRPr="00BB44EF">
        <w:rPr>
          <w:bCs/>
          <w:iCs/>
          <w:strike/>
          <w:kern w:val="2"/>
          <w:lang w:eastAsia="ja-JP"/>
        </w:rPr>
        <w:t>)</w:t>
      </w:r>
      <w:r w:rsidRPr="00BB44EF">
        <w:rPr>
          <w:bCs/>
          <w:iCs/>
          <w:strike/>
          <w:kern w:val="2"/>
          <w:lang w:eastAsia="ja-JP"/>
        </w:rPr>
        <w:tab/>
      </w:r>
      <w:r w:rsidRPr="00BB44EF">
        <w:rPr>
          <w:bCs/>
          <w:iCs/>
          <w:kern w:val="2"/>
          <w:lang w:eastAsia="ja-JP"/>
        </w:rPr>
        <w:t xml:space="preserve">Class </w:t>
      </w:r>
      <w:r w:rsidRPr="00BB44EF">
        <w:rPr>
          <w:bCs/>
          <w:iCs/>
          <w:strike/>
          <w:kern w:val="2"/>
          <w:lang w:eastAsia="ja-JP"/>
        </w:rPr>
        <w:t>A, B,</w:t>
      </w:r>
      <w:r w:rsidRPr="00BB44EF">
        <w:rPr>
          <w:bCs/>
          <w:iCs/>
          <w:kern w:val="2"/>
          <w:lang w:eastAsia="ja-JP"/>
        </w:rPr>
        <w:t xml:space="preserve"> </w:t>
      </w:r>
      <w:r w:rsidRPr="00BB44EF">
        <w:rPr>
          <w:b/>
          <w:iCs/>
          <w:kern w:val="2"/>
          <w:lang w:eastAsia="ja-JP"/>
        </w:rPr>
        <w:t>C, V,</w:t>
      </w:r>
      <w:r w:rsidRPr="00BB44EF">
        <w:rPr>
          <w:bCs/>
          <w:iCs/>
          <w:kern w:val="2"/>
          <w:lang w:eastAsia="ja-JP"/>
        </w:rPr>
        <w:t xml:space="preserve"> AS*, BS, CS</w:t>
      </w:r>
      <w:r w:rsidRPr="00BB44EF">
        <w:rPr>
          <w:bCs/>
          <w:iCs/>
          <w:strike/>
          <w:kern w:val="2"/>
          <w:lang w:eastAsia="ja-JP"/>
        </w:rPr>
        <w:t>,</w:t>
      </w:r>
      <w:r w:rsidRPr="00BB44EF">
        <w:rPr>
          <w:bCs/>
          <w:iCs/>
          <w:kern w:val="2"/>
          <w:lang w:eastAsia="ja-JP"/>
        </w:rPr>
        <w:t xml:space="preserve"> </w:t>
      </w:r>
      <w:r w:rsidRPr="00BB44EF">
        <w:rPr>
          <w:b/>
          <w:iCs/>
          <w:kern w:val="2"/>
          <w:lang w:eastAsia="ja-JP"/>
        </w:rPr>
        <w:t xml:space="preserve">or </w:t>
      </w:r>
      <w:r w:rsidRPr="00BB44EF">
        <w:rPr>
          <w:bCs/>
          <w:iCs/>
          <w:kern w:val="2"/>
          <w:lang w:eastAsia="ja-JP"/>
        </w:rPr>
        <w:t xml:space="preserve">DS </w:t>
      </w:r>
      <w:r w:rsidRPr="00BB44EF">
        <w:rPr>
          <w:bCs/>
          <w:iCs/>
          <w:strike/>
          <w:kern w:val="2"/>
          <w:lang w:eastAsia="ja-JP"/>
        </w:rPr>
        <w:t xml:space="preserve">or ES </w:t>
      </w:r>
      <w:r w:rsidRPr="00BB44EF">
        <w:rPr>
          <w:bCs/>
          <w:iCs/>
          <w:kern w:val="2"/>
          <w:lang w:eastAsia="ja-JP"/>
        </w:rPr>
        <w:t xml:space="preserve">of </w:t>
      </w:r>
      <w:r w:rsidRPr="00BB44EF">
        <w:rPr>
          <w:b/>
          <w:iCs/>
          <w:kern w:val="2"/>
          <w:lang w:eastAsia="ja-JP"/>
        </w:rPr>
        <w:t xml:space="preserve">the 01 </w:t>
      </w:r>
      <w:r>
        <w:rPr>
          <w:b/>
          <w:iCs/>
          <w:kern w:val="2"/>
          <w:lang w:eastAsia="ja-JP"/>
        </w:rPr>
        <w:t xml:space="preserve">or </w:t>
      </w:r>
      <w:r w:rsidRPr="00BB44EF">
        <w:rPr>
          <w:b/>
          <w:iCs/>
          <w:kern w:val="2"/>
          <w:lang w:eastAsia="ja-JP"/>
        </w:rPr>
        <w:t>subsequent series of amendments to</w:t>
      </w:r>
      <w:r w:rsidRPr="00BB44EF">
        <w:rPr>
          <w:bCs/>
          <w:iCs/>
          <w:kern w:val="2"/>
          <w:lang w:eastAsia="ja-JP"/>
        </w:rPr>
        <w:t xml:space="preserve"> UN Regulation No. 149.</w:t>
      </w:r>
    </w:p>
    <w:p w14:paraId="0459C913" w14:textId="77777777" w:rsidR="00673B20" w:rsidRPr="00BB44EF" w:rsidRDefault="00673B20" w:rsidP="00673B20">
      <w:pPr>
        <w:pStyle w:val="SingleTxtG"/>
        <w:ind w:left="2835" w:hanging="567"/>
        <w:rPr>
          <w:bCs/>
          <w:iCs/>
          <w:strike/>
          <w:kern w:val="2"/>
          <w:lang w:eastAsia="ja-JP"/>
        </w:rPr>
      </w:pPr>
      <w:r w:rsidRPr="00BB44EF">
        <w:rPr>
          <w:bCs/>
          <w:iCs/>
          <w:strike/>
          <w:kern w:val="2"/>
          <w:lang w:eastAsia="ja-JP"/>
        </w:rPr>
        <w:t>(j)</w:t>
      </w:r>
      <w:r w:rsidRPr="00BB44EF">
        <w:rPr>
          <w:bCs/>
          <w:iCs/>
          <w:strike/>
          <w:kern w:val="2"/>
          <w:lang w:eastAsia="ja-JP"/>
        </w:rPr>
        <w:tab/>
        <w:t>Class C or V of the 01 and subsequent series of amendments to UN Regulation No. 149.</w:t>
      </w:r>
    </w:p>
    <w:p w14:paraId="03838AB7" w14:textId="77777777" w:rsidR="00673B20" w:rsidRPr="00BB44EF" w:rsidRDefault="00673B20" w:rsidP="00673B20">
      <w:pPr>
        <w:pStyle w:val="SingleTxtG"/>
        <w:pBdr>
          <w:bottom w:val="single" w:sz="4" w:space="1" w:color="auto"/>
        </w:pBdr>
        <w:ind w:left="567" w:right="7371"/>
        <w:rPr>
          <w:iCs/>
          <w:kern w:val="2"/>
          <w:lang w:eastAsia="ja-JP"/>
        </w:rPr>
      </w:pPr>
    </w:p>
    <w:p w14:paraId="686D336B" w14:textId="648B3364" w:rsidR="00673B20" w:rsidRPr="00BB44EF" w:rsidRDefault="00673B20" w:rsidP="00673B20">
      <w:pPr>
        <w:pStyle w:val="FootnoteText"/>
        <w:rPr>
          <w:b/>
        </w:rPr>
      </w:pPr>
      <w:r w:rsidRPr="00BB44EF">
        <w:rPr>
          <w:lang w:eastAsia="ja-JP"/>
        </w:rPr>
        <w:tab/>
        <w:t>*</w:t>
      </w:r>
      <w:r w:rsidRPr="00BB44EF">
        <w:rPr>
          <w:lang w:eastAsia="ja-JP"/>
        </w:rPr>
        <w:tab/>
        <w:t xml:space="preserve">Headlamps of Class </w:t>
      </w:r>
      <w:r w:rsidRPr="00BB44EF">
        <w:rPr>
          <w:strike/>
          <w:lang w:eastAsia="ja-JP"/>
        </w:rPr>
        <w:t xml:space="preserve">A of UN Regulation No. 113 </w:t>
      </w:r>
      <w:r w:rsidRPr="00BB44EF">
        <w:rPr>
          <w:bCs/>
          <w:strike/>
          <w:lang w:eastAsia="ja-JP"/>
        </w:rPr>
        <w:t>with LED modules or class</w:t>
      </w:r>
      <w:r w:rsidRPr="00BB44EF">
        <w:rPr>
          <w:bCs/>
          <w:lang w:eastAsia="ja-JP"/>
        </w:rPr>
        <w:t xml:space="preserve"> AS of UN Regulation No. 149 </w:t>
      </w:r>
      <w:r w:rsidRPr="00BB44EF">
        <w:rPr>
          <w:lang w:eastAsia="ja-JP"/>
        </w:rPr>
        <w:t>with LED modules only on vehicles with a maximum design speed not exceeding 25 km/h.</w:t>
      </w:r>
      <w:r>
        <w:rPr>
          <w:lang w:eastAsia="ja-JP"/>
        </w:rPr>
        <w:t>”</w:t>
      </w:r>
    </w:p>
    <w:p w14:paraId="7917ACF8" w14:textId="77777777" w:rsidR="00673B20" w:rsidRPr="00696E77" w:rsidRDefault="00673B20" w:rsidP="00673B20">
      <w:pPr>
        <w:tabs>
          <w:tab w:val="left" w:pos="2268"/>
        </w:tabs>
        <w:spacing w:after="120"/>
        <w:ind w:left="1134" w:rightChars="540" w:right="1080"/>
        <w:jc w:val="both"/>
        <w:rPr>
          <w:bCs/>
        </w:rPr>
      </w:pPr>
      <w:r w:rsidRPr="00696E77">
        <w:rPr>
          <w:bCs/>
          <w:i/>
        </w:rPr>
        <w:lastRenderedPageBreak/>
        <w:t>Paragraph 6.</w:t>
      </w:r>
      <w:r>
        <w:rPr>
          <w:bCs/>
          <w:i/>
        </w:rPr>
        <w:t>3</w:t>
      </w:r>
      <w:r w:rsidRPr="00696E77">
        <w:rPr>
          <w:bCs/>
          <w:i/>
        </w:rPr>
        <w:t xml:space="preserve">.1., </w:t>
      </w:r>
      <w:r w:rsidRPr="00696E77">
        <w:rPr>
          <w:bCs/>
        </w:rPr>
        <w:t>amend to read:</w:t>
      </w:r>
    </w:p>
    <w:p w14:paraId="1C539CDC" w14:textId="63E2AFD0" w:rsidR="00673B20" w:rsidRPr="00696E77" w:rsidRDefault="00673B20" w:rsidP="00673B20">
      <w:pPr>
        <w:spacing w:after="120"/>
        <w:ind w:left="2268" w:right="1134" w:hanging="1134"/>
        <w:jc w:val="both"/>
      </w:pPr>
      <w:r>
        <w:rPr>
          <w:bCs/>
        </w:rPr>
        <w:t>“</w:t>
      </w:r>
      <w:r w:rsidRPr="00696E77">
        <w:t>6.</w:t>
      </w:r>
      <w:r>
        <w:t>3</w:t>
      </w:r>
      <w:r w:rsidRPr="00696E77">
        <w:t xml:space="preserve">.1. </w:t>
      </w:r>
      <w:r w:rsidRPr="00696E77">
        <w:tab/>
        <w:t>Number</w:t>
      </w:r>
    </w:p>
    <w:p w14:paraId="4EB553A7" w14:textId="7923065F" w:rsidR="00673B20" w:rsidRPr="00D574ED" w:rsidRDefault="00673B20" w:rsidP="00673B20">
      <w:pPr>
        <w:pStyle w:val="Default"/>
        <w:spacing w:after="120"/>
        <w:ind w:leftChars="1134" w:left="2268" w:right="1134"/>
        <w:jc w:val="both"/>
      </w:pPr>
      <w:r w:rsidRPr="00696E77">
        <w:rPr>
          <w:sz w:val="20"/>
          <w:szCs w:val="20"/>
          <w:lang w:val="en-GB"/>
        </w:rPr>
        <w:t>One or two</w:t>
      </w:r>
      <w:r w:rsidRPr="00D574ED">
        <w:rPr>
          <w:strike/>
          <w:sz w:val="20"/>
          <w:szCs w:val="20"/>
          <w:lang w:val="en-GB"/>
        </w:rPr>
        <w:t>.</w:t>
      </w:r>
      <w:r w:rsidRPr="00D574ED">
        <w:rPr>
          <w:b/>
          <w:bCs/>
          <w:sz w:val="20"/>
          <w:szCs w:val="20"/>
          <w:lang w:val="en-GB"/>
        </w:rPr>
        <w:t>,</w:t>
      </w:r>
      <w:r>
        <w:rPr>
          <w:sz w:val="20"/>
          <w:szCs w:val="20"/>
          <w:lang w:val="en-GB"/>
        </w:rPr>
        <w:t xml:space="preserve"> </w:t>
      </w:r>
      <w:r w:rsidRPr="00D574ED">
        <w:rPr>
          <w:b/>
          <w:bCs/>
          <w:color w:val="auto"/>
          <w:sz w:val="20"/>
          <w:szCs w:val="20"/>
          <w:lang w:val="en-GB"/>
        </w:rPr>
        <w:t>type-approved according to the 02 or subsequent series of amendments to UN Regulation No. 7, or to the 00 or subsequent series of amendments to UN Regulation Nos. 50 or 148.</w:t>
      </w:r>
      <w:r>
        <w:rPr>
          <w:color w:val="auto"/>
          <w:sz w:val="20"/>
          <w:szCs w:val="20"/>
          <w:lang w:val="en-GB"/>
        </w:rPr>
        <w:t>”</w:t>
      </w:r>
    </w:p>
    <w:p w14:paraId="1D56FC32" w14:textId="77777777" w:rsidR="00673B20" w:rsidRPr="00696E77" w:rsidRDefault="00673B20" w:rsidP="00673B20">
      <w:pPr>
        <w:tabs>
          <w:tab w:val="left" w:pos="2268"/>
        </w:tabs>
        <w:spacing w:after="120"/>
        <w:ind w:left="1134" w:rightChars="540" w:right="1080"/>
        <w:jc w:val="both"/>
        <w:rPr>
          <w:bCs/>
        </w:rPr>
      </w:pPr>
      <w:r w:rsidRPr="00696E77">
        <w:rPr>
          <w:bCs/>
          <w:i/>
        </w:rPr>
        <w:t>Paragraph 6.</w:t>
      </w:r>
      <w:r>
        <w:rPr>
          <w:bCs/>
          <w:i/>
        </w:rPr>
        <w:t>4</w:t>
      </w:r>
      <w:r w:rsidRPr="00696E77">
        <w:rPr>
          <w:bCs/>
          <w:i/>
        </w:rPr>
        <w:t xml:space="preserve">.1., </w:t>
      </w:r>
      <w:r w:rsidRPr="00696E77">
        <w:rPr>
          <w:bCs/>
        </w:rPr>
        <w:t>amend to read:</w:t>
      </w:r>
    </w:p>
    <w:p w14:paraId="2D15CB6E" w14:textId="5D587E3F" w:rsidR="00673B20" w:rsidRPr="00696E77" w:rsidRDefault="00673B20" w:rsidP="00673B20">
      <w:pPr>
        <w:spacing w:after="120"/>
        <w:ind w:left="2268" w:right="1134" w:hanging="1134"/>
        <w:jc w:val="both"/>
      </w:pPr>
      <w:r>
        <w:rPr>
          <w:bCs/>
        </w:rPr>
        <w:t>“</w:t>
      </w:r>
      <w:r w:rsidRPr="00696E77">
        <w:t>6.</w:t>
      </w:r>
      <w:r>
        <w:t>4.</w:t>
      </w:r>
      <w:r w:rsidRPr="00696E77">
        <w:t xml:space="preserve">1. </w:t>
      </w:r>
      <w:r w:rsidRPr="00696E77">
        <w:tab/>
        <w:t>Number</w:t>
      </w:r>
    </w:p>
    <w:p w14:paraId="3829F674" w14:textId="3C473044" w:rsidR="00673B20" w:rsidRPr="00D574ED" w:rsidRDefault="00673B20" w:rsidP="00673B20">
      <w:pPr>
        <w:pStyle w:val="Default"/>
        <w:spacing w:after="120"/>
        <w:ind w:leftChars="1134" w:left="2268" w:right="1134"/>
        <w:jc w:val="both"/>
      </w:pPr>
      <w:r w:rsidRPr="00696E77">
        <w:rPr>
          <w:sz w:val="20"/>
          <w:szCs w:val="20"/>
          <w:lang w:val="en-GB"/>
        </w:rPr>
        <w:t>One</w:t>
      </w:r>
      <w:r w:rsidRPr="00D574ED">
        <w:rPr>
          <w:strike/>
          <w:sz w:val="20"/>
          <w:szCs w:val="20"/>
          <w:lang w:val="en-GB"/>
        </w:rPr>
        <w:t>.</w:t>
      </w:r>
      <w:r w:rsidRPr="00D574ED">
        <w:rPr>
          <w:b/>
          <w:bCs/>
          <w:sz w:val="20"/>
          <w:szCs w:val="20"/>
          <w:lang w:val="en-GB"/>
        </w:rPr>
        <w:t>,</w:t>
      </w:r>
      <w:r>
        <w:rPr>
          <w:sz w:val="20"/>
          <w:szCs w:val="20"/>
          <w:lang w:val="en-GB"/>
        </w:rPr>
        <w:t xml:space="preserve"> </w:t>
      </w:r>
      <w:r w:rsidRPr="00D574ED">
        <w:rPr>
          <w:b/>
          <w:bCs/>
          <w:color w:val="auto"/>
          <w:sz w:val="20"/>
          <w:szCs w:val="20"/>
          <w:lang w:val="en-GB"/>
        </w:rPr>
        <w:t>type-approved as Class IA or IB according to the 02 or subsequent series of amendments to UN Regulation No. 3, or to the 00 or subsequent series of amendments to UN Regulation No. 150.</w:t>
      </w:r>
      <w:r>
        <w:rPr>
          <w:color w:val="auto"/>
          <w:sz w:val="20"/>
          <w:szCs w:val="20"/>
          <w:lang w:val="en-GB"/>
        </w:rPr>
        <w:t>”</w:t>
      </w:r>
    </w:p>
    <w:p w14:paraId="3CE0A286" w14:textId="77777777" w:rsidR="00673B20" w:rsidRPr="00696E77" w:rsidRDefault="00673B20" w:rsidP="00673B20">
      <w:pPr>
        <w:tabs>
          <w:tab w:val="left" w:pos="2268"/>
        </w:tabs>
        <w:spacing w:after="120"/>
        <w:ind w:left="1134" w:rightChars="540" w:right="1080"/>
        <w:jc w:val="both"/>
        <w:rPr>
          <w:bCs/>
        </w:rPr>
      </w:pPr>
      <w:r w:rsidRPr="00696E77">
        <w:rPr>
          <w:bCs/>
          <w:i/>
        </w:rPr>
        <w:t>Paragraph 6.</w:t>
      </w:r>
      <w:r>
        <w:rPr>
          <w:bCs/>
          <w:i/>
        </w:rPr>
        <w:t>5</w:t>
      </w:r>
      <w:r w:rsidRPr="00696E77">
        <w:rPr>
          <w:bCs/>
          <w:i/>
        </w:rPr>
        <w:t xml:space="preserve">.1., </w:t>
      </w:r>
      <w:r w:rsidRPr="00696E77">
        <w:rPr>
          <w:bCs/>
        </w:rPr>
        <w:t>amend to read:</w:t>
      </w:r>
    </w:p>
    <w:p w14:paraId="10C7B51E" w14:textId="26671AE3" w:rsidR="00673B20" w:rsidRPr="00696E77" w:rsidRDefault="00673B20" w:rsidP="00673B20">
      <w:pPr>
        <w:spacing w:after="120"/>
        <w:ind w:left="2268" w:right="1134" w:hanging="1134"/>
        <w:jc w:val="both"/>
      </w:pPr>
      <w:r>
        <w:rPr>
          <w:bCs/>
        </w:rPr>
        <w:t>“</w:t>
      </w:r>
      <w:r w:rsidRPr="00696E77">
        <w:t>6.</w:t>
      </w:r>
      <w:r>
        <w:t>5.</w:t>
      </w:r>
      <w:r w:rsidRPr="00696E77">
        <w:t xml:space="preserve">1. </w:t>
      </w:r>
      <w:r w:rsidRPr="00696E77">
        <w:tab/>
        <w:t>Number</w:t>
      </w:r>
    </w:p>
    <w:p w14:paraId="587BE97C" w14:textId="68EFB034" w:rsidR="00673B20" w:rsidRPr="00D574ED" w:rsidRDefault="00673B20" w:rsidP="00673B20">
      <w:pPr>
        <w:pStyle w:val="Default"/>
        <w:spacing w:after="120"/>
        <w:ind w:leftChars="1134" w:left="2268" w:right="1134"/>
        <w:jc w:val="both"/>
      </w:pPr>
      <w:r w:rsidRPr="00696E77">
        <w:rPr>
          <w:sz w:val="20"/>
          <w:szCs w:val="20"/>
          <w:lang w:val="en-GB"/>
        </w:rPr>
        <w:t>One</w:t>
      </w:r>
      <w:r>
        <w:rPr>
          <w:sz w:val="20"/>
          <w:szCs w:val="20"/>
          <w:lang w:val="en-GB"/>
        </w:rPr>
        <w:t xml:space="preserve"> or two</w:t>
      </w:r>
      <w:r w:rsidRPr="00D574ED">
        <w:rPr>
          <w:strike/>
          <w:sz w:val="20"/>
          <w:szCs w:val="20"/>
          <w:lang w:val="en-GB"/>
        </w:rPr>
        <w:t>.</w:t>
      </w:r>
      <w:r w:rsidRPr="00D574ED">
        <w:rPr>
          <w:b/>
          <w:bCs/>
          <w:sz w:val="20"/>
          <w:szCs w:val="20"/>
          <w:lang w:val="en-GB"/>
        </w:rPr>
        <w:t>,</w:t>
      </w:r>
      <w:r>
        <w:rPr>
          <w:sz w:val="20"/>
          <w:szCs w:val="20"/>
          <w:lang w:val="en-GB"/>
        </w:rPr>
        <w:t xml:space="preserve"> </w:t>
      </w:r>
      <w:r w:rsidRPr="00D574ED">
        <w:rPr>
          <w:b/>
          <w:bCs/>
          <w:color w:val="auto"/>
          <w:sz w:val="20"/>
          <w:szCs w:val="20"/>
          <w:lang w:val="en-GB"/>
        </w:rPr>
        <w:t>type-approved as Class IA or IB according to the 02 or subsequent series of amendments to UN Regulation No. 3, or to the 00 or subsequent series of amendments to UN Regulation No. 150.</w:t>
      </w:r>
      <w:r>
        <w:rPr>
          <w:color w:val="auto"/>
          <w:sz w:val="20"/>
          <w:szCs w:val="20"/>
          <w:lang w:val="en-GB"/>
        </w:rPr>
        <w:t>”</w:t>
      </w:r>
    </w:p>
    <w:p w14:paraId="24B90C9F" w14:textId="77777777" w:rsidR="00673B20" w:rsidRPr="00696E77" w:rsidRDefault="00673B20" w:rsidP="00673B20">
      <w:pPr>
        <w:tabs>
          <w:tab w:val="left" w:pos="2268"/>
        </w:tabs>
        <w:spacing w:after="120"/>
        <w:ind w:left="1134" w:rightChars="540" w:right="1080"/>
        <w:jc w:val="both"/>
        <w:rPr>
          <w:bCs/>
        </w:rPr>
      </w:pPr>
      <w:r w:rsidRPr="00696E77">
        <w:rPr>
          <w:bCs/>
          <w:i/>
        </w:rPr>
        <w:t>Paragraph 6.</w:t>
      </w:r>
      <w:r>
        <w:rPr>
          <w:bCs/>
          <w:i/>
        </w:rPr>
        <w:t>7</w:t>
      </w:r>
      <w:r w:rsidRPr="00696E77">
        <w:rPr>
          <w:bCs/>
          <w:i/>
        </w:rPr>
        <w:t xml:space="preserve">.1., </w:t>
      </w:r>
      <w:r w:rsidRPr="00696E77">
        <w:rPr>
          <w:bCs/>
        </w:rPr>
        <w:t>amend to read:</w:t>
      </w:r>
    </w:p>
    <w:p w14:paraId="6A25E9AE" w14:textId="6AC275BF" w:rsidR="00673B20" w:rsidRPr="00696E77" w:rsidRDefault="00673B20" w:rsidP="00673B20">
      <w:pPr>
        <w:spacing w:after="120"/>
        <w:ind w:left="2268" w:right="1134" w:hanging="1134"/>
        <w:jc w:val="both"/>
      </w:pPr>
      <w:r>
        <w:rPr>
          <w:bCs/>
        </w:rPr>
        <w:t>“</w:t>
      </w:r>
      <w:r w:rsidRPr="00696E77">
        <w:t>6.</w:t>
      </w:r>
      <w:r>
        <w:t>7.</w:t>
      </w:r>
      <w:r w:rsidRPr="00696E77">
        <w:t xml:space="preserve">1. </w:t>
      </w:r>
      <w:r w:rsidRPr="00696E77">
        <w:tab/>
        <w:t>Number</w:t>
      </w:r>
    </w:p>
    <w:p w14:paraId="4B82A1B6" w14:textId="299C10E0" w:rsidR="00673B20" w:rsidRPr="00D574ED" w:rsidRDefault="00673B20" w:rsidP="00673B20">
      <w:pPr>
        <w:pStyle w:val="Default"/>
        <w:spacing w:after="120"/>
        <w:ind w:leftChars="1134" w:left="2268" w:right="1134"/>
        <w:jc w:val="both"/>
      </w:pPr>
      <w:r w:rsidRPr="00696E77">
        <w:rPr>
          <w:sz w:val="20"/>
          <w:szCs w:val="20"/>
          <w:lang w:val="en-GB"/>
        </w:rPr>
        <w:t>One</w:t>
      </w:r>
      <w:r>
        <w:rPr>
          <w:sz w:val="20"/>
          <w:szCs w:val="20"/>
          <w:lang w:val="en-GB"/>
        </w:rPr>
        <w:t xml:space="preserve"> or two</w:t>
      </w:r>
      <w:r w:rsidRPr="00D574ED">
        <w:rPr>
          <w:strike/>
          <w:sz w:val="20"/>
          <w:szCs w:val="20"/>
          <w:lang w:val="en-GB"/>
        </w:rPr>
        <w:t>.</w:t>
      </w:r>
      <w:r w:rsidRPr="00D574ED">
        <w:rPr>
          <w:b/>
          <w:bCs/>
          <w:sz w:val="20"/>
          <w:szCs w:val="20"/>
          <w:lang w:val="en-GB"/>
        </w:rPr>
        <w:t>,</w:t>
      </w:r>
      <w:r>
        <w:rPr>
          <w:sz w:val="20"/>
          <w:szCs w:val="20"/>
          <w:lang w:val="en-GB"/>
        </w:rPr>
        <w:t xml:space="preserve"> </w:t>
      </w:r>
      <w:r w:rsidRPr="00D574ED">
        <w:rPr>
          <w:b/>
          <w:bCs/>
          <w:color w:val="auto"/>
          <w:sz w:val="20"/>
          <w:szCs w:val="20"/>
          <w:lang w:val="en-GB"/>
        </w:rPr>
        <w:t>type-approved as Class IA or IB according to the 02 or subsequent series of amendments to UN Regulation No. 3, or to the 00 or subsequent series of amendments to UN Regulation No. 150.</w:t>
      </w:r>
      <w:r>
        <w:rPr>
          <w:color w:val="auto"/>
          <w:sz w:val="20"/>
          <w:szCs w:val="20"/>
          <w:lang w:val="en-GB"/>
        </w:rPr>
        <w:t>”</w:t>
      </w:r>
    </w:p>
    <w:p w14:paraId="682375F4" w14:textId="77777777" w:rsidR="00673B20" w:rsidRPr="00696E77" w:rsidRDefault="00673B20" w:rsidP="00673B20">
      <w:pPr>
        <w:tabs>
          <w:tab w:val="left" w:pos="2268"/>
        </w:tabs>
        <w:spacing w:after="120"/>
        <w:ind w:left="1134" w:rightChars="540" w:right="1080"/>
        <w:jc w:val="both"/>
        <w:rPr>
          <w:bCs/>
        </w:rPr>
      </w:pPr>
      <w:r w:rsidRPr="00696E77">
        <w:rPr>
          <w:bCs/>
          <w:i/>
        </w:rPr>
        <w:t>Paragraph 6.</w:t>
      </w:r>
      <w:r>
        <w:rPr>
          <w:bCs/>
          <w:i/>
        </w:rPr>
        <w:t>8</w:t>
      </w:r>
      <w:r w:rsidRPr="00696E77">
        <w:rPr>
          <w:bCs/>
          <w:i/>
        </w:rPr>
        <w:t>.</w:t>
      </w:r>
      <w:r>
        <w:rPr>
          <w:bCs/>
          <w:i/>
        </w:rPr>
        <w:t>2</w:t>
      </w:r>
      <w:r w:rsidRPr="00696E77">
        <w:rPr>
          <w:bCs/>
          <w:i/>
        </w:rPr>
        <w:t xml:space="preserve">., </w:t>
      </w:r>
      <w:r w:rsidRPr="00696E77">
        <w:rPr>
          <w:bCs/>
        </w:rPr>
        <w:t>amend to read:</w:t>
      </w:r>
    </w:p>
    <w:p w14:paraId="3370F9CB" w14:textId="27D0732D" w:rsidR="00673B20" w:rsidRPr="00696E77" w:rsidRDefault="00673B20" w:rsidP="00673B20">
      <w:pPr>
        <w:spacing w:after="120"/>
        <w:ind w:left="2268" w:right="1134" w:hanging="1134"/>
        <w:jc w:val="both"/>
      </w:pPr>
      <w:r>
        <w:rPr>
          <w:bCs/>
        </w:rPr>
        <w:t>“</w:t>
      </w:r>
      <w:r w:rsidRPr="00696E77">
        <w:t>6.</w:t>
      </w:r>
      <w:r>
        <w:t>8.2</w:t>
      </w:r>
      <w:r w:rsidRPr="00696E77">
        <w:t xml:space="preserve">. </w:t>
      </w:r>
      <w:r w:rsidRPr="00696E77">
        <w:tab/>
      </w:r>
      <w:r>
        <w:t>Arrangement</w:t>
      </w:r>
    </w:p>
    <w:p w14:paraId="102BA6A8" w14:textId="4FB85CDA" w:rsidR="00673B20" w:rsidRPr="00002F57" w:rsidRDefault="00673B20" w:rsidP="00673B20">
      <w:pPr>
        <w:spacing w:after="120"/>
        <w:ind w:left="2268" w:right="1134"/>
        <w:jc w:val="both"/>
        <w:rPr>
          <w:b/>
          <w:bCs/>
          <w:strike/>
        </w:rPr>
      </w:pPr>
      <w:r w:rsidRPr="00002F57">
        <w:t>Two front indicators</w:t>
      </w:r>
      <w:r w:rsidRPr="00002F57">
        <w:rPr>
          <w:b/>
          <w:bCs/>
        </w:rPr>
        <w:t xml:space="preserve">, type-approved as </w:t>
      </w:r>
      <w:r w:rsidRPr="008442AF">
        <w:rPr>
          <w:strike/>
        </w:rPr>
        <w:t>(</w:t>
      </w:r>
      <w:r w:rsidRPr="00002F57">
        <w:t>category</w:t>
      </w:r>
      <w:r>
        <w:t xml:space="preserve"> </w:t>
      </w:r>
      <w:r w:rsidRPr="008442AF">
        <w:rPr>
          <w:strike/>
        </w:rPr>
        <w:t xml:space="preserve">11 </w:t>
      </w:r>
      <w:r>
        <w:rPr>
          <w:strike/>
        </w:rPr>
        <w:t>3</w:t>
      </w:r>
      <w:r w:rsidRPr="008442AF">
        <w:rPr>
          <w:strike/>
        </w:rPr>
        <w:t>/)</w:t>
      </w:r>
      <w:r w:rsidRPr="00002F57">
        <w:t xml:space="preserve"> </w:t>
      </w:r>
      <w:r w:rsidRPr="008442AF">
        <w:rPr>
          <w:b/>
          <w:bCs/>
        </w:rPr>
        <w:t>1,</w:t>
      </w:r>
      <w:r w:rsidRPr="00002F57">
        <w:rPr>
          <w:b/>
          <w:bCs/>
        </w:rPr>
        <w:t xml:space="preserve"> 1a or 1b</w:t>
      </w:r>
      <w:r w:rsidRPr="00002F57">
        <w:rPr>
          <w:strike/>
        </w:rPr>
        <w:t xml:space="preserve"> </w:t>
      </w:r>
      <w:r w:rsidRPr="008442AF">
        <w:rPr>
          <w:b/>
          <w:bCs/>
        </w:rPr>
        <w:t>according to the 01 or subsequent series of amendments to UN Regulation No. 6, or to</w:t>
      </w:r>
      <w:r w:rsidRPr="008442AF">
        <w:rPr>
          <w:b/>
          <w:bCs/>
          <w:lang w:eastAsia="ja-JP"/>
        </w:rPr>
        <w:t xml:space="preserve"> </w:t>
      </w:r>
      <w:r w:rsidRPr="008442AF">
        <w:rPr>
          <w:b/>
          <w:bCs/>
        </w:rPr>
        <w:t>the 00 or subsequent series of amendments to UN Regulation 148; or category 11</w:t>
      </w:r>
      <w:r w:rsidRPr="00002F57">
        <w:rPr>
          <w:b/>
          <w:bCs/>
        </w:rPr>
        <w:t>, 11a, 11b or 11c</w:t>
      </w:r>
      <w:r w:rsidRPr="00002F57">
        <w:t xml:space="preserve"> </w:t>
      </w:r>
      <w:r w:rsidRPr="00002F57">
        <w:rPr>
          <w:b/>
          <w:bCs/>
        </w:rPr>
        <w:t xml:space="preserve">according to the 00 or subsequent series of amendments </w:t>
      </w:r>
      <w:r w:rsidRPr="008442AF">
        <w:rPr>
          <w:b/>
          <w:bCs/>
        </w:rPr>
        <w:t>to UN Regulation Nos. 50 or 148</w:t>
      </w:r>
      <w:r w:rsidRPr="00002F57">
        <w:rPr>
          <w:strike/>
        </w:rPr>
        <w:t>)</w:t>
      </w:r>
      <w:r w:rsidRPr="00002F57">
        <w:t>.</w:t>
      </w:r>
    </w:p>
    <w:p w14:paraId="75A54090" w14:textId="6ECEF83A" w:rsidR="00673B20" w:rsidRPr="00D574ED" w:rsidRDefault="00673B20" w:rsidP="00673B20">
      <w:pPr>
        <w:pStyle w:val="Default"/>
        <w:spacing w:after="120"/>
        <w:ind w:leftChars="1134" w:left="2268" w:right="1134"/>
        <w:jc w:val="both"/>
      </w:pPr>
      <w:r w:rsidRPr="00002F57">
        <w:rPr>
          <w:sz w:val="20"/>
          <w:szCs w:val="20"/>
        </w:rPr>
        <w:t>Two rear indicators</w:t>
      </w:r>
      <w:r w:rsidRPr="00002F57">
        <w:rPr>
          <w:b/>
          <w:bCs/>
          <w:sz w:val="20"/>
          <w:szCs w:val="20"/>
        </w:rPr>
        <w:t xml:space="preserve">, type-approved </w:t>
      </w:r>
      <w:r w:rsidRPr="008442AF">
        <w:rPr>
          <w:b/>
          <w:bCs/>
          <w:sz w:val="20"/>
          <w:szCs w:val="20"/>
        </w:rPr>
        <w:t>as</w:t>
      </w:r>
      <w:r w:rsidRPr="00002F57">
        <w:rPr>
          <w:sz w:val="20"/>
          <w:szCs w:val="20"/>
        </w:rPr>
        <w:t xml:space="preserve"> </w:t>
      </w:r>
      <w:r w:rsidRPr="00002F57">
        <w:rPr>
          <w:strike/>
          <w:sz w:val="20"/>
          <w:szCs w:val="20"/>
        </w:rPr>
        <w:t>(</w:t>
      </w:r>
      <w:r w:rsidRPr="00002F57">
        <w:rPr>
          <w:sz w:val="20"/>
          <w:szCs w:val="20"/>
        </w:rPr>
        <w:t xml:space="preserve">category </w:t>
      </w:r>
      <w:r w:rsidRPr="008442AF">
        <w:rPr>
          <w:b/>
          <w:bCs/>
          <w:sz w:val="20"/>
          <w:szCs w:val="20"/>
        </w:rPr>
        <w:t>2</w:t>
      </w:r>
      <w:r>
        <w:rPr>
          <w:sz w:val="20"/>
          <w:szCs w:val="20"/>
        </w:rPr>
        <w:t xml:space="preserve"> </w:t>
      </w:r>
      <w:r w:rsidRPr="008442AF">
        <w:rPr>
          <w:strike/>
          <w:sz w:val="20"/>
          <w:szCs w:val="20"/>
        </w:rPr>
        <w:t>12 4/)</w:t>
      </w:r>
      <w:r w:rsidRPr="00002F57">
        <w:rPr>
          <w:strike/>
          <w:sz w:val="20"/>
          <w:szCs w:val="20"/>
        </w:rPr>
        <w:t xml:space="preserve"> as specified in</w:t>
      </w:r>
      <w:r w:rsidRPr="00002F57">
        <w:rPr>
          <w:sz w:val="20"/>
          <w:szCs w:val="20"/>
        </w:rPr>
        <w:t xml:space="preserve"> </w:t>
      </w:r>
      <w:r w:rsidRPr="00002F57">
        <w:rPr>
          <w:b/>
          <w:bCs/>
          <w:sz w:val="20"/>
          <w:szCs w:val="20"/>
        </w:rPr>
        <w:t xml:space="preserve">according to the 01 or subsequent series of amendments </w:t>
      </w:r>
      <w:r w:rsidRPr="008442AF">
        <w:rPr>
          <w:b/>
          <w:bCs/>
          <w:sz w:val="20"/>
          <w:szCs w:val="20"/>
        </w:rPr>
        <w:t>to UN Regulation No. 6, or</w:t>
      </w:r>
      <w:r>
        <w:rPr>
          <w:sz w:val="20"/>
          <w:szCs w:val="20"/>
        </w:rPr>
        <w:t xml:space="preserve"> </w:t>
      </w:r>
      <w:r w:rsidRPr="00002F57">
        <w:rPr>
          <w:b/>
          <w:bCs/>
          <w:sz w:val="20"/>
          <w:szCs w:val="20"/>
        </w:rPr>
        <w:t>to</w:t>
      </w:r>
      <w:r w:rsidRPr="00002F57">
        <w:rPr>
          <w:b/>
          <w:bCs/>
          <w:sz w:val="20"/>
          <w:szCs w:val="20"/>
          <w:lang w:eastAsia="ja-JP"/>
        </w:rPr>
        <w:t xml:space="preserve"> </w:t>
      </w:r>
      <w:r w:rsidRPr="00002F57">
        <w:rPr>
          <w:b/>
          <w:bCs/>
          <w:sz w:val="20"/>
          <w:szCs w:val="20"/>
        </w:rPr>
        <w:t xml:space="preserve">the 00 or subsequent series of amendments to UN Regulation </w:t>
      </w:r>
      <w:r w:rsidRPr="008442AF">
        <w:rPr>
          <w:b/>
          <w:bCs/>
          <w:sz w:val="20"/>
          <w:szCs w:val="20"/>
        </w:rPr>
        <w:t xml:space="preserve">No. 148; or category 12 according to </w:t>
      </w:r>
      <w:r w:rsidRPr="008442AF">
        <w:rPr>
          <w:b/>
          <w:bCs/>
          <w:sz w:val="20"/>
          <w:szCs w:val="20"/>
          <w:lang w:eastAsia="ja-JP"/>
        </w:rPr>
        <w:t>t</w:t>
      </w:r>
      <w:r w:rsidRPr="008442AF">
        <w:rPr>
          <w:b/>
          <w:bCs/>
          <w:sz w:val="20"/>
          <w:szCs w:val="20"/>
        </w:rPr>
        <w:t>he 00 or subsequent series of amendments to UN Regulation Nos. 50 or 148</w:t>
      </w:r>
      <w:r>
        <w:rPr>
          <w:sz w:val="20"/>
          <w:szCs w:val="20"/>
        </w:rPr>
        <w:t>.</w:t>
      </w:r>
      <w:r>
        <w:rPr>
          <w:color w:val="auto"/>
          <w:sz w:val="20"/>
          <w:szCs w:val="20"/>
          <w:lang w:val="en-GB"/>
        </w:rPr>
        <w:t>”</w:t>
      </w:r>
    </w:p>
    <w:p w14:paraId="5FAAC3BB" w14:textId="77777777" w:rsidR="00673B20" w:rsidRPr="00A628C6" w:rsidRDefault="00673B20" w:rsidP="00673B20">
      <w:pPr>
        <w:tabs>
          <w:tab w:val="left" w:pos="2268"/>
        </w:tabs>
        <w:spacing w:after="120"/>
        <w:ind w:left="1134" w:rightChars="540" w:right="1080"/>
        <w:jc w:val="both"/>
        <w:rPr>
          <w:bCs/>
        </w:rPr>
      </w:pPr>
      <w:r w:rsidRPr="00A628C6">
        <w:rPr>
          <w:bCs/>
          <w:i/>
        </w:rPr>
        <w:t>Paragraph 6.</w:t>
      </w:r>
      <w:r>
        <w:rPr>
          <w:bCs/>
          <w:i/>
        </w:rPr>
        <w:t>9</w:t>
      </w:r>
      <w:r w:rsidRPr="00A628C6">
        <w:rPr>
          <w:bCs/>
          <w:i/>
        </w:rPr>
        <w:t xml:space="preserve">.1., </w:t>
      </w:r>
      <w:r w:rsidRPr="00A628C6">
        <w:rPr>
          <w:bCs/>
        </w:rPr>
        <w:t>amend to read:</w:t>
      </w:r>
    </w:p>
    <w:p w14:paraId="3523BAAB" w14:textId="2016A78B" w:rsidR="00673B20" w:rsidRPr="00A628C6" w:rsidRDefault="00673B20" w:rsidP="00673B20">
      <w:pPr>
        <w:spacing w:after="120"/>
        <w:ind w:left="2268" w:right="1134" w:hanging="1134"/>
        <w:jc w:val="both"/>
      </w:pPr>
      <w:r>
        <w:rPr>
          <w:bCs/>
        </w:rPr>
        <w:t>“</w:t>
      </w:r>
      <w:r w:rsidRPr="00A628C6">
        <w:t>6.</w:t>
      </w:r>
      <w:r>
        <w:t>9</w:t>
      </w:r>
      <w:r w:rsidRPr="00A628C6">
        <w:t xml:space="preserve">.1. </w:t>
      </w:r>
      <w:r w:rsidRPr="00A628C6">
        <w:tab/>
        <w:t>Number</w:t>
      </w:r>
    </w:p>
    <w:p w14:paraId="36BD14E1" w14:textId="1515AB87" w:rsidR="00673B20" w:rsidRPr="008442AF" w:rsidRDefault="00673B20" w:rsidP="00673B20">
      <w:pPr>
        <w:spacing w:after="120"/>
        <w:ind w:left="2268" w:right="1134"/>
        <w:jc w:val="both"/>
      </w:pPr>
      <w:r w:rsidRPr="00F354D2">
        <w:t>One or two</w:t>
      </w:r>
      <w:r>
        <w:rPr>
          <w:b/>
          <w:bCs/>
        </w:rPr>
        <w:t xml:space="preserve">, </w:t>
      </w:r>
      <w:r w:rsidRPr="00C21A57">
        <w:rPr>
          <w:b/>
          <w:bCs/>
        </w:rPr>
        <w:t xml:space="preserve">type-approved as a category S1 device according to </w:t>
      </w:r>
      <w:r w:rsidRPr="00C21A57">
        <w:rPr>
          <w:b/>
          <w:bCs/>
          <w:lang w:eastAsia="ja-JP"/>
        </w:rPr>
        <w:t xml:space="preserve">the 02 </w:t>
      </w:r>
      <w:r w:rsidRPr="00C21A57">
        <w:rPr>
          <w:b/>
          <w:bCs/>
        </w:rPr>
        <w:t>or subsequent series of amendments to UN Regulation No. 7, or to</w:t>
      </w:r>
      <w:r w:rsidRPr="00C21A57">
        <w:rPr>
          <w:b/>
          <w:bCs/>
          <w:lang w:eastAsia="ja-JP"/>
        </w:rPr>
        <w:t xml:space="preserve"> </w:t>
      </w:r>
      <w:r w:rsidRPr="00C21A57">
        <w:rPr>
          <w:b/>
          <w:bCs/>
        </w:rPr>
        <w:t xml:space="preserve">the 00 or subsequent series of amendments to UN Regulation No. 148; or as a stop lamp for category L </w:t>
      </w:r>
      <w:r w:rsidRPr="00C21A57">
        <w:rPr>
          <w:b/>
          <w:bCs/>
          <w:lang w:eastAsia="ja-JP"/>
        </w:rPr>
        <w:t xml:space="preserve">vehicles </w:t>
      </w:r>
      <w:r w:rsidRPr="00C21A57">
        <w:rPr>
          <w:b/>
          <w:bCs/>
        </w:rPr>
        <w:t>according to the 00 or subsequent series of amendments to UN Regulation Nos. 50 or 148</w:t>
      </w:r>
      <w:r w:rsidRPr="002D7956">
        <w:rPr>
          <w:lang w:eastAsia="ja-JP"/>
        </w:rPr>
        <w:t>.</w:t>
      </w:r>
      <w:r>
        <w:rPr>
          <w:bCs/>
        </w:rPr>
        <w:t>”</w:t>
      </w:r>
    </w:p>
    <w:p w14:paraId="0ED6BEA7" w14:textId="77777777" w:rsidR="00673B20" w:rsidRPr="00696E77" w:rsidRDefault="00673B20" w:rsidP="00673B20">
      <w:pPr>
        <w:tabs>
          <w:tab w:val="left" w:pos="2268"/>
        </w:tabs>
        <w:spacing w:after="120"/>
        <w:ind w:left="1134" w:rightChars="540" w:right="1080"/>
        <w:jc w:val="both"/>
        <w:rPr>
          <w:bCs/>
        </w:rPr>
      </w:pPr>
      <w:r w:rsidRPr="00696E77">
        <w:rPr>
          <w:bCs/>
          <w:i/>
        </w:rPr>
        <w:t>Paragraph 6.</w:t>
      </w:r>
      <w:r>
        <w:rPr>
          <w:bCs/>
          <w:i/>
        </w:rPr>
        <w:t>10</w:t>
      </w:r>
      <w:r w:rsidRPr="00696E77">
        <w:rPr>
          <w:bCs/>
          <w:i/>
        </w:rPr>
        <w:t xml:space="preserve">.1., </w:t>
      </w:r>
      <w:r w:rsidRPr="00696E77">
        <w:rPr>
          <w:bCs/>
        </w:rPr>
        <w:t>amend to read:</w:t>
      </w:r>
    </w:p>
    <w:p w14:paraId="5F5CC802" w14:textId="30A04F1A" w:rsidR="00673B20" w:rsidRPr="00696E77" w:rsidRDefault="00673B20" w:rsidP="00673B20">
      <w:pPr>
        <w:spacing w:after="120"/>
        <w:ind w:left="2268" w:right="1134" w:hanging="1134"/>
        <w:jc w:val="both"/>
      </w:pPr>
      <w:r>
        <w:rPr>
          <w:bCs/>
        </w:rPr>
        <w:t>“</w:t>
      </w:r>
      <w:r w:rsidRPr="00696E77">
        <w:t>6.</w:t>
      </w:r>
      <w:r>
        <w:t>10</w:t>
      </w:r>
      <w:r w:rsidRPr="00696E77">
        <w:t xml:space="preserve">.1. </w:t>
      </w:r>
      <w:r w:rsidRPr="00696E77">
        <w:tab/>
        <w:t>Number</w:t>
      </w:r>
    </w:p>
    <w:p w14:paraId="0571EF8A" w14:textId="7B622797" w:rsidR="00673B20" w:rsidRDefault="00673B20" w:rsidP="00673B20">
      <w:pPr>
        <w:spacing w:after="120"/>
        <w:ind w:left="2268" w:right="1134"/>
        <w:rPr>
          <w:i/>
        </w:rPr>
      </w:pPr>
      <w:r w:rsidRPr="00696E77">
        <w:t>One or two</w:t>
      </w:r>
      <w:r w:rsidRPr="00BF66C3">
        <w:rPr>
          <w:b/>
          <w:bCs/>
        </w:rPr>
        <w:t>,</w:t>
      </w:r>
      <w:r w:rsidRPr="00696E77">
        <w:rPr>
          <w:b/>
          <w:bCs/>
          <w:lang w:eastAsia="ja-JP"/>
        </w:rPr>
        <w:t xml:space="preserve"> type-approved according to the 02 </w:t>
      </w:r>
      <w:r w:rsidRPr="00696E77">
        <w:rPr>
          <w:b/>
          <w:bCs/>
        </w:rPr>
        <w:t>or subsequent series of amendments to UN Regulation No. 7, or to</w:t>
      </w:r>
      <w:r w:rsidRPr="00696E77">
        <w:rPr>
          <w:b/>
          <w:bCs/>
          <w:lang w:eastAsia="ja-JP"/>
        </w:rPr>
        <w:t xml:space="preserve"> </w:t>
      </w:r>
      <w:r w:rsidRPr="00696E77">
        <w:rPr>
          <w:b/>
          <w:bCs/>
        </w:rPr>
        <w:t>the 00 or subsequent series of amendments to UN Regulation No</w:t>
      </w:r>
      <w:r>
        <w:rPr>
          <w:b/>
          <w:bCs/>
        </w:rPr>
        <w:t>s</w:t>
      </w:r>
      <w:r w:rsidRPr="00696E77">
        <w:rPr>
          <w:b/>
          <w:bCs/>
        </w:rPr>
        <w:t xml:space="preserve">. </w:t>
      </w:r>
      <w:r>
        <w:rPr>
          <w:b/>
          <w:bCs/>
        </w:rPr>
        <w:t xml:space="preserve">50 or </w:t>
      </w:r>
      <w:r w:rsidRPr="00696E77">
        <w:rPr>
          <w:b/>
          <w:bCs/>
        </w:rPr>
        <w:t>148</w:t>
      </w:r>
      <w:r>
        <w:rPr>
          <w:b/>
          <w:bCs/>
        </w:rPr>
        <w:t>.</w:t>
      </w:r>
      <w:r>
        <w:rPr>
          <w:bCs/>
        </w:rPr>
        <w:t>”</w:t>
      </w:r>
    </w:p>
    <w:p w14:paraId="7EFF2971" w14:textId="77777777" w:rsidR="00673B20" w:rsidRPr="00696E77" w:rsidRDefault="00673B20" w:rsidP="00673B20">
      <w:pPr>
        <w:tabs>
          <w:tab w:val="left" w:pos="2268"/>
        </w:tabs>
        <w:spacing w:after="120"/>
        <w:ind w:left="1134" w:rightChars="540" w:right="1080"/>
        <w:jc w:val="both"/>
        <w:rPr>
          <w:bCs/>
        </w:rPr>
      </w:pPr>
      <w:r w:rsidRPr="00696E77">
        <w:rPr>
          <w:bCs/>
          <w:i/>
        </w:rPr>
        <w:t>Paragraph 6.</w:t>
      </w:r>
      <w:r>
        <w:rPr>
          <w:bCs/>
          <w:i/>
        </w:rPr>
        <w:t>11.</w:t>
      </w:r>
      <w:r w:rsidRPr="00696E77">
        <w:rPr>
          <w:bCs/>
          <w:i/>
        </w:rPr>
        <w:t xml:space="preserve">1., </w:t>
      </w:r>
      <w:r w:rsidRPr="00696E77">
        <w:rPr>
          <w:bCs/>
        </w:rPr>
        <w:t>amend to read:</w:t>
      </w:r>
    </w:p>
    <w:p w14:paraId="1DE5C99E" w14:textId="473D72CE" w:rsidR="00673B20" w:rsidRPr="00696E77" w:rsidRDefault="00673B20" w:rsidP="00673B20">
      <w:pPr>
        <w:spacing w:after="120"/>
        <w:ind w:left="2268" w:right="1134" w:hanging="1134"/>
        <w:jc w:val="both"/>
      </w:pPr>
      <w:r>
        <w:rPr>
          <w:bCs/>
        </w:rPr>
        <w:t>“</w:t>
      </w:r>
      <w:r w:rsidRPr="00696E77">
        <w:t>6.</w:t>
      </w:r>
      <w:r>
        <w:t>11</w:t>
      </w:r>
      <w:r w:rsidRPr="00696E77">
        <w:t xml:space="preserve">.1. </w:t>
      </w:r>
      <w:r w:rsidRPr="00696E77">
        <w:tab/>
        <w:t>Number</w:t>
      </w:r>
    </w:p>
    <w:p w14:paraId="137465BA" w14:textId="45975967" w:rsidR="00673B20" w:rsidRPr="002E5FF9" w:rsidRDefault="00673B20" w:rsidP="00673B20">
      <w:pPr>
        <w:spacing w:after="120"/>
        <w:ind w:left="2268" w:rightChars="540" w:right="1080"/>
        <w:jc w:val="both"/>
        <w:rPr>
          <w:strike/>
        </w:rPr>
      </w:pPr>
      <w:r w:rsidRPr="00696E77">
        <w:rPr>
          <w:bCs/>
          <w:iCs/>
        </w:rPr>
        <w:tab/>
      </w:r>
      <w:r w:rsidRPr="00696E77">
        <w:t xml:space="preserve">One, </w:t>
      </w:r>
      <w:r w:rsidRPr="00C21A57">
        <w:rPr>
          <w:b/>
          <w:bCs/>
        </w:rPr>
        <w:t>type-</w:t>
      </w:r>
      <w:r w:rsidRPr="00670817">
        <w:rPr>
          <w:b/>
          <w:bCs/>
        </w:rPr>
        <w:t xml:space="preserve">approved as category 1 or 2 according to </w:t>
      </w:r>
      <w:r w:rsidRPr="00670817">
        <w:rPr>
          <w:b/>
          <w:bCs/>
          <w:lang w:eastAsia="ja-JP"/>
        </w:rPr>
        <w:t xml:space="preserve">the 00 </w:t>
      </w:r>
      <w:r w:rsidRPr="00670817">
        <w:rPr>
          <w:b/>
          <w:bCs/>
        </w:rPr>
        <w:t>or subsequent series of amendments to UN Regulation No</w:t>
      </w:r>
      <w:r w:rsidR="009A72C1">
        <w:rPr>
          <w:b/>
          <w:bCs/>
        </w:rPr>
        <w:t>s</w:t>
      </w:r>
      <w:r w:rsidRPr="00670817">
        <w:rPr>
          <w:b/>
          <w:bCs/>
        </w:rPr>
        <w:t>. 50 or</w:t>
      </w:r>
      <w:r w:rsidRPr="00C21A57">
        <w:rPr>
          <w:b/>
          <w:bCs/>
        </w:rPr>
        <w:t xml:space="preserve"> 148.</w:t>
      </w:r>
      <w:r w:rsidRPr="00696E77">
        <w:rPr>
          <w:strike/>
        </w:rPr>
        <w:t xml:space="preserve"> </w:t>
      </w:r>
    </w:p>
    <w:p w14:paraId="736F544D" w14:textId="4F6DC66F" w:rsidR="00673B20" w:rsidRDefault="00673B20" w:rsidP="00673B20">
      <w:pPr>
        <w:spacing w:after="120"/>
        <w:ind w:left="2268" w:right="1134"/>
        <w:rPr>
          <w:i/>
        </w:rPr>
      </w:pPr>
      <w:r w:rsidRPr="00696E77">
        <w:lastRenderedPageBreak/>
        <w:t>The device may consist of several optical components designed to illuminate the space reserved for the registration plate.</w:t>
      </w:r>
      <w:r>
        <w:rPr>
          <w:bCs/>
        </w:rPr>
        <w:t>”</w:t>
      </w:r>
    </w:p>
    <w:p w14:paraId="55FD1FA8" w14:textId="77777777" w:rsidR="00673B20" w:rsidRPr="00BB44EF" w:rsidRDefault="00673B20" w:rsidP="00673B20">
      <w:pPr>
        <w:spacing w:after="120"/>
        <w:ind w:left="1134" w:right="1134"/>
      </w:pPr>
      <w:r w:rsidRPr="00BB44EF">
        <w:rPr>
          <w:i/>
        </w:rPr>
        <w:t>Paragraph 12.10.</w:t>
      </w:r>
      <w:r w:rsidRPr="00BB44EF">
        <w:t xml:space="preserve">, insert a new paragraph to read: </w:t>
      </w:r>
    </w:p>
    <w:p w14:paraId="6AB456D5" w14:textId="11458952" w:rsidR="00673B20" w:rsidRPr="00BB44EF" w:rsidRDefault="00673B20" w:rsidP="00673B20">
      <w:pPr>
        <w:tabs>
          <w:tab w:val="left" w:pos="2268"/>
        </w:tabs>
        <w:spacing w:after="120"/>
        <w:ind w:left="2268" w:hanging="1134"/>
        <w:jc w:val="both"/>
        <w:rPr>
          <w:b/>
          <w:bCs/>
        </w:rPr>
      </w:pPr>
      <w:r>
        <w:rPr>
          <w:bCs/>
        </w:rPr>
        <w:t>“</w:t>
      </w:r>
      <w:r w:rsidRPr="00BB44EF">
        <w:rPr>
          <w:b/>
          <w:bCs/>
        </w:rPr>
        <w:t>12.10.</w:t>
      </w:r>
      <w:r w:rsidRPr="00BB44EF">
        <w:rPr>
          <w:b/>
          <w:bCs/>
        </w:rPr>
        <w:tab/>
        <w:t xml:space="preserve">Transitional provisions applicable to the </w:t>
      </w:r>
      <w:r w:rsidR="009A72C1">
        <w:rPr>
          <w:b/>
          <w:bCs/>
        </w:rPr>
        <w:t>[</w:t>
      </w:r>
      <w:r w:rsidRPr="00BB44EF">
        <w:rPr>
          <w:b/>
          <w:bCs/>
        </w:rPr>
        <w:t>03</w:t>
      </w:r>
      <w:r w:rsidR="009A72C1">
        <w:rPr>
          <w:b/>
          <w:bCs/>
        </w:rPr>
        <w:t>]</w:t>
      </w:r>
      <w:r w:rsidRPr="00BB44EF">
        <w:rPr>
          <w:b/>
          <w:bCs/>
        </w:rPr>
        <w:t xml:space="preserve"> series of amendments</w:t>
      </w:r>
    </w:p>
    <w:p w14:paraId="23740B50" w14:textId="38FC377C" w:rsidR="00673B20" w:rsidRPr="00BB44EF" w:rsidRDefault="00673B20" w:rsidP="00673B20">
      <w:pPr>
        <w:tabs>
          <w:tab w:val="left" w:pos="2268"/>
        </w:tabs>
        <w:spacing w:after="120"/>
        <w:ind w:left="2268" w:right="1134" w:hanging="1134"/>
        <w:jc w:val="both"/>
        <w:rPr>
          <w:b/>
          <w:bCs/>
        </w:rPr>
      </w:pPr>
      <w:r w:rsidRPr="00BB44EF">
        <w:rPr>
          <w:b/>
          <w:bCs/>
        </w:rPr>
        <w:t xml:space="preserve">12.10.1. </w:t>
      </w:r>
      <w:r w:rsidRPr="00BB44EF">
        <w:rPr>
          <w:b/>
          <w:bCs/>
        </w:rPr>
        <w:tab/>
        <w:t xml:space="preserve">As from the official date of entry into force of the </w:t>
      </w:r>
      <w:r w:rsidR="009A72C1">
        <w:rPr>
          <w:b/>
          <w:bCs/>
        </w:rPr>
        <w:t>[</w:t>
      </w:r>
      <w:r w:rsidRPr="00BB44EF">
        <w:rPr>
          <w:b/>
          <w:bCs/>
        </w:rPr>
        <w:t>03</w:t>
      </w:r>
      <w:r w:rsidR="009A72C1">
        <w:rPr>
          <w:b/>
          <w:bCs/>
        </w:rPr>
        <w:t>]</w:t>
      </w:r>
      <w:r w:rsidRPr="00BB44EF">
        <w:rPr>
          <w:b/>
          <w:bCs/>
        </w:rPr>
        <w:t xml:space="preserve"> series of amendments, no Contracting Party applying this Regulation shall refuse to grant or refuse to accept type approvals under this Regulation as amended by the </w:t>
      </w:r>
      <w:r w:rsidR="009A72C1">
        <w:rPr>
          <w:b/>
          <w:bCs/>
        </w:rPr>
        <w:t>[</w:t>
      </w:r>
      <w:r w:rsidRPr="00BB44EF">
        <w:rPr>
          <w:b/>
          <w:bCs/>
        </w:rPr>
        <w:t>0</w:t>
      </w:r>
      <w:r>
        <w:rPr>
          <w:b/>
          <w:bCs/>
        </w:rPr>
        <w:t>3</w:t>
      </w:r>
      <w:r w:rsidR="009A72C1">
        <w:rPr>
          <w:b/>
          <w:bCs/>
        </w:rPr>
        <w:t>]</w:t>
      </w:r>
      <w:r w:rsidRPr="00BB44EF">
        <w:rPr>
          <w:b/>
          <w:bCs/>
        </w:rPr>
        <w:t xml:space="preserve"> series of amendments.</w:t>
      </w:r>
    </w:p>
    <w:p w14:paraId="35E2BF0D" w14:textId="77777777" w:rsidR="00673B20" w:rsidRPr="00BB44EF" w:rsidRDefault="00673B20" w:rsidP="00673B20">
      <w:pPr>
        <w:tabs>
          <w:tab w:val="left" w:pos="2268"/>
        </w:tabs>
        <w:spacing w:after="120"/>
        <w:ind w:left="2268" w:right="1134" w:hanging="1134"/>
        <w:jc w:val="both"/>
        <w:rPr>
          <w:b/>
          <w:bCs/>
        </w:rPr>
      </w:pPr>
      <w:r w:rsidRPr="00BB44EF">
        <w:rPr>
          <w:b/>
          <w:bCs/>
        </w:rPr>
        <w:t xml:space="preserve">12.10.2. </w:t>
      </w:r>
      <w:r w:rsidRPr="00BB44EF">
        <w:rPr>
          <w:b/>
          <w:bCs/>
        </w:rPr>
        <w:tab/>
        <w:t>As from 1 September [2028], Contracting Parties applying this Regulation shall not be obliged to accept type approvals to the preceding series of amendments, first issued after 1 September [2028].</w:t>
      </w:r>
    </w:p>
    <w:p w14:paraId="56C81808" w14:textId="77777777" w:rsidR="00673B20" w:rsidRPr="00BB44EF" w:rsidRDefault="00673B20" w:rsidP="00673B20">
      <w:pPr>
        <w:tabs>
          <w:tab w:val="left" w:pos="2268"/>
        </w:tabs>
        <w:spacing w:after="120"/>
        <w:ind w:left="2268" w:right="1134" w:hanging="1134"/>
        <w:jc w:val="both"/>
        <w:rPr>
          <w:b/>
          <w:bCs/>
        </w:rPr>
      </w:pPr>
      <w:r w:rsidRPr="00BB44EF">
        <w:rPr>
          <w:b/>
          <w:bCs/>
        </w:rPr>
        <w:t>12.10.3.</w:t>
      </w:r>
      <w:r w:rsidRPr="00BB44EF">
        <w:rPr>
          <w:b/>
          <w:bCs/>
        </w:rPr>
        <w:tab/>
        <w:t>Until 1 September [2030], Contracting Parties applying this Regulation shall accept type approvals to the preceding series of amendments, first issued before 1 September [2028].</w:t>
      </w:r>
    </w:p>
    <w:p w14:paraId="554EE197" w14:textId="30BF4D67" w:rsidR="00673B20" w:rsidRPr="00BB44EF" w:rsidRDefault="00673B20" w:rsidP="00673B20">
      <w:pPr>
        <w:tabs>
          <w:tab w:val="left" w:pos="2268"/>
        </w:tabs>
        <w:spacing w:after="120"/>
        <w:ind w:left="2268" w:right="1134" w:hanging="1134"/>
        <w:jc w:val="both"/>
        <w:rPr>
          <w:b/>
          <w:bCs/>
        </w:rPr>
      </w:pPr>
      <w:r w:rsidRPr="00BB44EF">
        <w:rPr>
          <w:b/>
          <w:bCs/>
        </w:rPr>
        <w:t>12.10.4.</w:t>
      </w:r>
      <w:r w:rsidRPr="00BB44EF">
        <w:rPr>
          <w:b/>
          <w:bCs/>
        </w:rPr>
        <w:tab/>
        <w:t>As from 1 September [2030], Contracting Parties applying this Regulation shall not be obliged to accept type approvals</w:t>
      </w:r>
      <w:r w:rsidRPr="008B5FF2">
        <w:rPr>
          <w:b/>
          <w:bCs/>
        </w:rPr>
        <w:t>, and extensions thereof,</w:t>
      </w:r>
      <w:r w:rsidRPr="00BB44EF">
        <w:rPr>
          <w:b/>
          <w:bCs/>
        </w:rPr>
        <w:t xml:space="preserve"> issued to the preceding series of amendments to this Regulation.</w:t>
      </w:r>
    </w:p>
    <w:p w14:paraId="4E315344" w14:textId="77777777" w:rsidR="00673B20" w:rsidRPr="00BB44EF" w:rsidRDefault="00673B20" w:rsidP="00673B20">
      <w:pPr>
        <w:tabs>
          <w:tab w:val="left" w:pos="2268"/>
        </w:tabs>
        <w:spacing w:after="120"/>
        <w:ind w:left="2268" w:right="1134" w:hanging="1134"/>
        <w:jc w:val="both"/>
        <w:rPr>
          <w:b/>
          <w:bCs/>
        </w:rPr>
      </w:pPr>
      <w:r w:rsidRPr="00BB44EF">
        <w:rPr>
          <w:b/>
          <w:bCs/>
        </w:rPr>
        <w:t xml:space="preserve">12.10.5. </w:t>
      </w:r>
      <w:r w:rsidRPr="00BB44EF">
        <w:rPr>
          <w:b/>
          <w:bCs/>
        </w:rPr>
        <w:tab/>
        <w:t>Notwithstanding the transitional provisions above, Contracting Parties who start to apply this Regulation after the date of entry into force of the most recent series of amendments are not obliged to accept type</w:t>
      </w:r>
      <w:r>
        <w:rPr>
          <w:b/>
          <w:bCs/>
        </w:rPr>
        <w:t xml:space="preserve"> </w:t>
      </w:r>
      <w:r w:rsidRPr="00BB44EF">
        <w:rPr>
          <w:b/>
          <w:bCs/>
        </w:rPr>
        <w:t>approvals which were granted in accordance with any of the preceding series of amendments to this Regulation.</w:t>
      </w:r>
    </w:p>
    <w:p w14:paraId="555449BE" w14:textId="382F8C9A" w:rsidR="00673B20" w:rsidRPr="002A5D22" w:rsidRDefault="00673B20" w:rsidP="00673B20">
      <w:pPr>
        <w:tabs>
          <w:tab w:val="left" w:pos="2268"/>
        </w:tabs>
        <w:spacing w:after="120"/>
        <w:ind w:left="2268" w:right="1134" w:hanging="1134"/>
        <w:jc w:val="both"/>
        <w:rPr>
          <w:b/>
          <w:bCs/>
        </w:rPr>
      </w:pPr>
      <w:r w:rsidRPr="00BB44EF">
        <w:rPr>
          <w:b/>
          <w:bCs/>
        </w:rPr>
        <w:t xml:space="preserve">12.10.6. </w:t>
      </w:r>
      <w:r w:rsidRPr="00BB44EF">
        <w:rPr>
          <w:b/>
          <w:bCs/>
        </w:rPr>
        <w:tab/>
        <w:t xml:space="preserve">Notwithstanding paragraph 12.10.4., Contracting Parties applying this Regulation shall continue to accept type approvals to the preceding series of amendments to this Regulation and extension thereof, for the vehicles which are not affected by the changes introduced by the </w:t>
      </w:r>
      <w:r w:rsidR="009A72C1">
        <w:rPr>
          <w:b/>
          <w:bCs/>
        </w:rPr>
        <w:t>[</w:t>
      </w:r>
      <w:r w:rsidRPr="00BB44EF">
        <w:rPr>
          <w:b/>
          <w:bCs/>
        </w:rPr>
        <w:t>03</w:t>
      </w:r>
      <w:r w:rsidR="009A72C1">
        <w:rPr>
          <w:b/>
          <w:bCs/>
        </w:rPr>
        <w:t>]</w:t>
      </w:r>
      <w:r w:rsidRPr="00BB44EF">
        <w:rPr>
          <w:b/>
          <w:bCs/>
        </w:rPr>
        <w:t xml:space="preserve"> series of amendments</w:t>
      </w:r>
      <w:r w:rsidRPr="002A5D22">
        <w:rPr>
          <w:b/>
          <w:bCs/>
        </w:rPr>
        <w:t>.</w:t>
      </w:r>
    </w:p>
    <w:p w14:paraId="1D9DE966" w14:textId="77777777" w:rsidR="00673B20" w:rsidRPr="002A5D22" w:rsidRDefault="00673B20" w:rsidP="00673B20">
      <w:pPr>
        <w:tabs>
          <w:tab w:val="left" w:pos="2268"/>
        </w:tabs>
        <w:spacing w:after="120"/>
        <w:ind w:left="2268" w:right="1134" w:hanging="1134"/>
        <w:jc w:val="both"/>
        <w:rPr>
          <w:b/>
          <w:bCs/>
        </w:rPr>
      </w:pPr>
      <w:r>
        <w:rPr>
          <w:b/>
          <w:bCs/>
        </w:rPr>
        <w:t>12.10.</w:t>
      </w:r>
      <w:r w:rsidRPr="002A5D22">
        <w:rPr>
          <w:b/>
          <w:bCs/>
        </w:rPr>
        <w:t xml:space="preserve">7. </w:t>
      </w:r>
      <w:r w:rsidRPr="002A5D22">
        <w:rPr>
          <w:b/>
          <w:bCs/>
        </w:rPr>
        <w:tab/>
        <w:t xml:space="preserve">Contracting Parties applying this Regulation may grant type approvals according to any preceding series of amendments to this Regulation. </w:t>
      </w:r>
    </w:p>
    <w:p w14:paraId="2E11B5BA" w14:textId="20C10B5C" w:rsidR="00A45AFB" w:rsidRPr="009B1952" w:rsidRDefault="00673B20" w:rsidP="007E48FD">
      <w:pPr>
        <w:pStyle w:val="para0"/>
        <w:rPr>
          <w:bCs/>
          <w:i/>
          <w:lang w:val="en-US"/>
        </w:rPr>
      </w:pPr>
      <w:r>
        <w:rPr>
          <w:b/>
          <w:bCs/>
          <w:lang w:val="en-GB"/>
        </w:rPr>
        <w:t>12.10.</w:t>
      </w:r>
      <w:r w:rsidRPr="002A5D22">
        <w:rPr>
          <w:b/>
          <w:bCs/>
          <w:lang w:val="en-GB"/>
        </w:rPr>
        <w:t xml:space="preserve">8. </w:t>
      </w:r>
      <w:r w:rsidRPr="002A5D22">
        <w:rPr>
          <w:b/>
          <w:bCs/>
          <w:lang w:val="en-GB"/>
        </w:rPr>
        <w:tab/>
        <w:t>Contracting Parties applying this Regulation shall continue to grant extensions of existing approvals to any preceding series of amendments to this Regulation</w:t>
      </w:r>
      <w:r w:rsidRPr="002A5D22">
        <w:rPr>
          <w:bCs/>
          <w:lang w:val="en-GB"/>
        </w:rPr>
        <w:t>.</w:t>
      </w:r>
      <w:r>
        <w:rPr>
          <w:bCs/>
          <w:lang w:val="en-GB"/>
        </w:rPr>
        <w:t>”</w:t>
      </w:r>
    </w:p>
    <w:p w14:paraId="72ED0909" w14:textId="77777777" w:rsidR="00E933B8" w:rsidRDefault="00E933B8" w:rsidP="00E933B8">
      <w:pPr>
        <w:pStyle w:val="HChG"/>
      </w:pPr>
      <w:r w:rsidRPr="00525E6C">
        <w:tab/>
        <w:t>II.</w:t>
      </w:r>
      <w:r w:rsidRPr="00525E6C">
        <w:tab/>
        <w:t>Justification</w:t>
      </w:r>
    </w:p>
    <w:p w14:paraId="1BAB4A49" w14:textId="374AA6D8" w:rsidR="00673B20" w:rsidRPr="00DF58B0" w:rsidRDefault="00673B20" w:rsidP="00673B20">
      <w:pPr>
        <w:pStyle w:val="Bullet1G"/>
        <w:numPr>
          <w:ilvl w:val="0"/>
          <w:numId w:val="0"/>
        </w:numPr>
        <w:ind w:left="1134"/>
      </w:pPr>
      <w:r w:rsidRPr="002A5D22">
        <w:t>1.</w:t>
      </w:r>
      <w:r w:rsidRPr="002A5D22">
        <w:tab/>
        <w:t xml:space="preserve">This proposal is based on the initial request </w:t>
      </w:r>
      <w:r>
        <w:t>by</w:t>
      </w:r>
      <w:r w:rsidRPr="002A5D22">
        <w:t xml:space="preserve"> </w:t>
      </w:r>
      <w:r>
        <w:t xml:space="preserve">the expert of the </w:t>
      </w:r>
      <w:r w:rsidRPr="002A5D22">
        <w:t xml:space="preserve">European Commission </w:t>
      </w:r>
      <w:r>
        <w:t>at</w:t>
      </w:r>
      <w:r w:rsidRPr="002A5D22">
        <w:t xml:space="preserve"> </w:t>
      </w:r>
      <w:r>
        <w:t xml:space="preserve">the </w:t>
      </w:r>
      <w:r w:rsidR="007E48FD">
        <w:t xml:space="preserve">eighty-fifth </w:t>
      </w:r>
      <w:r w:rsidRPr="002A5D22">
        <w:t xml:space="preserve">session of </w:t>
      </w:r>
      <w:r w:rsidR="00805862" w:rsidRPr="00805862">
        <w:t xml:space="preserve">the Working Party on Lighting and Light-Signalling </w:t>
      </w:r>
      <w:r w:rsidR="00805862">
        <w:t>(</w:t>
      </w:r>
      <w:r w:rsidRPr="002A5D22">
        <w:t>GRE</w:t>
      </w:r>
      <w:r w:rsidR="00805862">
        <w:t>)</w:t>
      </w:r>
      <w:r w:rsidRPr="002A5D22">
        <w:t xml:space="preserve">, </w:t>
      </w:r>
      <w:r>
        <w:t>to modify the</w:t>
      </w:r>
      <w:r w:rsidRPr="002A5D22">
        <w:t xml:space="preserve"> transitional provisions </w:t>
      </w:r>
      <w:r>
        <w:t>of the</w:t>
      </w:r>
      <w:r w:rsidRPr="002A5D22">
        <w:t xml:space="preserve"> new 01 series of</w:t>
      </w:r>
      <w:r w:rsidR="00805862">
        <w:t xml:space="preserve"> amendments to</w:t>
      </w:r>
      <w:r w:rsidRPr="002A5D22">
        <w:t xml:space="preserve"> UN Regulations Nos. 148, 149 and 150 (informal document GRE-85-30 and </w:t>
      </w:r>
      <w:r>
        <w:t>p</w:t>
      </w:r>
      <w:r w:rsidRPr="002A5D22">
        <w:t>ar</w:t>
      </w:r>
      <w:r>
        <w:t>agraph</w:t>
      </w:r>
      <w:r w:rsidRPr="002A5D22">
        <w:t xml:space="preserve"> 10</w:t>
      </w:r>
      <w:r>
        <w:t xml:space="preserve"> of ECE/TRANS/WP.29/GRE/85</w:t>
      </w:r>
      <w:r w:rsidRPr="002A5D22">
        <w:t xml:space="preserve">). IWG SLR was requested to consider the issue and to report back to GRE about the most appropriate way to amend impacted UN </w:t>
      </w:r>
      <w:r w:rsidRPr="00DF58B0">
        <w:t xml:space="preserve">Regulations, in particular on whether it would be at device level or at installation level. </w:t>
      </w:r>
    </w:p>
    <w:p w14:paraId="154D9549" w14:textId="77D666B8" w:rsidR="00673B20" w:rsidRPr="00BB44EF" w:rsidRDefault="00673B20" w:rsidP="00673B20">
      <w:pPr>
        <w:pStyle w:val="Bullet1G"/>
        <w:numPr>
          <w:ilvl w:val="0"/>
          <w:numId w:val="0"/>
        </w:numPr>
        <w:ind w:left="1134"/>
      </w:pPr>
      <w:r w:rsidRPr="00DF58B0">
        <w:t>2.</w:t>
      </w:r>
      <w:r w:rsidRPr="00DF58B0">
        <w:tab/>
        <w:t>After</w:t>
      </w:r>
      <w:r w:rsidRPr="00BB44EF">
        <w:t xml:space="preserve"> analysis, IWG SLR agreed that the most practical way to introduce changes made to the 01 series of the UN Regulations Nos. 148, 149 and 150 was to prescribe them in lighting installation regulations, and particularly in the individual specifications of each function (paragraph 6). During </w:t>
      </w:r>
      <w:r w:rsidRPr="00DF58B0">
        <w:t>the</w:t>
      </w:r>
      <w:r w:rsidR="009023F7">
        <w:t xml:space="preserve"> eighty-sixth </w:t>
      </w:r>
      <w:r w:rsidRPr="00DF58B0">
        <w:t>session of GRE</w:t>
      </w:r>
      <w:r w:rsidRPr="00BB44EF">
        <w:t>, this approach was generally supported with the request to avoid proliferation of new series of amendments to lighting installation regulations</w:t>
      </w:r>
      <w:r w:rsidRPr="00DF58B0">
        <w:t xml:space="preserve">. </w:t>
      </w:r>
    </w:p>
    <w:p w14:paraId="5C64BEED" w14:textId="24074E6F" w:rsidR="00673B20" w:rsidRPr="00BB44EF" w:rsidRDefault="00673B20" w:rsidP="00673B20">
      <w:pPr>
        <w:pStyle w:val="Bullet1G"/>
        <w:numPr>
          <w:ilvl w:val="0"/>
          <w:numId w:val="0"/>
        </w:numPr>
        <w:ind w:left="1134"/>
      </w:pPr>
      <w:r w:rsidRPr="00DF58B0">
        <w:t>3.</w:t>
      </w:r>
      <w:r w:rsidRPr="00DF58B0">
        <w:tab/>
      </w:r>
      <w:r w:rsidRPr="00BB44EF">
        <w:t xml:space="preserve">To determine which requirements needed to be added into UN Regulation No. </w:t>
      </w:r>
      <w:r>
        <w:t>74</w:t>
      </w:r>
      <w:r w:rsidRPr="00BB44EF">
        <w:t xml:space="preserve">, </w:t>
      </w:r>
      <w:r w:rsidR="00DF1255" w:rsidRPr="00DF1255">
        <w:t xml:space="preserve">the International Motorcycle Manufacturers Association </w:t>
      </w:r>
      <w:r w:rsidR="00DF1255">
        <w:t>(</w:t>
      </w:r>
      <w:r w:rsidRPr="00BB44EF">
        <w:t>IMMA</w:t>
      </w:r>
      <w:r w:rsidR="00DF1255">
        <w:t>)</w:t>
      </w:r>
      <w:r w:rsidRPr="00BB44EF">
        <w:t xml:space="preserve"> conducted an in-depth technical analysis of the new requirements introduced by the 01 series of the three UN device Regulations during Stage </w:t>
      </w:r>
      <w:r w:rsidR="00B06B32">
        <w:t>2</w:t>
      </w:r>
      <w:r w:rsidR="00B06B32" w:rsidRPr="00BB44EF">
        <w:t xml:space="preserve"> </w:t>
      </w:r>
      <w:r w:rsidR="002C1AD7">
        <w:t xml:space="preserve">/ </w:t>
      </w:r>
      <w:r w:rsidRPr="00BB44EF">
        <w:t xml:space="preserve">Step 1 of the SLR work. As a result of the evaluation, it was </w:t>
      </w:r>
      <w:r w:rsidRPr="00BB44EF">
        <w:lastRenderedPageBreak/>
        <w:t xml:space="preserve">evident that the main technical changes were introduced into UN Regulation No. 149 for road illumination devices, namely all classes of passing-beam and driving-beam headlamps. </w:t>
      </w:r>
    </w:p>
    <w:p w14:paraId="1FFD66C9" w14:textId="639FA0C5" w:rsidR="00673B20" w:rsidRDefault="00673B20" w:rsidP="00673B20">
      <w:pPr>
        <w:pStyle w:val="Bullet1G"/>
        <w:numPr>
          <w:ilvl w:val="0"/>
          <w:numId w:val="0"/>
        </w:numPr>
        <w:ind w:left="1134"/>
      </w:pPr>
      <w:r>
        <w:t>4</w:t>
      </w:r>
      <w:r w:rsidRPr="00A628C6">
        <w:t>.</w:t>
      </w:r>
      <w:r w:rsidRPr="00A628C6">
        <w:tab/>
      </w:r>
      <w:r>
        <w:t xml:space="preserve">At the </w:t>
      </w:r>
      <w:r w:rsidR="00DF1255">
        <w:t>fifty-</w:t>
      </w:r>
      <w:proofErr w:type="spellStart"/>
      <w:r w:rsidR="00DF1255">
        <w:t>eigth</w:t>
      </w:r>
      <w:proofErr w:type="spellEnd"/>
      <w:r w:rsidR="00DF1255">
        <w:t xml:space="preserve"> </w:t>
      </w:r>
      <w:r>
        <w:t>SLR meeting in October 2022, the European Commission requested to specify which device regulations (and their corresponding series of amendments) are allowed for each single function in installation regulations. This proposal reflects the request by the European Commission.</w:t>
      </w:r>
    </w:p>
    <w:p w14:paraId="44418E8F" w14:textId="2BD7664C" w:rsidR="00B41ED7" w:rsidRDefault="00673B20" w:rsidP="00673B20">
      <w:pPr>
        <w:pStyle w:val="Bullet1G"/>
        <w:numPr>
          <w:ilvl w:val="0"/>
          <w:numId w:val="0"/>
        </w:numPr>
        <w:ind w:left="1134"/>
      </w:pPr>
      <w:r>
        <w:t>5</w:t>
      </w:r>
      <w:r w:rsidRPr="007371D0">
        <w:t>.</w:t>
      </w:r>
      <w:r w:rsidRPr="007371D0">
        <w:tab/>
      </w:r>
      <w:r w:rsidRPr="00BB44EF">
        <w:t xml:space="preserve">The proposed amendments will result in allowing only the installation of headlamps approved to the 01 series of UN Regulation No. 149, which implies phasing out a number of headlamp classes which are nowadays widely used. Such a restriction increases the level of stringency of UN Regulation No. </w:t>
      </w:r>
      <w:r>
        <w:t>74</w:t>
      </w:r>
      <w:r w:rsidRPr="00BB44EF">
        <w:t>, and it is therefore necessary to create a new 0</w:t>
      </w:r>
      <w:r>
        <w:t>3</w:t>
      </w:r>
      <w:r w:rsidRPr="00BB44EF">
        <w:t xml:space="preserve"> series with its corresponding transitional provisions.</w:t>
      </w:r>
    </w:p>
    <w:p w14:paraId="30FF583D" w14:textId="2F631770" w:rsidR="00B06B32" w:rsidRDefault="00B06B32" w:rsidP="00B06B32">
      <w:pPr>
        <w:suppressAutoHyphens w:val="0"/>
        <w:spacing w:after="120"/>
        <w:ind w:left="1134" w:right="1134"/>
        <w:jc w:val="both"/>
      </w:pPr>
      <w:r>
        <w:t>6</w:t>
      </w:r>
      <w:r w:rsidRPr="007371D0">
        <w:t>.</w:t>
      </w:r>
      <w:r w:rsidRPr="007371D0">
        <w:tab/>
      </w:r>
      <w:r>
        <w:t xml:space="preserve">The words “and extensions thereof” have been added to </w:t>
      </w:r>
      <w:r w:rsidR="000A11B2">
        <w:t xml:space="preserve">paragraph </w:t>
      </w:r>
      <w:r>
        <w:t xml:space="preserve">12.10.4. for clarification, to avoid different interpretations of the conditions. This is a specific request </w:t>
      </w:r>
      <w:r w:rsidR="000A11B2">
        <w:t xml:space="preserve">made by </w:t>
      </w:r>
      <w:r>
        <w:t>the expert from the European Commission.</w:t>
      </w:r>
    </w:p>
    <w:p w14:paraId="2206E057" w14:textId="77777777" w:rsidR="00B41ED7" w:rsidRPr="00A628C6" w:rsidRDefault="00B41ED7" w:rsidP="00B41ED7">
      <w:pPr>
        <w:spacing w:before="240"/>
        <w:jc w:val="center"/>
        <w:rPr>
          <w:rFonts w:asciiTheme="majorBidi" w:hAnsiTheme="majorBidi"/>
          <w:u w:val="single"/>
        </w:rPr>
      </w:pPr>
      <w:bookmarkStart w:id="1" w:name="_Hlk116054367"/>
      <w:r w:rsidRPr="00A628C6">
        <w:rPr>
          <w:rFonts w:asciiTheme="majorBidi" w:hAnsiTheme="majorBidi"/>
          <w:u w:val="single"/>
        </w:rPr>
        <w:tab/>
      </w:r>
      <w:r w:rsidRPr="00A628C6">
        <w:rPr>
          <w:rFonts w:asciiTheme="majorBidi" w:hAnsiTheme="majorBidi"/>
          <w:u w:val="single"/>
        </w:rPr>
        <w:tab/>
      </w:r>
      <w:r w:rsidRPr="00A628C6">
        <w:rPr>
          <w:rFonts w:asciiTheme="majorBidi" w:hAnsiTheme="majorBidi"/>
          <w:u w:val="single"/>
        </w:rPr>
        <w:tab/>
      </w:r>
    </w:p>
    <w:bookmarkEnd w:id="1"/>
    <w:p w14:paraId="7CD91BA7" w14:textId="77777777" w:rsidR="00B41ED7" w:rsidRPr="00A628C6" w:rsidRDefault="00B41ED7" w:rsidP="00B41ED7">
      <w:pPr>
        <w:pStyle w:val="Bullet1G"/>
        <w:numPr>
          <w:ilvl w:val="0"/>
          <w:numId w:val="0"/>
        </w:numPr>
        <w:ind w:left="1134"/>
      </w:pPr>
    </w:p>
    <w:p w14:paraId="0800F887" w14:textId="3006E2C2" w:rsidR="00E933B8" w:rsidRPr="001F1CB4" w:rsidRDefault="00E933B8" w:rsidP="00B41ED7">
      <w:pPr>
        <w:pStyle w:val="Bullet1G"/>
        <w:numPr>
          <w:ilvl w:val="0"/>
          <w:numId w:val="0"/>
        </w:numPr>
        <w:ind w:left="1134"/>
        <w:rPr>
          <w:u w:val="single"/>
        </w:rPr>
      </w:pPr>
    </w:p>
    <w:sectPr w:rsidR="00E933B8" w:rsidRPr="001F1CB4" w:rsidSect="003F1AB4">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0E9E" w14:textId="77777777" w:rsidR="000F34FD" w:rsidRDefault="000F34FD"/>
  </w:endnote>
  <w:endnote w:type="continuationSeparator" w:id="0">
    <w:p w14:paraId="01C70E8B" w14:textId="77777777" w:rsidR="000F34FD" w:rsidRDefault="000F34FD"/>
  </w:endnote>
  <w:endnote w:type="continuationNotice" w:id="1">
    <w:p w14:paraId="3D046B64" w14:textId="77777777" w:rsidR="000F34FD" w:rsidRDefault="000F3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B4AE" w14:textId="7163A33B" w:rsidR="009B1952" w:rsidRDefault="009B1952" w:rsidP="009B1952">
    <w:pPr>
      <w:pStyle w:val="Footer"/>
    </w:pPr>
    <w:r w:rsidRPr="0027112F">
      <w:rPr>
        <w:noProof/>
        <w:lang w:val="en-US"/>
      </w:rPr>
      <w:drawing>
        <wp:anchor distT="0" distB="0" distL="114300" distR="114300" simplePos="0" relativeHeight="251659264" behindDoc="0" locked="1" layoutInCell="1" allowOverlap="1" wp14:anchorId="40240E77" wp14:editId="424BCF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7A10D0" w14:textId="5506A050" w:rsidR="009B1952" w:rsidRPr="009B1952" w:rsidRDefault="009B1952" w:rsidP="009B1952">
    <w:pPr>
      <w:pStyle w:val="Footer"/>
      <w:ind w:right="1134"/>
      <w:rPr>
        <w:sz w:val="20"/>
      </w:rPr>
    </w:pPr>
    <w:r>
      <w:rPr>
        <w:sz w:val="20"/>
      </w:rPr>
      <w:t>GE.23-02014(E)</w:t>
    </w:r>
    <w:r>
      <w:rPr>
        <w:noProof/>
        <w:sz w:val="20"/>
      </w:rPr>
      <w:drawing>
        <wp:anchor distT="0" distB="0" distL="114300" distR="114300" simplePos="0" relativeHeight="251660288" behindDoc="0" locked="0" layoutInCell="1" allowOverlap="1" wp14:anchorId="79ABAAA4" wp14:editId="5940AEA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4F93" w14:textId="77777777" w:rsidR="000F34FD" w:rsidRPr="000B175B" w:rsidRDefault="000F34FD" w:rsidP="000B175B">
      <w:pPr>
        <w:tabs>
          <w:tab w:val="right" w:pos="2155"/>
        </w:tabs>
        <w:spacing w:after="80"/>
        <w:ind w:left="680"/>
        <w:rPr>
          <w:u w:val="single"/>
        </w:rPr>
      </w:pPr>
      <w:r>
        <w:rPr>
          <w:u w:val="single"/>
        </w:rPr>
        <w:tab/>
      </w:r>
    </w:p>
  </w:footnote>
  <w:footnote w:type="continuationSeparator" w:id="0">
    <w:p w14:paraId="2CF33620" w14:textId="77777777" w:rsidR="000F34FD" w:rsidRPr="00FC68B7" w:rsidRDefault="000F34FD" w:rsidP="00FC68B7">
      <w:pPr>
        <w:tabs>
          <w:tab w:val="left" w:pos="2155"/>
        </w:tabs>
        <w:spacing w:after="80"/>
        <w:ind w:left="680"/>
        <w:rPr>
          <w:u w:val="single"/>
        </w:rPr>
      </w:pPr>
      <w:r>
        <w:rPr>
          <w:u w:val="single"/>
        </w:rPr>
        <w:tab/>
      </w:r>
    </w:p>
  </w:footnote>
  <w:footnote w:type="continuationNotice" w:id="1">
    <w:p w14:paraId="319CCC21" w14:textId="77777777" w:rsidR="000F34FD" w:rsidRDefault="000F34FD"/>
  </w:footnote>
  <w:footnote w:id="2">
    <w:p w14:paraId="26469265" w14:textId="3F135974" w:rsidR="00E317C2" w:rsidRPr="004876E3" w:rsidRDefault="00E317C2" w:rsidP="00297676">
      <w:pPr>
        <w:pStyle w:val="FootnoteText"/>
      </w:pPr>
      <w:r w:rsidRPr="00A90EA8">
        <w:tab/>
      </w:r>
      <w:r w:rsidR="0002472C" w:rsidRPr="002232AF">
        <w:rPr>
          <w:rStyle w:val="FootnoteReference"/>
          <w:sz w:val="20"/>
          <w:lang w:val="en-US"/>
        </w:rPr>
        <w:t>*</w:t>
      </w:r>
      <w:r w:rsidR="0002472C" w:rsidRPr="002232AF">
        <w:rPr>
          <w:sz w:val="20"/>
          <w:lang w:val="en-US"/>
        </w:rPr>
        <w:tab/>
      </w:r>
      <w:r w:rsidR="0002472C" w:rsidRPr="00AB708F">
        <w:rPr>
          <w:szCs w:val="18"/>
          <w:lang w:val="en-US"/>
        </w:rPr>
        <w:t>In accordance with the programme of work of</w:t>
      </w:r>
      <w:r w:rsidR="0002472C">
        <w:rPr>
          <w:szCs w:val="18"/>
          <w:lang w:val="en-US"/>
        </w:rPr>
        <w:t xml:space="preserve"> the</w:t>
      </w:r>
      <w:r w:rsidR="0002472C" w:rsidRPr="00AB708F">
        <w:rPr>
          <w:szCs w:val="18"/>
          <w:lang w:val="en-US"/>
        </w:rPr>
        <w:t xml:space="preserve"> </w:t>
      </w:r>
      <w:r w:rsidR="0002472C" w:rsidRPr="00C14763">
        <w:rPr>
          <w:szCs w:val="18"/>
          <w:lang w:val="en-US"/>
        </w:rPr>
        <w:t>Inland Transport Committee for 202</w:t>
      </w:r>
      <w:r w:rsidR="0002472C">
        <w:rPr>
          <w:szCs w:val="18"/>
          <w:lang w:val="en-US"/>
        </w:rPr>
        <w:t>3</w:t>
      </w:r>
      <w:r w:rsidR="0002472C" w:rsidRPr="00C14763">
        <w:rPr>
          <w:szCs w:val="18"/>
          <w:lang w:val="en-US"/>
        </w:rPr>
        <w:t xml:space="preserve"> as outlined in proposed programme budget for 202</w:t>
      </w:r>
      <w:r w:rsidR="0002472C">
        <w:rPr>
          <w:szCs w:val="18"/>
          <w:lang w:val="en-US"/>
        </w:rPr>
        <w:t>3</w:t>
      </w:r>
      <w:r w:rsidR="0002472C" w:rsidRPr="00C14763">
        <w:rPr>
          <w:szCs w:val="18"/>
          <w:lang w:val="en-US"/>
        </w:rPr>
        <w:t xml:space="preserve"> (</w:t>
      </w:r>
      <w:r w:rsidR="0002472C" w:rsidRPr="00CC1F43">
        <w:rPr>
          <w:szCs w:val="18"/>
          <w:lang w:val="en-US"/>
        </w:rPr>
        <w:t>A/77/6 (Sect. 20), table 20.6</w:t>
      </w:r>
      <w:r w:rsidR="0002472C" w:rsidRPr="00C14763">
        <w:rPr>
          <w:szCs w:val="18"/>
          <w:lang w:val="en-US"/>
        </w:rPr>
        <w:t xml:space="preserve">), </w:t>
      </w:r>
      <w:r w:rsidR="0002472C" w:rsidRPr="00AB708F">
        <w:rPr>
          <w:szCs w:val="18"/>
          <w:lang w:val="en-US"/>
        </w:rPr>
        <w:t xml:space="preserve">the World Forum will develop, </w:t>
      </w:r>
      <w:proofErr w:type="gramStart"/>
      <w:r w:rsidR="0002472C" w:rsidRPr="00AB708F">
        <w:rPr>
          <w:szCs w:val="18"/>
          <w:lang w:val="en-US"/>
        </w:rPr>
        <w:t>harmonize</w:t>
      </w:r>
      <w:proofErr w:type="gramEnd"/>
      <w:r w:rsidR="0002472C"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152452C9" w:rsidR="00C740F6" w:rsidRPr="006C395D" w:rsidRDefault="00C740F6" w:rsidP="005726B5">
    <w:pPr>
      <w:pStyle w:val="Header"/>
    </w:pPr>
    <w:r w:rsidRPr="001C5F9E">
      <w:t>ECE/TRANS/WP.29/GRE/20</w:t>
    </w:r>
    <w:r w:rsidR="006D181F" w:rsidRPr="001C5F9E">
      <w:t>2</w:t>
    </w:r>
    <w:r w:rsidR="0002472C">
      <w:t>3</w:t>
    </w:r>
    <w:r w:rsidRPr="001C5F9E">
      <w:t>/</w:t>
    </w:r>
    <w:r w:rsidR="008A4ED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38E4A3E9" w:rsidR="00C740F6" w:rsidRPr="006C395D" w:rsidRDefault="00C740F6" w:rsidP="00DA725B">
    <w:pPr>
      <w:pStyle w:val="Header"/>
      <w:jc w:val="right"/>
    </w:pPr>
    <w:r w:rsidRPr="001C5F9E">
      <w:t>ECE/TRANS/WP.29/GRE/20</w:t>
    </w:r>
    <w:r w:rsidR="004223FF" w:rsidRPr="001C5F9E">
      <w:t>2</w:t>
    </w:r>
    <w:r w:rsidR="0002472C">
      <w:t>3</w:t>
    </w:r>
    <w:r w:rsidRPr="001C5F9E">
      <w:t>/</w:t>
    </w:r>
    <w:r w:rsidR="008A4EDF">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B1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47994595">
    <w:abstractNumId w:val="1"/>
  </w:num>
  <w:num w:numId="2" w16cid:durableId="479347135">
    <w:abstractNumId w:val="16"/>
  </w:num>
  <w:num w:numId="3" w16cid:durableId="1674647666">
    <w:abstractNumId w:val="10"/>
  </w:num>
  <w:num w:numId="4" w16cid:durableId="384450639">
    <w:abstractNumId w:val="14"/>
  </w:num>
  <w:num w:numId="5" w16cid:durableId="1008947859">
    <w:abstractNumId w:val="15"/>
  </w:num>
  <w:num w:numId="6" w16cid:durableId="1864397896">
    <w:abstractNumId w:val="3"/>
  </w:num>
  <w:num w:numId="7" w16cid:durableId="805004135">
    <w:abstractNumId w:val="2"/>
  </w:num>
  <w:num w:numId="8" w16cid:durableId="74790847">
    <w:abstractNumId w:val="13"/>
  </w:num>
  <w:num w:numId="9" w16cid:durableId="1546214503">
    <w:abstractNumId w:val="8"/>
  </w:num>
  <w:num w:numId="10" w16cid:durableId="1105881446">
    <w:abstractNumId w:val="9"/>
  </w:num>
  <w:num w:numId="11" w16cid:durableId="1078406041">
    <w:abstractNumId w:val="7"/>
  </w:num>
  <w:num w:numId="12" w16cid:durableId="1696229310">
    <w:abstractNumId w:val="0"/>
  </w:num>
  <w:num w:numId="13" w16cid:durableId="1703045859">
    <w:abstractNumId w:val="17"/>
  </w:num>
  <w:num w:numId="14" w16cid:durableId="1574048366">
    <w:abstractNumId w:val="6"/>
  </w:num>
  <w:num w:numId="15" w16cid:durableId="1352604448">
    <w:abstractNumId w:val="12"/>
  </w:num>
  <w:num w:numId="16" w16cid:durableId="1100494220">
    <w:abstractNumId w:val="5"/>
  </w:num>
  <w:num w:numId="17" w16cid:durableId="883636123">
    <w:abstractNumId w:val="18"/>
  </w:num>
  <w:num w:numId="18" w16cid:durableId="391275985">
    <w:abstractNumId w:val="11"/>
  </w:num>
  <w:num w:numId="19" w16cid:durableId="1958676581">
    <w:abstractNumId w:val="1"/>
  </w:num>
  <w:num w:numId="20" w16cid:durableId="87627312">
    <w:abstractNumId w:val="1"/>
  </w:num>
  <w:num w:numId="21" w16cid:durableId="755441766">
    <w:abstractNumId w:val="1"/>
  </w:num>
  <w:num w:numId="22" w16cid:durableId="1264680268">
    <w:abstractNumId w:val="1"/>
  </w:num>
  <w:num w:numId="23" w16cid:durableId="152289096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s-E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E9C"/>
    <w:rsid w:val="00014557"/>
    <w:rsid w:val="000159D5"/>
    <w:rsid w:val="00016D6D"/>
    <w:rsid w:val="00017C2C"/>
    <w:rsid w:val="00020B64"/>
    <w:rsid w:val="00020C67"/>
    <w:rsid w:val="000215B9"/>
    <w:rsid w:val="000228F3"/>
    <w:rsid w:val="00023558"/>
    <w:rsid w:val="00023BEE"/>
    <w:rsid w:val="000240E6"/>
    <w:rsid w:val="0002472C"/>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0737"/>
    <w:rsid w:val="000A11B2"/>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2466"/>
    <w:rsid w:val="000F308E"/>
    <w:rsid w:val="000F31FC"/>
    <w:rsid w:val="000F3331"/>
    <w:rsid w:val="000F34FD"/>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AAF"/>
    <w:rsid w:val="00272836"/>
    <w:rsid w:val="002738B6"/>
    <w:rsid w:val="00274428"/>
    <w:rsid w:val="00274A65"/>
    <w:rsid w:val="00274AC6"/>
    <w:rsid w:val="00274D01"/>
    <w:rsid w:val="00274FDE"/>
    <w:rsid w:val="002754BD"/>
    <w:rsid w:val="00275E6E"/>
    <w:rsid w:val="00275F0D"/>
    <w:rsid w:val="0027607D"/>
    <w:rsid w:val="00276188"/>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1AD7"/>
    <w:rsid w:val="002C27BB"/>
    <w:rsid w:val="002C2C34"/>
    <w:rsid w:val="002C4714"/>
    <w:rsid w:val="002C4A7C"/>
    <w:rsid w:val="002C4CCA"/>
    <w:rsid w:val="002C4DE6"/>
    <w:rsid w:val="002C5735"/>
    <w:rsid w:val="002C5A7A"/>
    <w:rsid w:val="002C5E6D"/>
    <w:rsid w:val="002C6485"/>
    <w:rsid w:val="002C6E1C"/>
    <w:rsid w:val="002C701E"/>
    <w:rsid w:val="002C7DF7"/>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2C"/>
    <w:rsid w:val="00336C90"/>
    <w:rsid w:val="00336D73"/>
    <w:rsid w:val="00336D9A"/>
    <w:rsid w:val="0033709A"/>
    <w:rsid w:val="0033713D"/>
    <w:rsid w:val="0033745A"/>
    <w:rsid w:val="00340052"/>
    <w:rsid w:val="00340CCD"/>
    <w:rsid w:val="00341E13"/>
    <w:rsid w:val="0034206B"/>
    <w:rsid w:val="0034246C"/>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5F7D"/>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1C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EB6"/>
    <w:rsid w:val="005F0558"/>
    <w:rsid w:val="005F057A"/>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9A"/>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3B20"/>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8FD"/>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5862"/>
    <w:rsid w:val="00806003"/>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594"/>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4EDF"/>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23F7"/>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2C1"/>
    <w:rsid w:val="009A7B4F"/>
    <w:rsid w:val="009B1952"/>
    <w:rsid w:val="009B3E71"/>
    <w:rsid w:val="009B4026"/>
    <w:rsid w:val="009B4327"/>
    <w:rsid w:val="009B43ED"/>
    <w:rsid w:val="009B4DFB"/>
    <w:rsid w:val="009B5460"/>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32"/>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2D36"/>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55"/>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1CF9"/>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5B3A"/>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2.xml><?xml version="1.0" encoding="utf-8"?>
<ds:datastoreItem xmlns:ds="http://schemas.openxmlformats.org/officeDocument/2006/customXml" ds:itemID="{FCA91281-D4BE-4EF1-B722-DA3D25F9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4.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5</Pages>
  <Words>1577</Words>
  <Characters>8168</Characters>
  <Application>Microsoft Office Word</Application>
  <DocSecurity>0</DocSecurity>
  <Lines>183</Lines>
  <Paragraphs>92</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ECE/TRANS/WP.29/GRE/2022/10</vt:lpstr>
      <vt:lpstr>ECE/TRANS/WP.29/GRE/2020/9</vt:lpstr>
      <vt:lpstr>ECE/TRANS/WP.29/GRE/2019/3</vt:lpstr>
      <vt:lpstr>ECE/TRANS/WP.29/GRE/2018/49</vt:lpstr>
    </vt:vector>
  </TitlesOfParts>
  <Company>CSD</Company>
  <LinksUpToDate>false</LinksUpToDate>
  <CharactersWithSpaces>9689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ECE/TRANS/WP.29/GRE/2023/5</dc:title>
  <dc:subject>2302014</dc:subject>
  <dc:creator>AFTER JUNE</dc:creator>
  <cp:keywords/>
  <dc:description/>
  <cp:lastModifiedBy>Don Canete Martin</cp:lastModifiedBy>
  <cp:revision>2</cp:revision>
  <cp:lastPrinted>2022-07-26T12:04:00Z</cp:lastPrinted>
  <dcterms:created xsi:type="dcterms:W3CDTF">2023-02-06T14:24:00Z</dcterms:created>
  <dcterms:modified xsi:type="dcterms:W3CDTF">2023-02-06T14:24:00Z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