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54241A40"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76B6984A" w:rsidR="00B56E9C" w:rsidRPr="00B042C8" w:rsidRDefault="00CD57D2" w:rsidP="009F652C">
            <w:pPr>
              <w:suppressAutoHyphens w:val="0"/>
              <w:spacing w:after="20"/>
              <w:jc w:val="right"/>
              <w:rPr>
                <w:b/>
                <w:sz w:val="24"/>
                <w:szCs w:val="24"/>
              </w:rPr>
            </w:pPr>
            <w:r w:rsidRPr="00B042C8">
              <w:rPr>
                <w:b/>
                <w:sz w:val="24"/>
                <w:szCs w:val="24"/>
              </w:rPr>
              <w:t>INF.</w:t>
            </w:r>
            <w:r w:rsidR="00C637A9">
              <w:rPr>
                <w:b/>
                <w:sz w:val="24"/>
                <w:szCs w:val="24"/>
              </w:rPr>
              <w:t>9</w:t>
            </w:r>
          </w:p>
        </w:tc>
      </w:tr>
    </w:tbl>
    <w:p w14:paraId="48559710" w14:textId="77777777" w:rsidR="00EC106A" w:rsidRPr="000C1287" w:rsidRDefault="00EC106A">
      <w:pPr>
        <w:spacing w:before="120"/>
        <w:rPr>
          <w:b/>
          <w:sz w:val="28"/>
          <w:szCs w:val="28"/>
        </w:rPr>
      </w:pPr>
      <w:r w:rsidRPr="000C1287">
        <w:rPr>
          <w:b/>
          <w:sz w:val="28"/>
          <w:szCs w:val="28"/>
        </w:rPr>
        <w:t>Economic Commission for Europe</w:t>
      </w:r>
    </w:p>
    <w:p w14:paraId="16911975" w14:textId="77777777" w:rsidR="00EC106A" w:rsidRPr="000C1287" w:rsidRDefault="00EC106A">
      <w:pPr>
        <w:spacing w:before="120"/>
        <w:rPr>
          <w:sz w:val="28"/>
          <w:szCs w:val="28"/>
        </w:rPr>
      </w:pPr>
      <w:r w:rsidRPr="000C1287">
        <w:rPr>
          <w:sz w:val="28"/>
          <w:szCs w:val="28"/>
        </w:rPr>
        <w:t>Inland Transport Committee</w:t>
      </w:r>
    </w:p>
    <w:p w14:paraId="578A4C68" w14:textId="77777777" w:rsidR="00EC106A" w:rsidRPr="000C1287" w:rsidRDefault="00EC106A" w:rsidP="00EC106A">
      <w:pPr>
        <w:spacing w:before="120" w:after="120"/>
        <w:rPr>
          <w:b/>
          <w:sz w:val="24"/>
          <w:szCs w:val="24"/>
        </w:rPr>
      </w:pPr>
      <w:r w:rsidRPr="000C1287">
        <w:rPr>
          <w:b/>
          <w:sz w:val="24"/>
          <w:szCs w:val="24"/>
        </w:rPr>
        <w:t>Working Party on the Transport of Dangerous Goods</w:t>
      </w:r>
    </w:p>
    <w:p w14:paraId="6FA226BE" w14:textId="77777777" w:rsidR="009D2A5B" w:rsidRPr="000C1287" w:rsidRDefault="009D2A5B" w:rsidP="009D2A5B">
      <w:pPr>
        <w:rPr>
          <w:b/>
        </w:rPr>
      </w:pPr>
      <w:r w:rsidRPr="000C1287">
        <w:rPr>
          <w:b/>
        </w:rPr>
        <w:t>Joint Meeting of the RID Committee of Experts and the</w:t>
      </w:r>
    </w:p>
    <w:p w14:paraId="3AB5359E" w14:textId="30EE6145" w:rsidR="009D2A5B" w:rsidRPr="000C1287" w:rsidRDefault="009D2A5B" w:rsidP="009D2A5B">
      <w:pPr>
        <w:rPr>
          <w:b/>
        </w:rPr>
      </w:pPr>
      <w:r w:rsidRPr="000C1287">
        <w:rPr>
          <w:b/>
        </w:rPr>
        <w:t>Working Party on the Transport of Dangerous Goods</w:t>
      </w:r>
      <w:r w:rsidR="000A3752" w:rsidRPr="000C1287">
        <w:rPr>
          <w:b/>
        </w:rPr>
        <w:tab/>
      </w:r>
      <w:r w:rsidR="000A3752" w:rsidRPr="000C1287">
        <w:rPr>
          <w:b/>
        </w:rPr>
        <w:tab/>
      </w:r>
      <w:r w:rsidR="000A3752" w:rsidRPr="000C1287">
        <w:rPr>
          <w:b/>
        </w:rPr>
        <w:tab/>
      </w:r>
      <w:r w:rsidR="000A3752" w:rsidRPr="000C1287">
        <w:rPr>
          <w:b/>
        </w:rPr>
        <w:tab/>
      </w:r>
      <w:r w:rsidR="000A3752" w:rsidRPr="000C1287">
        <w:rPr>
          <w:b/>
        </w:rPr>
        <w:tab/>
      </w:r>
      <w:r w:rsidR="00507993" w:rsidRPr="000C1287">
        <w:rPr>
          <w:b/>
        </w:rPr>
        <w:tab/>
      </w:r>
      <w:r w:rsidR="00C637A9">
        <w:rPr>
          <w:b/>
        </w:rPr>
        <w:t>7</w:t>
      </w:r>
      <w:r w:rsidR="002A009E" w:rsidRPr="00E83B19">
        <w:rPr>
          <w:b/>
        </w:rPr>
        <w:t xml:space="preserve"> </w:t>
      </w:r>
      <w:r w:rsidR="0038743C">
        <w:rPr>
          <w:b/>
        </w:rPr>
        <w:t>Febr</w:t>
      </w:r>
      <w:r w:rsidR="002A009E" w:rsidRPr="00E83B19">
        <w:rPr>
          <w:b/>
        </w:rPr>
        <w:t>uary 2023</w:t>
      </w:r>
    </w:p>
    <w:p w14:paraId="54D6CC22" w14:textId="5F21C665" w:rsidR="009D2A5B" w:rsidRPr="000C1287" w:rsidRDefault="00FB7679" w:rsidP="00BB7CD1">
      <w:r>
        <w:t>Bern</w:t>
      </w:r>
      <w:r w:rsidR="00BB7CD1" w:rsidRPr="000C1287">
        <w:t xml:space="preserve">, </w:t>
      </w:r>
      <w:r w:rsidR="00E82755">
        <w:t>20-24 March 2023</w:t>
      </w:r>
    </w:p>
    <w:p w14:paraId="23C4216C" w14:textId="38804CD0" w:rsidR="0067369E" w:rsidRDefault="00433A32" w:rsidP="00433A32">
      <w:pPr>
        <w:rPr>
          <w:b/>
          <w:bCs/>
        </w:rPr>
      </w:pPr>
      <w:r w:rsidRPr="000C1287">
        <w:t xml:space="preserve">Item </w:t>
      </w:r>
      <w:r w:rsidR="001416D0">
        <w:t>9</w:t>
      </w:r>
      <w:r w:rsidR="00126221">
        <w:t xml:space="preserve"> </w:t>
      </w:r>
      <w:r w:rsidR="001416D0">
        <w:t>(b)</w:t>
      </w:r>
      <w:r w:rsidRPr="000C1287">
        <w:t xml:space="preserve"> of the provisional agenda</w:t>
      </w:r>
      <w:r w:rsidR="00E312C3">
        <w:br/>
      </w:r>
      <w:r w:rsidR="00C10415">
        <w:rPr>
          <w:b/>
          <w:bCs/>
        </w:rPr>
        <w:t xml:space="preserve">Any other business: </w:t>
      </w:r>
    </w:p>
    <w:p w14:paraId="06858F9A" w14:textId="06FC9A9D" w:rsidR="00433A32" w:rsidRPr="0039354D" w:rsidRDefault="00C10415" w:rsidP="00433A32">
      <w:pPr>
        <w:rPr>
          <w:b/>
          <w:bCs/>
          <w:lang w:eastAsia="fr-FR"/>
        </w:rPr>
      </w:pPr>
      <w:r w:rsidRPr="00C10415">
        <w:rPr>
          <w:b/>
          <w:bCs/>
        </w:rPr>
        <w:t>Circular economy and sustainable development goals</w:t>
      </w:r>
    </w:p>
    <w:p w14:paraId="5AB16539" w14:textId="410985E7" w:rsidR="00F32051" w:rsidRPr="0093354C" w:rsidRDefault="00AC3E5A" w:rsidP="00F32051">
      <w:pPr>
        <w:pStyle w:val="HChG"/>
        <w:rPr>
          <w:lang w:val="en-GB" w:eastAsia="de-DE"/>
        </w:rPr>
      </w:pPr>
      <w:r>
        <w:tab/>
      </w:r>
      <w:r>
        <w:tab/>
      </w:r>
      <w:r w:rsidR="00E903B5" w:rsidRPr="0093354C">
        <w:rPr>
          <w:lang w:val="en-GB"/>
        </w:rPr>
        <w:t xml:space="preserve">Outcome of the </w:t>
      </w:r>
      <w:r w:rsidR="00337BA0" w:rsidRPr="0093354C">
        <w:rPr>
          <w:lang w:val="en-GB"/>
        </w:rPr>
        <w:t xml:space="preserve">WP.15’s </w:t>
      </w:r>
      <w:r w:rsidR="00643FDE" w:rsidRPr="000A49C8">
        <w:rPr>
          <w:rFonts w:eastAsia="SimSun"/>
          <w:lang w:eastAsia="zh-CN"/>
        </w:rPr>
        <w:t>round table discussion on the circular economy</w:t>
      </w:r>
      <w:r w:rsidR="00F32051">
        <w:t xml:space="preserve"> </w:t>
      </w:r>
      <w:r w:rsidR="00337BA0" w:rsidRPr="0093354C">
        <w:rPr>
          <w:lang w:val="en-GB"/>
        </w:rPr>
        <w:t xml:space="preserve">and the </w:t>
      </w:r>
      <w:r w:rsidR="00A56C21" w:rsidRPr="0093354C">
        <w:rPr>
          <w:lang w:val="en-GB"/>
        </w:rPr>
        <w:t xml:space="preserve">WP.15/AC.2’s </w:t>
      </w:r>
      <w:r w:rsidR="00A56C21">
        <w:rPr>
          <w:rFonts w:eastAsia="SimSun"/>
          <w:lang w:eastAsia="zh-CN"/>
        </w:rPr>
        <w:t>workshop</w:t>
      </w:r>
      <w:r w:rsidR="00A56C21" w:rsidRPr="000A49C8">
        <w:rPr>
          <w:rFonts w:eastAsia="SimSun"/>
          <w:lang w:eastAsia="zh-CN"/>
        </w:rPr>
        <w:t xml:space="preserve"> on </w:t>
      </w:r>
      <w:r w:rsidR="00A56C21">
        <w:t>sustainable development and climate change</w:t>
      </w:r>
    </w:p>
    <w:p w14:paraId="16EE4EB6" w14:textId="1B0BB75F" w:rsidR="00F32051" w:rsidRPr="001818BC" w:rsidRDefault="00AC3E5A" w:rsidP="00E27E33">
      <w:pPr>
        <w:pStyle w:val="HChG"/>
        <w:rPr>
          <w:sz w:val="24"/>
          <w:szCs w:val="24"/>
          <w:lang w:val="fr-CH"/>
        </w:rPr>
      </w:pPr>
      <w:r w:rsidRPr="00AC3E5A">
        <w:rPr>
          <w:sz w:val="24"/>
          <w:szCs w:val="24"/>
        </w:rPr>
        <w:tab/>
      </w:r>
      <w:r w:rsidRPr="00AC3E5A">
        <w:rPr>
          <w:sz w:val="24"/>
          <w:szCs w:val="24"/>
        </w:rPr>
        <w:tab/>
      </w:r>
      <w:r w:rsidR="00657C7B" w:rsidRPr="0093354C">
        <w:rPr>
          <w:sz w:val="24"/>
          <w:szCs w:val="24"/>
          <w:lang w:val="en-GB"/>
        </w:rPr>
        <w:t>Note by the</w:t>
      </w:r>
      <w:r w:rsidR="00F32051" w:rsidRPr="00AC3E5A">
        <w:rPr>
          <w:sz w:val="24"/>
          <w:szCs w:val="24"/>
        </w:rPr>
        <w:t xml:space="preserve"> </w:t>
      </w:r>
      <w:r w:rsidR="00657C7B" w:rsidRPr="00AC3E5A">
        <w:rPr>
          <w:sz w:val="24"/>
          <w:szCs w:val="24"/>
        </w:rPr>
        <w:t>secretariat</w:t>
      </w:r>
      <w:r w:rsidR="001818BC">
        <w:rPr>
          <w:sz w:val="24"/>
          <w:szCs w:val="24"/>
          <w:lang w:val="fr-CH"/>
        </w:rPr>
        <w:t>s</w:t>
      </w:r>
    </w:p>
    <w:p w14:paraId="79DA348C" w14:textId="1B1D699C" w:rsidR="00F74D18" w:rsidRDefault="00F74D18" w:rsidP="00F74D18">
      <w:pPr>
        <w:pStyle w:val="HChG"/>
        <w:rPr>
          <w:lang w:eastAsia="de-DE"/>
        </w:rPr>
      </w:pPr>
      <w:r>
        <w:tab/>
      </w:r>
      <w:r w:rsidR="00CF73CE" w:rsidRPr="0093354C">
        <w:rPr>
          <w:lang w:val="en-GB"/>
        </w:rPr>
        <w:t>I.</w:t>
      </w:r>
      <w:r>
        <w:tab/>
        <w:t>Introduction</w:t>
      </w:r>
    </w:p>
    <w:p w14:paraId="6C4CF68A" w14:textId="7B548B15" w:rsidR="009A2F41" w:rsidRDefault="00A56C21" w:rsidP="00622435">
      <w:pPr>
        <w:tabs>
          <w:tab w:val="left" w:pos="1701"/>
          <w:tab w:val="left" w:pos="2268"/>
        </w:tabs>
        <w:spacing w:after="120"/>
        <w:ind w:left="1134" w:right="1134"/>
        <w:jc w:val="both"/>
      </w:pPr>
      <w:r>
        <w:rPr>
          <w:rFonts w:eastAsia="SimSun"/>
          <w:lang w:eastAsia="zh-CN"/>
        </w:rPr>
        <w:t>1.</w:t>
      </w:r>
      <w:r>
        <w:rPr>
          <w:rFonts w:eastAsia="SimSun"/>
          <w:lang w:eastAsia="zh-CN"/>
        </w:rPr>
        <w:tab/>
      </w:r>
      <w:r w:rsidR="00771856">
        <w:rPr>
          <w:rFonts w:eastAsia="SimSun"/>
          <w:lang w:eastAsia="zh-CN"/>
        </w:rPr>
        <w:t xml:space="preserve">Upon the </w:t>
      </w:r>
      <w:r w:rsidR="00771856" w:rsidRPr="000A49C8">
        <w:rPr>
          <w:rFonts w:eastAsia="SimSun"/>
          <w:lang w:eastAsia="zh-CN"/>
        </w:rPr>
        <w:t xml:space="preserve">request </w:t>
      </w:r>
      <w:r w:rsidR="00771856">
        <w:rPr>
          <w:rFonts w:eastAsia="SimSun"/>
          <w:lang w:eastAsia="zh-CN"/>
        </w:rPr>
        <w:t>of</w:t>
      </w:r>
      <w:r w:rsidR="00771856" w:rsidRPr="000A49C8">
        <w:rPr>
          <w:rFonts w:eastAsia="SimSun"/>
          <w:lang w:eastAsia="zh-CN"/>
        </w:rPr>
        <w:t xml:space="preserve"> the Inland Transport Committee</w:t>
      </w:r>
      <w:r w:rsidR="00771856">
        <w:rPr>
          <w:rFonts w:eastAsia="SimSun"/>
          <w:lang w:eastAsia="zh-CN"/>
        </w:rPr>
        <w:t xml:space="preserve"> (ITC)</w:t>
      </w:r>
      <w:r w:rsidR="005313DD">
        <w:rPr>
          <w:rFonts w:eastAsia="SimSun"/>
          <w:lang w:eastAsia="zh-CN"/>
        </w:rPr>
        <w:t xml:space="preserve"> </w:t>
      </w:r>
      <w:r w:rsidR="001575FF">
        <w:rPr>
          <w:rFonts w:eastAsia="SimSun"/>
          <w:lang w:eastAsia="zh-CN"/>
        </w:rPr>
        <w:t>to</w:t>
      </w:r>
      <w:r w:rsidR="001575FF" w:rsidRPr="000A49C8">
        <w:rPr>
          <w:rFonts w:eastAsia="SimSun"/>
          <w:lang w:eastAsia="zh-CN"/>
        </w:rPr>
        <w:t xml:space="preserve"> </w:t>
      </w:r>
      <w:r w:rsidR="001575FF">
        <w:rPr>
          <w:rFonts w:eastAsia="SimSun"/>
          <w:lang w:eastAsia="zh-CN"/>
        </w:rPr>
        <w:t>its</w:t>
      </w:r>
      <w:r w:rsidR="001575FF" w:rsidRPr="000A49C8">
        <w:rPr>
          <w:rFonts w:eastAsia="SimSun"/>
          <w:lang w:eastAsia="zh-CN"/>
        </w:rPr>
        <w:t xml:space="preserve"> subsidiary bodies </w:t>
      </w:r>
      <w:r w:rsidR="00771856" w:rsidRPr="000A49C8">
        <w:rPr>
          <w:rFonts w:eastAsia="SimSun"/>
          <w:lang w:eastAsia="zh-CN"/>
        </w:rPr>
        <w:t xml:space="preserve">for an annual report on the work related to </w:t>
      </w:r>
      <w:r w:rsidR="00FA730A">
        <w:rPr>
          <w:rFonts w:eastAsia="SimSun"/>
          <w:lang w:eastAsia="zh-CN"/>
        </w:rPr>
        <w:t xml:space="preserve">United Nations </w:t>
      </w:r>
      <w:r w:rsidR="005313DD">
        <w:rPr>
          <w:rFonts w:eastAsia="SimSun"/>
          <w:lang w:eastAsia="zh-CN"/>
        </w:rPr>
        <w:t>2030</w:t>
      </w:r>
      <w:r w:rsidR="00771856" w:rsidRPr="000A49C8">
        <w:rPr>
          <w:rFonts w:eastAsia="SimSun"/>
          <w:lang w:eastAsia="zh-CN"/>
        </w:rPr>
        <w:t xml:space="preserve"> </w:t>
      </w:r>
      <w:r w:rsidR="00FA730A">
        <w:rPr>
          <w:rFonts w:eastAsia="SimSun"/>
          <w:lang w:eastAsia="zh-CN"/>
        </w:rPr>
        <w:t>Agenda for</w:t>
      </w:r>
      <w:r w:rsidR="00771856" w:rsidRPr="000A49C8">
        <w:rPr>
          <w:rFonts w:eastAsia="SimSun"/>
          <w:lang w:eastAsia="zh-CN"/>
        </w:rPr>
        <w:t xml:space="preserve"> Sustainable Development</w:t>
      </w:r>
      <w:r w:rsidR="00FA730A">
        <w:rPr>
          <w:rFonts w:eastAsia="SimSun"/>
          <w:lang w:eastAsia="zh-CN"/>
        </w:rPr>
        <w:t>, t</w:t>
      </w:r>
      <w:r w:rsidR="00414137" w:rsidRPr="00616E74">
        <w:rPr>
          <w:rFonts w:eastAsia="SimSun"/>
          <w:lang w:eastAsia="zh-CN"/>
        </w:rPr>
        <w:t>he Working Party on the Transport of Dangerous Goods</w:t>
      </w:r>
      <w:r w:rsidR="00414137" w:rsidRPr="000A49C8">
        <w:rPr>
          <w:rFonts w:eastAsia="SimSun"/>
          <w:lang w:eastAsia="zh-CN"/>
        </w:rPr>
        <w:t xml:space="preserve"> </w:t>
      </w:r>
      <w:r w:rsidR="00414137">
        <w:rPr>
          <w:rFonts w:eastAsia="SimSun"/>
          <w:lang w:eastAsia="zh-CN"/>
        </w:rPr>
        <w:t xml:space="preserve">(WP.15) </w:t>
      </w:r>
      <w:r w:rsidR="00BD6647" w:rsidRPr="000A49C8">
        <w:rPr>
          <w:rFonts w:eastAsia="SimSun"/>
          <w:lang w:eastAsia="zh-CN"/>
        </w:rPr>
        <w:t xml:space="preserve">held during </w:t>
      </w:r>
      <w:r w:rsidR="00BD6647">
        <w:rPr>
          <w:rFonts w:eastAsia="SimSun"/>
          <w:lang w:eastAsia="zh-CN"/>
        </w:rPr>
        <w:t>its</w:t>
      </w:r>
      <w:r w:rsidR="00BD6647" w:rsidRPr="000A49C8">
        <w:rPr>
          <w:rFonts w:eastAsia="SimSun"/>
          <w:lang w:eastAsia="zh-CN"/>
        </w:rPr>
        <w:t xml:space="preserve"> 112th session</w:t>
      </w:r>
      <w:r w:rsidR="00BD6647">
        <w:rPr>
          <w:rFonts w:eastAsia="SimSun"/>
          <w:lang w:eastAsia="zh-CN"/>
        </w:rPr>
        <w:t xml:space="preserve"> in November 2022 a</w:t>
      </w:r>
      <w:r w:rsidR="009A2F41" w:rsidRPr="000A49C8">
        <w:rPr>
          <w:rFonts w:eastAsia="SimSun"/>
          <w:lang w:eastAsia="zh-CN"/>
        </w:rPr>
        <w:t xml:space="preserve"> round table discussion on the circular economy from the perspective of multimodal transport of dangerous goods </w:t>
      </w:r>
      <w:r w:rsidR="00BD6647">
        <w:rPr>
          <w:rFonts w:eastAsia="SimSun"/>
          <w:lang w:eastAsia="zh-CN"/>
        </w:rPr>
        <w:t xml:space="preserve">and the </w:t>
      </w:r>
      <w:r w:rsidR="006A5A42">
        <w:rPr>
          <w:rFonts w:eastAsia="SimSun"/>
          <w:lang w:eastAsia="zh-CN"/>
        </w:rPr>
        <w:t xml:space="preserve">ADN Safety Committee </w:t>
      </w:r>
      <w:r w:rsidR="006C04FA">
        <w:rPr>
          <w:rFonts w:eastAsia="SimSun"/>
          <w:lang w:eastAsia="zh-CN"/>
        </w:rPr>
        <w:t xml:space="preserve">organised, at its </w:t>
      </w:r>
      <w:r w:rsidR="0050175B">
        <w:rPr>
          <w:rFonts w:eastAsia="SimSun"/>
          <w:lang w:eastAsia="zh-CN"/>
        </w:rPr>
        <w:t>forty-first session in January 2023</w:t>
      </w:r>
      <w:r w:rsidR="001575FF">
        <w:rPr>
          <w:rFonts w:eastAsia="SimSun"/>
          <w:lang w:eastAsia="zh-CN"/>
        </w:rPr>
        <w:t>,</w:t>
      </w:r>
      <w:r w:rsidR="006C04FA">
        <w:rPr>
          <w:rFonts w:eastAsia="SimSun"/>
          <w:lang w:eastAsia="zh-CN"/>
        </w:rPr>
        <w:t xml:space="preserve"> a</w:t>
      </w:r>
      <w:r w:rsidR="006C04FA" w:rsidRPr="000A49C8">
        <w:rPr>
          <w:rFonts w:eastAsia="SimSun"/>
          <w:lang w:eastAsia="zh-CN"/>
        </w:rPr>
        <w:t xml:space="preserve"> </w:t>
      </w:r>
      <w:r w:rsidR="006C04FA">
        <w:rPr>
          <w:rFonts w:eastAsia="SimSun"/>
          <w:lang w:eastAsia="zh-CN"/>
        </w:rPr>
        <w:t>workshop</w:t>
      </w:r>
      <w:r w:rsidR="006C04FA" w:rsidRPr="000A49C8">
        <w:rPr>
          <w:rFonts w:eastAsia="SimSun"/>
          <w:lang w:eastAsia="zh-CN"/>
        </w:rPr>
        <w:t xml:space="preserve"> on </w:t>
      </w:r>
      <w:r w:rsidR="006C04FA">
        <w:t>sustainable development and climate change from the perspective of the transport of dangerous goods on inland waterways</w:t>
      </w:r>
      <w:r w:rsidR="009A2F41" w:rsidRPr="000A49C8">
        <w:rPr>
          <w:rFonts w:eastAsia="SimSun"/>
          <w:lang w:eastAsia="zh-CN"/>
        </w:rPr>
        <w:t>.</w:t>
      </w:r>
    </w:p>
    <w:p w14:paraId="68E7441F" w14:textId="2E29E356" w:rsidR="009A2F41" w:rsidRDefault="001247DF" w:rsidP="00AF31F2">
      <w:pPr>
        <w:tabs>
          <w:tab w:val="left" w:pos="1701"/>
          <w:tab w:val="left" w:pos="2268"/>
        </w:tabs>
        <w:spacing w:after="120"/>
        <w:ind w:left="1134" w:right="1134"/>
        <w:jc w:val="both"/>
      </w:pPr>
      <w:r>
        <w:t>2.</w:t>
      </w:r>
      <w:r>
        <w:tab/>
        <w:t>T</w:t>
      </w:r>
      <w:r>
        <w:rPr>
          <w:rFonts w:eastAsia="SimSun"/>
          <w:lang w:eastAsia="zh-CN"/>
        </w:rPr>
        <w:t xml:space="preserve">he secretariat was </w:t>
      </w:r>
      <w:r w:rsidR="00B63B31">
        <w:rPr>
          <w:rFonts w:eastAsia="SimSun"/>
          <w:lang w:eastAsia="zh-CN"/>
        </w:rPr>
        <w:t>request</w:t>
      </w:r>
      <w:r>
        <w:rPr>
          <w:rFonts w:eastAsia="SimSun"/>
          <w:lang w:eastAsia="zh-CN"/>
        </w:rPr>
        <w:t xml:space="preserve">ed to report to the </w:t>
      </w:r>
      <w:r w:rsidR="00574886">
        <w:rPr>
          <w:rFonts w:eastAsia="SimSun"/>
          <w:lang w:eastAsia="zh-CN"/>
        </w:rPr>
        <w:t>s</w:t>
      </w:r>
      <w:r w:rsidR="00AF31F2">
        <w:rPr>
          <w:rFonts w:eastAsia="SimSun"/>
          <w:lang w:eastAsia="zh-CN"/>
        </w:rPr>
        <w:t>pring 2023</w:t>
      </w:r>
      <w:r>
        <w:rPr>
          <w:rFonts w:eastAsia="SimSun"/>
          <w:lang w:eastAsia="zh-CN"/>
        </w:rPr>
        <w:t xml:space="preserve"> session of the RID/ADR/ADN Joint Meeting on the positive outcome of </w:t>
      </w:r>
      <w:r w:rsidR="001575FF">
        <w:rPr>
          <w:rFonts w:eastAsia="SimSun"/>
          <w:lang w:eastAsia="zh-CN"/>
        </w:rPr>
        <w:t xml:space="preserve">both events, </w:t>
      </w:r>
      <w:r>
        <w:rPr>
          <w:rFonts w:eastAsia="SimSun"/>
          <w:lang w:eastAsia="zh-CN"/>
        </w:rPr>
        <w:t xml:space="preserve">the </w:t>
      </w:r>
      <w:r w:rsidR="00AF31F2">
        <w:rPr>
          <w:rFonts w:eastAsia="SimSun"/>
          <w:lang w:eastAsia="zh-CN"/>
        </w:rPr>
        <w:t>WP.15 roundtable (</w:t>
      </w:r>
      <w:r w:rsidR="00BF2AF0">
        <w:rPr>
          <w:rFonts w:eastAsia="SimSun"/>
          <w:lang w:eastAsia="zh-CN"/>
        </w:rPr>
        <w:t xml:space="preserve">report </w:t>
      </w:r>
      <w:r w:rsidR="00BF2AF0" w:rsidRPr="00975ADA">
        <w:rPr>
          <w:rFonts w:eastAsia="SimSun"/>
          <w:lang w:eastAsia="zh-CN"/>
        </w:rPr>
        <w:t>ECE/TRANS/WP.15/</w:t>
      </w:r>
      <w:r w:rsidR="00883EA7">
        <w:rPr>
          <w:rFonts w:eastAsia="SimSun"/>
          <w:lang w:eastAsia="zh-CN"/>
        </w:rPr>
        <w:t>260</w:t>
      </w:r>
      <w:r w:rsidR="00BF2AF0">
        <w:rPr>
          <w:rFonts w:eastAsia="SimSun"/>
          <w:lang w:eastAsia="zh-CN"/>
        </w:rPr>
        <w:t xml:space="preserve">, paras. </w:t>
      </w:r>
      <w:r w:rsidR="00573E03">
        <w:rPr>
          <w:rFonts w:eastAsia="SimSun"/>
          <w:lang w:eastAsia="zh-CN"/>
        </w:rPr>
        <w:t>4</w:t>
      </w:r>
      <w:r w:rsidR="00BF2AF0">
        <w:rPr>
          <w:rFonts w:eastAsia="SimSun"/>
          <w:lang w:eastAsia="zh-CN"/>
        </w:rPr>
        <w:t>5-</w:t>
      </w:r>
      <w:r w:rsidR="00573E03">
        <w:rPr>
          <w:rFonts w:eastAsia="SimSun"/>
          <w:lang w:eastAsia="zh-CN"/>
        </w:rPr>
        <w:t>51</w:t>
      </w:r>
      <w:r w:rsidR="00AF31F2">
        <w:rPr>
          <w:rFonts w:eastAsia="SimSun"/>
          <w:lang w:eastAsia="zh-CN"/>
        </w:rPr>
        <w:t xml:space="preserve">) and WP.15/AC.2 </w:t>
      </w:r>
      <w:r>
        <w:rPr>
          <w:rFonts w:eastAsia="SimSun"/>
          <w:lang w:eastAsia="zh-CN"/>
        </w:rPr>
        <w:t>workshop</w:t>
      </w:r>
      <w:r w:rsidR="000217B5">
        <w:rPr>
          <w:rFonts w:eastAsia="SimSun"/>
          <w:lang w:eastAsia="zh-CN"/>
        </w:rPr>
        <w:t xml:space="preserve"> (report </w:t>
      </w:r>
      <w:r w:rsidR="00975ADA" w:rsidRPr="00975ADA">
        <w:rPr>
          <w:rFonts w:eastAsia="SimSun"/>
          <w:lang w:eastAsia="zh-CN"/>
        </w:rPr>
        <w:t>ECE/TRANS/WP.15/AC.2/8</w:t>
      </w:r>
      <w:r w:rsidR="00975ADA">
        <w:rPr>
          <w:rFonts w:eastAsia="SimSun"/>
          <w:lang w:eastAsia="zh-CN"/>
        </w:rPr>
        <w:t xml:space="preserve">4, paras. </w:t>
      </w:r>
      <w:r w:rsidR="00BF2AF0">
        <w:rPr>
          <w:rFonts w:eastAsia="SimSun"/>
          <w:lang w:eastAsia="zh-CN"/>
        </w:rPr>
        <w:t>56-67</w:t>
      </w:r>
      <w:r w:rsidR="000217B5">
        <w:rPr>
          <w:rFonts w:eastAsia="SimSun"/>
          <w:lang w:eastAsia="zh-CN"/>
        </w:rPr>
        <w:t>)</w:t>
      </w:r>
      <w:r w:rsidR="0077656F" w:rsidRPr="00E47A19">
        <w:t>.</w:t>
      </w:r>
      <w:r w:rsidR="0077656F">
        <w:t xml:space="preserve"> It will help guiding the </w:t>
      </w:r>
      <w:r w:rsidR="00707FA4">
        <w:t xml:space="preserve">Joint Meeting’s </w:t>
      </w:r>
      <w:r w:rsidR="0077656F">
        <w:t xml:space="preserve">discussion on the key Sustainable Development Goals </w:t>
      </w:r>
      <w:r w:rsidR="00707FA4">
        <w:t xml:space="preserve">(SDGs) </w:t>
      </w:r>
      <w:r w:rsidR="0077656F">
        <w:t>applicable to the work</w:t>
      </w:r>
      <w:r w:rsidR="0077656F" w:rsidRPr="00604BDA">
        <w:t xml:space="preserve"> </w:t>
      </w:r>
      <w:r w:rsidR="0077656F">
        <w:t>on the transport of dangerous goods for inland transport modes</w:t>
      </w:r>
      <w:r w:rsidR="00AF31F2">
        <w:t>.</w:t>
      </w:r>
    </w:p>
    <w:p w14:paraId="437DB70E" w14:textId="6FB08305" w:rsidR="009A2F41" w:rsidRPr="000A49C8" w:rsidRDefault="009A2F41" w:rsidP="009A2F41">
      <w:pPr>
        <w:keepNext/>
        <w:keepLines/>
        <w:tabs>
          <w:tab w:val="right" w:pos="851"/>
        </w:tabs>
        <w:spacing w:before="360" w:after="240" w:line="270" w:lineRule="exact"/>
        <w:ind w:left="1134" w:right="1134" w:hanging="1134"/>
        <w:outlineLvl w:val="2"/>
        <w:rPr>
          <w:rFonts w:eastAsia="Calibri"/>
          <w:b/>
          <w:sz w:val="24"/>
          <w:lang w:val="en-US"/>
        </w:rPr>
      </w:pPr>
      <w:r w:rsidRPr="000A49C8">
        <w:rPr>
          <w:b/>
          <w:sz w:val="24"/>
        </w:rPr>
        <w:tab/>
      </w:r>
      <w:r>
        <w:rPr>
          <w:b/>
          <w:sz w:val="24"/>
        </w:rPr>
        <w:t>I</w:t>
      </w:r>
      <w:r w:rsidR="00CF73CE">
        <w:rPr>
          <w:b/>
          <w:sz w:val="24"/>
        </w:rPr>
        <w:t>I</w:t>
      </w:r>
      <w:r w:rsidRPr="000A49C8">
        <w:rPr>
          <w:b/>
          <w:sz w:val="24"/>
        </w:rPr>
        <w:t>.</w:t>
      </w:r>
      <w:r w:rsidRPr="000A49C8">
        <w:rPr>
          <w:b/>
          <w:sz w:val="24"/>
        </w:rPr>
        <w:tab/>
      </w:r>
      <w:r w:rsidR="00B63B31" w:rsidRPr="00B63B31">
        <w:rPr>
          <w:b/>
          <w:sz w:val="24"/>
        </w:rPr>
        <w:t xml:space="preserve">WP.15’s round table discussion </w:t>
      </w:r>
      <w:r w:rsidR="00B63B31">
        <w:rPr>
          <w:b/>
          <w:sz w:val="24"/>
        </w:rPr>
        <w:t>on c</w:t>
      </w:r>
      <w:r w:rsidRPr="000A49C8">
        <w:rPr>
          <w:b/>
          <w:sz w:val="24"/>
        </w:rPr>
        <w:t>ircular economy and sustainable use of natural resources</w:t>
      </w:r>
    </w:p>
    <w:p w14:paraId="7F2BC553" w14:textId="4D0D0EF4" w:rsidR="009A2F41" w:rsidRPr="000A49C8" w:rsidRDefault="00B63B31" w:rsidP="009A2F41">
      <w:pPr>
        <w:tabs>
          <w:tab w:val="left" w:pos="1701"/>
          <w:tab w:val="left" w:pos="2268"/>
        </w:tabs>
        <w:spacing w:after="120"/>
        <w:ind w:left="1134" w:right="1134"/>
        <w:jc w:val="both"/>
        <w:rPr>
          <w:rFonts w:eastAsia="SimSun"/>
          <w:lang w:val="en-US" w:eastAsia="zh-CN"/>
        </w:rPr>
      </w:pPr>
      <w:r>
        <w:rPr>
          <w:rFonts w:eastAsia="SimSun"/>
          <w:lang w:eastAsia="zh-CN"/>
        </w:rPr>
        <w:t>3</w:t>
      </w:r>
      <w:r w:rsidR="009A2F41" w:rsidRPr="000A49C8">
        <w:rPr>
          <w:rFonts w:eastAsia="SimSun"/>
          <w:lang w:eastAsia="zh-CN"/>
        </w:rPr>
        <w:t>.</w:t>
      </w:r>
      <w:r w:rsidR="009A2F41" w:rsidRPr="000A49C8">
        <w:rPr>
          <w:rFonts w:eastAsia="SimSun"/>
          <w:lang w:eastAsia="zh-CN"/>
        </w:rPr>
        <w:tab/>
        <w:t>A round table discussion on the circular economy from the perspective of multimodal transport of dangerous goods was held during the Working Party’s 112th session. The round table was a response to discussions held during the Working Party’s 111th session and to the request from the Inland Transport Committee, in the context of its strategy to 2030, for an annual report on the work of the subsidiary bodies related to the circular economy and the Sustainable Development Goals.</w:t>
      </w:r>
    </w:p>
    <w:p w14:paraId="4D3E06F9" w14:textId="1891E375" w:rsidR="009A2F41" w:rsidRPr="000A49C8" w:rsidRDefault="009A2F41" w:rsidP="009A2F41">
      <w:pPr>
        <w:tabs>
          <w:tab w:val="left" w:pos="1701"/>
          <w:tab w:val="left" w:pos="2268"/>
        </w:tabs>
        <w:spacing w:after="120"/>
        <w:ind w:left="1134" w:right="1134"/>
        <w:jc w:val="both"/>
        <w:rPr>
          <w:rFonts w:eastAsia="SimSun"/>
          <w:lang w:val="en-US" w:eastAsia="zh-CN"/>
        </w:rPr>
      </w:pPr>
      <w:r>
        <w:rPr>
          <w:rFonts w:eastAsia="SimSun"/>
          <w:lang w:eastAsia="zh-CN"/>
        </w:rPr>
        <w:t>4</w:t>
      </w:r>
      <w:r w:rsidRPr="000A49C8">
        <w:rPr>
          <w:rFonts w:eastAsia="SimSun"/>
          <w:lang w:eastAsia="zh-CN"/>
        </w:rPr>
        <w:t>.</w:t>
      </w:r>
      <w:r w:rsidRPr="000A49C8">
        <w:rPr>
          <w:rFonts w:eastAsia="SimSun"/>
          <w:lang w:eastAsia="zh-CN"/>
        </w:rPr>
        <w:tab/>
        <w:t xml:space="preserve">The programme and all the presentations made during the round table </w:t>
      </w:r>
      <w:r w:rsidR="00047DD3">
        <w:rPr>
          <w:rFonts w:eastAsia="SimSun"/>
          <w:lang w:eastAsia="zh-CN"/>
        </w:rPr>
        <w:t>w</w:t>
      </w:r>
      <w:r w:rsidR="007C7103">
        <w:rPr>
          <w:rFonts w:eastAsia="SimSun"/>
          <w:lang w:eastAsia="zh-CN"/>
        </w:rPr>
        <w:t>ere</w:t>
      </w:r>
      <w:r w:rsidR="00047DD3">
        <w:rPr>
          <w:rFonts w:eastAsia="SimSun"/>
          <w:lang w:eastAsia="zh-CN"/>
        </w:rPr>
        <w:t xml:space="preserve"> made </w:t>
      </w:r>
      <w:r w:rsidRPr="000A49C8">
        <w:rPr>
          <w:rFonts w:eastAsia="SimSun"/>
          <w:lang w:eastAsia="zh-CN"/>
        </w:rPr>
        <w:t xml:space="preserve">available on the webpage of the </w:t>
      </w:r>
      <w:r w:rsidR="009B4E21" w:rsidRPr="000A49C8">
        <w:rPr>
          <w:rFonts w:eastAsia="SimSun"/>
          <w:lang w:eastAsia="zh-CN"/>
        </w:rPr>
        <w:t xml:space="preserve">112th session </w:t>
      </w:r>
      <w:r w:rsidR="009B4E21">
        <w:rPr>
          <w:rFonts w:eastAsia="SimSun"/>
          <w:lang w:eastAsia="zh-CN"/>
        </w:rPr>
        <w:t xml:space="preserve">of the </w:t>
      </w:r>
      <w:r w:rsidRPr="000A49C8">
        <w:rPr>
          <w:rFonts w:eastAsia="SimSun"/>
          <w:lang w:eastAsia="zh-CN"/>
        </w:rPr>
        <w:t>Working Party</w:t>
      </w:r>
      <w:r w:rsidR="009B4E21">
        <w:rPr>
          <w:rFonts w:eastAsia="SimSun"/>
          <w:lang w:eastAsia="zh-CN"/>
        </w:rPr>
        <w:t xml:space="preserve"> WP.15</w:t>
      </w:r>
      <w:r w:rsidRPr="000A49C8">
        <w:rPr>
          <w:rFonts w:eastAsia="SimSun"/>
          <w:lang w:eastAsia="zh-CN"/>
        </w:rPr>
        <w:t xml:space="preserve"> (</w:t>
      </w:r>
      <w:hyperlink r:id="rId11" w:history="1">
        <w:r w:rsidRPr="000A49C8">
          <w:rPr>
            <w:rFonts w:eastAsia="SimSun"/>
            <w:color w:val="0000FF"/>
            <w:lang w:eastAsia="zh-CN"/>
          </w:rPr>
          <w:t>https://unece.org/info/Transport/Dangerous-Goods/events/364687</w:t>
        </w:r>
      </w:hyperlink>
      <w:r w:rsidRPr="000A49C8">
        <w:rPr>
          <w:rFonts w:eastAsia="SimSun"/>
          <w:lang w:eastAsia="zh-CN"/>
        </w:rPr>
        <w:t>).</w:t>
      </w:r>
    </w:p>
    <w:p w14:paraId="5F9E682E" w14:textId="1454E7E3" w:rsidR="009A2F41" w:rsidRPr="000A49C8" w:rsidRDefault="00B63B31" w:rsidP="009A2F41">
      <w:pPr>
        <w:tabs>
          <w:tab w:val="left" w:pos="1701"/>
          <w:tab w:val="left" w:pos="2268"/>
        </w:tabs>
        <w:spacing w:after="120"/>
        <w:ind w:left="1134" w:right="1134"/>
        <w:jc w:val="both"/>
        <w:rPr>
          <w:rFonts w:eastAsia="SimSun"/>
          <w:lang w:val="en-US" w:eastAsia="zh-CN"/>
        </w:rPr>
      </w:pPr>
      <w:r>
        <w:rPr>
          <w:rFonts w:eastAsia="SimSun"/>
          <w:lang w:eastAsia="zh-CN"/>
        </w:rPr>
        <w:t>5</w:t>
      </w:r>
      <w:r w:rsidR="009A2F41" w:rsidRPr="000A49C8">
        <w:rPr>
          <w:rFonts w:eastAsia="SimSun"/>
          <w:lang w:eastAsia="zh-CN"/>
        </w:rPr>
        <w:t>.</w:t>
      </w:r>
      <w:r w:rsidR="009A2F41" w:rsidRPr="000A49C8">
        <w:rPr>
          <w:rFonts w:eastAsia="SimSun"/>
          <w:lang w:eastAsia="zh-CN"/>
        </w:rPr>
        <w:tab/>
        <w:t xml:space="preserve">The round table began with welcome addresses from the Executive Secretary of the Economic Commission for Europe, the Director of the Sustainable Transport Division and the Chief of the Dangerous Goods Section. The Executive Secretary highlighted the importance of the circular economy and sustainable use of natural resources in achieving the Sustainable Development Goals (SDGs) of Agenda 2030. The Director of the Sustainable Transportation Division recalled, in particular, that the Economic and Social Council had </w:t>
      </w:r>
      <w:r w:rsidR="009A2F41" w:rsidRPr="000A49C8">
        <w:rPr>
          <w:rFonts w:eastAsia="SimSun"/>
          <w:lang w:eastAsia="zh-CN"/>
        </w:rPr>
        <w:lastRenderedPageBreak/>
        <w:t xml:space="preserve">recently approved the revised terms of reference of the Inland Transport Committee. The new terms of reference had been drafted with a view to encouraging non-member countries of ECE to participate in the </w:t>
      </w:r>
      <w:r w:rsidR="009A2F41">
        <w:rPr>
          <w:rFonts w:eastAsia="SimSun"/>
          <w:lang w:eastAsia="zh-CN"/>
        </w:rPr>
        <w:t>session</w:t>
      </w:r>
      <w:r w:rsidR="009A2F41" w:rsidRPr="000A49C8">
        <w:rPr>
          <w:rFonts w:eastAsia="SimSun"/>
          <w:lang w:eastAsia="zh-CN"/>
        </w:rPr>
        <w:t>s of the Inland Transport Committee and its subsidiary bodies and enable them to accede to the United Nations legal instruments developed under the auspices of the Sustainable Transport Division. The Chief of the Dangerous Goods Section recalled the decisions taken by the Joint Meeting regarding the addition to its programme of work of a specific item on the circular economy and the SDGs and references to those topics in working documents.</w:t>
      </w:r>
    </w:p>
    <w:p w14:paraId="5B0F91DD" w14:textId="67473347" w:rsidR="009A2F41" w:rsidRPr="000A49C8" w:rsidRDefault="00B63B31" w:rsidP="009A2F41">
      <w:pPr>
        <w:tabs>
          <w:tab w:val="left" w:pos="1701"/>
          <w:tab w:val="left" w:pos="2268"/>
        </w:tabs>
        <w:spacing w:after="120"/>
        <w:ind w:left="1134" w:right="1134"/>
        <w:jc w:val="both"/>
        <w:rPr>
          <w:rFonts w:eastAsia="SimSun"/>
          <w:lang w:val="en-US" w:eastAsia="zh-CN"/>
        </w:rPr>
      </w:pPr>
      <w:r>
        <w:rPr>
          <w:rFonts w:eastAsia="SimSun"/>
          <w:lang w:eastAsia="zh-CN"/>
        </w:rPr>
        <w:t>6</w:t>
      </w:r>
      <w:r w:rsidR="009A2F41" w:rsidRPr="000A49C8">
        <w:rPr>
          <w:rFonts w:eastAsia="SimSun"/>
          <w:lang w:eastAsia="zh-CN"/>
        </w:rPr>
        <w:t>.</w:t>
      </w:r>
      <w:r w:rsidR="009A2F41" w:rsidRPr="000A49C8">
        <w:rPr>
          <w:rFonts w:eastAsia="SimSun"/>
          <w:lang w:eastAsia="zh-CN"/>
        </w:rPr>
        <w:tab/>
        <w:t>The panellists and the participants recognized that the work of United Nations bodies on the transport of dangerous goods was already having a</w:t>
      </w:r>
      <w:r w:rsidR="00D15D92">
        <w:rPr>
          <w:rFonts w:eastAsia="SimSun"/>
          <w:lang w:eastAsia="zh-CN"/>
        </w:rPr>
        <w:t xml:space="preserve"> direct and indirect</w:t>
      </w:r>
      <w:r w:rsidR="009A2F41" w:rsidRPr="000A49C8">
        <w:rPr>
          <w:rFonts w:eastAsia="SimSun"/>
          <w:lang w:eastAsia="zh-CN"/>
        </w:rPr>
        <w:t xml:space="preserve"> impact on the development of the circular economy and the SDGs and that it was now important to better identify the links between those areas.</w:t>
      </w:r>
    </w:p>
    <w:p w14:paraId="7F5BAD5D" w14:textId="62E2556D" w:rsidR="009A2F41" w:rsidRPr="000A49C8" w:rsidRDefault="00B63B31" w:rsidP="009A2F41">
      <w:pPr>
        <w:tabs>
          <w:tab w:val="left" w:pos="1701"/>
          <w:tab w:val="left" w:pos="2268"/>
        </w:tabs>
        <w:spacing w:after="120"/>
        <w:ind w:left="1134" w:right="1134"/>
        <w:jc w:val="both"/>
        <w:rPr>
          <w:rFonts w:eastAsia="SimSun"/>
          <w:lang w:val="en-US" w:eastAsia="zh-CN"/>
        </w:rPr>
      </w:pPr>
      <w:r>
        <w:rPr>
          <w:rFonts w:eastAsia="SimSun"/>
          <w:lang w:eastAsia="zh-CN"/>
        </w:rPr>
        <w:t>7</w:t>
      </w:r>
      <w:r w:rsidR="009A2F41" w:rsidRPr="000A49C8">
        <w:rPr>
          <w:rFonts w:eastAsia="SimSun"/>
          <w:lang w:eastAsia="zh-CN"/>
        </w:rPr>
        <w:t>.</w:t>
      </w:r>
      <w:r w:rsidR="009A2F41" w:rsidRPr="000A49C8">
        <w:rPr>
          <w:rFonts w:eastAsia="SimSun"/>
          <w:lang w:eastAsia="zh-CN"/>
        </w:rPr>
        <w:tab/>
        <w:t>The Working Party expressed its appreciation of the round table discussion. It stressed the importance of continuing to consider its work in the light of goals related to the circular economy and the sustainable use of natural resources, while reconciling those issues with expected safety objectives.</w:t>
      </w:r>
    </w:p>
    <w:p w14:paraId="7B16C011" w14:textId="1DB69B7A" w:rsidR="009A2F41" w:rsidRPr="000A49C8" w:rsidRDefault="00B63B31" w:rsidP="009A2F41">
      <w:pPr>
        <w:tabs>
          <w:tab w:val="left" w:pos="1701"/>
          <w:tab w:val="left" w:pos="2268"/>
        </w:tabs>
        <w:spacing w:after="120"/>
        <w:ind w:left="1134" w:right="1134"/>
        <w:jc w:val="both"/>
        <w:rPr>
          <w:rFonts w:eastAsia="Calibri"/>
          <w:lang w:val="en-US" w:eastAsia="zh-CN"/>
        </w:rPr>
      </w:pPr>
      <w:r>
        <w:rPr>
          <w:rFonts w:eastAsia="SimSun"/>
          <w:lang w:eastAsia="zh-CN"/>
        </w:rPr>
        <w:t>8</w:t>
      </w:r>
      <w:r w:rsidR="009A2F41" w:rsidRPr="000A49C8">
        <w:rPr>
          <w:rFonts w:eastAsia="SimSun"/>
          <w:lang w:eastAsia="zh-CN"/>
        </w:rPr>
        <w:t>.</w:t>
      </w:r>
      <w:r w:rsidR="009A2F41" w:rsidRPr="000A49C8">
        <w:rPr>
          <w:rFonts w:eastAsia="SimSun"/>
          <w:lang w:eastAsia="zh-CN"/>
        </w:rPr>
        <w:tab/>
        <w:t>The Working Party decided to dedicate a new agenda item to the issue of the Sustainable Development Goals and the circular economy so as to allow for regular discussion on follow-up actions. It also invited delegations, when submitting proposals, to note in the justification part any interlinkage there might be with those topics.</w:t>
      </w:r>
    </w:p>
    <w:p w14:paraId="3E72B6A6" w14:textId="619F46E8" w:rsidR="0067369E" w:rsidRPr="000A49C8" w:rsidRDefault="0067369E" w:rsidP="0067369E">
      <w:pPr>
        <w:keepNext/>
        <w:keepLines/>
        <w:tabs>
          <w:tab w:val="right" w:pos="851"/>
        </w:tabs>
        <w:spacing w:before="360" w:after="240" w:line="270" w:lineRule="exact"/>
        <w:ind w:left="1134" w:right="1134" w:hanging="1134"/>
        <w:outlineLvl w:val="2"/>
        <w:rPr>
          <w:rFonts w:eastAsia="Calibri"/>
          <w:b/>
          <w:sz w:val="24"/>
          <w:lang w:val="en-US"/>
        </w:rPr>
      </w:pPr>
      <w:r w:rsidRPr="000A49C8">
        <w:rPr>
          <w:b/>
          <w:sz w:val="24"/>
        </w:rPr>
        <w:tab/>
      </w:r>
      <w:r w:rsidR="00195ED3">
        <w:rPr>
          <w:b/>
          <w:sz w:val="24"/>
        </w:rPr>
        <w:t>II</w:t>
      </w:r>
      <w:r w:rsidR="00CF73CE">
        <w:rPr>
          <w:b/>
          <w:sz w:val="24"/>
        </w:rPr>
        <w:t>I</w:t>
      </w:r>
      <w:r w:rsidR="00195ED3">
        <w:rPr>
          <w:b/>
          <w:sz w:val="24"/>
        </w:rPr>
        <w:t>.</w:t>
      </w:r>
      <w:r w:rsidRPr="000A49C8">
        <w:rPr>
          <w:b/>
          <w:sz w:val="24"/>
        </w:rPr>
        <w:tab/>
      </w:r>
      <w:r w:rsidR="00C6662D">
        <w:rPr>
          <w:b/>
          <w:sz w:val="24"/>
        </w:rPr>
        <w:t>ADN Safety Committee</w:t>
      </w:r>
      <w:r w:rsidR="00E903B5">
        <w:rPr>
          <w:b/>
          <w:sz w:val="24"/>
        </w:rPr>
        <w:t>’s Workshop on s</w:t>
      </w:r>
      <w:r w:rsidRPr="00CE5658">
        <w:rPr>
          <w:b/>
          <w:sz w:val="24"/>
        </w:rPr>
        <w:t>ustainable development and climate change from the perspective of the transport of dangerous goods on inland waterways</w:t>
      </w:r>
    </w:p>
    <w:p w14:paraId="1236C79C" w14:textId="7B88EB52" w:rsidR="0067369E" w:rsidRPr="000A49C8" w:rsidRDefault="00CB1FF8" w:rsidP="0067369E">
      <w:pPr>
        <w:tabs>
          <w:tab w:val="left" w:pos="1701"/>
          <w:tab w:val="left" w:pos="2268"/>
        </w:tabs>
        <w:spacing w:after="120"/>
        <w:ind w:left="1134" w:right="1134"/>
        <w:jc w:val="both"/>
        <w:rPr>
          <w:rFonts w:eastAsia="SimSun"/>
          <w:lang w:val="en-US" w:eastAsia="zh-CN"/>
        </w:rPr>
      </w:pPr>
      <w:r>
        <w:rPr>
          <w:rFonts w:eastAsia="SimSun"/>
          <w:lang w:eastAsia="zh-CN"/>
        </w:rPr>
        <w:t>9</w:t>
      </w:r>
      <w:r w:rsidR="0067369E" w:rsidRPr="000A49C8">
        <w:rPr>
          <w:rFonts w:eastAsia="SimSun"/>
          <w:lang w:eastAsia="zh-CN"/>
        </w:rPr>
        <w:t>.</w:t>
      </w:r>
      <w:r w:rsidR="0067369E" w:rsidRPr="000A49C8">
        <w:rPr>
          <w:rFonts w:eastAsia="SimSun"/>
          <w:lang w:eastAsia="zh-CN"/>
        </w:rPr>
        <w:tab/>
        <w:t xml:space="preserve">A </w:t>
      </w:r>
      <w:r w:rsidR="0067369E">
        <w:rPr>
          <w:rFonts w:eastAsia="SimSun"/>
          <w:lang w:eastAsia="zh-CN"/>
        </w:rPr>
        <w:t>workshop</w:t>
      </w:r>
      <w:r w:rsidR="0067369E" w:rsidRPr="000A49C8">
        <w:rPr>
          <w:rFonts w:eastAsia="SimSun"/>
          <w:lang w:eastAsia="zh-CN"/>
        </w:rPr>
        <w:t xml:space="preserve"> on </w:t>
      </w:r>
      <w:r w:rsidR="0067369E">
        <w:t xml:space="preserve">sustainable development and climate change from the perspective of the transport of dangerous goods on inland waterways </w:t>
      </w:r>
      <w:r w:rsidR="0067369E" w:rsidRPr="000A49C8">
        <w:rPr>
          <w:rFonts w:eastAsia="SimSun"/>
          <w:lang w:eastAsia="zh-CN"/>
        </w:rPr>
        <w:t xml:space="preserve">was held during the </w:t>
      </w:r>
      <w:r w:rsidR="0067369E">
        <w:rPr>
          <w:rFonts w:eastAsia="SimSun"/>
          <w:lang w:eastAsia="zh-CN"/>
        </w:rPr>
        <w:t>forty-first session of the Safety Committee</w:t>
      </w:r>
      <w:r w:rsidR="0067369E" w:rsidRPr="000A49C8">
        <w:rPr>
          <w:rFonts w:eastAsia="SimSun"/>
          <w:lang w:eastAsia="zh-CN"/>
        </w:rPr>
        <w:t xml:space="preserve">. The </w:t>
      </w:r>
      <w:r w:rsidR="0067369E">
        <w:rPr>
          <w:rFonts w:eastAsia="SimSun"/>
          <w:lang w:eastAsia="zh-CN"/>
        </w:rPr>
        <w:t>workshop</w:t>
      </w:r>
      <w:r w:rsidR="0067369E" w:rsidRPr="000A49C8">
        <w:rPr>
          <w:rFonts w:eastAsia="SimSun"/>
          <w:lang w:eastAsia="zh-CN"/>
        </w:rPr>
        <w:t xml:space="preserve"> was a </w:t>
      </w:r>
      <w:r w:rsidR="0067369E">
        <w:rPr>
          <w:rFonts w:eastAsia="SimSun"/>
          <w:lang w:eastAsia="zh-CN"/>
        </w:rPr>
        <w:t>follow-up of</w:t>
      </w:r>
      <w:r w:rsidR="0067369E" w:rsidRPr="000A49C8">
        <w:rPr>
          <w:rFonts w:eastAsia="SimSun"/>
          <w:lang w:eastAsia="zh-CN"/>
        </w:rPr>
        <w:t xml:space="preserve"> </w:t>
      </w:r>
      <w:r w:rsidR="0067369E">
        <w:rPr>
          <w:rFonts w:eastAsia="SimSun"/>
          <w:lang w:eastAsia="zh-CN"/>
        </w:rPr>
        <w:t xml:space="preserve">the round table </w:t>
      </w:r>
      <w:r w:rsidR="0067369E" w:rsidRPr="000A49C8">
        <w:rPr>
          <w:rFonts w:eastAsia="SimSun"/>
          <w:lang w:eastAsia="zh-CN"/>
        </w:rPr>
        <w:t>discussions held during the</w:t>
      </w:r>
      <w:r w:rsidR="0067369E">
        <w:rPr>
          <w:rFonts w:eastAsia="SimSun"/>
          <w:lang w:eastAsia="zh-CN"/>
        </w:rPr>
        <w:t xml:space="preserve"> November</w:t>
      </w:r>
      <w:r w:rsidR="0067369E" w:rsidRPr="000A49C8">
        <w:rPr>
          <w:rFonts w:eastAsia="SimSun"/>
          <w:lang w:eastAsia="zh-CN"/>
        </w:rPr>
        <w:t xml:space="preserve"> </w:t>
      </w:r>
      <w:r w:rsidR="0067369E">
        <w:rPr>
          <w:rFonts w:eastAsia="SimSun"/>
          <w:lang w:eastAsia="zh-CN"/>
        </w:rPr>
        <w:t xml:space="preserve">2022 </w:t>
      </w:r>
      <w:r w:rsidR="0067369E" w:rsidRPr="000A49C8">
        <w:rPr>
          <w:rFonts w:eastAsia="SimSun"/>
          <w:lang w:eastAsia="zh-CN"/>
        </w:rPr>
        <w:t xml:space="preserve">session </w:t>
      </w:r>
      <w:r w:rsidR="0067369E">
        <w:rPr>
          <w:rFonts w:eastAsia="SimSun"/>
          <w:lang w:eastAsia="zh-CN"/>
        </w:rPr>
        <w:t>of WP.15</w:t>
      </w:r>
      <w:r w:rsidR="0067369E" w:rsidRPr="000A49C8">
        <w:rPr>
          <w:rFonts w:eastAsia="SimSun"/>
          <w:lang w:eastAsia="zh-CN"/>
        </w:rPr>
        <w:t xml:space="preserve"> in the context of the Inland Transport Committee strategy to 2030, for an annual report on the work of the subsidiary bodies </w:t>
      </w:r>
      <w:r w:rsidR="0067369E">
        <w:rPr>
          <w:rFonts w:eastAsia="SimSun"/>
          <w:lang w:eastAsia="zh-CN"/>
        </w:rPr>
        <w:t xml:space="preserve">also </w:t>
      </w:r>
      <w:r w:rsidR="0067369E" w:rsidRPr="000A49C8">
        <w:rPr>
          <w:rFonts w:eastAsia="SimSun"/>
          <w:lang w:eastAsia="zh-CN"/>
        </w:rPr>
        <w:t xml:space="preserve">related to the circular economy and the </w:t>
      </w:r>
      <w:r w:rsidR="006F6AF0">
        <w:rPr>
          <w:rFonts w:eastAsia="SimSun"/>
          <w:lang w:eastAsia="zh-CN"/>
        </w:rPr>
        <w:t>SDGs</w:t>
      </w:r>
      <w:r w:rsidR="0067369E" w:rsidRPr="000A49C8">
        <w:rPr>
          <w:rFonts w:eastAsia="SimSun"/>
          <w:lang w:eastAsia="zh-CN"/>
        </w:rPr>
        <w:t>.</w:t>
      </w:r>
    </w:p>
    <w:p w14:paraId="5A946C8F" w14:textId="457073AC" w:rsidR="0067369E" w:rsidRPr="000A49C8" w:rsidRDefault="00CB1FF8" w:rsidP="0067369E">
      <w:pPr>
        <w:tabs>
          <w:tab w:val="left" w:pos="1701"/>
          <w:tab w:val="left" w:pos="2268"/>
        </w:tabs>
        <w:spacing w:after="120"/>
        <w:ind w:left="1134" w:right="1134"/>
        <w:jc w:val="both"/>
        <w:rPr>
          <w:rFonts w:eastAsia="SimSun"/>
          <w:lang w:val="en-US" w:eastAsia="zh-CN"/>
        </w:rPr>
      </w:pPr>
      <w:r>
        <w:rPr>
          <w:rFonts w:eastAsia="SimSun"/>
          <w:lang w:eastAsia="zh-CN"/>
        </w:rPr>
        <w:t>10</w:t>
      </w:r>
      <w:r w:rsidR="0067369E" w:rsidRPr="000A49C8">
        <w:rPr>
          <w:rFonts w:eastAsia="SimSun"/>
          <w:lang w:eastAsia="zh-CN"/>
        </w:rPr>
        <w:t>.</w:t>
      </w:r>
      <w:r w:rsidR="0067369E" w:rsidRPr="000A49C8">
        <w:rPr>
          <w:rFonts w:eastAsia="SimSun"/>
          <w:lang w:eastAsia="zh-CN"/>
        </w:rPr>
        <w:tab/>
        <w:t xml:space="preserve">The programme and all the presentations made during the </w:t>
      </w:r>
      <w:r w:rsidR="0067369E">
        <w:rPr>
          <w:rFonts w:eastAsia="SimSun"/>
          <w:lang w:eastAsia="zh-CN"/>
        </w:rPr>
        <w:t>workshop</w:t>
      </w:r>
      <w:r w:rsidR="0067369E" w:rsidRPr="000A49C8">
        <w:rPr>
          <w:rFonts w:eastAsia="SimSun"/>
          <w:lang w:eastAsia="zh-CN"/>
        </w:rPr>
        <w:t xml:space="preserve"> </w:t>
      </w:r>
      <w:r w:rsidR="00047DD3">
        <w:rPr>
          <w:rFonts w:eastAsia="SimSun"/>
          <w:lang w:eastAsia="zh-CN"/>
        </w:rPr>
        <w:t>w</w:t>
      </w:r>
      <w:r w:rsidR="00EF6552">
        <w:rPr>
          <w:rFonts w:eastAsia="SimSun"/>
          <w:lang w:eastAsia="zh-CN"/>
        </w:rPr>
        <w:t>ere</w:t>
      </w:r>
      <w:r w:rsidR="0067369E" w:rsidRPr="000A49C8">
        <w:rPr>
          <w:rFonts w:eastAsia="SimSun"/>
          <w:lang w:eastAsia="zh-CN"/>
        </w:rPr>
        <w:t xml:space="preserve"> made available on the webpage of the </w:t>
      </w:r>
      <w:r w:rsidR="0067369E">
        <w:rPr>
          <w:rFonts w:eastAsia="SimSun"/>
          <w:lang w:eastAsia="zh-CN"/>
        </w:rPr>
        <w:t xml:space="preserve">forty-first </w:t>
      </w:r>
      <w:r w:rsidR="0067369E" w:rsidRPr="000A49C8">
        <w:rPr>
          <w:rFonts w:eastAsia="SimSun"/>
          <w:lang w:eastAsia="zh-CN"/>
        </w:rPr>
        <w:t xml:space="preserve">session </w:t>
      </w:r>
      <w:r w:rsidR="0067369E">
        <w:rPr>
          <w:rFonts w:eastAsia="SimSun"/>
          <w:lang w:eastAsia="zh-CN"/>
        </w:rPr>
        <w:t>of the Safety Committee</w:t>
      </w:r>
      <w:r w:rsidR="0067369E" w:rsidRPr="000A49C8">
        <w:rPr>
          <w:rFonts w:eastAsia="SimSun"/>
          <w:lang w:eastAsia="zh-CN"/>
        </w:rPr>
        <w:t xml:space="preserve"> (</w:t>
      </w:r>
      <w:hyperlink r:id="rId12" w:history="1">
        <w:r w:rsidR="0067369E" w:rsidRPr="00F026CD">
          <w:rPr>
            <w:rStyle w:val="Hyperlink"/>
          </w:rPr>
          <w:t>https://unece.org/info/Transport/Dangerous-Goods/events/370093</w:t>
        </w:r>
      </w:hyperlink>
      <w:r w:rsidR="0067369E" w:rsidRPr="000A49C8">
        <w:rPr>
          <w:rFonts w:eastAsia="SimSun"/>
          <w:lang w:eastAsia="zh-CN"/>
        </w:rPr>
        <w:t>).</w:t>
      </w:r>
    </w:p>
    <w:p w14:paraId="0B158F55" w14:textId="6DEE6AE5" w:rsidR="0067369E" w:rsidRPr="000A49C8" w:rsidRDefault="00CB1FF8" w:rsidP="0067369E">
      <w:pPr>
        <w:tabs>
          <w:tab w:val="left" w:pos="1701"/>
          <w:tab w:val="left" w:pos="2268"/>
        </w:tabs>
        <w:spacing w:after="120"/>
        <w:ind w:left="1134" w:right="1134"/>
        <w:jc w:val="both"/>
        <w:rPr>
          <w:rFonts w:eastAsia="SimSun"/>
          <w:lang w:val="en-US" w:eastAsia="zh-CN"/>
        </w:rPr>
      </w:pPr>
      <w:r>
        <w:rPr>
          <w:rFonts w:eastAsia="SimSun"/>
          <w:lang w:eastAsia="zh-CN"/>
        </w:rPr>
        <w:t>11</w:t>
      </w:r>
      <w:r w:rsidR="0067369E" w:rsidRPr="000A49C8">
        <w:rPr>
          <w:rFonts w:eastAsia="SimSun"/>
          <w:lang w:eastAsia="zh-CN"/>
        </w:rPr>
        <w:t>.</w:t>
      </w:r>
      <w:r w:rsidR="0067369E" w:rsidRPr="000A49C8">
        <w:rPr>
          <w:rFonts w:eastAsia="SimSun"/>
          <w:lang w:eastAsia="zh-CN"/>
        </w:rPr>
        <w:tab/>
        <w:t xml:space="preserve">The </w:t>
      </w:r>
      <w:r w:rsidR="0067369E">
        <w:rPr>
          <w:rFonts w:eastAsia="SimSun"/>
          <w:lang w:eastAsia="zh-CN"/>
        </w:rPr>
        <w:t>workshop</w:t>
      </w:r>
      <w:r w:rsidR="0067369E" w:rsidRPr="000A49C8">
        <w:rPr>
          <w:rFonts w:eastAsia="SimSun"/>
          <w:lang w:eastAsia="zh-CN"/>
        </w:rPr>
        <w:t xml:space="preserve"> began with welcome addresses from the Director of the Sustainable Transport Division and </w:t>
      </w:r>
      <w:r w:rsidR="0067369E">
        <w:rPr>
          <w:rFonts w:eastAsia="SimSun"/>
          <w:lang w:eastAsia="zh-CN"/>
        </w:rPr>
        <w:t xml:space="preserve">with background information by </w:t>
      </w:r>
      <w:r w:rsidR="0067369E" w:rsidRPr="000A49C8">
        <w:rPr>
          <w:rFonts w:eastAsia="SimSun"/>
          <w:lang w:eastAsia="zh-CN"/>
        </w:rPr>
        <w:t xml:space="preserve">the </w:t>
      </w:r>
      <w:r w:rsidR="0067369E">
        <w:rPr>
          <w:rFonts w:eastAsia="SimSun"/>
          <w:lang w:eastAsia="zh-CN"/>
        </w:rPr>
        <w:t>secretariat</w:t>
      </w:r>
      <w:r w:rsidR="0067369E" w:rsidRPr="000A49C8">
        <w:rPr>
          <w:rFonts w:eastAsia="SimSun"/>
          <w:lang w:eastAsia="zh-CN"/>
        </w:rPr>
        <w:t xml:space="preserve">. The </w:t>
      </w:r>
      <w:r w:rsidR="0067369E">
        <w:rPr>
          <w:rFonts w:eastAsia="SimSun"/>
          <w:lang w:eastAsia="zh-CN"/>
        </w:rPr>
        <w:t>Director</w:t>
      </w:r>
      <w:r w:rsidR="0067369E" w:rsidRPr="000A49C8">
        <w:rPr>
          <w:rFonts w:eastAsia="SimSun"/>
          <w:lang w:eastAsia="zh-CN"/>
        </w:rPr>
        <w:t xml:space="preserve"> highlighted the importance of circular economy and sustainable use of natural resources in achieving the SDGs of Agenda 2030 </w:t>
      </w:r>
      <w:r w:rsidR="0067369E">
        <w:rPr>
          <w:rFonts w:eastAsia="SimSun"/>
          <w:lang w:eastAsia="zh-CN"/>
        </w:rPr>
        <w:t>and</w:t>
      </w:r>
      <w:r w:rsidR="0067369E" w:rsidRPr="000A49C8">
        <w:rPr>
          <w:rFonts w:eastAsia="SimSun"/>
          <w:lang w:eastAsia="zh-CN"/>
        </w:rPr>
        <w:t xml:space="preserve"> recalled, in particular, that the Economic and Social Council had recently approved the revised terms of reference of the Inland Transport Committee</w:t>
      </w:r>
      <w:r w:rsidR="0067369E">
        <w:rPr>
          <w:rFonts w:eastAsia="SimSun"/>
          <w:lang w:eastAsia="zh-CN"/>
        </w:rPr>
        <w:t xml:space="preserve"> which became </w:t>
      </w:r>
      <w:r w:rsidR="0067369E" w:rsidRPr="00903115">
        <w:rPr>
          <w:rFonts w:eastAsia="SimSun"/>
          <w:lang w:eastAsia="zh-CN"/>
        </w:rPr>
        <w:t xml:space="preserve">the UN </w:t>
      </w:r>
      <w:r w:rsidR="0067369E">
        <w:rPr>
          <w:rFonts w:eastAsia="SimSun"/>
          <w:lang w:eastAsia="zh-CN"/>
        </w:rPr>
        <w:t>center</w:t>
      </w:r>
      <w:r w:rsidR="0067369E" w:rsidRPr="00903115">
        <w:rPr>
          <w:rFonts w:eastAsia="SimSun"/>
          <w:lang w:eastAsia="zh-CN"/>
        </w:rPr>
        <w:t xml:space="preserve"> for inland transport</w:t>
      </w:r>
      <w:r w:rsidR="0067369E" w:rsidRPr="000A49C8">
        <w:rPr>
          <w:rFonts w:eastAsia="SimSun"/>
          <w:lang w:eastAsia="zh-CN"/>
        </w:rPr>
        <w:t xml:space="preserve">. The new terms of reference </w:t>
      </w:r>
      <w:r w:rsidR="0067369E">
        <w:rPr>
          <w:rFonts w:eastAsia="SimSun"/>
          <w:lang w:eastAsia="zh-CN"/>
        </w:rPr>
        <w:t>enable</w:t>
      </w:r>
      <w:r w:rsidR="0067369E" w:rsidRPr="000A49C8">
        <w:rPr>
          <w:rFonts w:eastAsia="SimSun"/>
          <w:lang w:eastAsia="zh-CN"/>
        </w:rPr>
        <w:t xml:space="preserve"> the Inland Transport Committee </w:t>
      </w:r>
      <w:r w:rsidR="0067369E">
        <w:rPr>
          <w:rFonts w:eastAsia="SimSun"/>
          <w:lang w:eastAsia="zh-CN"/>
        </w:rPr>
        <w:t>to take more regional and global specialized role in the inland transport sector</w:t>
      </w:r>
      <w:r w:rsidR="0067369E" w:rsidRPr="000C2EA5">
        <w:rPr>
          <w:rFonts w:eastAsia="SimSun"/>
          <w:lang w:eastAsia="zh-CN"/>
        </w:rPr>
        <w:t xml:space="preserve"> </w:t>
      </w:r>
      <w:r w:rsidR="0067369E">
        <w:rPr>
          <w:rFonts w:eastAsia="SimSun"/>
          <w:lang w:eastAsia="zh-CN"/>
        </w:rPr>
        <w:t>including possible global exchange in the field of transport of dangerous goods on inland waterways</w:t>
      </w:r>
      <w:r w:rsidR="0067369E" w:rsidRPr="000A49C8">
        <w:rPr>
          <w:rFonts w:eastAsia="SimSun"/>
          <w:lang w:eastAsia="zh-CN"/>
        </w:rPr>
        <w:t>.</w:t>
      </w:r>
      <w:r w:rsidR="0067369E" w:rsidRPr="005213AF">
        <w:rPr>
          <w:rFonts w:eastAsia="SimSun"/>
          <w:lang w:eastAsia="zh-CN"/>
        </w:rPr>
        <w:t xml:space="preserve"> </w:t>
      </w:r>
      <w:r w:rsidR="0067369E">
        <w:rPr>
          <w:rFonts w:eastAsia="SimSun"/>
          <w:lang w:eastAsia="zh-CN"/>
        </w:rPr>
        <w:t>The Director also informed the workshop of the latest ITC’s actions against climate change and potential future contributions from the ADN Safety Committee.</w:t>
      </w:r>
      <w:r w:rsidR="0067369E" w:rsidRPr="000A49C8">
        <w:rPr>
          <w:rFonts w:eastAsia="SimSun"/>
          <w:lang w:eastAsia="zh-CN"/>
        </w:rPr>
        <w:t xml:space="preserve"> The </w:t>
      </w:r>
      <w:r w:rsidR="0067369E">
        <w:rPr>
          <w:rFonts w:eastAsia="SimSun"/>
          <w:lang w:eastAsia="zh-CN"/>
        </w:rPr>
        <w:t>secretariat</w:t>
      </w:r>
      <w:r w:rsidR="0067369E" w:rsidRPr="000A49C8">
        <w:rPr>
          <w:rFonts w:eastAsia="SimSun"/>
          <w:lang w:eastAsia="zh-CN"/>
        </w:rPr>
        <w:t xml:space="preserve"> recalled the decisions taken by the Joint Meeting </w:t>
      </w:r>
      <w:r w:rsidR="0067369E">
        <w:rPr>
          <w:rFonts w:eastAsia="SimSun"/>
          <w:lang w:eastAsia="zh-CN"/>
        </w:rPr>
        <w:t>to</w:t>
      </w:r>
      <w:r w:rsidR="0067369E" w:rsidRPr="000A49C8">
        <w:rPr>
          <w:rFonts w:eastAsia="SimSun"/>
          <w:lang w:eastAsia="zh-CN"/>
        </w:rPr>
        <w:t xml:space="preserve"> add to its programme of work a specific item on the circular economy and the SDGs and </w:t>
      </w:r>
      <w:r w:rsidR="0067369E">
        <w:rPr>
          <w:rFonts w:eastAsia="SimSun"/>
          <w:lang w:eastAsia="zh-CN"/>
        </w:rPr>
        <w:t xml:space="preserve">to insert in the justification part of future </w:t>
      </w:r>
      <w:r w:rsidR="0067369E" w:rsidRPr="000A49C8">
        <w:rPr>
          <w:rFonts w:eastAsia="SimSun"/>
          <w:lang w:eastAsia="zh-CN"/>
        </w:rPr>
        <w:t xml:space="preserve">working documents </w:t>
      </w:r>
      <w:r w:rsidR="0067369E">
        <w:rPr>
          <w:rFonts w:eastAsia="SimSun"/>
          <w:lang w:eastAsia="zh-CN"/>
        </w:rPr>
        <w:t xml:space="preserve">the interlinkage </w:t>
      </w:r>
      <w:r w:rsidR="0067369E" w:rsidRPr="000A49C8">
        <w:rPr>
          <w:rFonts w:eastAsia="SimSun"/>
          <w:lang w:eastAsia="zh-CN"/>
        </w:rPr>
        <w:t xml:space="preserve">to </w:t>
      </w:r>
      <w:r w:rsidR="0067369E">
        <w:rPr>
          <w:rFonts w:eastAsia="SimSun"/>
          <w:lang w:eastAsia="zh-CN"/>
        </w:rPr>
        <w:t>the SDGs, if applicable</w:t>
      </w:r>
      <w:r w:rsidR="0067369E" w:rsidRPr="000A49C8">
        <w:rPr>
          <w:rFonts w:eastAsia="SimSun"/>
          <w:lang w:eastAsia="zh-CN"/>
        </w:rPr>
        <w:t>.</w:t>
      </w:r>
    </w:p>
    <w:p w14:paraId="55285A23" w14:textId="5FF04271" w:rsidR="0067369E" w:rsidRDefault="00CB1FF8" w:rsidP="0067369E">
      <w:pPr>
        <w:tabs>
          <w:tab w:val="left" w:pos="1701"/>
          <w:tab w:val="left" w:pos="2268"/>
        </w:tabs>
        <w:spacing w:after="120"/>
        <w:ind w:left="1134" w:right="1134"/>
        <w:jc w:val="both"/>
        <w:rPr>
          <w:rFonts w:eastAsia="SimSun"/>
          <w:lang w:eastAsia="zh-CN"/>
        </w:rPr>
      </w:pPr>
      <w:r>
        <w:rPr>
          <w:rFonts w:eastAsia="SimSun"/>
          <w:lang w:eastAsia="zh-CN"/>
        </w:rPr>
        <w:t>12</w:t>
      </w:r>
      <w:r w:rsidR="0067369E">
        <w:rPr>
          <w:rFonts w:eastAsia="SimSun"/>
          <w:lang w:eastAsia="zh-CN"/>
        </w:rPr>
        <w:t>.</w:t>
      </w:r>
      <w:r w:rsidR="0067369E">
        <w:rPr>
          <w:rFonts w:eastAsia="SimSun"/>
          <w:lang w:eastAsia="zh-CN"/>
        </w:rPr>
        <w:tab/>
        <w:t>The representative of CCNR presented their roadmap and two transition pathways for greening the inland waterway transport until 2035 and 2050 in accordance with the timeline of the regulatory work on ES-TRIN.</w:t>
      </w:r>
    </w:p>
    <w:p w14:paraId="0816DBA4" w14:textId="7637D2A8" w:rsidR="0067369E" w:rsidRDefault="00CB1FF8" w:rsidP="0067369E">
      <w:pPr>
        <w:tabs>
          <w:tab w:val="left" w:pos="1701"/>
          <w:tab w:val="left" w:pos="2268"/>
        </w:tabs>
        <w:spacing w:after="120"/>
        <w:ind w:left="1134" w:right="1134"/>
        <w:jc w:val="both"/>
        <w:rPr>
          <w:rFonts w:eastAsia="SimSun"/>
          <w:lang w:eastAsia="zh-CN"/>
        </w:rPr>
      </w:pPr>
      <w:r>
        <w:rPr>
          <w:rFonts w:eastAsia="SimSun"/>
          <w:lang w:eastAsia="zh-CN"/>
        </w:rPr>
        <w:t>13</w:t>
      </w:r>
      <w:r w:rsidR="0067369E">
        <w:rPr>
          <w:rFonts w:eastAsia="SimSun"/>
          <w:lang w:eastAsia="zh-CN"/>
        </w:rPr>
        <w:t>.</w:t>
      </w:r>
      <w:r w:rsidR="0067369E">
        <w:rPr>
          <w:rFonts w:eastAsia="SimSun"/>
          <w:lang w:eastAsia="zh-CN"/>
        </w:rPr>
        <w:tab/>
        <w:t>The representative of EBU and ESO informed the audience about the ongoing work in CESNI on the initiatives to move in a gradual shift the transport by inland waterways towards a zero emission inland vessels scenario.</w:t>
      </w:r>
    </w:p>
    <w:p w14:paraId="6FF4DDC5" w14:textId="13A4478E" w:rsidR="0067369E" w:rsidRDefault="00CB1FF8" w:rsidP="0067369E">
      <w:pPr>
        <w:tabs>
          <w:tab w:val="left" w:pos="1701"/>
          <w:tab w:val="left" w:pos="2268"/>
        </w:tabs>
        <w:spacing w:after="120"/>
        <w:ind w:left="1134" w:right="1134"/>
        <w:jc w:val="both"/>
        <w:rPr>
          <w:rFonts w:eastAsia="SimSun"/>
          <w:lang w:eastAsia="zh-CN"/>
        </w:rPr>
      </w:pPr>
      <w:r>
        <w:rPr>
          <w:rFonts w:eastAsia="SimSun"/>
          <w:lang w:eastAsia="zh-CN"/>
        </w:rPr>
        <w:t>14</w:t>
      </w:r>
      <w:r w:rsidR="0067369E">
        <w:rPr>
          <w:rFonts w:eastAsia="SimSun"/>
          <w:lang w:eastAsia="zh-CN"/>
        </w:rPr>
        <w:t>.</w:t>
      </w:r>
      <w:r w:rsidR="0067369E">
        <w:rPr>
          <w:rFonts w:eastAsia="SimSun"/>
          <w:lang w:eastAsia="zh-CN"/>
        </w:rPr>
        <w:tab/>
        <w:t xml:space="preserve">The representative of the </w:t>
      </w:r>
      <w:r w:rsidR="0067369E" w:rsidRPr="00094DE3">
        <w:rPr>
          <w:rFonts w:eastAsia="SimSun"/>
          <w:lang w:eastAsia="zh-CN"/>
        </w:rPr>
        <w:t>Recommended ADN Classification Societies</w:t>
      </w:r>
      <w:r w:rsidR="0067369E">
        <w:rPr>
          <w:rFonts w:eastAsia="SimSun"/>
          <w:lang w:eastAsia="zh-CN"/>
        </w:rPr>
        <w:t xml:space="preserve"> reported on current projects for use of alternative fuels for the propulsion of inland waterway vessels, their optimization with respect to fuel consumption and the potential of autonomous sailing.</w:t>
      </w:r>
    </w:p>
    <w:p w14:paraId="1FECBB71" w14:textId="60326552" w:rsidR="0067369E" w:rsidRDefault="00CB1FF8" w:rsidP="0067369E">
      <w:pPr>
        <w:tabs>
          <w:tab w:val="left" w:pos="1701"/>
          <w:tab w:val="left" w:pos="2268"/>
        </w:tabs>
        <w:spacing w:after="120"/>
        <w:ind w:left="1134" w:right="1134"/>
        <w:jc w:val="both"/>
        <w:rPr>
          <w:rFonts w:eastAsia="SimSun"/>
          <w:lang w:eastAsia="zh-CN"/>
        </w:rPr>
      </w:pPr>
      <w:r>
        <w:rPr>
          <w:rFonts w:eastAsia="SimSun"/>
          <w:lang w:eastAsia="zh-CN"/>
        </w:rPr>
        <w:t>15</w:t>
      </w:r>
      <w:r w:rsidR="0067369E">
        <w:rPr>
          <w:rFonts w:eastAsia="SimSun"/>
          <w:lang w:eastAsia="zh-CN"/>
        </w:rPr>
        <w:t>.</w:t>
      </w:r>
      <w:r w:rsidR="0067369E">
        <w:rPr>
          <w:rFonts w:eastAsia="SimSun"/>
          <w:lang w:eastAsia="zh-CN"/>
        </w:rPr>
        <w:tab/>
        <w:t>The secretariat reported on the ongoing activities of the Working Party on Inland Water Transport (SC.3) related to climate change, circular economy and greening of the inland fleet towards a modern, sustainable and resilient waterway network.</w:t>
      </w:r>
    </w:p>
    <w:p w14:paraId="57DF8EAE" w14:textId="365D4730" w:rsidR="0067369E" w:rsidRDefault="00CB1FF8" w:rsidP="0067369E">
      <w:pPr>
        <w:tabs>
          <w:tab w:val="left" w:pos="1701"/>
          <w:tab w:val="left" w:pos="2268"/>
        </w:tabs>
        <w:spacing w:after="120"/>
        <w:ind w:left="1134" w:right="1134"/>
        <w:jc w:val="both"/>
        <w:rPr>
          <w:rFonts w:eastAsia="SimSun"/>
          <w:lang w:eastAsia="zh-CN"/>
        </w:rPr>
      </w:pPr>
      <w:r>
        <w:rPr>
          <w:rFonts w:eastAsia="SimSun"/>
          <w:lang w:eastAsia="zh-CN"/>
        </w:rPr>
        <w:t>16</w:t>
      </w:r>
      <w:r w:rsidR="0067369E">
        <w:rPr>
          <w:rFonts w:eastAsia="SimSun"/>
          <w:lang w:eastAsia="zh-CN"/>
        </w:rPr>
        <w:t>.</w:t>
      </w:r>
      <w:r w:rsidR="0067369E">
        <w:rPr>
          <w:rFonts w:eastAsia="SimSun"/>
          <w:lang w:eastAsia="zh-CN"/>
        </w:rPr>
        <w:tab/>
        <w:t>The Chair of the Safety Committee highlighted the challenges posed by the complexities of sustainable transport in a healthy and safe society resulting in the need to seek, in some cases, a sound balance of measures satisfying the constraints set by circular economy, sustainable use of natural resources including the reduction of transport related emissions of greenhouse gases. Considering avoidance of transport would also be an option (e.g., pipelines).</w:t>
      </w:r>
    </w:p>
    <w:p w14:paraId="36717EA1" w14:textId="5DFEB24C" w:rsidR="0067369E" w:rsidRDefault="00CB1FF8" w:rsidP="0067369E">
      <w:pPr>
        <w:tabs>
          <w:tab w:val="left" w:pos="1701"/>
          <w:tab w:val="left" w:pos="2268"/>
        </w:tabs>
        <w:spacing w:after="120"/>
        <w:ind w:left="1134" w:right="1134"/>
        <w:jc w:val="both"/>
        <w:rPr>
          <w:rFonts w:eastAsia="SimSun"/>
          <w:lang w:eastAsia="zh-CN"/>
        </w:rPr>
      </w:pPr>
      <w:r>
        <w:rPr>
          <w:rFonts w:eastAsia="SimSun"/>
          <w:lang w:eastAsia="zh-CN"/>
        </w:rPr>
        <w:t>17</w:t>
      </w:r>
      <w:r w:rsidR="0067369E" w:rsidRPr="000A49C8">
        <w:rPr>
          <w:rFonts w:eastAsia="SimSun"/>
          <w:lang w:eastAsia="zh-CN"/>
        </w:rPr>
        <w:t>.</w:t>
      </w:r>
      <w:r w:rsidR="0067369E" w:rsidRPr="000A49C8">
        <w:rPr>
          <w:rFonts w:eastAsia="SimSun"/>
          <w:lang w:eastAsia="zh-CN"/>
        </w:rPr>
        <w:tab/>
        <w:t xml:space="preserve">The </w:t>
      </w:r>
      <w:r w:rsidR="0067369E">
        <w:rPr>
          <w:rFonts w:eastAsia="SimSun"/>
          <w:lang w:eastAsia="zh-CN"/>
        </w:rPr>
        <w:t>Safety Committee</w:t>
      </w:r>
      <w:r w:rsidR="0067369E" w:rsidRPr="000A49C8">
        <w:rPr>
          <w:rFonts w:eastAsia="SimSun"/>
          <w:lang w:eastAsia="zh-CN"/>
        </w:rPr>
        <w:t xml:space="preserve"> expressed its appreciation of the </w:t>
      </w:r>
      <w:r w:rsidR="0067369E">
        <w:rPr>
          <w:rFonts w:eastAsia="SimSun"/>
          <w:lang w:eastAsia="zh-CN"/>
        </w:rPr>
        <w:t>workshop</w:t>
      </w:r>
      <w:r w:rsidR="0067369E" w:rsidRPr="000A49C8">
        <w:rPr>
          <w:rFonts w:eastAsia="SimSun"/>
          <w:lang w:eastAsia="zh-CN"/>
        </w:rPr>
        <w:t xml:space="preserve"> discussion</w:t>
      </w:r>
      <w:r w:rsidR="0067369E">
        <w:rPr>
          <w:rFonts w:eastAsia="SimSun"/>
          <w:lang w:eastAsia="zh-CN"/>
        </w:rPr>
        <w:t>s</w:t>
      </w:r>
      <w:r w:rsidR="0067369E" w:rsidRPr="000A49C8">
        <w:rPr>
          <w:rFonts w:eastAsia="SimSun"/>
          <w:lang w:eastAsia="zh-CN"/>
        </w:rPr>
        <w:t xml:space="preserve">. </w:t>
      </w:r>
      <w:r w:rsidR="0067369E">
        <w:rPr>
          <w:rFonts w:eastAsia="SimSun"/>
          <w:lang w:eastAsia="zh-CN"/>
        </w:rPr>
        <w:t>It noted a need for policies and clear guidance to foster sound investments by vessel owners and industry in their greening efforts of the inland water transport fleet, and to so avoid the uncertainty of regrettable investments. It also noted that a call for flexibility is needed when referring to sustainable inland waterway transport and that vessels should have long lifetime while their propulsion systems should allow for an easy refitting, if necessary. It was agreed that the inland waterway infrastructure also needed improvements to ensure a safe and regionally sound ways of supplying vessels with such alternative fuels.</w:t>
      </w:r>
    </w:p>
    <w:p w14:paraId="3B13C306" w14:textId="3569BC51" w:rsidR="0067369E" w:rsidRDefault="00CB1FF8" w:rsidP="0067369E">
      <w:pPr>
        <w:tabs>
          <w:tab w:val="left" w:pos="1701"/>
          <w:tab w:val="left" w:pos="2268"/>
        </w:tabs>
        <w:spacing w:after="120"/>
        <w:ind w:left="1134" w:right="1134"/>
        <w:jc w:val="both"/>
        <w:rPr>
          <w:rFonts w:eastAsia="SimSun"/>
          <w:lang w:eastAsia="zh-CN"/>
        </w:rPr>
      </w:pPr>
      <w:r>
        <w:rPr>
          <w:rFonts w:eastAsia="SimSun"/>
          <w:lang w:eastAsia="zh-CN"/>
        </w:rPr>
        <w:t>18</w:t>
      </w:r>
      <w:r w:rsidR="0067369E" w:rsidRPr="000A49C8">
        <w:rPr>
          <w:rFonts w:eastAsia="SimSun"/>
          <w:lang w:eastAsia="zh-CN"/>
        </w:rPr>
        <w:t>.</w:t>
      </w:r>
      <w:r w:rsidR="0067369E" w:rsidRPr="000A49C8">
        <w:rPr>
          <w:rFonts w:eastAsia="SimSun"/>
          <w:lang w:eastAsia="zh-CN"/>
        </w:rPr>
        <w:tab/>
      </w:r>
      <w:r w:rsidR="0067369E">
        <w:rPr>
          <w:rFonts w:eastAsia="SimSun"/>
          <w:lang w:eastAsia="zh-CN"/>
        </w:rPr>
        <w:t>Further to its decision to develop a list of potential innovative propulsion systems and a list of evaluation criteria, t</w:t>
      </w:r>
      <w:r w:rsidR="0067369E" w:rsidRPr="000A49C8">
        <w:rPr>
          <w:rFonts w:eastAsia="SimSun"/>
          <w:lang w:eastAsia="zh-CN"/>
        </w:rPr>
        <w:t xml:space="preserve">he </w:t>
      </w:r>
      <w:r w:rsidR="0067369E">
        <w:rPr>
          <w:rFonts w:eastAsia="SimSun"/>
          <w:lang w:eastAsia="zh-CN"/>
        </w:rPr>
        <w:t>Safety Committee</w:t>
      </w:r>
      <w:r w:rsidR="0067369E" w:rsidRPr="000A49C8">
        <w:rPr>
          <w:rFonts w:eastAsia="SimSun"/>
          <w:lang w:eastAsia="zh-CN"/>
        </w:rPr>
        <w:t xml:space="preserve"> decided to dedicate a new agenda item to </w:t>
      </w:r>
      <w:r w:rsidR="0067369E">
        <w:rPr>
          <w:rFonts w:eastAsia="SimSun"/>
          <w:lang w:eastAsia="zh-CN"/>
        </w:rPr>
        <w:t xml:space="preserve">“2030 Agenda for Sustainable Development” </w:t>
      </w:r>
      <w:r w:rsidR="0067369E" w:rsidRPr="000A49C8">
        <w:rPr>
          <w:rFonts w:eastAsia="SimSun"/>
          <w:lang w:eastAsia="zh-CN"/>
        </w:rPr>
        <w:t>to allow for regular discussion on</w:t>
      </w:r>
      <w:r w:rsidR="0067369E">
        <w:rPr>
          <w:rFonts w:eastAsia="SimSun"/>
          <w:lang w:eastAsia="zh-CN"/>
        </w:rPr>
        <w:t xml:space="preserve"> possible</w:t>
      </w:r>
      <w:r w:rsidR="0067369E" w:rsidRPr="000A49C8">
        <w:rPr>
          <w:rFonts w:eastAsia="SimSun"/>
          <w:lang w:eastAsia="zh-CN"/>
        </w:rPr>
        <w:t xml:space="preserve"> follow-up actions</w:t>
      </w:r>
      <w:r w:rsidR="0067369E">
        <w:rPr>
          <w:rFonts w:eastAsia="SimSun"/>
          <w:lang w:eastAsia="zh-CN"/>
        </w:rPr>
        <w:t xml:space="preserve"> and reporting on SDGs, including climate change adaptation and mitigation</w:t>
      </w:r>
      <w:r w:rsidR="0067369E" w:rsidRPr="000A49C8">
        <w:rPr>
          <w:rFonts w:eastAsia="SimSun"/>
          <w:lang w:eastAsia="zh-CN"/>
        </w:rPr>
        <w:t xml:space="preserve">. It invited delegations, when submitting proposals, to </w:t>
      </w:r>
      <w:r w:rsidR="0067369E">
        <w:rPr>
          <w:rFonts w:eastAsia="SimSun"/>
          <w:lang w:eastAsia="zh-CN"/>
        </w:rPr>
        <w:t xml:space="preserve">insert </w:t>
      </w:r>
      <w:r w:rsidR="0067369E" w:rsidRPr="000A49C8">
        <w:rPr>
          <w:rFonts w:eastAsia="SimSun"/>
          <w:lang w:eastAsia="zh-CN"/>
        </w:rPr>
        <w:t xml:space="preserve">in the justification part </w:t>
      </w:r>
      <w:r w:rsidR="0067369E">
        <w:rPr>
          <w:rFonts w:eastAsia="SimSun"/>
          <w:lang w:eastAsia="zh-CN"/>
        </w:rPr>
        <w:t xml:space="preserve">of their document </w:t>
      </w:r>
      <w:r w:rsidR="0067369E" w:rsidRPr="000A49C8">
        <w:rPr>
          <w:rFonts w:eastAsia="SimSun"/>
          <w:lang w:eastAsia="zh-CN"/>
        </w:rPr>
        <w:t xml:space="preserve">any interlinkage </w:t>
      </w:r>
      <w:r w:rsidR="0067369E">
        <w:rPr>
          <w:rFonts w:eastAsia="SimSun"/>
          <w:lang w:eastAsia="zh-CN"/>
        </w:rPr>
        <w:t>of their proposal to SDGs, when applicable</w:t>
      </w:r>
      <w:r w:rsidR="0067369E" w:rsidRPr="000A49C8">
        <w:rPr>
          <w:rFonts w:eastAsia="SimSun"/>
          <w:lang w:eastAsia="zh-CN"/>
        </w:rPr>
        <w:t>.</w:t>
      </w:r>
    </w:p>
    <w:p w14:paraId="002DA389" w14:textId="7F054E37" w:rsidR="0067369E" w:rsidRPr="000A49C8" w:rsidRDefault="00CB1FF8" w:rsidP="0067369E">
      <w:pPr>
        <w:tabs>
          <w:tab w:val="left" w:pos="1701"/>
          <w:tab w:val="left" w:pos="2268"/>
        </w:tabs>
        <w:spacing w:after="120"/>
        <w:ind w:left="1134" w:right="1134"/>
        <w:jc w:val="both"/>
        <w:rPr>
          <w:rFonts w:eastAsia="Calibri"/>
          <w:lang w:val="en-US" w:eastAsia="zh-CN"/>
        </w:rPr>
      </w:pPr>
      <w:r>
        <w:rPr>
          <w:rFonts w:eastAsia="SimSun"/>
          <w:lang w:eastAsia="zh-CN"/>
        </w:rPr>
        <w:t>19</w:t>
      </w:r>
      <w:r w:rsidR="0067369E" w:rsidRPr="000A49C8">
        <w:rPr>
          <w:rFonts w:eastAsia="SimSun"/>
          <w:lang w:eastAsia="zh-CN"/>
        </w:rPr>
        <w:t>.</w:t>
      </w:r>
      <w:r w:rsidR="0067369E" w:rsidRPr="000A49C8">
        <w:rPr>
          <w:rFonts w:eastAsia="SimSun"/>
          <w:lang w:eastAsia="zh-CN"/>
        </w:rPr>
        <w:tab/>
        <w:t xml:space="preserve">The panellists and the participants recognized the </w:t>
      </w:r>
      <w:r w:rsidR="0067369E">
        <w:rPr>
          <w:rFonts w:eastAsia="SimSun"/>
          <w:lang w:eastAsia="zh-CN"/>
        </w:rPr>
        <w:t xml:space="preserve">important </w:t>
      </w:r>
      <w:r w:rsidR="0067369E" w:rsidRPr="000A49C8">
        <w:rPr>
          <w:rFonts w:eastAsia="SimSun"/>
          <w:lang w:eastAsia="zh-CN"/>
        </w:rPr>
        <w:t xml:space="preserve">work of United Nations bodies </w:t>
      </w:r>
      <w:r w:rsidR="0067369E">
        <w:rPr>
          <w:rFonts w:eastAsia="SimSun"/>
          <w:lang w:eastAsia="zh-CN"/>
        </w:rPr>
        <w:t xml:space="preserve">in the area of </w:t>
      </w:r>
      <w:r w:rsidR="0067369E" w:rsidRPr="000A49C8">
        <w:rPr>
          <w:rFonts w:eastAsia="SimSun"/>
          <w:lang w:eastAsia="zh-CN"/>
        </w:rPr>
        <w:t xml:space="preserve">transport of dangerous goods </w:t>
      </w:r>
      <w:r w:rsidR="0067369E">
        <w:rPr>
          <w:rFonts w:eastAsia="SimSun"/>
          <w:lang w:eastAsia="zh-CN"/>
        </w:rPr>
        <w:t xml:space="preserve">which </w:t>
      </w:r>
      <w:r w:rsidR="0067369E" w:rsidRPr="000A49C8">
        <w:rPr>
          <w:rFonts w:eastAsia="SimSun"/>
          <w:lang w:eastAsia="zh-CN"/>
        </w:rPr>
        <w:t xml:space="preserve">already </w:t>
      </w:r>
      <w:r w:rsidR="0067369E">
        <w:rPr>
          <w:rFonts w:eastAsia="SimSun"/>
          <w:lang w:eastAsia="zh-CN"/>
        </w:rPr>
        <w:t>resulted in recent years</w:t>
      </w:r>
      <w:r w:rsidR="0067369E" w:rsidRPr="000A49C8">
        <w:rPr>
          <w:rFonts w:eastAsia="SimSun"/>
          <w:lang w:eastAsia="zh-CN"/>
        </w:rPr>
        <w:t xml:space="preserve"> </w:t>
      </w:r>
      <w:r w:rsidR="0067369E">
        <w:rPr>
          <w:rFonts w:eastAsia="SimSun"/>
          <w:lang w:eastAsia="zh-CN"/>
        </w:rPr>
        <w:t>in contributions</w:t>
      </w:r>
      <w:r w:rsidR="0067369E" w:rsidRPr="000A49C8">
        <w:rPr>
          <w:rFonts w:eastAsia="SimSun"/>
          <w:lang w:eastAsia="zh-CN"/>
        </w:rPr>
        <w:t xml:space="preserve"> </w:t>
      </w:r>
      <w:r w:rsidR="0067369E">
        <w:rPr>
          <w:rFonts w:eastAsia="SimSun"/>
          <w:lang w:eastAsia="zh-CN"/>
        </w:rPr>
        <w:t>to</w:t>
      </w:r>
      <w:r w:rsidR="0067369E" w:rsidRPr="000A49C8">
        <w:rPr>
          <w:rFonts w:eastAsia="SimSun"/>
          <w:lang w:eastAsia="zh-CN"/>
        </w:rPr>
        <w:t xml:space="preserve"> the SDGs</w:t>
      </w:r>
      <w:r w:rsidR="0067369E">
        <w:rPr>
          <w:rFonts w:eastAsia="SimSun"/>
          <w:lang w:eastAsia="zh-CN"/>
        </w:rPr>
        <w:t xml:space="preserve"> including </w:t>
      </w:r>
      <w:r w:rsidR="0067369E" w:rsidRPr="000A49C8">
        <w:rPr>
          <w:rFonts w:eastAsia="SimSun"/>
          <w:lang w:eastAsia="zh-CN"/>
        </w:rPr>
        <w:t xml:space="preserve">the </w:t>
      </w:r>
      <w:r w:rsidR="0067369E">
        <w:rPr>
          <w:rFonts w:eastAsia="SimSun"/>
          <w:lang w:eastAsia="zh-CN"/>
        </w:rPr>
        <w:t>global fight against climate change</w:t>
      </w:r>
      <w:r w:rsidR="0067369E" w:rsidRPr="000A49C8">
        <w:rPr>
          <w:rFonts w:eastAsia="SimSun"/>
          <w:lang w:eastAsia="zh-CN"/>
        </w:rPr>
        <w:t>.</w:t>
      </w:r>
      <w:r w:rsidR="0067369E" w:rsidRPr="00AE153C">
        <w:rPr>
          <w:rFonts w:eastAsia="SimSun"/>
          <w:lang w:eastAsia="zh-CN"/>
        </w:rPr>
        <w:t xml:space="preserve"> </w:t>
      </w:r>
      <w:r w:rsidR="0067369E">
        <w:rPr>
          <w:rFonts w:eastAsia="SimSun"/>
          <w:lang w:eastAsia="zh-CN"/>
        </w:rPr>
        <w:t>The secretariat was invited to consider a possible new entry on Goal 17 as a result of the close cooperation and collaboration with other UN agencies and intergovernmental organization on activities related to</w:t>
      </w:r>
      <w:r w:rsidR="0067369E" w:rsidRPr="000A49C8">
        <w:rPr>
          <w:rFonts w:eastAsia="SimSun"/>
          <w:lang w:eastAsia="zh-CN"/>
        </w:rPr>
        <w:t xml:space="preserve"> dangerous goods</w:t>
      </w:r>
      <w:r w:rsidR="0067369E">
        <w:rPr>
          <w:rFonts w:eastAsia="SimSun"/>
          <w:lang w:eastAsia="zh-CN"/>
        </w:rPr>
        <w:t>.</w:t>
      </w:r>
    </w:p>
    <w:p w14:paraId="03AB208A" w14:textId="6A4D7B1A" w:rsidR="00F74D18" w:rsidRDefault="001766DA" w:rsidP="001766DA">
      <w:pPr>
        <w:pStyle w:val="HChG"/>
      </w:pPr>
      <w:r>
        <w:tab/>
      </w:r>
      <w:r w:rsidR="00CF73CE">
        <w:rPr>
          <w:lang w:val="fr-CH"/>
        </w:rPr>
        <w:t>IV.</w:t>
      </w:r>
      <w:r>
        <w:tab/>
      </w:r>
      <w:r w:rsidR="00F74D18">
        <w:t>Discussion</w:t>
      </w:r>
    </w:p>
    <w:p w14:paraId="015BFE38" w14:textId="3AB80EDB" w:rsidR="00F74D18" w:rsidRPr="005B232C" w:rsidRDefault="00CB1FF8" w:rsidP="00654F44">
      <w:pPr>
        <w:pStyle w:val="SingleTxtG"/>
        <w:rPr>
          <w:lang w:val="en-GB"/>
        </w:rPr>
      </w:pPr>
      <w:r w:rsidRPr="005B232C">
        <w:rPr>
          <w:lang w:val="en-GB"/>
        </w:rPr>
        <w:t>20</w:t>
      </w:r>
      <w:r w:rsidR="00F74D18" w:rsidRPr="005B232C">
        <w:rPr>
          <w:lang w:val="en-GB"/>
        </w:rPr>
        <w:t>.</w:t>
      </w:r>
      <w:r w:rsidR="00F74D18" w:rsidRPr="005B232C">
        <w:rPr>
          <w:lang w:val="en-GB"/>
        </w:rPr>
        <w:tab/>
        <w:t xml:space="preserve">In the context of </w:t>
      </w:r>
      <w:r w:rsidR="00F97A76" w:rsidRPr="005B232C">
        <w:rPr>
          <w:lang w:val="en-GB"/>
        </w:rPr>
        <w:t>the outcomes of both</w:t>
      </w:r>
      <w:r w:rsidR="00A10F75" w:rsidRPr="005B232C">
        <w:rPr>
          <w:lang w:val="en-GB"/>
        </w:rPr>
        <w:t>,</w:t>
      </w:r>
      <w:r w:rsidR="00F97A76" w:rsidRPr="005B232C">
        <w:rPr>
          <w:lang w:val="en-GB"/>
        </w:rPr>
        <w:t xml:space="preserve"> the WP.15 roundtable and the ADN Safety Committee </w:t>
      </w:r>
      <w:r w:rsidR="00F74D18" w:rsidRPr="005B232C">
        <w:rPr>
          <w:lang w:val="en-GB"/>
        </w:rPr>
        <w:t>workshop</w:t>
      </w:r>
      <w:r w:rsidR="00F97A76" w:rsidRPr="005B232C">
        <w:rPr>
          <w:lang w:val="en-GB"/>
        </w:rPr>
        <w:t>,</w:t>
      </w:r>
      <w:r w:rsidR="00F74D18" w:rsidRPr="005B232C">
        <w:rPr>
          <w:lang w:val="en-GB"/>
        </w:rPr>
        <w:t xml:space="preserve"> the </w:t>
      </w:r>
      <w:r w:rsidR="005C32D3" w:rsidRPr="005B232C">
        <w:rPr>
          <w:lang w:val="en-GB"/>
        </w:rPr>
        <w:t xml:space="preserve">Joint Meeting is expected to </w:t>
      </w:r>
      <w:r w:rsidR="005C32D3" w:rsidRPr="005B232C">
        <w:rPr>
          <w:rFonts w:eastAsia="SimSun"/>
          <w:lang w:val="en-GB" w:eastAsia="zh-CN"/>
        </w:rPr>
        <w:t xml:space="preserve">further discuss the key </w:t>
      </w:r>
      <w:r w:rsidR="007E0612" w:rsidRPr="005B232C">
        <w:rPr>
          <w:rFonts w:eastAsia="SimSun"/>
          <w:lang w:val="en-GB" w:eastAsia="zh-CN"/>
        </w:rPr>
        <w:t xml:space="preserve">SDGs </w:t>
      </w:r>
      <w:r w:rsidR="005C32D3" w:rsidRPr="005B232C">
        <w:rPr>
          <w:rFonts w:eastAsia="SimSun"/>
          <w:lang w:val="en-GB" w:eastAsia="zh-CN"/>
        </w:rPr>
        <w:t>applicable to its work</w:t>
      </w:r>
      <w:r w:rsidR="00A10F75" w:rsidRPr="005B232C">
        <w:rPr>
          <w:rFonts w:eastAsia="SimSun"/>
          <w:lang w:val="en-GB" w:eastAsia="zh-CN"/>
        </w:rPr>
        <w:t xml:space="preserve"> from the perspective of multimodal transport of dangerous goods</w:t>
      </w:r>
      <w:r w:rsidR="00F74D18" w:rsidRPr="005B232C">
        <w:rPr>
          <w:lang w:val="en-GB"/>
        </w:rPr>
        <w:t>.</w:t>
      </w:r>
    </w:p>
    <w:p w14:paraId="12F71C55" w14:textId="6554B528" w:rsidR="00F74D18" w:rsidRPr="005B232C" w:rsidRDefault="00CB1FF8" w:rsidP="00654F44">
      <w:pPr>
        <w:pStyle w:val="SingleTxtG"/>
        <w:rPr>
          <w:lang w:val="en-GB"/>
        </w:rPr>
      </w:pPr>
      <w:r w:rsidRPr="005B232C">
        <w:rPr>
          <w:lang w:val="en-GB"/>
        </w:rPr>
        <w:t>21</w:t>
      </w:r>
      <w:r w:rsidR="00F74D18" w:rsidRPr="005B232C">
        <w:rPr>
          <w:lang w:val="en-GB"/>
        </w:rPr>
        <w:t>.</w:t>
      </w:r>
      <w:r w:rsidR="00F74D18" w:rsidRPr="005B232C">
        <w:rPr>
          <w:lang w:val="en-GB"/>
        </w:rPr>
        <w:tab/>
      </w:r>
      <w:r w:rsidR="00DC5953" w:rsidRPr="005B232C">
        <w:rPr>
          <w:rFonts w:eastAsia="SimSun"/>
          <w:lang w:val="en-GB" w:eastAsia="zh-CN"/>
        </w:rPr>
        <w:t xml:space="preserve">It may </w:t>
      </w:r>
      <w:r w:rsidR="00612219" w:rsidRPr="005B232C">
        <w:rPr>
          <w:rFonts w:eastAsia="SimSun"/>
          <w:lang w:val="en-GB" w:eastAsia="zh-CN"/>
        </w:rPr>
        <w:t xml:space="preserve">further </w:t>
      </w:r>
      <w:r w:rsidR="00DC5953" w:rsidRPr="005B232C">
        <w:rPr>
          <w:rFonts w:eastAsia="SimSun"/>
          <w:lang w:val="en-GB" w:eastAsia="zh-CN"/>
        </w:rPr>
        <w:t xml:space="preserve">consider possible </w:t>
      </w:r>
      <w:r w:rsidR="00CD21D5">
        <w:rPr>
          <w:rFonts w:eastAsia="SimSun"/>
          <w:lang w:val="en-GB" w:eastAsia="zh-CN"/>
        </w:rPr>
        <w:t>follow-up</w:t>
      </w:r>
      <w:r w:rsidR="00612219" w:rsidRPr="005B232C">
        <w:rPr>
          <w:rFonts w:eastAsia="SimSun"/>
          <w:lang w:val="en-GB" w:eastAsia="zh-CN"/>
        </w:rPr>
        <w:t xml:space="preserve"> actions or </w:t>
      </w:r>
      <w:r w:rsidR="00DC5953" w:rsidRPr="005B232C">
        <w:rPr>
          <w:rFonts w:eastAsia="SimSun"/>
          <w:lang w:val="en-GB" w:eastAsia="zh-CN"/>
        </w:rPr>
        <w:t xml:space="preserve">activities related to </w:t>
      </w:r>
      <w:r w:rsidR="00612219" w:rsidRPr="005B232C">
        <w:rPr>
          <w:rFonts w:eastAsia="SimSun"/>
          <w:lang w:val="en-GB" w:eastAsia="zh-CN"/>
        </w:rPr>
        <w:t xml:space="preserve">the </w:t>
      </w:r>
      <w:r w:rsidR="00EF1D46">
        <w:rPr>
          <w:rFonts w:eastAsia="SimSun"/>
          <w:lang w:val="en-GB" w:eastAsia="zh-CN"/>
        </w:rPr>
        <w:t xml:space="preserve">inland </w:t>
      </w:r>
      <w:r w:rsidR="00612219" w:rsidRPr="005B232C">
        <w:rPr>
          <w:rFonts w:eastAsia="SimSun"/>
          <w:lang w:val="en-GB" w:eastAsia="zh-CN"/>
        </w:rPr>
        <w:t xml:space="preserve">transport of </w:t>
      </w:r>
      <w:r w:rsidR="00DC5953" w:rsidRPr="005B232C">
        <w:rPr>
          <w:rFonts w:eastAsia="SimSun"/>
          <w:lang w:val="en-GB" w:eastAsia="zh-CN"/>
        </w:rPr>
        <w:t>dangerous goods</w:t>
      </w:r>
      <w:r w:rsidR="00612219" w:rsidRPr="005B232C">
        <w:rPr>
          <w:rFonts w:eastAsia="SimSun"/>
          <w:lang w:val="en-GB" w:eastAsia="zh-CN"/>
        </w:rPr>
        <w:t xml:space="preserve"> and their interlinkage</w:t>
      </w:r>
      <w:r w:rsidR="005B232C">
        <w:rPr>
          <w:rFonts w:eastAsia="SimSun"/>
          <w:lang w:val="en-GB" w:eastAsia="zh-CN"/>
        </w:rPr>
        <w:t>s</w:t>
      </w:r>
      <w:r w:rsidR="00612219" w:rsidRPr="005B232C">
        <w:rPr>
          <w:rFonts w:eastAsia="SimSun"/>
          <w:lang w:val="en-GB" w:eastAsia="zh-CN"/>
        </w:rPr>
        <w:t xml:space="preserve"> </w:t>
      </w:r>
      <w:r w:rsidR="009F4055" w:rsidRPr="005B232C">
        <w:rPr>
          <w:rFonts w:eastAsia="SimSun"/>
          <w:lang w:val="en-GB" w:eastAsia="zh-CN"/>
        </w:rPr>
        <w:t>to the SDGs</w:t>
      </w:r>
      <w:r w:rsidR="00F74D18" w:rsidRPr="005B232C">
        <w:rPr>
          <w:lang w:val="en-GB"/>
        </w:rPr>
        <w:t>.</w:t>
      </w:r>
    </w:p>
    <w:p w14:paraId="3CFCB425" w14:textId="47DCF0AE" w:rsidR="00F74D18" w:rsidRDefault="00350A2F" w:rsidP="00F74D18">
      <w:pPr>
        <w:widowControl w:val="0"/>
        <w:jc w:val="center"/>
      </w:pPr>
      <w:r>
        <w:t>__________________</w:t>
      </w:r>
    </w:p>
    <w:sectPr w:rsidR="00F74D18" w:rsidSect="00932EF9">
      <w:headerReference w:type="even" r:id="rId13"/>
      <w:headerReference w:type="default" r:id="rId14"/>
      <w:footerReference w:type="even" r:id="rId15"/>
      <w:footerReference w:type="default" r:id="rId16"/>
      <w:headerReference w:type="first" r:id="rId17"/>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CDF4" w14:textId="77777777" w:rsidR="00151E9B" w:rsidRDefault="00151E9B"/>
  </w:endnote>
  <w:endnote w:type="continuationSeparator" w:id="0">
    <w:p w14:paraId="0B8AEB08" w14:textId="77777777" w:rsidR="00151E9B" w:rsidRDefault="00151E9B"/>
  </w:endnote>
  <w:endnote w:type="continuationNotice" w:id="1">
    <w:p w14:paraId="76AF11CF" w14:textId="77777777" w:rsidR="00151E9B" w:rsidRDefault="00151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884F" w14:textId="77777777" w:rsidR="00151E9B" w:rsidRPr="000B175B" w:rsidRDefault="00151E9B" w:rsidP="000B175B">
      <w:pPr>
        <w:tabs>
          <w:tab w:val="right" w:pos="2155"/>
        </w:tabs>
        <w:spacing w:after="80"/>
        <w:ind w:left="680"/>
        <w:rPr>
          <w:u w:val="single"/>
        </w:rPr>
      </w:pPr>
      <w:r>
        <w:rPr>
          <w:u w:val="single"/>
        </w:rPr>
        <w:tab/>
      </w:r>
    </w:p>
  </w:footnote>
  <w:footnote w:type="continuationSeparator" w:id="0">
    <w:p w14:paraId="4216EE2E" w14:textId="77777777" w:rsidR="00151E9B" w:rsidRPr="00FC68B7" w:rsidRDefault="00151E9B" w:rsidP="00FC68B7">
      <w:pPr>
        <w:tabs>
          <w:tab w:val="left" w:pos="2155"/>
        </w:tabs>
        <w:spacing w:after="80"/>
        <w:ind w:left="680"/>
        <w:rPr>
          <w:u w:val="single"/>
        </w:rPr>
      </w:pPr>
      <w:r>
        <w:rPr>
          <w:u w:val="single"/>
        </w:rPr>
        <w:tab/>
      </w:r>
    </w:p>
  </w:footnote>
  <w:footnote w:type="continuationNotice" w:id="1">
    <w:p w14:paraId="40C35338" w14:textId="77777777" w:rsidR="00151E9B" w:rsidRDefault="00151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59FB5D69" w:rsidR="00652CFC" w:rsidRPr="00652CFC" w:rsidRDefault="00652CFC" w:rsidP="00AF31F2">
    <w:pPr>
      <w:pStyle w:val="Header"/>
      <w:rPr>
        <w:lang w:val="fr-CH"/>
      </w:rPr>
    </w:pPr>
    <w:r>
      <w:rPr>
        <w:lang w:val="fr-CH"/>
      </w:rPr>
      <w:t>INF.</w:t>
    </w:r>
    <w:r w:rsidR="002B5C1D">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3C843E6F" w:rsidR="00652CFC" w:rsidRPr="00652CFC" w:rsidRDefault="00652CFC" w:rsidP="00652CFC">
    <w:pPr>
      <w:pStyle w:val="Header"/>
      <w:pBdr>
        <w:bottom w:val="single" w:sz="4" w:space="1" w:color="auto"/>
      </w:pBdr>
      <w:jc w:val="right"/>
      <w:rPr>
        <w:lang w:val="fr-CH"/>
      </w:rPr>
    </w:pPr>
    <w:r>
      <w:rPr>
        <w:lang w:val="fr-CH"/>
      </w:rPr>
      <w:t>INF.</w:t>
    </w:r>
    <w:r w:rsidR="002B5C1D">
      <w:rPr>
        <w:lang w:val="fr-CH"/>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9AAC" w14:textId="77777777" w:rsidR="00872E49" w:rsidRDefault="00872E49" w:rsidP="00872E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C4C1E"/>
    <w:multiLevelType w:val="hybridMultilevel"/>
    <w:tmpl w:val="1040DB6A"/>
    <w:lvl w:ilvl="0" w:tplc="2332A6C8">
      <w:start w:val="1"/>
      <w:numFmt w:val="decimal"/>
      <w:pStyle w:val="Style1"/>
      <w:lvlText w:val="%1."/>
      <w:lvlJc w:val="left"/>
      <w:pPr>
        <w:ind w:left="1710" w:hanging="576"/>
      </w:pPr>
      <w:rPr>
        <w:rFonts w:ascii="Times New Roman" w:hAnsi="Times New Roman" w:cs="Times New Roman" w:hint="default"/>
        <w:sz w:val="21"/>
        <w:szCs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2" w15:restartNumberingAfterBreak="0">
    <w:nsid w:val="02B62593"/>
    <w:multiLevelType w:val="hybridMultilevel"/>
    <w:tmpl w:val="8F1A6826"/>
    <w:lvl w:ilvl="0" w:tplc="66A8AE26">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5A75F0F"/>
    <w:multiLevelType w:val="hybridMultilevel"/>
    <w:tmpl w:val="29E47796"/>
    <w:lvl w:ilvl="0" w:tplc="0F84AADC">
      <w:start w:val="1"/>
      <w:numFmt w:val="decimal"/>
      <w:lvlText w:val="%1."/>
      <w:lvlJc w:val="left"/>
      <w:pPr>
        <w:ind w:left="132" w:hanging="576"/>
      </w:pPr>
      <w:rPr>
        <w:rFonts w:ascii="Arial" w:eastAsia="Arial" w:hAnsi="Arial" w:cs="Arial" w:hint="default"/>
        <w:color w:val="212121"/>
        <w:spacing w:val="-1"/>
        <w:w w:val="99"/>
        <w:sz w:val="19"/>
        <w:szCs w:val="19"/>
      </w:rPr>
    </w:lvl>
    <w:lvl w:ilvl="1" w:tplc="24A67092">
      <w:numFmt w:val="bullet"/>
      <w:lvlText w:val=""/>
      <w:lvlJc w:val="left"/>
      <w:pPr>
        <w:ind w:left="1476" w:hanging="340"/>
      </w:pPr>
      <w:rPr>
        <w:rFonts w:ascii="Symbol" w:eastAsia="Symbol" w:hAnsi="Symbol" w:cs="Symbol" w:hint="default"/>
        <w:color w:val="212121"/>
        <w:w w:val="99"/>
        <w:sz w:val="19"/>
        <w:szCs w:val="19"/>
      </w:rPr>
    </w:lvl>
    <w:lvl w:ilvl="2" w:tplc="12523A6E">
      <w:numFmt w:val="bullet"/>
      <w:lvlText w:val="•"/>
      <w:lvlJc w:val="left"/>
      <w:pPr>
        <w:ind w:left="2293" w:hanging="340"/>
      </w:pPr>
      <w:rPr>
        <w:rFonts w:hint="default"/>
      </w:rPr>
    </w:lvl>
    <w:lvl w:ilvl="3" w:tplc="D89EB4FC">
      <w:numFmt w:val="bullet"/>
      <w:lvlText w:val="•"/>
      <w:lvlJc w:val="left"/>
      <w:pPr>
        <w:ind w:left="3106" w:hanging="340"/>
      </w:pPr>
      <w:rPr>
        <w:rFonts w:hint="default"/>
      </w:rPr>
    </w:lvl>
    <w:lvl w:ilvl="4" w:tplc="BE02EA3C">
      <w:numFmt w:val="bullet"/>
      <w:lvlText w:val="•"/>
      <w:lvlJc w:val="left"/>
      <w:pPr>
        <w:ind w:left="3920" w:hanging="340"/>
      </w:pPr>
      <w:rPr>
        <w:rFonts w:hint="default"/>
      </w:rPr>
    </w:lvl>
    <w:lvl w:ilvl="5" w:tplc="A89C0DD6">
      <w:numFmt w:val="bullet"/>
      <w:lvlText w:val="•"/>
      <w:lvlJc w:val="left"/>
      <w:pPr>
        <w:ind w:left="4733" w:hanging="340"/>
      </w:pPr>
      <w:rPr>
        <w:rFonts w:hint="default"/>
      </w:rPr>
    </w:lvl>
    <w:lvl w:ilvl="6" w:tplc="2CFE71F4">
      <w:numFmt w:val="bullet"/>
      <w:lvlText w:val="•"/>
      <w:lvlJc w:val="left"/>
      <w:pPr>
        <w:ind w:left="5546" w:hanging="340"/>
      </w:pPr>
      <w:rPr>
        <w:rFonts w:hint="default"/>
      </w:rPr>
    </w:lvl>
    <w:lvl w:ilvl="7" w:tplc="38DA61B6">
      <w:numFmt w:val="bullet"/>
      <w:lvlText w:val="•"/>
      <w:lvlJc w:val="left"/>
      <w:pPr>
        <w:ind w:left="6360" w:hanging="340"/>
      </w:pPr>
      <w:rPr>
        <w:rFonts w:hint="default"/>
      </w:rPr>
    </w:lvl>
    <w:lvl w:ilvl="8" w:tplc="05BA123E">
      <w:numFmt w:val="bullet"/>
      <w:lvlText w:val="•"/>
      <w:lvlJc w:val="left"/>
      <w:pPr>
        <w:ind w:left="7173" w:hanging="3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B8B62B4"/>
    <w:multiLevelType w:val="hybridMultilevel"/>
    <w:tmpl w:val="695664E0"/>
    <w:lvl w:ilvl="0" w:tplc="CF966E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6B0834"/>
    <w:multiLevelType w:val="hybridMultilevel"/>
    <w:tmpl w:val="6F26A3C4"/>
    <w:lvl w:ilvl="0" w:tplc="B6963C3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25C4044F"/>
    <w:multiLevelType w:val="hybridMultilevel"/>
    <w:tmpl w:val="CFE4057A"/>
    <w:lvl w:ilvl="0" w:tplc="0409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2"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31D65"/>
    <w:multiLevelType w:val="hybridMultilevel"/>
    <w:tmpl w:val="3AA05A32"/>
    <w:lvl w:ilvl="0" w:tplc="6CF8F8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474954329">
    <w:abstractNumId w:val="1"/>
  </w:num>
  <w:num w:numId="2" w16cid:durableId="1235772459">
    <w:abstractNumId w:val="0"/>
  </w:num>
  <w:num w:numId="3" w16cid:durableId="1020468819">
    <w:abstractNumId w:val="2"/>
  </w:num>
  <w:num w:numId="4" w16cid:durableId="71388774">
    <w:abstractNumId w:val="3"/>
  </w:num>
  <w:num w:numId="5" w16cid:durableId="988096573">
    <w:abstractNumId w:val="8"/>
  </w:num>
  <w:num w:numId="6" w16cid:durableId="167839509">
    <w:abstractNumId w:val="9"/>
  </w:num>
  <w:num w:numId="7" w16cid:durableId="123352667">
    <w:abstractNumId w:val="7"/>
  </w:num>
  <w:num w:numId="8" w16cid:durableId="967855751">
    <w:abstractNumId w:val="6"/>
  </w:num>
  <w:num w:numId="9" w16cid:durableId="351959800">
    <w:abstractNumId w:val="5"/>
  </w:num>
  <w:num w:numId="10" w16cid:durableId="568225844">
    <w:abstractNumId w:val="4"/>
  </w:num>
  <w:num w:numId="11" w16cid:durableId="2011516283">
    <w:abstractNumId w:val="23"/>
  </w:num>
  <w:num w:numId="12" w16cid:durableId="816651052">
    <w:abstractNumId w:val="19"/>
  </w:num>
  <w:num w:numId="13" w16cid:durableId="358631814">
    <w:abstractNumId w:val="10"/>
  </w:num>
  <w:num w:numId="14" w16cid:durableId="1860777072">
    <w:abstractNumId w:val="28"/>
  </w:num>
  <w:num w:numId="15" w16cid:durableId="1918859082">
    <w:abstractNumId w:val="16"/>
  </w:num>
  <w:num w:numId="16" w16cid:durableId="352342099">
    <w:abstractNumId w:val="13"/>
  </w:num>
  <w:num w:numId="17" w16cid:durableId="1027408441">
    <w:abstractNumId w:val="30"/>
  </w:num>
  <w:num w:numId="18" w16cid:durableId="78060936">
    <w:abstractNumId w:val="17"/>
  </w:num>
  <w:num w:numId="19" w16cid:durableId="1631209920">
    <w:abstractNumId w:val="31"/>
  </w:num>
  <w:num w:numId="20" w16cid:durableId="1282761901">
    <w:abstractNumId w:val="25"/>
  </w:num>
  <w:num w:numId="21" w16cid:durableId="1450857240">
    <w:abstractNumId w:val="29"/>
  </w:num>
  <w:num w:numId="22" w16cid:durableId="302586995">
    <w:abstractNumId w:val="14"/>
  </w:num>
  <w:num w:numId="23" w16cid:durableId="645086031">
    <w:abstractNumId w:val="26"/>
  </w:num>
  <w:num w:numId="24" w16cid:durableId="1267810753">
    <w:abstractNumId w:val="27"/>
  </w:num>
  <w:num w:numId="25" w16cid:durableId="506138605">
    <w:abstractNumId w:val="22"/>
  </w:num>
  <w:num w:numId="26" w16cid:durableId="397410922">
    <w:abstractNumId w:val="12"/>
  </w:num>
  <w:num w:numId="27" w16cid:durableId="1208444764">
    <w:abstractNumId w:val="18"/>
  </w:num>
  <w:num w:numId="28" w16cid:durableId="1410884202">
    <w:abstractNumId w:val="21"/>
  </w:num>
  <w:num w:numId="29" w16cid:durableId="376319804">
    <w:abstractNumId w:val="24"/>
  </w:num>
  <w:num w:numId="30" w16cid:durableId="1450319997">
    <w:abstractNumId w:val="20"/>
  </w:num>
  <w:num w:numId="31" w16cid:durableId="1802991027">
    <w:abstractNumId w:val="15"/>
  </w:num>
  <w:num w:numId="32" w16cid:durableId="487405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76F"/>
    <w:rsid w:val="00020276"/>
    <w:rsid w:val="000217B5"/>
    <w:rsid w:val="0002216E"/>
    <w:rsid w:val="000305B1"/>
    <w:rsid w:val="00037F90"/>
    <w:rsid w:val="000412D8"/>
    <w:rsid w:val="00044805"/>
    <w:rsid w:val="00044F99"/>
    <w:rsid w:val="00045BBE"/>
    <w:rsid w:val="00046B1F"/>
    <w:rsid w:val="00047DD3"/>
    <w:rsid w:val="00050F6B"/>
    <w:rsid w:val="00052E55"/>
    <w:rsid w:val="00057E97"/>
    <w:rsid w:val="00063ABA"/>
    <w:rsid w:val="00064E9A"/>
    <w:rsid w:val="00072C8C"/>
    <w:rsid w:val="000733B5"/>
    <w:rsid w:val="00081815"/>
    <w:rsid w:val="00083DAB"/>
    <w:rsid w:val="000931C0"/>
    <w:rsid w:val="000943A1"/>
    <w:rsid w:val="00096262"/>
    <w:rsid w:val="00097556"/>
    <w:rsid w:val="000A3752"/>
    <w:rsid w:val="000A7267"/>
    <w:rsid w:val="000B0595"/>
    <w:rsid w:val="000B1000"/>
    <w:rsid w:val="000B1660"/>
    <w:rsid w:val="000B175B"/>
    <w:rsid w:val="000B296B"/>
    <w:rsid w:val="000B3A0F"/>
    <w:rsid w:val="000B4EF7"/>
    <w:rsid w:val="000B633F"/>
    <w:rsid w:val="000C1287"/>
    <w:rsid w:val="000C2C03"/>
    <w:rsid w:val="000C2D2E"/>
    <w:rsid w:val="000C4D51"/>
    <w:rsid w:val="000C7F79"/>
    <w:rsid w:val="000E0415"/>
    <w:rsid w:val="000E08C2"/>
    <w:rsid w:val="000E4B01"/>
    <w:rsid w:val="000F4FF6"/>
    <w:rsid w:val="000F567A"/>
    <w:rsid w:val="0010391C"/>
    <w:rsid w:val="00104CDA"/>
    <w:rsid w:val="00105827"/>
    <w:rsid w:val="00105935"/>
    <w:rsid w:val="001103AA"/>
    <w:rsid w:val="00115C11"/>
    <w:rsid w:val="0011666B"/>
    <w:rsid w:val="001247DF"/>
    <w:rsid w:val="00125117"/>
    <w:rsid w:val="00126221"/>
    <w:rsid w:val="001343BC"/>
    <w:rsid w:val="001416D0"/>
    <w:rsid w:val="00151686"/>
    <w:rsid w:val="00151E9B"/>
    <w:rsid w:val="00155068"/>
    <w:rsid w:val="001555BF"/>
    <w:rsid w:val="00156009"/>
    <w:rsid w:val="001575FF"/>
    <w:rsid w:val="00165F3A"/>
    <w:rsid w:val="001766DA"/>
    <w:rsid w:val="001818BC"/>
    <w:rsid w:val="00186205"/>
    <w:rsid w:val="00195ED3"/>
    <w:rsid w:val="001A57BD"/>
    <w:rsid w:val="001A6E55"/>
    <w:rsid w:val="001B13A5"/>
    <w:rsid w:val="001B2401"/>
    <w:rsid w:val="001B4375"/>
    <w:rsid w:val="001B4B04"/>
    <w:rsid w:val="001C1DF0"/>
    <w:rsid w:val="001C6663"/>
    <w:rsid w:val="001C7895"/>
    <w:rsid w:val="001D0C8C"/>
    <w:rsid w:val="001D1419"/>
    <w:rsid w:val="001D26DF"/>
    <w:rsid w:val="001D3A03"/>
    <w:rsid w:val="001D7AD4"/>
    <w:rsid w:val="001E0495"/>
    <w:rsid w:val="001E0B9E"/>
    <w:rsid w:val="001E300A"/>
    <w:rsid w:val="001E45CD"/>
    <w:rsid w:val="001E49E0"/>
    <w:rsid w:val="001E7B67"/>
    <w:rsid w:val="001F1E44"/>
    <w:rsid w:val="001F34E3"/>
    <w:rsid w:val="001F5970"/>
    <w:rsid w:val="001F6DCC"/>
    <w:rsid w:val="001F7435"/>
    <w:rsid w:val="00202DA8"/>
    <w:rsid w:val="00203753"/>
    <w:rsid w:val="00207463"/>
    <w:rsid w:val="002102FF"/>
    <w:rsid w:val="0021114C"/>
    <w:rsid w:val="0021157B"/>
    <w:rsid w:val="00211DC0"/>
    <w:rsid w:val="00211E0B"/>
    <w:rsid w:val="002248F2"/>
    <w:rsid w:val="002336E0"/>
    <w:rsid w:val="00236F7D"/>
    <w:rsid w:val="0024023A"/>
    <w:rsid w:val="00243217"/>
    <w:rsid w:val="00243B56"/>
    <w:rsid w:val="002500D9"/>
    <w:rsid w:val="00252290"/>
    <w:rsid w:val="00252ADF"/>
    <w:rsid w:val="00263469"/>
    <w:rsid w:val="00265023"/>
    <w:rsid w:val="0026532A"/>
    <w:rsid w:val="00265963"/>
    <w:rsid w:val="00267F5F"/>
    <w:rsid w:val="00286B4D"/>
    <w:rsid w:val="002925FF"/>
    <w:rsid w:val="00293582"/>
    <w:rsid w:val="002A009E"/>
    <w:rsid w:val="002A138A"/>
    <w:rsid w:val="002A2828"/>
    <w:rsid w:val="002A3C85"/>
    <w:rsid w:val="002A603B"/>
    <w:rsid w:val="002A68EA"/>
    <w:rsid w:val="002B5C1D"/>
    <w:rsid w:val="002B6DC4"/>
    <w:rsid w:val="002C2884"/>
    <w:rsid w:val="002D4643"/>
    <w:rsid w:val="002D4B6C"/>
    <w:rsid w:val="002D659E"/>
    <w:rsid w:val="002E26B9"/>
    <w:rsid w:val="002F175C"/>
    <w:rsid w:val="003007DB"/>
    <w:rsid w:val="00302E18"/>
    <w:rsid w:val="003032E0"/>
    <w:rsid w:val="003050A4"/>
    <w:rsid w:val="0030606F"/>
    <w:rsid w:val="00310FC9"/>
    <w:rsid w:val="003204CE"/>
    <w:rsid w:val="00321582"/>
    <w:rsid w:val="003229D8"/>
    <w:rsid w:val="003358CF"/>
    <w:rsid w:val="00337BA0"/>
    <w:rsid w:val="00345184"/>
    <w:rsid w:val="003505DA"/>
    <w:rsid w:val="00350A2F"/>
    <w:rsid w:val="00352709"/>
    <w:rsid w:val="003571EA"/>
    <w:rsid w:val="00360391"/>
    <w:rsid w:val="003635B9"/>
    <w:rsid w:val="00371178"/>
    <w:rsid w:val="0038272B"/>
    <w:rsid w:val="0038743C"/>
    <w:rsid w:val="0039354D"/>
    <w:rsid w:val="003956BD"/>
    <w:rsid w:val="003958E4"/>
    <w:rsid w:val="00396800"/>
    <w:rsid w:val="00397DF6"/>
    <w:rsid w:val="003A480D"/>
    <w:rsid w:val="003A53DA"/>
    <w:rsid w:val="003A593B"/>
    <w:rsid w:val="003A6810"/>
    <w:rsid w:val="003A7F75"/>
    <w:rsid w:val="003B0571"/>
    <w:rsid w:val="003B311A"/>
    <w:rsid w:val="003B36D1"/>
    <w:rsid w:val="003C2CC4"/>
    <w:rsid w:val="003C732E"/>
    <w:rsid w:val="003C7C2C"/>
    <w:rsid w:val="003C7D8F"/>
    <w:rsid w:val="003D0957"/>
    <w:rsid w:val="003D49AC"/>
    <w:rsid w:val="003D4B23"/>
    <w:rsid w:val="003D5DB4"/>
    <w:rsid w:val="003E0C3C"/>
    <w:rsid w:val="00400297"/>
    <w:rsid w:val="00405491"/>
    <w:rsid w:val="00410C89"/>
    <w:rsid w:val="00414137"/>
    <w:rsid w:val="004226EE"/>
    <w:rsid w:val="00422E03"/>
    <w:rsid w:val="00426B9B"/>
    <w:rsid w:val="004325CB"/>
    <w:rsid w:val="00433A32"/>
    <w:rsid w:val="004356D2"/>
    <w:rsid w:val="00435F27"/>
    <w:rsid w:val="00442A83"/>
    <w:rsid w:val="004532AC"/>
    <w:rsid w:val="0045495B"/>
    <w:rsid w:val="00461F7D"/>
    <w:rsid w:val="00464C81"/>
    <w:rsid w:val="0048397A"/>
    <w:rsid w:val="00483F1B"/>
    <w:rsid w:val="004A12F2"/>
    <w:rsid w:val="004A28A3"/>
    <w:rsid w:val="004B138F"/>
    <w:rsid w:val="004B1892"/>
    <w:rsid w:val="004B3010"/>
    <w:rsid w:val="004C2461"/>
    <w:rsid w:val="004C408F"/>
    <w:rsid w:val="004C64C0"/>
    <w:rsid w:val="004C7462"/>
    <w:rsid w:val="004D12C5"/>
    <w:rsid w:val="004D440A"/>
    <w:rsid w:val="004D4E04"/>
    <w:rsid w:val="004D5426"/>
    <w:rsid w:val="004E065B"/>
    <w:rsid w:val="004E0C05"/>
    <w:rsid w:val="004E3AA8"/>
    <w:rsid w:val="004E69B9"/>
    <w:rsid w:val="004E6E17"/>
    <w:rsid w:val="004E77B2"/>
    <w:rsid w:val="004F3D1D"/>
    <w:rsid w:val="0050175B"/>
    <w:rsid w:val="00503DEB"/>
    <w:rsid w:val="00504B2D"/>
    <w:rsid w:val="005072AF"/>
    <w:rsid w:val="00507993"/>
    <w:rsid w:val="00514A11"/>
    <w:rsid w:val="0052136D"/>
    <w:rsid w:val="00522B58"/>
    <w:rsid w:val="00523CD7"/>
    <w:rsid w:val="005258AB"/>
    <w:rsid w:val="0052775E"/>
    <w:rsid w:val="005313DD"/>
    <w:rsid w:val="00535506"/>
    <w:rsid w:val="00537388"/>
    <w:rsid w:val="005420F2"/>
    <w:rsid w:val="00542540"/>
    <w:rsid w:val="00543B68"/>
    <w:rsid w:val="00546993"/>
    <w:rsid w:val="005501AB"/>
    <w:rsid w:val="0056075B"/>
    <w:rsid w:val="00560FD7"/>
    <w:rsid w:val="005628B6"/>
    <w:rsid w:val="00562CBB"/>
    <w:rsid w:val="00566FC4"/>
    <w:rsid w:val="00571EAB"/>
    <w:rsid w:val="00573E03"/>
    <w:rsid w:val="00574011"/>
    <w:rsid w:val="00574886"/>
    <w:rsid w:val="00584B44"/>
    <w:rsid w:val="00586813"/>
    <w:rsid w:val="0059363D"/>
    <w:rsid w:val="005970A6"/>
    <w:rsid w:val="00597863"/>
    <w:rsid w:val="005A29A3"/>
    <w:rsid w:val="005A753B"/>
    <w:rsid w:val="005B12FC"/>
    <w:rsid w:val="005B232C"/>
    <w:rsid w:val="005B3DB3"/>
    <w:rsid w:val="005B4E13"/>
    <w:rsid w:val="005C32D3"/>
    <w:rsid w:val="005C5A1C"/>
    <w:rsid w:val="005C68F0"/>
    <w:rsid w:val="005D0CF6"/>
    <w:rsid w:val="005D2A29"/>
    <w:rsid w:val="005D338C"/>
    <w:rsid w:val="005D50B2"/>
    <w:rsid w:val="005D7F39"/>
    <w:rsid w:val="005E1472"/>
    <w:rsid w:val="005E6A77"/>
    <w:rsid w:val="005F1010"/>
    <w:rsid w:val="005F7B75"/>
    <w:rsid w:val="006001EE"/>
    <w:rsid w:val="00605042"/>
    <w:rsid w:val="0060537B"/>
    <w:rsid w:val="00611FC4"/>
    <w:rsid w:val="00612219"/>
    <w:rsid w:val="0061457E"/>
    <w:rsid w:val="006176FB"/>
    <w:rsid w:val="0062198A"/>
    <w:rsid w:val="00622435"/>
    <w:rsid w:val="00630BAF"/>
    <w:rsid w:val="00640B26"/>
    <w:rsid w:val="00643033"/>
    <w:rsid w:val="00643FDE"/>
    <w:rsid w:val="00652CFC"/>
    <w:rsid w:val="00652D0A"/>
    <w:rsid w:val="006537F2"/>
    <w:rsid w:val="00654204"/>
    <w:rsid w:val="00654B4F"/>
    <w:rsid w:val="00654F44"/>
    <w:rsid w:val="00657C7B"/>
    <w:rsid w:val="006623D5"/>
    <w:rsid w:val="00662BB6"/>
    <w:rsid w:val="0066353E"/>
    <w:rsid w:val="00667F8F"/>
    <w:rsid w:val="0067369E"/>
    <w:rsid w:val="006741C5"/>
    <w:rsid w:val="006741F1"/>
    <w:rsid w:val="00684C21"/>
    <w:rsid w:val="00692E0E"/>
    <w:rsid w:val="006A0D0E"/>
    <w:rsid w:val="006A2530"/>
    <w:rsid w:val="006A5A42"/>
    <w:rsid w:val="006A67FC"/>
    <w:rsid w:val="006A6AEA"/>
    <w:rsid w:val="006B1C12"/>
    <w:rsid w:val="006C04FA"/>
    <w:rsid w:val="006C33AB"/>
    <w:rsid w:val="006C3454"/>
    <w:rsid w:val="006C3589"/>
    <w:rsid w:val="006C47A1"/>
    <w:rsid w:val="006C58E0"/>
    <w:rsid w:val="006D37AF"/>
    <w:rsid w:val="006D51D0"/>
    <w:rsid w:val="006E564B"/>
    <w:rsid w:val="006E7191"/>
    <w:rsid w:val="006F6AF0"/>
    <w:rsid w:val="00703577"/>
    <w:rsid w:val="00705894"/>
    <w:rsid w:val="007067C3"/>
    <w:rsid w:val="00707FA4"/>
    <w:rsid w:val="0072632A"/>
    <w:rsid w:val="007327D5"/>
    <w:rsid w:val="007351B4"/>
    <w:rsid w:val="00740B63"/>
    <w:rsid w:val="007431D0"/>
    <w:rsid w:val="00743D8C"/>
    <w:rsid w:val="00753C6F"/>
    <w:rsid w:val="00755A39"/>
    <w:rsid w:val="00760A73"/>
    <w:rsid w:val="007611CF"/>
    <w:rsid w:val="00761787"/>
    <w:rsid w:val="007629C8"/>
    <w:rsid w:val="00762CB8"/>
    <w:rsid w:val="00764668"/>
    <w:rsid w:val="00767D5D"/>
    <w:rsid w:val="0077047D"/>
    <w:rsid w:val="00771625"/>
    <w:rsid w:val="00771856"/>
    <w:rsid w:val="00776430"/>
    <w:rsid w:val="0077656F"/>
    <w:rsid w:val="00776ACF"/>
    <w:rsid w:val="007840E3"/>
    <w:rsid w:val="00790C8F"/>
    <w:rsid w:val="00792538"/>
    <w:rsid w:val="007967A2"/>
    <w:rsid w:val="00797575"/>
    <w:rsid w:val="007A0948"/>
    <w:rsid w:val="007A1B1D"/>
    <w:rsid w:val="007B6BA5"/>
    <w:rsid w:val="007C3390"/>
    <w:rsid w:val="007C4F4B"/>
    <w:rsid w:val="007C7103"/>
    <w:rsid w:val="007D65E9"/>
    <w:rsid w:val="007D6759"/>
    <w:rsid w:val="007E01E9"/>
    <w:rsid w:val="007E0612"/>
    <w:rsid w:val="007E5239"/>
    <w:rsid w:val="007E63F3"/>
    <w:rsid w:val="007E640C"/>
    <w:rsid w:val="007E6B6D"/>
    <w:rsid w:val="007F10B4"/>
    <w:rsid w:val="007F1F2D"/>
    <w:rsid w:val="007F2635"/>
    <w:rsid w:val="007F6611"/>
    <w:rsid w:val="007F6CA4"/>
    <w:rsid w:val="007F7106"/>
    <w:rsid w:val="007F7A86"/>
    <w:rsid w:val="008031DD"/>
    <w:rsid w:val="00807CE3"/>
    <w:rsid w:val="008116D7"/>
    <w:rsid w:val="00811920"/>
    <w:rsid w:val="00815AD0"/>
    <w:rsid w:val="00816C50"/>
    <w:rsid w:val="008242D7"/>
    <w:rsid w:val="008257B1"/>
    <w:rsid w:val="00826C3D"/>
    <w:rsid w:val="00831EFE"/>
    <w:rsid w:val="00836230"/>
    <w:rsid w:val="00840A12"/>
    <w:rsid w:val="00843767"/>
    <w:rsid w:val="00852B07"/>
    <w:rsid w:val="00854501"/>
    <w:rsid w:val="00863760"/>
    <w:rsid w:val="00863F55"/>
    <w:rsid w:val="008679D9"/>
    <w:rsid w:val="00871389"/>
    <w:rsid w:val="00872E49"/>
    <w:rsid w:val="00880848"/>
    <w:rsid w:val="00883999"/>
    <w:rsid w:val="00883EA7"/>
    <w:rsid w:val="00887652"/>
    <w:rsid w:val="008878DE"/>
    <w:rsid w:val="008902CE"/>
    <w:rsid w:val="00892CEC"/>
    <w:rsid w:val="008979B1"/>
    <w:rsid w:val="008A6B25"/>
    <w:rsid w:val="008A6C4F"/>
    <w:rsid w:val="008A7B69"/>
    <w:rsid w:val="008B216F"/>
    <w:rsid w:val="008B2335"/>
    <w:rsid w:val="008C7DAF"/>
    <w:rsid w:val="008D78BD"/>
    <w:rsid w:val="008E0678"/>
    <w:rsid w:val="008E06E0"/>
    <w:rsid w:val="008E0DAA"/>
    <w:rsid w:val="008E4D3A"/>
    <w:rsid w:val="008F741A"/>
    <w:rsid w:val="00904A55"/>
    <w:rsid w:val="0091260B"/>
    <w:rsid w:val="00915B39"/>
    <w:rsid w:val="009223CA"/>
    <w:rsid w:val="00923CCF"/>
    <w:rsid w:val="0093288D"/>
    <w:rsid w:val="00932EF9"/>
    <w:rsid w:val="0093354C"/>
    <w:rsid w:val="00940F93"/>
    <w:rsid w:val="00941495"/>
    <w:rsid w:val="0094558F"/>
    <w:rsid w:val="00952AC2"/>
    <w:rsid w:val="00961690"/>
    <w:rsid w:val="009646C2"/>
    <w:rsid w:val="0096767E"/>
    <w:rsid w:val="00974776"/>
    <w:rsid w:val="00975ADA"/>
    <w:rsid w:val="009760F3"/>
    <w:rsid w:val="00976F61"/>
    <w:rsid w:val="00980E93"/>
    <w:rsid w:val="0098203C"/>
    <w:rsid w:val="0098441E"/>
    <w:rsid w:val="00985971"/>
    <w:rsid w:val="0099212D"/>
    <w:rsid w:val="00992813"/>
    <w:rsid w:val="00997AA8"/>
    <w:rsid w:val="009A0E8D"/>
    <w:rsid w:val="009A2F41"/>
    <w:rsid w:val="009B1518"/>
    <w:rsid w:val="009B1CEB"/>
    <w:rsid w:val="009B26E7"/>
    <w:rsid w:val="009B4E21"/>
    <w:rsid w:val="009B56F3"/>
    <w:rsid w:val="009C454F"/>
    <w:rsid w:val="009D2A5B"/>
    <w:rsid w:val="009D7F37"/>
    <w:rsid w:val="009E1D8E"/>
    <w:rsid w:val="009F3A3C"/>
    <w:rsid w:val="009F4055"/>
    <w:rsid w:val="009F652C"/>
    <w:rsid w:val="009F78BD"/>
    <w:rsid w:val="00A00A3F"/>
    <w:rsid w:val="00A01489"/>
    <w:rsid w:val="00A10F75"/>
    <w:rsid w:val="00A1433D"/>
    <w:rsid w:val="00A239E4"/>
    <w:rsid w:val="00A3009E"/>
    <w:rsid w:val="00A3026E"/>
    <w:rsid w:val="00A338F1"/>
    <w:rsid w:val="00A33B7F"/>
    <w:rsid w:val="00A35EE0"/>
    <w:rsid w:val="00A37A0A"/>
    <w:rsid w:val="00A47249"/>
    <w:rsid w:val="00A47A60"/>
    <w:rsid w:val="00A51CDF"/>
    <w:rsid w:val="00A56C21"/>
    <w:rsid w:val="00A615A8"/>
    <w:rsid w:val="00A6748C"/>
    <w:rsid w:val="00A70684"/>
    <w:rsid w:val="00A72F22"/>
    <w:rsid w:val="00A7360F"/>
    <w:rsid w:val="00A748A6"/>
    <w:rsid w:val="00A769F4"/>
    <w:rsid w:val="00A776B4"/>
    <w:rsid w:val="00A805C7"/>
    <w:rsid w:val="00A8292C"/>
    <w:rsid w:val="00A93E6F"/>
    <w:rsid w:val="00A94361"/>
    <w:rsid w:val="00AA293C"/>
    <w:rsid w:val="00AA59DB"/>
    <w:rsid w:val="00AA66C0"/>
    <w:rsid w:val="00AA693A"/>
    <w:rsid w:val="00AB1AF0"/>
    <w:rsid w:val="00AC3E5A"/>
    <w:rsid w:val="00AD1A7B"/>
    <w:rsid w:val="00AD409C"/>
    <w:rsid w:val="00AD44C2"/>
    <w:rsid w:val="00AD48FA"/>
    <w:rsid w:val="00AE1070"/>
    <w:rsid w:val="00AE44BE"/>
    <w:rsid w:val="00AE4840"/>
    <w:rsid w:val="00AF1506"/>
    <w:rsid w:val="00AF31F2"/>
    <w:rsid w:val="00AF73DD"/>
    <w:rsid w:val="00B042C8"/>
    <w:rsid w:val="00B05BC7"/>
    <w:rsid w:val="00B11BB4"/>
    <w:rsid w:val="00B20F91"/>
    <w:rsid w:val="00B22BC2"/>
    <w:rsid w:val="00B26141"/>
    <w:rsid w:val="00B30179"/>
    <w:rsid w:val="00B33A82"/>
    <w:rsid w:val="00B36690"/>
    <w:rsid w:val="00B37544"/>
    <w:rsid w:val="00B421C1"/>
    <w:rsid w:val="00B45D92"/>
    <w:rsid w:val="00B50912"/>
    <w:rsid w:val="00B51A66"/>
    <w:rsid w:val="00B52FD7"/>
    <w:rsid w:val="00B55C71"/>
    <w:rsid w:val="00B56BEE"/>
    <w:rsid w:val="00B56E4A"/>
    <w:rsid w:val="00B56E9C"/>
    <w:rsid w:val="00B61320"/>
    <w:rsid w:val="00B61BB6"/>
    <w:rsid w:val="00B62181"/>
    <w:rsid w:val="00B638D7"/>
    <w:rsid w:val="00B63B31"/>
    <w:rsid w:val="00B64B1F"/>
    <w:rsid w:val="00B6553F"/>
    <w:rsid w:val="00B70F1E"/>
    <w:rsid w:val="00B7236E"/>
    <w:rsid w:val="00B77D05"/>
    <w:rsid w:val="00B81206"/>
    <w:rsid w:val="00B81C66"/>
    <w:rsid w:val="00B81E12"/>
    <w:rsid w:val="00B8280B"/>
    <w:rsid w:val="00B9104C"/>
    <w:rsid w:val="00B93117"/>
    <w:rsid w:val="00B96FEC"/>
    <w:rsid w:val="00BA2681"/>
    <w:rsid w:val="00BA4BFE"/>
    <w:rsid w:val="00BA6D6F"/>
    <w:rsid w:val="00BB39D6"/>
    <w:rsid w:val="00BB4C56"/>
    <w:rsid w:val="00BB4CED"/>
    <w:rsid w:val="00BB77E9"/>
    <w:rsid w:val="00BB7CD1"/>
    <w:rsid w:val="00BB7FE9"/>
    <w:rsid w:val="00BC3FA0"/>
    <w:rsid w:val="00BC74E9"/>
    <w:rsid w:val="00BD55A0"/>
    <w:rsid w:val="00BD6647"/>
    <w:rsid w:val="00BE218D"/>
    <w:rsid w:val="00BE3E69"/>
    <w:rsid w:val="00BE7D92"/>
    <w:rsid w:val="00BF15A1"/>
    <w:rsid w:val="00BF2A9F"/>
    <w:rsid w:val="00BF2AF0"/>
    <w:rsid w:val="00BF55CA"/>
    <w:rsid w:val="00BF63B3"/>
    <w:rsid w:val="00BF68A8"/>
    <w:rsid w:val="00C02ED5"/>
    <w:rsid w:val="00C05DAD"/>
    <w:rsid w:val="00C10415"/>
    <w:rsid w:val="00C10FE6"/>
    <w:rsid w:val="00C11A03"/>
    <w:rsid w:val="00C22C0C"/>
    <w:rsid w:val="00C23699"/>
    <w:rsid w:val="00C27DBF"/>
    <w:rsid w:val="00C33AF6"/>
    <w:rsid w:val="00C35BC8"/>
    <w:rsid w:val="00C36481"/>
    <w:rsid w:val="00C41BD5"/>
    <w:rsid w:val="00C43DF8"/>
    <w:rsid w:val="00C4527F"/>
    <w:rsid w:val="00C458FE"/>
    <w:rsid w:val="00C463DD"/>
    <w:rsid w:val="00C467C9"/>
    <w:rsid w:val="00C4724C"/>
    <w:rsid w:val="00C50425"/>
    <w:rsid w:val="00C51345"/>
    <w:rsid w:val="00C515C1"/>
    <w:rsid w:val="00C5185D"/>
    <w:rsid w:val="00C548AF"/>
    <w:rsid w:val="00C57B14"/>
    <w:rsid w:val="00C57DA4"/>
    <w:rsid w:val="00C629A0"/>
    <w:rsid w:val="00C637A9"/>
    <w:rsid w:val="00C64629"/>
    <w:rsid w:val="00C652F9"/>
    <w:rsid w:val="00C6662D"/>
    <w:rsid w:val="00C72681"/>
    <w:rsid w:val="00C73056"/>
    <w:rsid w:val="00C745C3"/>
    <w:rsid w:val="00C76CB0"/>
    <w:rsid w:val="00C91148"/>
    <w:rsid w:val="00C9216A"/>
    <w:rsid w:val="00CA0CE1"/>
    <w:rsid w:val="00CA0E33"/>
    <w:rsid w:val="00CA409A"/>
    <w:rsid w:val="00CB1FF8"/>
    <w:rsid w:val="00CB3E03"/>
    <w:rsid w:val="00CB5104"/>
    <w:rsid w:val="00CB5B1E"/>
    <w:rsid w:val="00CC04D9"/>
    <w:rsid w:val="00CD21D5"/>
    <w:rsid w:val="00CD57D2"/>
    <w:rsid w:val="00CD5DD3"/>
    <w:rsid w:val="00CD7BCB"/>
    <w:rsid w:val="00CE116B"/>
    <w:rsid w:val="00CE2CC6"/>
    <w:rsid w:val="00CE4A8F"/>
    <w:rsid w:val="00CE4B11"/>
    <w:rsid w:val="00CF54D5"/>
    <w:rsid w:val="00CF73CE"/>
    <w:rsid w:val="00D00610"/>
    <w:rsid w:val="00D0166C"/>
    <w:rsid w:val="00D06382"/>
    <w:rsid w:val="00D15D92"/>
    <w:rsid w:val="00D2031B"/>
    <w:rsid w:val="00D20A44"/>
    <w:rsid w:val="00D20B16"/>
    <w:rsid w:val="00D22720"/>
    <w:rsid w:val="00D25499"/>
    <w:rsid w:val="00D25FE2"/>
    <w:rsid w:val="00D27327"/>
    <w:rsid w:val="00D42D27"/>
    <w:rsid w:val="00D43252"/>
    <w:rsid w:val="00D47EEA"/>
    <w:rsid w:val="00D550D4"/>
    <w:rsid w:val="00D64D0D"/>
    <w:rsid w:val="00D65303"/>
    <w:rsid w:val="00D76FFE"/>
    <w:rsid w:val="00D773DF"/>
    <w:rsid w:val="00D80773"/>
    <w:rsid w:val="00D80FBB"/>
    <w:rsid w:val="00D861AD"/>
    <w:rsid w:val="00D876F8"/>
    <w:rsid w:val="00D9255F"/>
    <w:rsid w:val="00D95303"/>
    <w:rsid w:val="00D978C6"/>
    <w:rsid w:val="00DA0E79"/>
    <w:rsid w:val="00DA3C1C"/>
    <w:rsid w:val="00DB61A4"/>
    <w:rsid w:val="00DB6CA5"/>
    <w:rsid w:val="00DC0B3D"/>
    <w:rsid w:val="00DC53F4"/>
    <w:rsid w:val="00DC5953"/>
    <w:rsid w:val="00DD3141"/>
    <w:rsid w:val="00DD430F"/>
    <w:rsid w:val="00DF64FE"/>
    <w:rsid w:val="00DF7B93"/>
    <w:rsid w:val="00E01800"/>
    <w:rsid w:val="00E028F4"/>
    <w:rsid w:val="00E046DF"/>
    <w:rsid w:val="00E073DE"/>
    <w:rsid w:val="00E15557"/>
    <w:rsid w:val="00E159CC"/>
    <w:rsid w:val="00E220D4"/>
    <w:rsid w:val="00E25628"/>
    <w:rsid w:val="00E27346"/>
    <w:rsid w:val="00E27E33"/>
    <w:rsid w:val="00E312C3"/>
    <w:rsid w:val="00E367BB"/>
    <w:rsid w:val="00E402A0"/>
    <w:rsid w:val="00E44A1D"/>
    <w:rsid w:val="00E5005F"/>
    <w:rsid w:val="00E51D9B"/>
    <w:rsid w:val="00E572C8"/>
    <w:rsid w:val="00E57319"/>
    <w:rsid w:val="00E658D0"/>
    <w:rsid w:val="00E702E4"/>
    <w:rsid w:val="00E71BC8"/>
    <w:rsid w:val="00E7260F"/>
    <w:rsid w:val="00E73F5D"/>
    <w:rsid w:val="00E77E4E"/>
    <w:rsid w:val="00E8090F"/>
    <w:rsid w:val="00E82755"/>
    <w:rsid w:val="00E83B19"/>
    <w:rsid w:val="00E83FB7"/>
    <w:rsid w:val="00E903B5"/>
    <w:rsid w:val="00E92479"/>
    <w:rsid w:val="00E96630"/>
    <w:rsid w:val="00EA3456"/>
    <w:rsid w:val="00EA6185"/>
    <w:rsid w:val="00EB1DCA"/>
    <w:rsid w:val="00EB237B"/>
    <w:rsid w:val="00EB6956"/>
    <w:rsid w:val="00EB7A4A"/>
    <w:rsid w:val="00EC106A"/>
    <w:rsid w:val="00EC32A0"/>
    <w:rsid w:val="00EC5986"/>
    <w:rsid w:val="00EC5E52"/>
    <w:rsid w:val="00ED7A2A"/>
    <w:rsid w:val="00EE288F"/>
    <w:rsid w:val="00EE3195"/>
    <w:rsid w:val="00EE5FC8"/>
    <w:rsid w:val="00EE6B3A"/>
    <w:rsid w:val="00EF1D46"/>
    <w:rsid w:val="00EF1D7F"/>
    <w:rsid w:val="00EF6552"/>
    <w:rsid w:val="00F026CD"/>
    <w:rsid w:val="00F10F61"/>
    <w:rsid w:val="00F13080"/>
    <w:rsid w:val="00F150A0"/>
    <w:rsid w:val="00F227A6"/>
    <w:rsid w:val="00F22857"/>
    <w:rsid w:val="00F31E5F"/>
    <w:rsid w:val="00F32051"/>
    <w:rsid w:val="00F33C9F"/>
    <w:rsid w:val="00F36CB6"/>
    <w:rsid w:val="00F36F0D"/>
    <w:rsid w:val="00F4272A"/>
    <w:rsid w:val="00F5150A"/>
    <w:rsid w:val="00F60F02"/>
    <w:rsid w:val="00F6100A"/>
    <w:rsid w:val="00F66565"/>
    <w:rsid w:val="00F71B7F"/>
    <w:rsid w:val="00F74D18"/>
    <w:rsid w:val="00F80815"/>
    <w:rsid w:val="00F86D76"/>
    <w:rsid w:val="00F93781"/>
    <w:rsid w:val="00F955F8"/>
    <w:rsid w:val="00F95ED8"/>
    <w:rsid w:val="00F97A76"/>
    <w:rsid w:val="00F97B38"/>
    <w:rsid w:val="00FA3772"/>
    <w:rsid w:val="00FA730A"/>
    <w:rsid w:val="00FB613B"/>
    <w:rsid w:val="00FB7679"/>
    <w:rsid w:val="00FC3C87"/>
    <w:rsid w:val="00FC56A9"/>
    <w:rsid w:val="00FC68B7"/>
    <w:rsid w:val="00FD0E0B"/>
    <w:rsid w:val="00FD49F1"/>
    <w:rsid w:val="00FE0135"/>
    <w:rsid w:val="00FE106A"/>
    <w:rsid w:val="00FE1178"/>
    <w:rsid w:val="00FE20A2"/>
    <w:rsid w:val="00FE2378"/>
    <w:rsid w:val="00FE477D"/>
    <w:rsid w:val="00FF145D"/>
    <w:rsid w:val="00FF3121"/>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BA387193-045D-48A3-8BBA-55BB8897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uiPriority w:val="99"/>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 w:type="paragraph" w:customStyle="1" w:styleId="Style1">
    <w:name w:val="Style1"/>
    <w:basedOn w:val="SingleTxtG"/>
    <w:link w:val="Style1Char"/>
    <w:qFormat/>
    <w:rsid w:val="002A68EA"/>
    <w:pPr>
      <w:numPr>
        <w:numId w:val="32"/>
      </w:numPr>
      <w:ind w:left="1134" w:firstLine="0"/>
    </w:pPr>
    <w:rPr>
      <w:lang w:val="en-GB"/>
    </w:rPr>
  </w:style>
  <w:style w:type="character" w:customStyle="1" w:styleId="Style1Char">
    <w:name w:val="Style1 Char"/>
    <w:basedOn w:val="SingleTxtGChar"/>
    <w:link w:val="Style1"/>
    <w:rsid w:val="002A68EA"/>
    <w:rPr>
      <w:lang w:eastAsia="en-US"/>
    </w:rPr>
  </w:style>
  <w:style w:type="character" w:styleId="UnresolvedMention">
    <w:name w:val="Unresolved Mention"/>
    <w:basedOn w:val="DefaultParagraphFont"/>
    <w:uiPriority w:val="99"/>
    <w:semiHidden/>
    <w:unhideWhenUsed/>
    <w:rsid w:val="00F026CD"/>
    <w:rPr>
      <w:color w:val="605E5C"/>
      <w:shd w:val="clear" w:color="auto" w:fill="E1DFDD"/>
    </w:rPr>
  </w:style>
  <w:style w:type="paragraph" w:styleId="Revision">
    <w:name w:val="Revision"/>
    <w:hidden/>
    <w:uiPriority w:val="99"/>
    <w:semiHidden/>
    <w:rsid w:val="00E256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6569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040927508">
      <w:bodyDiv w:val="1"/>
      <w:marLeft w:val="0"/>
      <w:marRight w:val="0"/>
      <w:marTop w:val="0"/>
      <w:marBottom w:val="0"/>
      <w:divBdr>
        <w:top w:val="none" w:sz="0" w:space="0" w:color="auto"/>
        <w:left w:val="none" w:sz="0" w:space="0" w:color="auto"/>
        <w:bottom w:val="none" w:sz="0" w:space="0" w:color="auto"/>
        <w:right w:val="none" w:sz="0" w:space="0" w:color="auto"/>
      </w:divBdr>
    </w:div>
    <w:div w:id="21286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info/Transport/Dangerous-Goods/events/37009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info/Transport/Dangerous-Goods/events/36468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2.xml><?xml version="1.0" encoding="utf-8"?>
<ds:datastoreItem xmlns:ds="http://schemas.openxmlformats.org/officeDocument/2006/customXml" ds:itemID="{05863A2C-E59B-4113-A0B1-1594C67CC33F}">
  <ds:schemaRefs>
    <ds:schemaRef ds:uri="http://schemas.microsoft.com/office/2006/metadata/properties"/>
    <ds:schemaRef ds:uri="http://schemas.microsoft.com/office/infopath/2007/PartnerControls"/>
    <ds:schemaRef ds:uri="985ec44e-1bab-4c0b-9df0-6ba128686fc9"/>
    <ds:schemaRef ds:uri="acccb6d4-dbe5-46d2-b4d3-5733603d8cc6"/>
    <ds:schemaRef ds:uri="4b4a1c0d-4a69-4996-a84a-fc699b9f49de"/>
  </ds:schemaRefs>
</ds:datastoreItem>
</file>

<file path=customXml/itemProps3.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4.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1546</Words>
  <Characters>8816</Characters>
  <Application>Microsoft Office Word</Application>
  <DocSecurity>0</DocSecurity>
  <Lines>73</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10342</CharactersWithSpaces>
  <SharedDoc>false</SharedDoc>
  <HLinks>
    <vt:vector size="12" baseType="variant">
      <vt:variant>
        <vt:i4>7602293</vt:i4>
      </vt:variant>
      <vt:variant>
        <vt:i4>3</vt:i4>
      </vt:variant>
      <vt:variant>
        <vt:i4>0</vt:i4>
      </vt:variant>
      <vt:variant>
        <vt:i4>5</vt:i4>
      </vt:variant>
      <vt:variant>
        <vt:lpwstr>https://unece.org/info/Transport/Dangerous-Goods/events/370093</vt:lpwstr>
      </vt:variant>
      <vt:variant>
        <vt:lpwstr/>
      </vt:variant>
      <vt:variant>
        <vt:i4>7798896</vt:i4>
      </vt:variant>
      <vt:variant>
        <vt:i4>0</vt:i4>
      </vt:variant>
      <vt:variant>
        <vt:i4>0</vt:i4>
      </vt:variant>
      <vt:variant>
        <vt:i4>5</vt:i4>
      </vt:variant>
      <vt:variant>
        <vt:lpwstr>https://unece.org/info/Transport/Dangerous-Goods/events/364687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Laurence Berthet</cp:lastModifiedBy>
  <cp:revision>8</cp:revision>
  <cp:lastPrinted>2023-02-06T13:41:00Z</cp:lastPrinted>
  <dcterms:created xsi:type="dcterms:W3CDTF">2023-02-07T08:40:00Z</dcterms:created>
  <dcterms:modified xsi:type="dcterms:W3CDTF">2023-02-07T08:53:00Z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