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AF5" w14:textId="77777777" w:rsidR="00BD321A" w:rsidRPr="000B24E0" w:rsidRDefault="00BD321A" w:rsidP="00BD321A">
      <w:pPr>
        <w:spacing w:before="120"/>
        <w:rPr>
          <w:b/>
          <w:sz w:val="28"/>
          <w:szCs w:val="28"/>
          <w:lang w:val="en-GB"/>
        </w:rPr>
      </w:pPr>
      <w:r w:rsidRPr="000B24E0">
        <w:rPr>
          <w:b/>
          <w:sz w:val="28"/>
          <w:szCs w:val="28"/>
          <w:lang w:val="en-GB"/>
        </w:rPr>
        <w:t>Economic Commission for Europe</w:t>
      </w:r>
    </w:p>
    <w:p w14:paraId="10077966" w14:textId="77777777" w:rsidR="00BD321A" w:rsidRPr="000B24E0" w:rsidRDefault="00BD321A" w:rsidP="00BD321A">
      <w:pPr>
        <w:spacing w:before="120"/>
        <w:rPr>
          <w:sz w:val="28"/>
          <w:szCs w:val="28"/>
          <w:lang w:val="en-GB"/>
        </w:rPr>
      </w:pPr>
      <w:r w:rsidRPr="000B24E0">
        <w:rPr>
          <w:sz w:val="28"/>
          <w:szCs w:val="28"/>
          <w:lang w:val="en-GB"/>
        </w:rPr>
        <w:t>Inland Transport Committee</w:t>
      </w:r>
    </w:p>
    <w:p w14:paraId="09C90338" w14:textId="77777777" w:rsidR="00BD321A" w:rsidRPr="000B24E0" w:rsidRDefault="00BD321A" w:rsidP="00BD321A">
      <w:pPr>
        <w:spacing w:before="120" w:after="120"/>
        <w:rPr>
          <w:b/>
          <w:sz w:val="24"/>
          <w:szCs w:val="24"/>
          <w:lang w:val="en-GB"/>
        </w:rPr>
      </w:pPr>
      <w:r w:rsidRPr="000B24E0">
        <w:rPr>
          <w:b/>
          <w:sz w:val="24"/>
          <w:szCs w:val="24"/>
          <w:lang w:val="en-GB"/>
        </w:rPr>
        <w:t>Working Party on the Transport of Dangerous Goods</w:t>
      </w:r>
    </w:p>
    <w:p w14:paraId="7F8D218E" w14:textId="77777777" w:rsidR="00BD321A" w:rsidRPr="000B24E0" w:rsidRDefault="00BD321A" w:rsidP="00BD321A">
      <w:pPr>
        <w:rPr>
          <w:b/>
          <w:lang w:val="en-GB"/>
        </w:rPr>
      </w:pPr>
      <w:r w:rsidRPr="000B24E0">
        <w:rPr>
          <w:b/>
          <w:lang w:val="en-GB"/>
        </w:rPr>
        <w:t>Joint Meeting of the RID Committee of Experts and the</w:t>
      </w:r>
    </w:p>
    <w:p w14:paraId="644D36DA" w14:textId="15AA59D0" w:rsidR="00BD321A" w:rsidRPr="000B24E0" w:rsidRDefault="00BD321A" w:rsidP="00BD321A">
      <w:pPr>
        <w:rPr>
          <w:b/>
          <w:lang w:val="en-GB"/>
        </w:rPr>
      </w:pPr>
      <w:r w:rsidRPr="000B24E0">
        <w:rPr>
          <w:b/>
          <w:lang w:val="en-GB"/>
        </w:rPr>
        <w:t>Working Party on the Transport of Dangerous Goods</w:t>
      </w:r>
      <w:r w:rsidRPr="000B24E0">
        <w:rPr>
          <w:b/>
          <w:lang w:val="en-GB"/>
        </w:rPr>
        <w:tab/>
      </w:r>
      <w:r w:rsidRPr="000B24E0">
        <w:rPr>
          <w:b/>
          <w:lang w:val="en-GB"/>
        </w:rPr>
        <w:tab/>
      </w:r>
      <w:r w:rsidRPr="000B24E0">
        <w:rPr>
          <w:b/>
          <w:lang w:val="en-GB"/>
        </w:rPr>
        <w:tab/>
      </w:r>
      <w:r w:rsidRPr="000B24E0">
        <w:rPr>
          <w:b/>
          <w:lang w:val="en-GB"/>
        </w:rPr>
        <w:tab/>
      </w:r>
      <w:r w:rsidRPr="000B24E0">
        <w:rPr>
          <w:b/>
          <w:lang w:val="en-GB"/>
        </w:rPr>
        <w:tab/>
      </w:r>
      <w:r w:rsidR="001E7CD8" w:rsidRPr="000B24E0">
        <w:rPr>
          <w:b/>
          <w:lang w:val="en-GB"/>
        </w:rPr>
        <w:t>21</w:t>
      </w:r>
      <w:r w:rsidR="009C4B9E" w:rsidRPr="000B24E0">
        <w:rPr>
          <w:b/>
          <w:lang w:val="en-GB"/>
        </w:rPr>
        <w:t xml:space="preserve"> February 2023</w:t>
      </w:r>
    </w:p>
    <w:p w14:paraId="013E2330" w14:textId="7FA72AD4" w:rsidR="00BD321A" w:rsidRPr="000B24E0" w:rsidRDefault="009C4B9E" w:rsidP="00BD321A">
      <w:pPr>
        <w:rPr>
          <w:lang w:val="en-GB"/>
        </w:rPr>
      </w:pPr>
      <w:r w:rsidRPr="000B24E0">
        <w:rPr>
          <w:lang w:val="en-GB"/>
        </w:rPr>
        <w:t>Bern</w:t>
      </w:r>
      <w:r w:rsidR="00BD321A" w:rsidRPr="000B24E0">
        <w:rPr>
          <w:lang w:val="en-GB"/>
        </w:rPr>
        <w:t xml:space="preserve">, </w:t>
      </w:r>
      <w:r w:rsidRPr="000B24E0">
        <w:rPr>
          <w:lang w:val="en-GB"/>
        </w:rPr>
        <w:t>20-24 March 2023</w:t>
      </w:r>
    </w:p>
    <w:p w14:paraId="47D8A1AF" w14:textId="0585FFD2" w:rsidR="00BD321A" w:rsidRPr="000B24E0" w:rsidRDefault="00BD321A" w:rsidP="00BD321A">
      <w:pPr>
        <w:rPr>
          <w:lang w:val="en-GB" w:eastAsia="fr-FR"/>
        </w:rPr>
      </w:pPr>
      <w:r w:rsidRPr="000B24E0">
        <w:rPr>
          <w:lang w:val="en-GB"/>
        </w:rPr>
        <w:t>Item 5 (</w:t>
      </w:r>
      <w:r w:rsidR="009C4B9E" w:rsidRPr="000B24E0">
        <w:rPr>
          <w:lang w:val="en-GB"/>
        </w:rPr>
        <w:t>a</w:t>
      </w:r>
      <w:r w:rsidRPr="000B24E0">
        <w:rPr>
          <w:lang w:val="en-GB"/>
        </w:rPr>
        <w:t>) of the provisional agenda</w:t>
      </w:r>
    </w:p>
    <w:p w14:paraId="5CBF87B9" w14:textId="77777777" w:rsidR="00BD321A" w:rsidRPr="000B24E0" w:rsidRDefault="00BD321A" w:rsidP="00BD321A">
      <w:pPr>
        <w:rPr>
          <w:b/>
          <w:lang w:val="en-GB"/>
        </w:rPr>
      </w:pPr>
      <w:r w:rsidRPr="000B24E0">
        <w:rPr>
          <w:b/>
          <w:lang w:val="en-GB"/>
        </w:rPr>
        <w:t>Proposals for amendments to RID/ADR/ADN:</w:t>
      </w:r>
    </w:p>
    <w:p w14:paraId="34063FA6" w14:textId="188197B1" w:rsidR="00EC38AB" w:rsidRPr="000B24E0" w:rsidRDefault="009C4B9E" w:rsidP="00BD321A">
      <w:pPr>
        <w:rPr>
          <w:b/>
          <w:bCs/>
          <w:lang w:val="en-GB"/>
        </w:rPr>
      </w:pPr>
      <w:r w:rsidRPr="000B24E0">
        <w:rPr>
          <w:b/>
          <w:lang w:val="en-GB"/>
        </w:rPr>
        <w:t>Pending issues</w:t>
      </w:r>
    </w:p>
    <w:p w14:paraId="59D64574" w14:textId="6741C04C" w:rsidR="00EC38AB" w:rsidRPr="000B24E0" w:rsidRDefault="00EC38AB" w:rsidP="009A0C24">
      <w:pPr>
        <w:pStyle w:val="HChG"/>
        <w:rPr>
          <w:bCs/>
          <w:highlight w:val="yellow"/>
          <w:lang w:val="en-GB"/>
        </w:rPr>
      </w:pPr>
      <w:r w:rsidRPr="000B24E0">
        <w:rPr>
          <w:bCs/>
          <w:szCs w:val="28"/>
          <w:lang w:val="en-GB"/>
        </w:rPr>
        <w:tab/>
      </w:r>
      <w:r w:rsidRPr="000B24E0">
        <w:rPr>
          <w:bCs/>
          <w:szCs w:val="28"/>
          <w:lang w:val="en-GB"/>
        </w:rPr>
        <w:tab/>
      </w:r>
      <w:r w:rsidR="006D75E5" w:rsidRPr="000B24E0">
        <w:rPr>
          <w:bCs/>
          <w:szCs w:val="28"/>
          <w:lang w:val="en-GB"/>
        </w:rPr>
        <w:t>Comments on document</w:t>
      </w:r>
      <w:r w:rsidR="00E32B3B" w:rsidRPr="000B24E0">
        <w:rPr>
          <w:bCs/>
          <w:szCs w:val="28"/>
          <w:lang w:val="en-GB"/>
        </w:rPr>
        <w:t xml:space="preserve"> </w:t>
      </w:r>
      <w:bookmarkStart w:id="0" w:name="_Hlk113574634"/>
      <w:r w:rsidR="00E32B3B" w:rsidRPr="000B24E0">
        <w:rPr>
          <w:lang w:val="en-GB"/>
        </w:rPr>
        <w:t>ECE/TRANS/WP.15/AC.1/202</w:t>
      </w:r>
      <w:bookmarkEnd w:id="0"/>
      <w:r w:rsidR="009C4B9E" w:rsidRPr="000B24E0">
        <w:rPr>
          <w:lang w:val="en-GB"/>
        </w:rPr>
        <w:t>3</w:t>
      </w:r>
      <w:r w:rsidR="00E32B3B" w:rsidRPr="000B24E0">
        <w:rPr>
          <w:lang w:val="en-GB"/>
        </w:rPr>
        <w:t>/</w:t>
      </w:r>
      <w:r w:rsidR="009C4B9E" w:rsidRPr="000B24E0">
        <w:rPr>
          <w:lang w:val="en-GB"/>
        </w:rPr>
        <w:t>22</w:t>
      </w:r>
      <w:r w:rsidR="00E32B3B" w:rsidRPr="000B24E0">
        <w:rPr>
          <w:lang w:val="en-GB"/>
        </w:rPr>
        <w:t xml:space="preserve"> from COSTHA</w:t>
      </w:r>
    </w:p>
    <w:p w14:paraId="58BE143F" w14:textId="5F111872" w:rsidR="006D2658" w:rsidRPr="000B24E0" w:rsidRDefault="006D2658" w:rsidP="00CA388C">
      <w:pPr>
        <w:pStyle w:val="H1G"/>
        <w:rPr>
          <w:lang w:val="en-GB"/>
        </w:rPr>
      </w:pPr>
      <w:r w:rsidRPr="000B24E0">
        <w:rPr>
          <w:lang w:val="en-GB"/>
        </w:rPr>
        <w:tab/>
      </w:r>
      <w:r w:rsidRPr="000B24E0">
        <w:rPr>
          <w:lang w:val="en-GB"/>
        </w:rPr>
        <w:tab/>
      </w:r>
      <w:r w:rsidRPr="000B24E0">
        <w:rPr>
          <w:lang w:val="en-GB"/>
        </w:rPr>
        <w:tab/>
        <w:t>Transmitted by the Government of France</w:t>
      </w:r>
    </w:p>
    <w:p w14:paraId="3307FBA9" w14:textId="47F2BE0D" w:rsidR="006D2658" w:rsidRPr="000B24E0" w:rsidRDefault="00CA388C" w:rsidP="00CA388C">
      <w:pPr>
        <w:pStyle w:val="HChG"/>
        <w:rPr>
          <w:lang w:val="en-GB"/>
        </w:rPr>
      </w:pPr>
      <w:r w:rsidRPr="000B24E0">
        <w:rPr>
          <w:lang w:val="en-GB"/>
        </w:rPr>
        <w:tab/>
      </w:r>
      <w:r w:rsidRPr="000B24E0">
        <w:rPr>
          <w:lang w:val="en-GB"/>
        </w:rPr>
        <w:tab/>
      </w:r>
      <w:r w:rsidR="006D2658" w:rsidRPr="000B24E0">
        <w:rPr>
          <w:lang w:val="en-GB"/>
        </w:rPr>
        <w:t>Introduction</w:t>
      </w:r>
    </w:p>
    <w:p w14:paraId="0452FF4F" w14:textId="61BB175D" w:rsidR="00EC38AB" w:rsidRPr="000B24E0" w:rsidRDefault="004949C2" w:rsidP="009A0C24">
      <w:pPr>
        <w:pStyle w:val="SingleTxtG"/>
        <w:rPr>
          <w:lang w:val="en-GB"/>
        </w:rPr>
      </w:pPr>
      <w:r w:rsidRPr="000B24E0">
        <w:rPr>
          <w:lang w:val="en-GB"/>
        </w:rPr>
        <w:t>1.</w:t>
      </w:r>
      <w:r w:rsidR="00453E23" w:rsidRPr="000B24E0">
        <w:rPr>
          <w:lang w:val="en-GB"/>
        </w:rPr>
        <w:tab/>
      </w:r>
      <w:r w:rsidR="00EC38AB" w:rsidRPr="000B24E0">
        <w:rPr>
          <w:lang w:val="en-GB"/>
        </w:rPr>
        <w:t>France thank</w:t>
      </w:r>
      <w:r w:rsidR="00A01019" w:rsidRPr="000B24E0">
        <w:rPr>
          <w:lang w:val="en-GB"/>
        </w:rPr>
        <w:t>s</w:t>
      </w:r>
      <w:r w:rsidR="00EC38AB" w:rsidRPr="000B24E0">
        <w:rPr>
          <w:lang w:val="en-GB"/>
        </w:rPr>
        <w:t xml:space="preserve"> COSTHA for the</w:t>
      </w:r>
      <w:r w:rsidR="009C4B9E" w:rsidRPr="000B24E0">
        <w:rPr>
          <w:lang w:val="en-GB"/>
        </w:rPr>
        <w:t xml:space="preserve"> ne</w:t>
      </w:r>
      <w:r w:rsidR="00643296" w:rsidRPr="000B24E0">
        <w:rPr>
          <w:lang w:val="en-GB"/>
        </w:rPr>
        <w:t>w</w:t>
      </w:r>
      <w:r w:rsidR="00EC38AB" w:rsidRPr="000B24E0">
        <w:rPr>
          <w:lang w:val="en-GB"/>
        </w:rPr>
        <w:t xml:space="preserve"> proposal concerning the introduction of </w:t>
      </w:r>
      <w:r w:rsidR="009C4B9E" w:rsidRPr="000B24E0">
        <w:rPr>
          <w:lang w:val="en-GB"/>
        </w:rPr>
        <w:t>specific</w:t>
      </w:r>
      <w:r w:rsidR="00EC38AB" w:rsidRPr="000B24E0">
        <w:rPr>
          <w:lang w:val="en-GB"/>
        </w:rPr>
        <w:t xml:space="preserve"> provisions in relation with grocery delivery services.</w:t>
      </w:r>
    </w:p>
    <w:p w14:paraId="7F1919FD" w14:textId="15854A3D" w:rsidR="00EC38AB" w:rsidRPr="000B24E0" w:rsidRDefault="00EC38AB" w:rsidP="009A0C24">
      <w:pPr>
        <w:pStyle w:val="SingleTxtG"/>
        <w:rPr>
          <w:lang w:val="en-GB"/>
        </w:rPr>
      </w:pPr>
      <w:r w:rsidRPr="000B24E0">
        <w:rPr>
          <w:lang w:val="en-GB"/>
        </w:rPr>
        <w:t>2.</w:t>
      </w:r>
      <w:r w:rsidR="00453E23" w:rsidRPr="000B24E0">
        <w:rPr>
          <w:lang w:val="en-GB"/>
        </w:rPr>
        <w:tab/>
      </w:r>
      <w:r w:rsidR="00EA08A3" w:rsidRPr="000B24E0">
        <w:rPr>
          <w:lang w:val="en-GB"/>
        </w:rPr>
        <w:t>Fra</w:t>
      </w:r>
      <w:r w:rsidR="00E32B3B" w:rsidRPr="000B24E0">
        <w:rPr>
          <w:lang w:val="en-GB"/>
        </w:rPr>
        <w:t xml:space="preserve">nce </w:t>
      </w:r>
      <w:r w:rsidR="008A018B">
        <w:rPr>
          <w:lang w:val="en-GB"/>
        </w:rPr>
        <w:t>believes</w:t>
      </w:r>
      <w:r w:rsidR="00E32B3B" w:rsidRPr="000B24E0">
        <w:rPr>
          <w:lang w:val="en-GB"/>
        </w:rPr>
        <w:t xml:space="preserve"> that the documents are dealing</w:t>
      </w:r>
      <w:r w:rsidR="00451E02" w:rsidRPr="000B24E0">
        <w:rPr>
          <w:lang w:val="en-GB"/>
        </w:rPr>
        <w:t xml:space="preserve"> </w:t>
      </w:r>
      <w:r w:rsidR="00E32B3B" w:rsidRPr="000B24E0">
        <w:rPr>
          <w:lang w:val="en-GB"/>
        </w:rPr>
        <w:t>with</w:t>
      </w:r>
      <w:r w:rsidR="00EA08A3" w:rsidRPr="000B24E0">
        <w:rPr>
          <w:lang w:val="en-GB"/>
        </w:rPr>
        <w:t xml:space="preserve"> a real </w:t>
      </w:r>
      <w:r w:rsidR="00E32B3B" w:rsidRPr="000B24E0">
        <w:rPr>
          <w:lang w:val="en-GB"/>
        </w:rPr>
        <w:t xml:space="preserve">issue and that adapting the </w:t>
      </w:r>
      <w:r w:rsidR="00EA08A3" w:rsidRPr="000B24E0">
        <w:rPr>
          <w:lang w:val="en-GB"/>
        </w:rPr>
        <w:t>regulatory provisions governing</w:t>
      </w:r>
      <w:r w:rsidR="00E32B3B" w:rsidRPr="000B24E0">
        <w:rPr>
          <w:lang w:val="en-GB"/>
        </w:rPr>
        <w:t xml:space="preserve"> this sector of activity would help</w:t>
      </w:r>
      <w:r w:rsidR="00B31982" w:rsidRPr="000B24E0">
        <w:rPr>
          <w:lang w:val="en-GB"/>
        </w:rPr>
        <w:t>.</w:t>
      </w:r>
      <w:r w:rsidR="00A43AAA" w:rsidRPr="000B24E0">
        <w:rPr>
          <w:lang w:val="en-GB"/>
        </w:rPr>
        <w:t xml:space="preserve"> We recognize that there are a lot of p</w:t>
      </w:r>
      <w:r w:rsidR="00AD61A2" w:rsidRPr="000B24E0">
        <w:rPr>
          <w:lang w:val="en-GB"/>
        </w:rPr>
        <w:t>r</w:t>
      </w:r>
      <w:r w:rsidR="00A43AAA" w:rsidRPr="000B24E0">
        <w:rPr>
          <w:lang w:val="en-GB"/>
        </w:rPr>
        <w:t>ogress and implements concerning this proposal.</w:t>
      </w:r>
    </w:p>
    <w:p w14:paraId="01070A22" w14:textId="1652BA3C" w:rsidR="00EC38AB" w:rsidRPr="000B24E0" w:rsidRDefault="00EC38AB" w:rsidP="009A0C24">
      <w:pPr>
        <w:pStyle w:val="SingleTxtG"/>
        <w:rPr>
          <w:lang w:val="en-GB"/>
        </w:rPr>
      </w:pPr>
      <w:r w:rsidRPr="000B24E0">
        <w:rPr>
          <w:lang w:val="en-GB"/>
        </w:rPr>
        <w:t>3.</w:t>
      </w:r>
      <w:r w:rsidR="00453E23" w:rsidRPr="000B24E0">
        <w:rPr>
          <w:lang w:val="en-GB"/>
        </w:rPr>
        <w:tab/>
      </w:r>
      <w:r w:rsidR="000338EC" w:rsidRPr="000B24E0">
        <w:rPr>
          <w:lang w:val="en-GB"/>
        </w:rPr>
        <w:t>However,</w:t>
      </w:r>
      <w:r w:rsidR="00E32B3B" w:rsidRPr="000B24E0">
        <w:rPr>
          <w:lang w:val="en-GB"/>
        </w:rPr>
        <w:t xml:space="preserve"> in our view</w:t>
      </w:r>
      <w:r w:rsidR="000338EC" w:rsidRPr="000B24E0">
        <w:rPr>
          <w:lang w:val="en-GB"/>
        </w:rPr>
        <w:t xml:space="preserve"> </w:t>
      </w:r>
      <w:r w:rsidR="00451E02" w:rsidRPr="000B24E0">
        <w:rPr>
          <w:lang w:val="en-GB"/>
        </w:rPr>
        <w:t xml:space="preserve">there are still some problems with the proposals as drafted </w:t>
      </w:r>
      <w:r w:rsidR="000338EC" w:rsidRPr="000B24E0">
        <w:rPr>
          <w:lang w:val="en-GB"/>
        </w:rPr>
        <w:t>by COSTHA</w:t>
      </w:r>
      <w:r w:rsidR="00451E02" w:rsidRPr="000B24E0">
        <w:rPr>
          <w:lang w:val="en-GB"/>
        </w:rPr>
        <w:t xml:space="preserve">. </w:t>
      </w:r>
      <w:r w:rsidR="00C20AFD" w:rsidRPr="000B24E0">
        <w:rPr>
          <w:lang w:val="en-GB"/>
        </w:rPr>
        <w:t>T</w:t>
      </w:r>
      <w:r w:rsidR="00451E02" w:rsidRPr="000B24E0">
        <w:rPr>
          <w:lang w:val="en-GB"/>
        </w:rPr>
        <w:t>o facilitate the discussion in the meeting</w:t>
      </w:r>
      <w:r w:rsidR="00AD61A2" w:rsidRPr="000B24E0">
        <w:rPr>
          <w:lang w:val="en-GB"/>
        </w:rPr>
        <w:t>,</w:t>
      </w:r>
      <w:r w:rsidR="00451E02" w:rsidRPr="000B24E0">
        <w:rPr>
          <w:lang w:val="en-GB"/>
        </w:rPr>
        <w:t xml:space="preserve"> </w:t>
      </w:r>
      <w:r w:rsidR="00153897" w:rsidRPr="000B24E0">
        <w:rPr>
          <w:lang w:val="en-GB"/>
        </w:rPr>
        <w:t>France</w:t>
      </w:r>
      <w:r w:rsidR="00451E02" w:rsidRPr="000B24E0">
        <w:rPr>
          <w:lang w:val="en-GB"/>
        </w:rPr>
        <w:t xml:space="preserve"> would like to propose </w:t>
      </w:r>
      <w:r w:rsidR="009C4B9E" w:rsidRPr="000B24E0">
        <w:rPr>
          <w:lang w:val="en-GB"/>
        </w:rPr>
        <w:t>an</w:t>
      </w:r>
      <w:r w:rsidR="00451E02" w:rsidRPr="000B24E0">
        <w:rPr>
          <w:lang w:val="en-GB"/>
        </w:rPr>
        <w:t xml:space="preserve"> amended text. More precisely</w:t>
      </w:r>
      <w:r w:rsidR="00DA1EAA">
        <w:rPr>
          <w:lang w:val="en-GB"/>
        </w:rPr>
        <w:t>,</w:t>
      </w:r>
      <w:r w:rsidR="00451E02" w:rsidRPr="000B24E0">
        <w:rPr>
          <w:lang w:val="en-GB"/>
        </w:rPr>
        <w:t xml:space="preserve"> the main issues </w:t>
      </w:r>
      <w:r w:rsidR="000F4CB4" w:rsidRPr="000B24E0">
        <w:rPr>
          <w:lang w:val="en-GB"/>
        </w:rPr>
        <w:t>are as follows</w:t>
      </w:r>
      <w:r w:rsidR="00451E02" w:rsidRPr="000B24E0">
        <w:rPr>
          <w:lang w:val="en-GB"/>
        </w:rPr>
        <w:t>:</w:t>
      </w:r>
    </w:p>
    <w:p w14:paraId="061C5A5A" w14:textId="609176DC" w:rsidR="00EC38AB" w:rsidRPr="000B24E0" w:rsidRDefault="009C4B9E" w:rsidP="00453E23">
      <w:pPr>
        <w:pStyle w:val="SingleTxtG"/>
        <w:numPr>
          <w:ilvl w:val="4"/>
          <w:numId w:val="37"/>
        </w:numPr>
        <w:ind w:left="2268" w:hanging="567"/>
        <w:rPr>
          <w:lang w:val="en-GB"/>
        </w:rPr>
      </w:pPr>
      <w:r w:rsidRPr="000B24E0">
        <w:rPr>
          <w:lang w:val="en-GB"/>
        </w:rPr>
        <w:t xml:space="preserve">The distance </w:t>
      </w:r>
      <w:r w:rsidR="00643296" w:rsidRPr="000B24E0">
        <w:rPr>
          <w:lang w:val="en-GB"/>
        </w:rPr>
        <w:t xml:space="preserve">seems </w:t>
      </w:r>
      <w:proofErr w:type="spellStart"/>
      <w:r w:rsidR="00643296" w:rsidRPr="000B24E0">
        <w:rPr>
          <w:lang w:val="en-GB"/>
        </w:rPr>
        <w:t>exagerated</w:t>
      </w:r>
      <w:proofErr w:type="spellEnd"/>
      <w:r w:rsidR="00643296" w:rsidRPr="000B24E0">
        <w:rPr>
          <w:lang w:val="en-GB"/>
        </w:rPr>
        <w:t xml:space="preserve"> in the context of land transport in Europe. We would like to propose a shorter distance of 5</w:t>
      </w:r>
      <w:r w:rsidR="00D1492A" w:rsidRPr="000B24E0">
        <w:rPr>
          <w:lang w:val="en-GB"/>
        </w:rPr>
        <w:t xml:space="preserve">0 </w:t>
      </w:r>
      <w:proofErr w:type="spellStart"/>
      <w:r w:rsidR="00D1492A" w:rsidRPr="000B24E0">
        <w:rPr>
          <w:lang w:val="en-GB"/>
        </w:rPr>
        <w:t>kil</w:t>
      </w:r>
      <w:r w:rsidR="00947547" w:rsidRPr="000B24E0">
        <w:rPr>
          <w:lang w:val="en-GB"/>
        </w:rPr>
        <w:t>o</w:t>
      </w:r>
      <w:r w:rsidR="00D1492A" w:rsidRPr="000B24E0">
        <w:rPr>
          <w:lang w:val="en-GB"/>
        </w:rPr>
        <w:t>mete</w:t>
      </w:r>
      <w:r w:rsidR="00947547" w:rsidRPr="000B24E0">
        <w:rPr>
          <w:lang w:val="en-GB"/>
        </w:rPr>
        <w:t>r</w:t>
      </w:r>
      <w:r w:rsidR="00D1492A" w:rsidRPr="000B24E0">
        <w:rPr>
          <w:lang w:val="en-GB"/>
        </w:rPr>
        <w:t>s</w:t>
      </w:r>
      <w:proofErr w:type="spellEnd"/>
      <w:r w:rsidR="00947547" w:rsidRPr="000B24E0">
        <w:rPr>
          <w:lang w:val="en-GB"/>
        </w:rPr>
        <w:t>.</w:t>
      </w:r>
    </w:p>
    <w:p w14:paraId="2201B6CE" w14:textId="74CF401F" w:rsidR="00B87F4E" w:rsidRPr="000B24E0" w:rsidRDefault="00897D94" w:rsidP="00453E23">
      <w:pPr>
        <w:pStyle w:val="SingleTxtG"/>
        <w:numPr>
          <w:ilvl w:val="4"/>
          <w:numId w:val="37"/>
        </w:numPr>
        <w:ind w:left="2268" w:hanging="567"/>
        <w:rPr>
          <w:lang w:val="en-GB"/>
        </w:rPr>
      </w:pPr>
      <w:r w:rsidRPr="000B24E0">
        <w:rPr>
          <w:lang w:val="en-GB"/>
        </w:rPr>
        <w:t>To</w:t>
      </w:r>
      <w:r w:rsidR="00B87F4E" w:rsidRPr="000B24E0">
        <w:rPr>
          <w:lang w:val="en-GB"/>
        </w:rPr>
        <w:t xml:space="preserve"> align the new proposal </w:t>
      </w:r>
      <w:r w:rsidR="00947547" w:rsidRPr="000B24E0">
        <w:rPr>
          <w:lang w:val="en-GB"/>
        </w:rPr>
        <w:t xml:space="preserve">with </w:t>
      </w:r>
      <w:r w:rsidR="00B87F4E" w:rsidRPr="000B24E0">
        <w:rPr>
          <w:lang w:val="en-GB"/>
        </w:rPr>
        <w:t>exemption</w:t>
      </w:r>
      <w:r w:rsidR="00947547" w:rsidRPr="000B24E0">
        <w:rPr>
          <w:lang w:val="en-GB"/>
        </w:rPr>
        <w:t xml:space="preserve"> regimes</w:t>
      </w:r>
      <w:r w:rsidR="00B87F4E" w:rsidRPr="000B24E0">
        <w:rPr>
          <w:lang w:val="en-GB"/>
        </w:rPr>
        <w:t xml:space="preserve"> from </w:t>
      </w:r>
      <w:r w:rsidR="00947547" w:rsidRPr="000B24E0">
        <w:rPr>
          <w:lang w:val="en-GB"/>
        </w:rPr>
        <w:t xml:space="preserve">1.1.3.1 </w:t>
      </w:r>
      <w:r>
        <w:rPr>
          <w:lang w:val="en-GB"/>
        </w:rPr>
        <w:t>(</w:t>
      </w:r>
      <w:r w:rsidR="00947547" w:rsidRPr="000B24E0">
        <w:rPr>
          <w:lang w:val="en-GB"/>
        </w:rPr>
        <w:t xml:space="preserve">c) and </w:t>
      </w:r>
      <w:r w:rsidR="00B87F4E" w:rsidRPr="000B24E0">
        <w:rPr>
          <w:lang w:val="en-GB"/>
        </w:rPr>
        <w:t>1.1.3</w:t>
      </w:r>
      <w:r w:rsidR="00947547" w:rsidRPr="000B24E0">
        <w:rPr>
          <w:lang w:val="en-GB"/>
        </w:rPr>
        <w:t xml:space="preserve">.6.3, </w:t>
      </w:r>
      <w:r w:rsidR="00B87F4E" w:rsidRPr="000B24E0">
        <w:rPr>
          <w:lang w:val="en-GB"/>
        </w:rPr>
        <w:t xml:space="preserve">the total quantity of dangerous goods carried in </w:t>
      </w:r>
      <w:r>
        <w:rPr>
          <w:lang w:val="en-GB"/>
        </w:rPr>
        <w:t xml:space="preserve">a </w:t>
      </w:r>
      <w:r w:rsidR="00B87F4E" w:rsidRPr="000B24E0">
        <w:rPr>
          <w:lang w:val="en-GB"/>
        </w:rPr>
        <w:t>transport unit shouldn’t ex</w:t>
      </w:r>
      <w:r w:rsidR="00A43AAA" w:rsidRPr="000B24E0">
        <w:rPr>
          <w:lang w:val="en-GB"/>
        </w:rPr>
        <w:t>c</w:t>
      </w:r>
      <w:r w:rsidR="00B87F4E" w:rsidRPr="000B24E0">
        <w:rPr>
          <w:lang w:val="en-GB"/>
        </w:rPr>
        <w:t xml:space="preserve">eed 333 </w:t>
      </w:r>
      <w:r w:rsidR="00D1492A" w:rsidRPr="000B24E0">
        <w:rPr>
          <w:lang w:val="en-GB"/>
        </w:rPr>
        <w:t>kilograms or litres</w:t>
      </w:r>
      <w:r w:rsidR="00B87F4E" w:rsidRPr="000B24E0">
        <w:rPr>
          <w:lang w:val="en-GB"/>
        </w:rPr>
        <w:t xml:space="preserve">. </w:t>
      </w:r>
      <w:r w:rsidRPr="000B24E0">
        <w:rPr>
          <w:lang w:val="en-GB"/>
        </w:rPr>
        <w:t>Ind</w:t>
      </w:r>
      <w:r>
        <w:rPr>
          <w:lang w:val="en-GB"/>
        </w:rPr>
        <w:t>e</w:t>
      </w:r>
      <w:r w:rsidRPr="000B24E0">
        <w:rPr>
          <w:lang w:val="en-GB"/>
        </w:rPr>
        <w:t>ed,</w:t>
      </w:r>
      <w:r w:rsidR="00A43AAA" w:rsidRPr="000B24E0">
        <w:rPr>
          <w:lang w:val="en-GB"/>
        </w:rPr>
        <w:t xml:space="preserve"> it’s not logical to have a wider exe</w:t>
      </w:r>
      <w:r w:rsidR="00AD61A2" w:rsidRPr="000B24E0">
        <w:rPr>
          <w:lang w:val="en-GB"/>
        </w:rPr>
        <w:t>m</w:t>
      </w:r>
      <w:r w:rsidR="00A43AAA" w:rsidRPr="000B24E0">
        <w:rPr>
          <w:lang w:val="en-GB"/>
        </w:rPr>
        <w:t>ption with bigger quantities.</w:t>
      </w:r>
    </w:p>
    <w:p w14:paraId="1393AA60" w14:textId="477A430A" w:rsidR="0049079F" w:rsidRPr="000B24E0" w:rsidRDefault="00451E02" w:rsidP="00453E23">
      <w:pPr>
        <w:pStyle w:val="SingleTxtG"/>
        <w:numPr>
          <w:ilvl w:val="4"/>
          <w:numId w:val="37"/>
        </w:numPr>
        <w:ind w:left="2268" w:hanging="567"/>
        <w:rPr>
          <w:lang w:val="en-GB"/>
        </w:rPr>
      </w:pPr>
      <w:r w:rsidRPr="000B24E0">
        <w:rPr>
          <w:lang w:val="en-GB"/>
        </w:rPr>
        <w:t>For</w:t>
      </w:r>
      <w:r w:rsidR="0049079F" w:rsidRPr="000B24E0">
        <w:rPr>
          <w:lang w:val="en-GB"/>
        </w:rPr>
        <w:t xml:space="preserve"> safety reasons</w:t>
      </w:r>
      <w:r w:rsidR="00B87F4E" w:rsidRPr="000B24E0">
        <w:rPr>
          <w:lang w:val="en-GB"/>
        </w:rPr>
        <w:t>,</w:t>
      </w:r>
      <w:r w:rsidR="0049079F" w:rsidRPr="000B24E0">
        <w:rPr>
          <w:lang w:val="en-GB"/>
        </w:rPr>
        <w:t xml:space="preserve"> </w:t>
      </w:r>
      <w:r w:rsidR="00B87F4E" w:rsidRPr="000B24E0">
        <w:rPr>
          <w:lang w:val="en-GB"/>
        </w:rPr>
        <w:t xml:space="preserve">the quantities of </w:t>
      </w:r>
      <w:r w:rsidR="0049079F" w:rsidRPr="000B24E0">
        <w:rPr>
          <w:lang w:val="en-GB"/>
        </w:rPr>
        <w:t xml:space="preserve">Class 2 materials, </w:t>
      </w:r>
      <w:r w:rsidR="00D1492A" w:rsidRPr="000B24E0">
        <w:rPr>
          <w:lang w:val="en-GB"/>
        </w:rPr>
        <w:t>ex</w:t>
      </w:r>
      <w:r w:rsidR="00AD61A2" w:rsidRPr="000B24E0">
        <w:rPr>
          <w:lang w:val="en-GB"/>
        </w:rPr>
        <w:t>c</w:t>
      </w:r>
      <w:r w:rsidR="00D1492A" w:rsidRPr="000B24E0">
        <w:rPr>
          <w:lang w:val="en-GB"/>
        </w:rPr>
        <w:t>ept</w:t>
      </w:r>
      <w:r w:rsidR="0049079F" w:rsidRPr="000B24E0">
        <w:rPr>
          <w:lang w:val="en-GB"/>
        </w:rPr>
        <w:t xml:space="preserve"> aerosols (UN</w:t>
      </w:r>
      <w:r w:rsidR="00F9573D" w:rsidRPr="000B24E0">
        <w:rPr>
          <w:lang w:val="en-GB"/>
        </w:rPr>
        <w:t xml:space="preserve"> </w:t>
      </w:r>
      <w:r w:rsidR="0049079F" w:rsidRPr="000B24E0">
        <w:rPr>
          <w:lang w:val="en-GB"/>
        </w:rPr>
        <w:t>1950) and gas cartridges (UN</w:t>
      </w:r>
      <w:r w:rsidR="00F9573D" w:rsidRPr="000B24E0">
        <w:rPr>
          <w:lang w:val="en-GB"/>
        </w:rPr>
        <w:t xml:space="preserve"> </w:t>
      </w:r>
      <w:r w:rsidR="0049079F" w:rsidRPr="000B24E0">
        <w:rPr>
          <w:lang w:val="en-GB"/>
        </w:rPr>
        <w:t>2037)</w:t>
      </w:r>
      <w:r w:rsidR="00B87F4E" w:rsidRPr="000B24E0">
        <w:rPr>
          <w:lang w:val="en-GB"/>
        </w:rPr>
        <w:t>,</w:t>
      </w:r>
      <w:r w:rsidR="0049079F" w:rsidRPr="000B24E0">
        <w:rPr>
          <w:lang w:val="en-GB"/>
        </w:rPr>
        <w:t xml:space="preserve"> should not </w:t>
      </w:r>
      <w:proofErr w:type="spellStart"/>
      <w:r w:rsidR="00B87F4E" w:rsidRPr="000B24E0">
        <w:rPr>
          <w:lang w:val="en-GB"/>
        </w:rPr>
        <w:t>exeed</w:t>
      </w:r>
      <w:proofErr w:type="spellEnd"/>
      <w:r w:rsidR="00B87F4E" w:rsidRPr="000B24E0">
        <w:rPr>
          <w:lang w:val="en-GB"/>
        </w:rPr>
        <w:t xml:space="preserve"> 50 </w:t>
      </w:r>
      <w:r w:rsidR="00D1492A" w:rsidRPr="000B24E0">
        <w:rPr>
          <w:lang w:val="en-GB"/>
        </w:rPr>
        <w:t>kilograms or litres</w:t>
      </w:r>
      <w:r w:rsidR="0049079F" w:rsidRPr="000B24E0">
        <w:rPr>
          <w:lang w:val="en-GB"/>
        </w:rPr>
        <w:t>.</w:t>
      </w:r>
      <w:r w:rsidR="00643296" w:rsidRPr="000B24E0">
        <w:rPr>
          <w:lang w:val="en-GB"/>
        </w:rPr>
        <w:t xml:space="preserve"> </w:t>
      </w:r>
      <w:r w:rsidR="00897D94" w:rsidRPr="000B24E0">
        <w:rPr>
          <w:lang w:val="en-GB"/>
        </w:rPr>
        <w:t>Otherwise,</w:t>
      </w:r>
      <w:r w:rsidR="00643296" w:rsidRPr="000B24E0">
        <w:rPr>
          <w:lang w:val="en-GB"/>
        </w:rPr>
        <w:t xml:space="preserve"> </w:t>
      </w:r>
      <w:r w:rsidR="00FD0B21">
        <w:rPr>
          <w:lang w:val="en-GB"/>
        </w:rPr>
        <w:t>i</w:t>
      </w:r>
      <w:r w:rsidR="00643296" w:rsidRPr="000B24E0">
        <w:rPr>
          <w:lang w:val="en-GB"/>
        </w:rPr>
        <w:t>t would be possible to</w:t>
      </w:r>
      <w:r w:rsidR="004326D1" w:rsidRPr="000B24E0">
        <w:rPr>
          <w:lang w:val="en-GB"/>
        </w:rPr>
        <w:t xml:space="preserve"> carry one hundred twenty 2</w:t>
      </w:r>
      <w:r w:rsidR="00DE3737">
        <w:rPr>
          <w:lang w:val="en-GB"/>
        </w:rPr>
        <w:t>.</w:t>
      </w:r>
      <w:r w:rsidR="004326D1" w:rsidRPr="000B24E0">
        <w:rPr>
          <w:lang w:val="en-GB"/>
        </w:rPr>
        <w:t>75</w:t>
      </w:r>
      <w:r w:rsidR="00643296" w:rsidRPr="000B24E0">
        <w:rPr>
          <w:lang w:val="en-GB"/>
        </w:rPr>
        <w:t xml:space="preserve"> kg </w:t>
      </w:r>
      <w:proofErr w:type="spellStart"/>
      <w:r w:rsidR="00643296" w:rsidRPr="000B24E0">
        <w:rPr>
          <w:lang w:val="en-GB"/>
        </w:rPr>
        <w:t>gaz</w:t>
      </w:r>
      <w:proofErr w:type="spellEnd"/>
      <w:r w:rsidR="00643296" w:rsidRPr="000B24E0">
        <w:rPr>
          <w:lang w:val="en-GB"/>
        </w:rPr>
        <w:t xml:space="preserve"> cylinders under this exemption.</w:t>
      </w:r>
    </w:p>
    <w:p w14:paraId="425EC308" w14:textId="6E1AAC75" w:rsidR="00A50393" w:rsidRPr="000B24E0" w:rsidRDefault="00B87F4E" w:rsidP="00453E23">
      <w:pPr>
        <w:pStyle w:val="SingleTxtG"/>
        <w:numPr>
          <w:ilvl w:val="4"/>
          <w:numId w:val="37"/>
        </w:numPr>
        <w:ind w:left="2268" w:hanging="567"/>
        <w:rPr>
          <w:lang w:val="en-GB"/>
        </w:rPr>
      </w:pPr>
      <w:r w:rsidRPr="000B24E0">
        <w:rPr>
          <w:lang w:val="en-GB"/>
        </w:rPr>
        <w:t>The last sentence of the proposal should be modified</w:t>
      </w:r>
      <w:r w:rsidR="00A43AAA" w:rsidRPr="000B24E0">
        <w:rPr>
          <w:lang w:val="en-GB"/>
        </w:rPr>
        <w:t xml:space="preserve"> </w:t>
      </w:r>
      <w:r w:rsidR="00F930E3">
        <w:rPr>
          <w:lang w:val="en-GB"/>
        </w:rPr>
        <w:t>and</w:t>
      </w:r>
      <w:r w:rsidR="00A43AAA" w:rsidRPr="000B24E0">
        <w:rPr>
          <w:lang w:val="en-GB"/>
        </w:rPr>
        <w:t xml:space="preserve"> be introduced </w:t>
      </w:r>
      <w:r w:rsidR="00F930E3">
        <w:rPr>
          <w:lang w:val="en-GB"/>
        </w:rPr>
        <w:t>at</w:t>
      </w:r>
      <w:r w:rsidR="00A43AAA" w:rsidRPr="000B24E0">
        <w:rPr>
          <w:lang w:val="en-GB"/>
        </w:rPr>
        <w:t xml:space="preserve"> the beginning of the text</w:t>
      </w:r>
      <w:r w:rsidR="0049079F" w:rsidRPr="000B24E0">
        <w:rPr>
          <w:lang w:val="en-GB"/>
        </w:rPr>
        <w:t>.</w:t>
      </w:r>
      <w:r w:rsidR="00A43AAA" w:rsidRPr="000B24E0">
        <w:rPr>
          <w:lang w:val="en-GB"/>
        </w:rPr>
        <w:t xml:space="preserve"> Naturally leakages should be excluded in all cases anyway.</w:t>
      </w:r>
    </w:p>
    <w:p w14:paraId="5FFF1AAA" w14:textId="16F29C50" w:rsidR="00A50393" w:rsidRPr="000B24E0" w:rsidRDefault="00453E23" w:rsidP="007E6E95">
      <w:pPr>
        <w:pStyle w:val="HChG"/>
        <w:spacing w:before="240" w:after="120" w:line="240" w:lineRule="auto"/>
        <w:rPr>
          <w:lang w:val="en-GB"/>
        </w:rPr>
      </w:pPr>
      <w:r w:rsidRPr="000B24E0">
        <w:rPr>
          <w:lang w:val="en-GB"/>
        </w:rPr>
        <w:tab/>
      </w:r>
      <w:r w:rsidRPr="000B24E0">
        <w:rPr>
          <w:lang w:val="en-GB"/>
        </w:rPr>
        <w:tab/>
      </w:r>
      <w:r w:rsidR="00A50393" w:rsidRPr="000B24E0">
        <w:rPr>
          <w:lang w:val="en-GB"/>
        </w:rPr>
        <w:t>Proposal</w:t>
      </w:r>
    </w:p>
    <w:p w14:paraId="319B4726" w14:textId="0EA229F1" w:rsidR="00A50393" w:rsidRPr="000B24E0" w:rsidRDefault="006D75E5" w:rsidP="00A50393">
      <w:pPr>
        <w:pStyle w:val="SingleTxtG"/>
        <w:snapToGrid w:val="0"/>
        <w:spacing w:before="120" w:line="240" w:lineRule="auto"/>
        <w:ind w:right="1188"/>
        <w:rPr>
          <w:lang w:val="en-GB"/>
        </w:rPr>
      </w:pPr>
      <w:r w:rsidRPr="000B24E0">
        <w:rPr>
          <w:lang w:val="en-GB"/>
        </w:rPr>
        <w:t>4</w:t>
      </w:r>
      <w:r w:rsidR="00A50393" w:rsidRPr="000B24E0">
        <w:rPr>
          <w:lang w:val="en-GB"/>
        </w:rPr>
        <w:t>.</w:t>
      </w:r>
      <w:r w:rsidR="00A50393" w:rsidRPr="000B24E0">
        <w:rPr>
          <w:lang w:val="en-GB"/>
        </w:rPr>
        <w:tab/>
        <w:t xml:space="preserve">Introduce new exemption in 1.1.3.1 and modify the wording proposed in document </w:t>
      </w:r>
      <w:r w:rsidR="008E0AB1" w:rsidRPr="000B24E0">
        <w:rPr>
          <w:lang w:val="en-GB"/>
        </w:rPr>
        <w:t>ECE/TRANS/WP.15/AC.1/</w:t>
      </w:r>
      <w:r w:rsidR="00A50393" w:rsidRPr="000B24E0">
        <w:rPr>
          <w:lang w:val="en-GB"/>
        </w:rPr>
        <w:t>202</w:t>
      </w:r>
      <w:r w:rsidR="00947547" w:rsidRPr="000B24E0">
        <w:rPr>
          <w:lang w:val="en-GB"/>
        </w:rPr>
        <w:t>3</w:t>
      </w:r>
      <w:r w:rsidR="00A50393" w:rsidRPr="000B24E0">
        <w:rPr>
          <w:lang w:val="en-GB"/>
        </w:rPr>
        <w:t>/2</w:t>
      </w:r>
      <w:r w:rsidR="00947547" w:rsidRPr="000B24E0">
        <w:rPr>
          <w:lang w:val="en-GB"/>
        </w:rPr>
        <w:t>2</w:t>
      </w:r>
      <w:r w:rsidR="00A50393" w:rsidRPr="000B24E0">
        <w:rPr>
          <w:lang w:val="en-GB"/>
        </w:rPr>
        <w:t xml:space="preserve"> as follows (new text in </w:t>
      </w:r>
      <w:r w:rsidR="00A50393" w:rsidRPr="000B24E0">
        <w:rPr>
          <w:b/>
          <w:u w:val="single"/>
          <w:lang w:val="en-GB"/>
        </w:rPr>
        <w:t>bold underlined</w:t>
      </w:r>
      <w:r w:rsidR="000F468C" w:rsidRPr="000B24E0">
        <w:rPr>
          <w:bCs/>
          <w:lang w:val="en-GB"/>
        </w:rPr>
        <w:t xml:space="preserve">, </w:t>
      </w:r>
      <w:r w:rsidR="00451E02" w:rsidRPr="000B24E0">
        <w:rPr>
          <w:bCs/>
          <w:lang w:val="en-GB"/>
        </w:rPr>
        <w:t>deleted text</w:t>
      </w:r>
      <w:r w:rsidR="000F468C" w:rsidRPr="000B24E0">
        <w:rPr>
          <w:bCs/>
          <w:lang w:val="en-GB"/>
        </w:rPr>
        <w:t xml:space="preserve"> i</w:t>
      </w:r>
      <w:r w:rsidR="000804A8" w:rsidRPr="000B24E0">
        <w:rPr>
          <w:bCs/>
          <w:lang w:val="en-GB"/>
        </w:rPr>
        <w:t xml:space="preserve">n </w:t>
      </w:r>
      <w:r w:rsidR="00A50393" w:rsidRPr="000B24E0">
        <w:rPr>
          <w:bCs/>
          <w:strike/>
          <w:lang w:val="en-GB"/>
        </w:rPr>
        <w:t>strikethrough</w:t>
      </w:r>
      <w:r w:rsidR="00A50393" w:rsidRPr="000B24E0">
        <w:rPr>
          <w:lang w:val="en-GB"/>
        </w:rPr>
        <w:t>):</w:t>
      </w:r>
    </w:p>
    <w:p w14:paraId="422D8D65" w14:textId="0E813A31" w:rsidR="00D1492A" w:rsidRPr="000B24E0" w:rsidRDefault="00D1492A" w:rsidP="00D1492A">
      <w:pPr>
        <w:pStyle w:val="SingleTxtG"/>
        <w:ind w:left="1701"/>
        <w:rPr>
          <w:b/>
          <w:bCs/>
          <w:lang w:val="en-GB"/>
        </w:rPr>
      </w:pPr>
      <w:r w:rsidRPr="00E05310">
        <w:rPr>
          <w:lang w:val="en-GB"/>
        </w:rPr>
        <w:t>“</w:t>
      </w:r>
      <w:r w:rsidRPr="000B24E0">
        <w:rPr>
          <w:b/>
          <w:bCs/>
          <w:lang w:val="en-GB"/>
        </w:rPr>
        <w:t>1.1.3.1</w:t>
      </w:r>
      <w:r w:rsidRPr="000B24E0">
        <w:rPr>
          <w:b/>
          <w:bCs/>
          <w:lang w:val="en-GB"/>
        </w:rPr>
        <w:tab/>
        <w:t>Exemption related to the nature of the transport operation</w:t>
      </w:r>
    </w:p>
    <w:p w14:paraId="6896292A" w14:textId="3F2D8210" w:rsidR="00D1492A" w:rsidRPr="000B24E0" w:rsidRDefault="00AD61A2" w:rsidP="00D1492A">
      <w:pPr>
        <w:pStyle w:val="SingleTxtG"/>
        <w:ind w:firstLine="567"/>
        <w:rPr>
          <w:lang w:val="en-GB"/>
        </w:rPr>
      </w:pPr>
      <w:r w:rsidRPr="000B24E0">
        <w:rPr>
          <w:lang w:val="en-GB"/>
        </w:rPr>
        <w:t>T</w:t>
      </w:r>
      <w:r w:rsidR="00D1492A" w:rsidRPr="000B24E0">
        <w:rPr>
          <w:lang w:val="en-GB"/>
        </w:rPr>
        <w:t>he provisions laid down in ADR do not apply to:</w:t>
      </w:r>
    </w:p>
    <w:p w14:paraId="63B6296A" w14:textId="77777777" w:rsidR="00D1492A" w:rsidRPr="000B24E0" w:rsidRDefault="00D1492A" w:rsidP="00D1492A">
      <w:pPr>
        <w:pStyle w:val="SingleTxtG"/>
        <w:spacing w:after="0" w:line="240" w:lineRule="auto"/>
        <w:ind w:left="1170" w:right="27" w:firstLine="531"/>
        <w:rPr>
          <w:color w:val="0B0C0C"/>
          <w:lang w:val="en-GB"/>
        </w:rPr>
      </w:pPr>
      <w:r w:rsidRPr="000B24E0">
        <w:rPr>
          <w:color w:val="0B0C0C"/>
          <w:lang w:val="en-GB"/>
        </w:rPr>
        <w:t>...</w:t>
      </w:r>
    </w:p>
    <w:p w14:paraId="5E5FBCB2" w14:textId="1AE0E421" w:rsidR="00D1492A" w:rsidRPr="000B24E0" w:rsidRDefault="00D1492A" w:rsidP="00D1492A">
      <w:pPr>
        <w:pStyle w:val="SingleTxtG"/>
        <w:ind w:left="1701"/>
        <w:rPr>
          <w:lang w:val="en-GB"/>
        </w:rPr>
      </w:pPr>
      <w:r w:rsidRPr="000B24E0">
        <w:rPr>
          <w:lang w:val="en-GB"/>
        </w:rPr>
        <w:t>(g)</w:t>
      </w:r>
      <w:r w:rsidRPr="000B24E0">
        <w:rPr>
          <w:lang w:val="en-GB"/>
        </w:rPr>
        <w:tab/>
      </w:r>
      <w:r w:rsidR="00A01019" w:rsidRPr="000B24E0">
        <w:rPr>
          <w:lang w:val="en-GB"/>
        </w:rPr>
        <w:t>T</w:t>
      </w:r>
      <w:r w:rsidRPr="000B24E0">
        <w:rPr>
          <w:lang w:val="en-GB"/>
        </w:rPr>
        <w:t xml:space="preserve">he carriage of dangerous goods by or on behalf of a consignor which consigns the goods directly to the final consumer (business to end consumer), where the consignment is packaged for retail sale (online, in a brick-and-mortar storefront, </w:t>
      </w:r>
      <w:r w:rsidRPr="000B24E0">
        <w:rPr>
          <w:lang w:val="en-GB"/>
        </w:rPr>
        <w:lastRenderedPageBreak/>
        <w:t xml:space="preserve">through direct sales, or direct mail) is intended for the personal or domestic use of the consignee (i.e., end consumer or recipient), </w:t>
      </w:r>
      <w:r w:rsidR="00A01019" w:rsidRPr="000B24E0">
        <w:rPr>
          <w:b/>
          <w:u w:val="single"/>
          <w:lang w:val="en-GB"/>
        </w:rPr>
        <w:t>provided that measures have been taken to prevent leakages of content in normal conditions of carriage,</w:t>
      </w:r>
      <w:r w:rsidR="00A01019" w:rsidRPr="000B24E0">
        <w:rPr>
          <w:lang w:val="en-GB"/>
        </w:rPr>
        <w:t xml:space="preserve"> </w:t>
      </w:r>
      <w:r w:rsidRPr="000B24E0">
        <w:rPr>
          <w:lang w:val="en-GB"/>
        </w:rPr>
        <w:t>if:</w:t>
      </w:r>
    </w:p>
    <w:p w14:paraId="19D6D5CD" w14:textId="58B002ED" w:rsidR="00D1492A" w:rsidRPr="000B24E0" w:rsidRDefault="00D1492A" w:rsidP="00D1492A">
      <w:pPr>
        <w:pStyle w:val="SingleTxtG"/>
        <w:ind w:left="1701"/>
        <w:rPr>
          <w:lang w:val="en-GB"/>
        </w:rPr>
      </w:pPr>
      <w:r w:rsidRPr="000B24E0">
        <w:rPr>
          <w:lang w:val="en-GB"/>
        </w:rPr>
        <w:tab/>
        <w:t>-</w:t>
      </w:r>
      <w:r w:rsidRPr="000B24E0">
        <w:rPr>
          <w:lang w:val="en-GB"/>
        </w:rPr>
        <w:tab/>
        <w:t xml:space="preserve">The distance between consignor and consignee does not exceed </w:t>
      </w:r>
      <w:r w:rsidRPr="000B24E0">
        <w:rPr>
          <w:strike/>
          <w:lang w:val="en-GB"/>
        </w:rPr>
        <w:t>150</w:t>
      </w:r>
      <w:r w:rsidRPr="000B24E0">
        <w:rPr>
          <w:lang w:val="en-GB"/>
        </w:rPr>
        <w:t xml:space="preserve"> </w:t>
      </w:r>
      <w:r w:rsidRPr="000B24E0">
        <w:rPr>
          <w:b/>
          <w:u w:val="single"/>
          <w:lang w:val="en-GB"/>
        </w:rPr>
        <w:t>50</w:t>
      </w:r>
      <w:r w:rsidRPr="000B24E0">
        <w:rPr>
          <w:lang w:val="en-GB"/>
        </w:rPr>
        <w:t xml:space="preserve"> km;</w:t>
      </w:r>
    </w:p>
    <w:p w14:paraId="61D4EAD8" w14:textId="77777777" w:rsidR="00D1492A" w:rsidRPr="000B24E0" w:rsidRDefault="00D1492A" w:rsidP="00D1492A">
      <w:pPr>
        <w:pStyle w:val="SingleTxtG"/>
        <w:ind w:left="2268" w:hanging="567"/>
        <w:rPr>
          <w:lang w:val="en-GB"/>
        </w:rPr>
      </w:pPr>
      <w:r w:rsidRPr="000B24E0">
        <w:rPr>
          <w:lang w:val="en-GB"/>
        </w:rPr>
        <w:t>-</w:t>
      </w:r>
      <w:r w:rsidRPr="000B24E0">
        <w:rPr>
          <w:lang w:val="en-GB"/>
        </w:rPr>
        <w:tab/>
        <w:t>Measures have been taken to prevent any leakage of contents in normal conditions of carriage;</w:t>
      </w:r>
    </w:p>
    <w:p w14:paraId="40424459" w14:textId="7B68DDDD" w:rsidR="00D1492A" w:rsidRPr="000B24E0" w:rsidRDefault="00D1492A" w:rsidP="00D1492A">
      <w:pPr>
        <w:pStyle w:val="SingleTxtG"/>
        <w:ind w:left="2268" w:hanging="567"/>
        <w:rPr>
          <w:lang w:val="en-GB"/>
        </w:rPr>
      </w:pPr>
      <w:r w:rsidRPr="000B24E0">
        <w:rPr>
          <w:lang w:val="en-GB"/>
        </w:rPr>
        <w:t>-</w:t>
      </w:r>
      <w:r w:rsidRPr="000B24E0">
        <w:rPr>
          <w:lang w:val="en-GB"/>
        </w:rPr>
        <w:tab/>
        <w:t>The maximum quantity of dangerous goods contained in each packaging does not exceed 5 kilograms or litres;</w:t>
      </w:r>
    </w:p>
    <w:p w14:paraId="204030B1" w14:textId="5E943458" w:rsidR="003819F5" w:rsidRPr="000B24E0" w:rsidRDefault="003819F5" w:rsidP="003819F5">
      <w:pPr>
        <w:pStyle w:val="SingleTxtG"/>
        <w:ind w:left="2268" w:hanging="567"/>
        <w:rPr>
          <w:b/>
          <w:u w:val="single"/>
          <w:lang w:val="en-GB"/>
        </w:rPr>
      </w:pPr>
      <w:r w:rsidRPr="000B24E0">
        <w:rPr>
          <w:lang w:val="en-GB"/>
        </w:rPr>
        <w:t>-</w:t>
      </w:r>
      <w:r w:rsidRPr="000B24E0">
        <w:rPr>
          <w:lang w:val="en-GB"/>
        </w:rPr>
        <w:tab/>
      </w:r>
      <w:r w:rsidRPr="000B24E0">
        <w:rPr>
          <w:b/>
          <w:u w:val="single"/>
          <w:lang w:val="en-GB"/>
        </w:rPr>
        <w:t xml:space="preserve">The total quantity of Class 2 materials carried in the transport unit </w:t>
      </w:r>
      <w:proofErr w:type="spellStart"/>
      <w:r w:rsidRPr="000B24E0">
        <w:rPr>
          <w:b/>
          <w:u w:val="single"/>
          <w:lang w:val="en-GB"/>
        </w:rPr>
        <w:t>exept</w:t>
      </w:r>
      <w:proofErr w:type="spellEnd"/>
      <w:r w:rsidRPr="000B24E0">
        <w:rPr>
          <w:b/>
          <w:u w:val="single"/>
          <w:lang w:val="en-GB"/>
        </w:rPr>
        <w:t xml:space="preserve"> aerosols (UN 1950) and gas cartridges (UN 2037), does not </w:t>
      </w:r>
      <w:proofErr w:type="spellStart"/>
      <w:r w:rsidRPr="000B24E0">
        <w:rPr>
          <w:b/>
          <w:u w:val="single"/>
          <w:lang w:val="en-GB"/>
        </w:rPr>
        <w:t>exeed</w:t>
      </w:r>
      <w:proofErr w:type="spellEnd"/>
      <w:r w:rsidRPr="000B24E0">
        <w:rPr>
          <w:b/>
          <w:u w:val="single"/>
          <w:lang w:val="en-GB"/>
        </w:rPr>
        <w:t xml:space="preserve"> 50 kilograms or litres; and</w:t>
      </w:r>
    </w:p>
    <w:p w14:paraId="4944E90B" w14:textId="48EC631A" w:rsidR="00D1492A" w:rsidRPr="000B24E0" w:rsidRDefault="00D1492A" w:rsidP="00D1492A">
      <w:pPr>
        <w:pStyle w:val="SingleTxtG"/>
        <w:ind w:left="2268" w:hanging="567"/>
        <w:rPr>
          <w:lang w:val="en-GB"/>
        </w:rPr>
      </w:pPr>
      <w:r w:rsidRPr="000B24E0">
        <w:rPr>
          <w:lang w:val="en-GB"/>
        </w:rPr>
        <w:t>-</w:t>
      </w:r>
      <w:r w:rsidRPr="000B24E0">
        <w:rPr>
          <w:lang w:val="en-GB"/>
        </w:rPr>
        <w:tab/>
        <w:t>The total quantity of all dangerous goods</w:t>
      </w:r>
      <w:r w:rsidR="003819F5" w:rsidRPr="000B24E0">
        <w:rPr>
          <w:b/>
          <w:u w:val="single"/>
          <w:lang w:val="en-GB"/>
        </w:rPr>
        <w:t>,</w:t>
      </w:r>
      <w:r w:rsidRPr="000B24E0">
        <w:rPr>
          <w:b/>
          <w:u w:val="single"/>
          <w:lang w:val="en-GB"/>
        </w:rPr>
        <w:t xml:space="preserve"> </w:t>
      </w:r>
      <w:r w:rsidR="003819F5" w:rsidRPr="000B24E0">
        <w:rPr>
          <w:b/>
          <w:u w:val="single"/>
          <w:lang w:val="en-GB"/>
        </w:rPr>
        <w:t>including Class 2 materials,</w:t>
      </w:r>
      <w:r w:rsidR="003819F5" w:rsidRPr="000B24E0">
        <w:rPr>
          <w:lang w:val="en-GB"/>
        </w:rPr>
        <w:t xml:space="preserve"> </w:t>
      </w:r>
      <w:r w:rsidRPr="000B24E0">
        <w:rPr>
          <w:lang w:val="en-GB"/>
        </w:rPr>
        <w:t xml:space="preserve">carried in the transport unit does not exceed </w:t>
      </w:r>
      <w:r w:rsidRPr="000B24E0">
        <w:rPr>
          <w:strike/>
          <w:lang w:val="en-GB"/>
        </w:rPr>
        <w:t>400</w:t>
      </w:r>
      <w:r w:rsidRPr="000B24E0">
        <w:rPr>
          <w:lang w:val="en-GB"/>
        </w:rPr>
        <w:t> </w:t>
      </w:r>
      <w:r w:rsidRPr="000B24E0">
        <w:rPr>
          <w:b/>
          <w:u w:val="single"/>
          <w:lang w:val="en-GB"/>
        </w:rPr>
        <w:t xml:space="preserve">333 </w:t>
      </w:r>
      <w:r w:rsidRPr="000B24E0">
        <w:rPr>
          <w:lang w:val="en-GB"/>
        </w:rPr>
        <w:t>kilograms or litres; and</w:t>
      </w:r>
    </w:p>
    <w:p w14:paraId="73AD153F" w14:textId="62423DEE" w:rsidR="00D1492A" w:rsidRPr="000B24E0" w:rsidRDefault="00D1492A" w:rsidP="003819F5">
      <w:pPr>
        <w:pStyle w:val="SingleTxtG"/>
        <w:ind w:left="2268" w:hanging="567"/>
        <w:rPr>
          <w:lang w:val="en-GB"/>
        </w:rPr>
      </w:pPr>
      <w:r w:rsidRPr="000B24E0">
        <w:rPr>
          <w:lang w:val="en-GB"/>
        </w:rPr>
        <w:t>-</w:t>
      </w:r>
      <w:r w:rsidRPr="000B24E0">
        <w:rPr>
          <w:lang w:val="en-GB"/>
        </w:rPr>
        <w:tab/>
      </w:r>
      <w:r w:rsidRPr="000B24E0">
        <w:rPr>
          <w:lang w:val="en-GB"/>
        </w:rPr>
        <w:tab/>
        <w:t xml:space="preserve">The goods are packed: </w:t>
      </w:r>
    </w:p>
    <w:p w14:paraId="52151250" w14:textId="3FD2612E" w:rsidR="00D1492A" w:rsidRPr="000B24E0" w:rsidRDefault="00D1492A" w:rsidP="00D1492A">
      <w:pPr>
        <w:pStyle w:val="SingleTxtG"/>
        <w:ind w:left="2268" w:hanging="567"/>
        <w:rPr>
          <w:lang w:val="en-GB"/>
        </w:rPr>
      </w:pPr>
      <w:r w:rsidRPr="000B24E0">
        <w:rPr>
          <w:lang w:val="en-GB"/>
        </w:rPr>
        <w:tab/>
      </w:r>
      <w:r w:rsidRPr="000B24E0">
        <w:rPr>
          <w:lang w:val="en-GB"/>
        </w:rPr>
        <w:tab/>
      </w:r>
      <w:proofErr w:type="spellStart"/>
      <w:r w:rsidRPr="000B24E0">
        <w:rPr>
          <w:lang w:val="en-GB"/>
        </w:rPr>
        <w:t>i</w:t>
      </w:r>
      <w:proofErr w:type="spellEnd"/>
      <w:r w:rsidRPr="000B24E0">
        <w:rPr>
          <w:lang w:val="en-GB"/>
        </w:rPr>
        <w:t>.</w:t>
      </w:r>
      <w:r w:rsidRPr="000B24E0">
        <w:rPr>
          <w:lang w:val="en-GB"/>
        </w:rPr>
        <w:tab/>
        <w:t xml:space="preserve">in inner packagings derived from packages conforming with the provisions on limited quantities in accordance with Chapter 3.4; </w:t>
      </w:r>
      <w:r w:rsidRPr="000B24E0">
        <w:rPr>
          <w:b/>
          <w:u w:val="single"/>
          <w:lang w:val="en-GB"/>
        </w:rPr>
        <w:t xml:space="preserve">or </w:t>
      </w:r>
    </w:p>
    <w:p w14:paraId="0D6C6DCB" w14:textId="4FD319DC" w:rsidR="00D1492A" w:rsidRPr="000B24E0" w:rsidRDefault="00D1492A" w:rsidP="00D1492A">
      <w:pPr>
        <w:pStyle w:val="SingleTxtG"/>
        <w:ind w:left="2268" w:hanging="567"/>
        <w:rPr>
          <w:b/>
          <w:u w:val="single"/>
          <w:lang w:val="en-GB"/>
        </w:rPr>
      </w:pPr>
      <w:r w:rsidRPr="000B24E0">
        <w:rPr>
          <w:lang w:val="en-GB"/>
        </w:rPr>
        <w:tab/>
      </w:r>
      <w:r w:rsidRPr="000B24E0">
        <w:rPr>
          <w:lang w:val="en-GB"/>
        </w:rPr>
        <w:tab/>
        <w:t>ii.</w:t>
      </w:r>
      <w:r w:rsidRPr="000B24E0">
        <w:rPr>
          <w:lang w:val="en-GB"/>
        </w:rPr>
        <w:tab/>
        <w:t xml:space="preserve">in inner packagings derived from combination packagings conforming to Chapter 4.1; </w:t>
      </w:r>
      <w:r w:rsidRPr="000B24E0">
        <w:rPr>
          <w:b/>
          <w:u w:val="single"/>
          <w:lang w:val="en-GB"/>
        </w:rPr>
        <w:t>or</w:t>
      </w:r>
    </w:p>
    <w:p w14:paraId="13BCB959" w14:textId="77777777" w:rsidR="00D1492A" w:rsidRPr="000B24E0" w:rsidRDefault="00D1492A" w:rsidP="00D1492A">
      <w:pPr>
        <w:pStyle w:val="SingleTxtG"/>
        <w:ind w:left="1701"/>
        <w:rPr>
          <w:lang w:val="en-GB"/>
        </w:rPr>
      </w:pPr>
      <w:r w:rsidRPr="000B24E0">
        <w:rPr>
          <w:lang w:val="en-GB"/>
        </w:rPr>
        <w:tab/>
      </w:r>
      <w:r w:rsidRPr="000B24E0">
        <w:rPr>
          <w:lang w:val="en-GB"/>
        </w:rPr>
        <w:tab/>
        <w:t>iii.</w:t>
      </w:r>
      <w:r w:rsidRPr="000B24E0">
        <w:rPr>
          <w:lang w:val="en-GB"/>
        </w:rPr>
        <w:tab/>
        <w:t>in single packagings conforming to Chapter 6.1; or</w:t>
      </w:r>
    </w:p>
    <w:p w14:paraId="4A1F5270" w14:textId="77777777" w:rsidR="00D1492A" w:rsidRPr="000B24E0" w:rsidRDefault="00D1492A" w:rsidP="00D1492A">
      <w:pPr>
        <w:pStyle w:val="SingleTxtG"/>
        <w:spacing w:before="80" w:after="80"/>
        <w:ind w:left="2268" w:right="1138" w:hanging="468"/>
        <w:rPr>
          <w:color w:val="0B0C0C"/>
          <w:u w:val="single"/>
          <w:lang w:val="en-GB"/>
        </w:rPr>
      </w:pPr>
      <w:r w:rsidRPr="000B24E0">
        <w:rPr>
          <w:color w:val="0B0C0C"/>
          <w:lang w:val="en-GB"/>
        </w:rPr>
        <w:tab/>
      </w:r>
      <w:r w:rsidRPr="000B24E0">
        <w:rPr>
          <w:color w:val="0B0C0C"/>
          <w:u w:val="single"/>
          <w:lang w:val="en-GB"/>
        </w:rPr>
        <w:t>iv.</w:t>
      </w:r>
      <w:r w:rsidRPr="000B24E0">
        <w:rPr>
          <w:color w:val="0B0C0C"/>
          <w:u w:val="single"/>
          <w:lang w:val="en-GB"/>
        </w:rPr>
        <w:tab/>
        <w:t>in accordance with the requirements of special provision 188 (in the case of carriage of lithium batteries).</w:t>
      </w:r>
    </w:p>
    <w:p w14:paraId="2EAA7AFD" w14:textId="77777777" w:rsidR="00D1492A" w:rsidRPr="000B24E0" w:rsidRDefault="00D1492A" w:rsidP="00D1492A">
      <w:pPr>
        <w:pStyle w:val="SingleTxtG"/>
        <w:ind w:left="1701"/>
        <w:rPr>
          <w:u w:val="single"/>
          <w:lang w:val="en-GB"/>
        </w:rPr>
      </w:pPr>
      <w:r w:rsidRPr="000B24E0">
        <w:rPr>
          <w:color w:val="0B0C0C"/>
          <w:u w:val="single"/>
          <w:lang w:val="en-GB"/>
        </w:rPr>
        <w:t>Shipments (</w:t>
      </w:r>
      <w:r w:rsidRPr="000B24E0">
        <w:rPr>
          <w:u w:val="single"/>
          <w:lang w:val="en-GB"/>
        </w:rPr>
        <w:t>returns</w:t>
      </w:r>
      <w:r w:rsidRPr="000B24E0">
        <w:rPr>
          <w:color w:val="0B0C0C"/>
          <w:u w:val="single"/>
          <w:lang w:val="en-GB"/>
        </w:rPr>
        <w:t xml:space="preserve">) from the original consignee back to the original consignor are also included under these provisions. </w:t>
      </w:r>
      <w:r w:rsidRPr="000B24E0">
        <w:rPr>
          <w:u w:val="single"/>
          <w:lang w:val="en-GB"/>
        </w:rPr>
        <w:t>This exemption does not apply to dangerous goods from Classes 1, 4.2, 6.2 and 7</w:t>
      </w:r>
      <w:r w:rsidRPr="00BD2219">
        <w:rPr>
          <w:b/>
          <w:bCs/>
          <w:i/>
          <w:iCs/>
          <w:strike/>
          <w:u w:val="single"/>
          <w:lang w:val="en-GB"/>
        </w:rPr>
        <w:t xml:space="preserve">, </w:t>
      </w:r>
      <w:proofErr w:type="gramStart"/>
      <w:r w:rsidRPr="00BD2219">
        <w:rPr>
          <w:b/>
          <w:bCs/>
          <w:i/>
          <w:iCs/>
          <w:strike/>
          <w:u w:val="single"/>
          <w:lang w:val="en-GB"/>
        </w:rPr>
        <w:t>p</w:t>
      </w:r>
      <w:r w:rsidRPr="000B24E0">
        <w:rPr>
          <w:b/>
          <w:strike/>
          <w:u w:val="single"/>
          <w:lang w:val="en-GB"/>
        </w:rPr>
        <w:t>rovided that</w:t>
      </w:r>
      <w:proofErr w:type="gramEnd"/>
      <w:r w:rsidRPr="000B24E0">
        <w:rPr>
          <w:b/>
          <w:strike/>
          <w:u w:val="single"/>
          <w:lang w:val="en-GB"/>
        </w:rPr>
        <w:t xml:space="preserve"> measures have been taken to prevent leakage of contents in normal conditions of carriage</w:t>
      </w:r>
      <w:r w:rsidRPr="00871CD4">
        <w:rPr>
          <w:bCs/>
          <w:lang w:val="en-GB"/>
        </w:rPr>
        <w:t>.”</w:t>
      </w:r>
    </w:p>
    <w:p w14:paraId="17BDFFB2" w14:textId="6F071CD6" w:rsidR="00FC67EE" w:rsidRPr="00FC67EE" w:rsidRDefault="00FC67EE" w:rsidP="007E6E95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C67EE" w:rsidRPr="00FC67EE" w:rsidSect="007E6E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276" w:right="1134" w:bottom="993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C3E5" w14:textId="77777777" w:rsidR="00A86FDC" w:rsidRDefault="00A86FDC"/>
  </w:endnote>
  <w:endnote w:type="continuationSeparator" w:id="0">
    <w:p w14:paraId="4E6635AC" w14:textId="77777777" w:rsidR="00A86FDC" w:rsidRDefault="00A86FDC"/>
  </w:endnote>
  <w:endnote w:type="continuationNotice" w:id="1">
    <w:p w14:paraId="40D20F61" w14:textId="77777777" w:rsidR="00A86FDC" w:rsidRDefault="00A86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0587BAF2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26D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43668F0C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5E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9E68" w14:textId="77777777" w:rsidR="00A86FDC" w:rsidRPr="000B175B" w:rsidRDefault="00A86FD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9F30DA" w14:textId="77777777" w:rsidR="00A86FDC" w:rsidRPr="00FC68B7" w:rsidRDefault="00A86FD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09DD33" w14:textId="77777777" w:rsidR="00A86FDC" w:rsidRDefault="00A86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38CCDA14" w:rsidR="000C5A28" w:rsidRPr="00392592" w:rsidRDefault="00392592">
    <w:pPr>
      <w:pStyle w:val="Header"/>
      <w:rPr>
        <w:sz w:val="20"/>
      </w:rPr>
    </w:pPr>
    <w:r w:rsidRPr="00392592">
      <w:rPr>
        <w:sz w:val="20"/>
      </w:rPr>
      <w:t>INF.20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37659429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957FAD">
      <w:rPr>
        <w:sz w:val="24"/>
        <w:szCs w:val="24"/>
      </w:rPr>
      <w:t>28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396A8D08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1E7CD8">
      <w:rPr>
        <w:sz w:val="24"/>
        <w:szCs w:val="24"/>
      </w:rPr>
      <w:t>20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3986A6F"/>
    <w:multiLevelType w:val="hybridMultilevel"/>
    <w:tmpl w:val="C110352E"/>
    <w:lvl w:ilvl="0" w:tplc="8778932A">
      <w:start w:val="1"/>
      <w:numFmt w:val="lowerLetter"/>
      <w:lvlText w:val="(%1)"/>
      <w:lvlJc w:val="left"/>
      <w:pPr>
        <w:ind w:left="2053" w:hanging="360"/>
      </w:pPr>
    </w:lvl>
    <w:lvl w:ilvl="1" w:tplc="9DA09750">
      <w:start w:val="1"/>
      <w:numFmt w:val="bullet"/>
      <w:lvlText w:val="­"/>
      <w:lvlJc w:val="left"/>
      <w:pPr>
        <w:ind w:left="2773" w:hanging="36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3493" w:hanging="180"/>
      </w:pPr>
    </w:lvl>
    <w:lvl w:ilvl="3" w:tplc="1009000F">
      <w:start w:val="1"/>
      <w:numFmt w:val="decimal"/>
      <w:lvlText w:val="%4."/>
      <w:lvlJc w:val="left"/>
      <w:pPr>
        <w:ind w:left="4213" w:hanging="360"/>
      </w:pPr>
    </w:lvl>
    <w:lvl w:ilvl="4" w:tplc="10090019">
      <w:start w:val="1"/>
      <w:numFmt w:val="lowerLetter"/>
      <w:lvlText w:val="%5."/>
      <w:lvlJc w:val="left"/>
      <w:pPr>
        <w:ind w:left="4933" w:hanging="360"/>
      </w:pPr>
    </w:lvl>
    <w:lvl w:ilvl="5" w:tplc="1009001B">
      <w:start w:val="1"/>
      <w:numFmt w:val="lowerRoman"/>
      <w:lvlText w:val="%6."/>
      <w:lvlJc w:val="right"/>
      <w:pPr>
        <w:ind w:left="5653" w:hanging="180"/>
      </w:pPr>
    </w:lvl>
    <w:lvl w:ilvl="6" w:tplc="1009000F">
      <w:start w:val="1"/>
      <w:numFmt w:val="decimal"/>
      <w:lvlText w:val="%7."/>
      <w:lvlJc w:val="left"/>
      <w:pPr>
        <w:ind w:left="6373" w:hanging="360"/>
      </w:pPr>
    </w:lvl>
    <w:lvl w:ilvl="7" w:tplc="10090019">
      <w:start w:val="1"/>
      <w:numFmt w:val="lowerLetter"/>
      <w:lvlText w:val="%8."/>
      <w:lvlJc w:val="left"/>
      <w:pPr>
        <w:ind w:left="7093" w:hanging="360"/>
      </w:pPr>
    </w:lvl>
    <w:lvl w:ilvl="8" w:tplc="1009001B">
      <w:start w:val="1"/>
      <w:numFmt w:val="lowerRoman"/>
      <w:lvlText w:val="%9."/>
      <w:lvlJc w:val="right"/>
      <w:pPr>
        <w:ind w:left="7813" w:hanging="180"/>
      </w:p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139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2571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0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383029"/>
    <w:multiLevelType w:val="hybridMultilevel"/>
    <w:tmpl w:val="3F3EB92C"/>
    <w:lvl w:ilvl="0" w:tplc="C4E4F7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43823800">
    <w:abstractNumId w:val="1"/>
  </w:num>
  <w:num w:numId="2" w16cid:durableId="1089891850">
    <w:abstractNumId w:val="0"/>
  </w:num>
  <w:num w:numId="3" w16cid:durableId="1285382619">
    <w:abstractNumId w:val="2"/>
  </w:num>
  <w:num w:numId="4" w16cid:durableId="716127599">
    <w:abstractNumId w:val="3"/>
  </w:num>
  <w:num w:numId="5" w16cid:durableId="895314617">
    <w:abstractNumId w:val="8"/>
  </w:num>
  <w:num w:numId="6" w16cid:durableId="1602184352">
    <w:abstractNumId w:val="9"/>
  </w:num>
  <w:num w:numId="7" w16cid:durableId="1538350494">
    <w:abstractNumId w:val="7"/>
  </w:num>
  <w:num w:numId="8" w16cid:durableId="395982380">
    <w:abstractNumId w:val="6"/>
  </w:num>
  <w:num w:numId="9" w16cid:durableId="1399090169">
    <w:abstractNumId w:val="5"/>
  </w:num>
  <w:num w:numId="10" w16cid:durableId="137311818">
    <w:abstractNumId w:val="4"/>
  </w:num>
  <w:num w:numId="11" w16cid:durableId="1679693332">
    <w:abstractNumId w:val="26"/>
  </w:num>
  <w:num w:numId="12" w16cid:durableId="432434109">
    <w:abstractNumId w:val="21"/>
  </w:num>
  <w:num w:numId="13" w16cid:durableId="412239532">
    <w:abstractNumId w:val="12"/>
  </w:num>
  <w:num w:numId="14" w16cid:durableId="1981424453">
    <w:abstractNumId w:val="19"/>
  </w:num>
  <w:num w:numId="15" w16cid:durableId="3676823">
    <w:abstractNumId w:val="27"/>
  </w:num>
  <w:num w:numId="16" w16cid:durableId="1098332038">
    <w:abstractNumId w:val="20"/>
  </w:num>
  <w:num w:numId="17" w16cid:durableId="1682462988">
    <w:abstractNumId w:val="34"/>
  </w:num>
  <w:num w:numId="18" w16cid:durableId="1769614467">
    <w:abstractNumId w:val="37"/>
  </w:num>
  <w:num w:numId="19" w16cid:durableId="1313482982">
    <w:abstractNumId w:val="15"/>
  </w:num>
  <w:num w:numId="20" w16cid:durableId="1371539922">
    <w:abstractNumId w:val="14"/>
  </w:num>
  <w:num w:numId="21" w16cid:durableId="2092002690">
    <w:abstractNumId w:val="29"/>
  </w:num>
  <w:num w:numId="22" w16cid:durableId="77023608">
    <w:abstractNumId w:val="23"/>
  </w:num>
  <w:num w:numId="23" w16cid:durableId="2037920230">
    <w:abstractNumId w:val="16"/>
  </w:num>
  <w:num w:numId="24" w16cid:durableId="25176829">
    <w:abstractNumId w:val="30"/>
  </w:num>
  <w:num w:numId="25" w16cid:durableId="247159052">
    <w:abstractNumId w:val="10"/>
  </w:num>
  <w:num w:numId="26" w16cid:durableId="188761237">
    <w:abstractNumId w:val="11"/>
  </w:num>
  <w:num w:numId="27" w16cid:durableId="728262982">
    <w:abstractNumId w:val="35"/>
  </w:num>
  <w:num w:numId="28" w16cid:durableId="256718478">
    <w:abstractNumId w:val="28"/>
  </w:num>
  <w:num w:numId="29" w16cid:durableId="1737120546">
    <w:abstractNumId w:val="25"/>
  </w:num>
  <w:num w:numId="30" w16cid:durableId="500705348">
    <w:abstractNumId w:val="32"/>
  </w:num>
  <w:num w:numId="31" w16cid:durableId="879779893">
    <w:abstractNumId w:val="36"/>
  </w:num>
  <w:num w:numId="32" w16cid:durableId="511340856">
    <w:abstractNumId w:val="13"/>
  </w:num>
  <w:num w:numId="33" w16cid:durableId="874124157">
    <w:abstractNumId w:val="38"/>
  </w:num>
  <w:num w:numId="34" w16cid:durableId="1124930269">
    <w:abstractNumId w:val="17"/>
  </w:num>
  <w:num w:numId="35" w16cid:durableId="234317640">
    <w:abstractNumId w:val="33"/>
  </w:num>
  <w:num w:numId="36" w16cid:durableId="1110659622">
    <w:abstractNumId w:val="31"/>
  </w:num>
  <w:num w:numId="37" w16cid:durableId="630288775">
    <w:abstractNumId w:val="24"/>
  </w:num>
  <w:num w:numId="38" w16cid:durableId="2083866771">
    <w:abstractNumId w:val="22"/>
  </w:num>
  <w:num w:numId="39" w16cid:durableId="570891131">
    <w:abstractNumId w:val="39"/>
  </w:num>
  <w:num w:numId="40" w16cid:durableId="18764591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338EC"/>
    <w:rsid w:val="00050F6B"/>
    <w:rsid w:val="00060675"/>
    <w:rsid w:val="00062EC8"/>
    <w:rsid w:val="000678CD"/>
    <w:rsid w:val="00071447"/>
    <w:rsid w:val="00072C8C"/>
    <w:rsid w:val="00075498"/>
    <w:rsid w:val="000804A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24E0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468C"/>
    <w:rsid w:val="000F4CB4"/>
    <w:rsid w:val="000F7715"/>
    <w:rsid w:val="00103410"/>
    <w:rsid w:val="00103E99"/>
    <w:rsid w:val="001105AE"/>
    <w:rsid w:val="00112A5B"/>
    <w:rsid w:val="00113720"/>
    <w:rsid w:val="001213C0"/>
    <w:rsid w:val="001335C5"/>
    <w:rsid w:val="0014164A"/>
    <w:rsid w:val="00146493"/>
    <w:rsid w:val="00153897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0E2"/>
    <w:rsid w:val="001C6663"/>
    <w:rsid w:val="001C7895"/>
    <w:rsid w:val="001D15C4"/>
    <w:rsid w:val="001D26DF"/>
    <w:rsid w:val="001D312D"/>
    <w:rsid w:val="001E6BC6"/>
    <w:rsid w:val="001E7CD8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76AA0"/>
    <w:rsid w:val="0028647A"/>
    <w:rsid w:val="0029686E"/>
    <w:rsid w:val="00296D65"/>
    <w:rsid w:val="002974E9"/>
    <w:rsid w:val="002A1CF3"/>
    <w:rsid w:val="002A214F"/>
    <w:rsid w:val="002A2B8E"/>
    <w:rsid w:val="002A7F94"/>
    <w:rsid w:val="002B109A"/>
    <w:rsid w:val="002B7F28"/>
    <w:rsid w:val="002C1973"/>
    <w:rsid w:val="002C57D6"/>
    <w:rsid w:val="002C6D45"/>
    <w:rsid w:val="002C7291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819F5"/>
    <w:rsid w:val="00392592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26D1"/>
    <w:rsid w:val="00436982"/>
    <w:rsid w:val="00437BB5"/>
    <w:rsid w:val="00440A07"/>
    <w:rsid w:val="0044240B"/>
    <w:rsid w:val="00443E03"/>
    <w:rsid w:val="00447C96"/>
    <w:rsid w:val="00451E02"/>
    <w:rsid w:val="00452166"/>
    <w:rsid w:val="00453E23"/>
    <w:rsid w:val="00456A02"/>
    <w:rsid w:val="0046243B"/>
    <w:rsid w:val="00462880"/>
    <w:rsid w:val="0047298C"/>
    <w:rsid w:val="0047303D"/>
    <w:rsid w:val="00476F24"/>
    <w:rsid w:val="00482651"/>
    <w:rsid w:val="0049079F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B56A1"/>
    <w:rsid w:val="004C19FC"/>
    <w:rsid w:val="004C55B0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79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43296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D75E5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CF1"/>
    <w:rsid w:val="007A7CC0"/>
    <w:rsid w:val="007B1C52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6E95"/>
    <w:rsid w:val="007E76B1"/>
    <w:rsid w:val="007F5CE2"/>
    <w:rsid w:val="007F6611"/>
    <w:rsid w:val="00810BAC"/>
    <w:rsid w:val="00814B0C"/>
    <w:rsid w:val="008175E9"/>
    <w:rsid w:val="008242BE"/>
    <w:rsid w:val="008242D7"/>
    <w:rsid w:val="00825578"/>
    <w:rsid w:val="0082577B"/>
    <w:rsid w:val="00827E7E"/>
    <w:rsid w:val="00835C30"/>
    <w:rsid w:val="0084056F"/>
    <w:rsid w:val="00843115"/>
    <w:rsid w:val="008479D3"/>
    <w:rsid w:val="008558E7"/>
    <w:rsid w:val="008561A8"/>
    <w:rsid w:val="00866893"/>
    <w:rsid w:val="00866F02"/>
    <w:rsid w:val="00867D18"/>
    <w:rsid w:val="00871CD4"/>
    <w:rsid w:val="00871F9A"/>
    <w:rsid w:val="00871FD5"/>
    <w:rsid w:val="00876B8E"/>
    <w:rsid w:val="0088172E"/>
    <w:rsid w:val="00881EFA"/>
    <w:rsid w:val="00883E28"/>
    <w:rsid w:val="008979B1"/>
    <w:rsid w:val="00897D94"/>
    <w:rsid w:val="008A018B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62A"/>
    <w:rsid w:val="008E0AB1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0723F"/>
    <w:rsid w:val="00911AF3"/>
    <w:rsid w:val="009128C5"/>
    <w:rsid w:val="00914DC3"/>
    <w:rsid w:val="00915463"/>
    <w:rsid w:val="00926E47"/>
    <w:rsid w:val="00931BFA"/>
    <w:rsid w:val="009329BB"/>
    <w:rsid w:val="00945B59"/>
    <w:rsid w:val="00947162"/>
    <w:rsid w:val="00947547"/>
    <w:rsid w:val="00951F8C"/>
    <w:rsid w:val="00953163"/>
    <w:rsid w:val="00954EE3"/>
    <w:rsid w:val="00955010"/>
    <w:rsid w:val="00957FAD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87C0E"/>
    <w:rsid w:val="00990766"/>
    <w:rsid w:val="00991261"/>
    <w:rsid w:val="00992C68"/>
    <w:rsid w:val="009964C4"/>
    <w:rsid w:val="009A0C24"/>
    <w:rsid w:val="009A402A"/>
    <w:rsid w:val="009A7B81"/>
    <w:rsid w:val="009C14A2"/>
    <w:rsid w:val="009C4B9E"/>
    <w:rsid w:val="009D01C0"/>
    <w:rsid w:val="009D6A08"/>
    <w:rsid w:val="009E0A16"/>
    <w:rsid w:val="009E7207"/>
    <w:rsid w:val="009E7970"/>
    <w:rsid w:val="009F2EAC"/>
    <w:rsid w:val="009F57E3"/>
    <w:rsid w:val="00A01019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3AAA"/>
    <w:rsid w:val="00A45CB7"/>
    <w:rsid w:val="00A45DFD"/>
    <w:rsid w:val="00A47439"/>
    <w:rsid w:val="00A50393"/>
    <w:rsid w:val="00A54B9B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501D"/>
    <w:rsid w:val="00A86FDC"/>
    <w:rsid w:val="00A879A4"/>
    <w:rsid w:val="00A96696"/>
    <w:rsid w:val="00AA0FF8"/>
    <w:rsid w:val="00AC0F2C"/>
    <w:rsid w:val="00AC14F5"/>
    <w:rsid w:val="00AC16F3"/>
    <w:rsid w:val="00AC502A"/>
    <w:rsid w:val="00AC5B31"/>
    <w:rsid w:val="00AC648E"/>
    <w:rsid w:val="00AD21EB"/>
    <w:rsid w:val="00AD2623"/>
    <w:rsid w:val="00AD61A2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21DD"/>
    <w:rsid w:val="00B15055"/>
    <w:rsid w:val="00B17FC5"/>
    <w:rsid w:val="00B30179"/>
    <w:rsid w:val="00B31982"/>
    <w:rsid w:val="00B37B15"/>
    <w:rsid w:val="00B42094"/>
    <w:rsid w:val="00B4482F"/>
    <w:rsid w:val="00B45C02"/>
    <w:rsid w:val="00B5617C"/>
    <w:rsid w:val="00B61EAA"/>
    <w:rsid w:val="00B720E7"/>
    <w:rsid w:val="00B72A1E"/>
    <w:rsid w:val="00B81E12"/>
    <w:rsid w:val="00B840CD"/>
    <w:rsid w:val="00B87F4E"/>
    <w:rsid w:val="00B91466"/>
    <w:rsid w:val="00B9282B"/>
    <w:rsid w:val="00B959E3"/>
    <w:rsid w:val="00BA2494"/>
    <w:rsid w:val="00BA339B"/>
    <w:rsid w:val="00BA3ADF"/>
    <w:rsid w:val="00BB3ED2"/>
    <w:rsid w:val="00BC1E7E"/>
    <w:rsid w:val="00BC2E45"/>
    <w:rsid w:val="00BC74E9"/>
    <w:rsid w:val="00BD195F"/>
    <w:rsid w:val="00BD2219"/>
    <w:rsid w:val="00BD321A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20AFD"/>
    <w:rsid w:val="00C3273F"/>
    <w:rsid w:val="00C3782A"/>
    <w:rsid w:val="00C446B0"/>
    <w:rsid w:val="00C446BE"/>
    <w:rsid w:val="00C44BB0"/>
    <w:rsid w:val="00C45BBB"/>
    <w:rsid w:val="00C463DD"/>
    <w:rsid w:val="00C46921"/>
    <w:rsid w:val="00C479FA"/>
    <w:rsid w:val="00C57892"/>
    <w:rsid w:val="00C62ABF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492A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1EAA"/>
    <w:rsid w:val="00DA357F"/>
    <w:rsid w:val="00DA3E12"/>
    <w:rsid w:val="00DA4039"/>
    <w:rsid w:val="00DB2B9B"/>
    <w:rsid w:val="00DB66FA"/>
    <w:rsid w:val="00DC18AD"/>
    <w:rsid w:val="00DE0CB9"/>
    <w:rsid w:val="00DE3737"/>
    <w:rsid w:val="00DE5105"/>
    <w:rsid w:val="00DF1A1E"/>
    <w:rsid w:val="00DF6A82"/>
    <w:rsid w:val="00DF7CAE"/>
    <w:rsid w:val="00E02011"/>
    <w:rsid w:val="00E03BF6"/>
    <w:rsid w:val="00E05310"/>
    <w:rsid w:val="00E06879"/>
    <w:rsid w:val="00E1773B"/>
    <w:rsid w:val="00E238B5"/>
    <w:rsid w:val="00E2482F"/>
    <w:rsid w:val="00E32B3B"/>
    <w:rsid w:val="00E423C0"/>
    <w:rsid w:val="00E4495B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87D55"/>
    <w:rsid w:val="00E916A9"/>
    <w:rsid w:val="00E916DE"/>
    <w:rsid w:val="00E92BCF"/>
    <w:rsid w:val="00E96630"/>
    <w:rsid w:val="00EA08A3"/>
    <w:rsid w:val="00EB6A8A"/>
    <w:rsid w:val="00EC22B0"/>
    <w:rsid w:val="00EC38AB"/>
    <w:rsid w:val="00EC50C2"/>
    <w:rsid w:val="00EC7076"/>
    <w:rsid w:val="00ED18DC"/>
    <w:rsid w:val="00ED6201"/>
    <w:rsid w:val="00ED66EF"/>
    <w:rsid w:val="00ED7A2A"/>
    <w:rsid w:val="00EE37E1"/>
    <w:rsid w:val="00EE4832"/>
    <w:rsid w:val="00EF0BF7"/>
    <w:rsid w:val="00EF1840"/>
    <w:rsid w:val="00EF1D7F"/>
    <w:rsid w:val="00EF2F1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2654"/>
    <w:rsid w:val="00F867EC"/>
    <w:rsid w:val="00F91B2B"/>
    <w:rsid w:val="00F930E3"/>
    <w:rsid w:val="00F9573D"/>
    <w:rsid w:val="00FC03CD"/>
    <w:rsid w:val="00FC0646"/>
    <w:rsid w:val="00FC0826"/>
    <w:rsid w:val="00FC67EE"/>
    <w:rsid w:val="00FC68B7"/>
    <w:rsid w:val="00FD0B21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Liste à puce 1"/>
    <w:basedOn w:val="Normal"/>
    <w:link w:val="ListParagraphChar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customStyle="1" w:styleId="ListParagraphChar">
    <w:name w:val="List Paragraph Char"/>
    <w:aliases w:val="Liste à puce 1 Char"/>
    <w:basedOn w:val="DefaultParagraphFont"/>
    <w:link w:val="ListParagraph"/>
    <w:uiPriority w:val="34"/>
    <w:rsid w:val="00A50393"/>
    <w:rPr>
      <w:rFonts w:eastAsia="Times New Roman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7A84534-D540-44B6-BA58-DF59F312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FCA38-6453-4130-8027-8BA5F509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18</cp:revision>
  <cp:lastPrinted>2022-09-02T12:04:00Z</cp:lastPrinted>
  <dcterms:created xsi:type="dcterms:W3CDTF">2023-02-21T08:28:00Z</dcterms:created>
  <dcterms:modified xsi:type="dcterms:W3CDTF">2023-02-21T10:20:00Z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