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54241A40"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3AA6D231" w:rsidR="00B56E9C" w:rsidRPr="00B042C8" w:rsidRDefault="00CD57D2" w:rsidP="009F652C">
            <w:pPr>
              <w:suppressAutoHyphens w:val="0"/>
              <w:spacing w:after="20"/>
              <w:jc w:val="right"/>
              <w:rPr>
                <w:b/>
                <w:sz w:val="24"/>
                <w:szCs w:val="24"/>
              </w:rPr>
            </w:pPr>
            <w:r w:rsidRPr="00B042C8">
              <w:rPr>
                <w:b/>
                <w:sz w:val="24"/>
                <w:szCs w:val="24"/>
              </w:rPr>
              <w:t>INF.</w:t>
            </w:r>
            <w:r w:rsidR="003314A6">
              <w:rPr>
                <w:b/>
                <w:sz w:val="24"/>
                <w:szCs w:val="24"/>
              </w:rPr>
              <w:t>1</w:t>
            </w:r>
            <w:r w:rsidR="00721C4A">
              <w:rPr>
                <w:b/>
                <w:sz w:val="24"/>
                <w:szCs w:val="24"/>
              </w:rPr>
              <w:t>1</w:t>
            </w:r>
          </w:p>
        </w:tc>
      </w:tr>
    </w:tbl>
    <w:p w14:paraId="48559710" w14:textId="77777777" w:rsidR="00EC106A" w:rsidRPr="008B0249" w:rsidRDefault="00EC106A">
      <w:pPr>
        <w:spacing w:before="120"/>
        <w:rPr>
          <w:b/>
          <w:sz w:val="28"/>
          <w:szCs w:val="28"/>
        </w:rPr>
      </w:pPr>
      <w:r w:rsidRPr="008B0249">
        <w:rPr>
          <w:b/>
          <w:sz w:val="28"/>
          <w:szCs w:val="28"/>
        </w:rPr>
        <w:t>Economic Commission for Europe</w:t>
      </w:r>
    </w:p>
    <w:p w14:paraId="16911975" w14:textId="77777777" w:rsidR="00EC106A" w:rsidRPr="008B0249" w:rsidRDefault="00EC106A">
      <w:pPr>
        <w:spacing w:before="120"/>
        <w:rPr>
          <w:sz w:val="28"/>
          <w:szCs w:val="28"/>
        </w:rPr>
      </w:pPr>
      <w:r w:rsidRPr="008B0249">
        <w:rPr>
          <w:sz w:val="28"/>
          <w:szCs w:val="28"/>
        </w:rPr>
        <w:t>Inland Transport Committee</w:t>
      </w:r>
    </w:p>
    <w:p w14:paraId="578A4C68" w14:textId="77777777" w:rsidR="00EC106A" w:rsidRPr="008B0249" w:rsidRDefault="00EC106A" w:rsidP="00EC106A">
      <w:pPr>
        <w:spacing w:before="120" w:after="120"/>
        <w:rPr>
          <w:b/>
          <w:sz w:val="24"/>
          <w:szCs w:val="24"/>
        </w:rPr>
      </w:pPr>
      <w:r w:rsidRPr="008B0249">
        <w:rPr>
          <w:b/>
          <w:sz w:val="24"/>
          <w:szCs w:val="24"/>
        </w:rPr>
        <w:t>Working Party on the Transport of Dangerous Goods</w:t>
      </w:r>
    </w:p>
    <w:p w14:paraId="6FA226BE" w14:textId="77777777" w:rsidR="009D2A5B" w:rsidRPr="008B0249" w:rsidRDefault="009D2A5B" w:rsidP="009D2A5B">
      <w:pPr>
        <w:rPr>
          <w:b/>
        </w:rPr>
      </w:pPr>
      <w:r w:rsidRPr="008B0249">
        <w:rPr>
          <w:b/>
        </w:rPr>
        <w:t>Joint Meeting of the RID Committee of Experts and the</w:t>
      </w:r>
    </w:p>
    <w:p w14:paraId="3AB5359E" w14:textId="634DCE6E" w:rsidR="009D2A5B" w:rsidRPr="008B0249" w:rsidRDefault="009D2A5B" w:rsidP="009D2A5B">
      <w:pPr>
        <w:rPr>
          <w:b/>
        </w:rPr>
      </w:pPr>
      <w:r w:rsidRPr="008B0249">
        <w:rPr>
          <w:b/>
        </w:rPr>
        <w:t>Working Party on the Transport of Dangerous Goods</w:t>
      </w:r>
      <w:r w:rsidR="000A3752" w:rsidRPr="008B0249">
        <w:rPr>
          <w:b/>
        </w:rPr>
        <w:tab/>
      </w:r>
      <w:r w:rsidR="000A3752" w:rsidRPr="008B0249">
        <w:rPr>
          <w:b/>
        </w:rPr>
        <w:tab/>
      </w:r>
      <w:r w:rsidR="000A3752" w:rsidRPr="008B0249">
        <w:rPr>
          <w:b/>
        </w:rPr>
        <w:tab/>
      </w:r>
      <w:r w:rsidR="000A3752" w:rsidRPr="008B0249">
        <w:rPr>
          <w:b/>
        </w:rPr>
        <w:tab/>
      </w:r>
      <w:r w:rsidR="000A3752" w:rsidRPr="008B0249">
        <w:rPr>
          <w:b/>
        </w:rPr>
        <w:tab/>
      </w:r>
      <w:r w:rsidR="00507993" w:rsidRPr="008B0249">
        <w:rPr>
          <w:b/>
        </w:rPr>
        <w:tab/>
      </w:r>
      <w:r w:rsidR="003314A6" w:rsidRPr="008B0249">
        <w:rPr>
          <w:b/>
        </w:rPr>
        <w:t>9</w:t>
      </w:r>
      <w:r w:rsidR="002A009E" w:rsidRPr="008B0249">
        <w:rPr>
          <w:b/>
        </w:rPr>
        <w:t xml:space="preserve"> </w:t>
      </w:r>
      <w:r w:rsidR="0038743C" w:rsidRPr="008B0249">
        <w:rPr>
          <w:b/>
        </w:rPr>
        <w:t>Febr</w:t>
      </w:r>
      <w:r w:rsidR="002A009E" w:rsidRPr="008B0249">
        <w:rPr>
          <w:b/>
        </w:rPr>
        <w:t>uary 2023</w:t>
      </w:r>
    </w:p>
    <w:p w14:paraId="54D6CC22" w14:textId="5F21C665" w:rsidR="009D2A5B" w:rsidRPr="008B0249" w:rsidRDefault="00FB7679" w:rsidP="00BB7CD1">
      <w:r w:rsidRPr="008B0249">
        <w:t>Bern</w:t>
      </w:r>
      <w:r w:rsidR="00BB7CD1" w:rsidRPr="008B0249">
        <w:t xml:space="preserve">, </w:t>
      </w:r>
      <w:r w:rsidR="00E82755" w:rsidRPr="008B0249">
        <w:t>20-24 March 2023</w:t>
      </w:r>
    </w:p>
    <w:p w14:paraId="06858F9A" w14:textId="3213C0DC" w:rsidR="00433A32" w:rsidRPr="008B0249" w:rsidRDefault="00433A32" w:rsidP="00F21B8B">
      <w:pPr>
        <w:rPr>
          <w:b/>
          <w:bCs/>
        </w:rPr>
      </w:pPr>
      <w:r w:rsidRPr="008B0249">
        <w:t xml:space="preserve">Item </w:t>
      </w:r>
      <w:r w:rsidR="00DA7865" w:rsidRPr="008B0249">
        <w:t>4</w:t>
      </w:r>
      <w:r w:rsidRPr="008B0249">
        <w:t xml:space="preserve"> of the provisional agenda</w:t>
      </w:r>
      <w:r w:rsidR="00E312C3" w:rsidRPr="008B0249">
        <w:br/>
      </w:r>
      <w:r w:rsidR="00DA7865" w:rsidRPr="008B0249">
        <w:rPr>
          <w:b/>
          <w:bCs/>
        </w:rPr>
        <w:t>Interpretation of RID/ADR/ADN</w:t>
      </w:r>
    </w:p>
    <w:p w14:paraId="2049BB74" w14:textId="77777777" w:rsidR="001D6F12" w:rsidRPr="008B0249" w:rsidRDefault="001D6F12" w:rsidP="001D6F12">
      <w:pPr>
        <w:pStyle w:val="HChG"/>
        <w:rPr>
          <w:lang w:val="en-GB"/>
        </w:rPr>
      </w:pPr>
      <w:r w:rsidRPr="008B0249">
        <w:rPr>
          <w:lang w:val="en-GB"/>
        </w:rPr>
        <w:tab/>
      </w:r>
      <w:r w:rsidRPr="008B0249">
        <w:rPr>
          <w:lang w:val="en-GB"/>
        </w:rPr>
        <w:tab/>
        <w:t>Interpretation of capacity to determine the maximum degree of filling according to 4.1.1.4</w:t>
      </w:r>
    </w:p>
    <w:p w14:paraId="47A91EC4" w14:textId="7CD62961" w:rsidR="001D6F12" w:rsidRPr="008B0249" w:rsidRDefault="001D6F12" w:rsidP="001D6F12">
      <w:pPr>
        <w:pStyle w:val="H1G"/>
      </w:pPr>
      <w:r w:rsidRPr="008B0249">
        <w:tab/>
      </w:r>
      <w:r w:rsidRPr="008B0249">
        <w:tab/>
        <w:t xml:space="preserve">Transmitted by </w:t>
      </w:r>
      <w:r w:rsidR="00C82E48" w:rsidRPr="008B0249">
        <w:t>the Government of</w:t>
      </w:r>
      <w:r w:rsidR="00C82E48" w:rsidRPr="008B0249">
        <w:t xml:space="preserve"> </w:t>
      </w:r>
      <w:r w:rsidRPr="008B0249">
        <w:t>Belgium</w:t>
      </w:r>
    </w:p>
    <w:p w14:paraId="3E0E25F0" w14:textId="221D3C26" w:rsidR="001D6F12" w:rsidRPr="008B0249" w:rsidRDefault="001D6F12" w:rsidP="001D6F12">
      <w:pPr>
        <w:pStyle w:val="HChG"/>
        <w:rPr>
          <w:rFonts w:eastAsia="Calibri"/>
          <w:lang w:val="en-GB"/>
        </w:rPr>
      </w:pPr>
      <w:r w:rsidRPr="008B0249">
        <w:rPr>
          <w:rFonts w:eastAsia="Calibri"/>
          <w:lang w:val="en-GB"/>
        </w:rPr>
        <w:tab/>
      </w:r>
      <w:r w:rsidRPr="008B0249">
        <w:rPr>
          <w:rFonts w:eastAsia="Calibri"/>
          <w:lang w:val="en-GB"/>
        </w:rPr>
        <w:tab/>
        <w:t>Introduction</w:t>
      </w:r>
    </w:p>
    <w:p w14:paraId="3FD22EC5" w14:textId="65702F36" w:rsidR="001D6F12" w:rsidRPr="008B0249" w:rsidRDefault="001D6F12" w:rsidP="001D6F12">
      <w:pPr>
        <w:pStyle w:val="SingleTxtG"/>
        <w:rPr>
          <w:rFonts w:eastAsia="Calibri"/>
          <w:lang w:val="en-GB"/>
        </w:rPr>
      </w:pPr>
      <w:r w:rsidRPr="008B0249">
        <w:rPr>
          <w:rFonts w:eastAsia="Calibri"/>
          <w:lang w:val="en-GB"/>
        </w:rPr>
        <w:t>1.</w:t>
      </w:r>
      <w:r w:rsidRPr="008B0249">
        <w:rPr>
          <w:rFonts w:eastAsia="Calibri"/>
          <w:lang w:val="en-GB"/>
        </w:rPr>
        <w:tab/>
        <w:t xml:space="preserve">The maximum capacity in 1.2.1 of RID/ADR/ADN </w:t>
      </w:r>
      <w:r w:rsidR="009F637B" w:rsidRPr="008B0249">
        <w:rPr>
          <w:rFonts w:eastAsia="Calibri"/>
          <w:lang w:val="en-GB"/>
        </w:rPr>
        <w:t xml:space="preserve">is defined </w:t>
      </w:r>
      <w:r w:rsidRPr="008B0249">
        <w:rPr>
          <w:rFonts w:eastAsia="Calibri"/>
          <w:lang w:val="en-GB"/>
        </w:rPr>
        <w:t xml:space="preserve">as: </w:t>
      </w:r>
      <w:r w:rsidR="00C043BD" w:rsidRPr="00C043BD">
        <w:rPr>
          <w:rFonts w:eastAsia="Calibri"/>
          <w:i/>
          <w:iCs/>
          <w:lang w:val="en-GB"/>
        </w:rPr>
        <w:t>“t</w:t>
      </w:r>
      <w:r w:rsidRPr="00C043BD">
        <w:rPr>
          <w:rFonts w:eastAsia="Calibri"/>
          <w:i/>
          <w:iCs/>
          <w:lang w:val="en-GB"/>
        </w:rPr>
        <w:t>he</w:t>
      </w:r>
      <w:r w:rsidRPr="008B0249">
        <w:rPr>
          <w:rFonts w:eastAsia="Calibri"/>
          <w:i/>
          <w:iCs/>
          <w:lang w:val="en-GB"/>
        </w:rPr>
        <w:t xml:space="preserve"> maximum inner volume of receptacles or packaging including intermediate bulk containers (IBCs) and large packagings expressed in cubic meters or </w:t>
      </w:r>
      <w:proofErr w:type="spellStart"/>
      <w:r w:rsidRPr="008B0249">
        <w:rPr>
          <w:rFonts w:eastAsia="Calibri"/>
          <w:i/>
          <w:iCs/>
          <w:lang w:val="en-GB"/>
        </w:rPr>
        <w:t>liters</w:t>
      </w:r>
      <w:proofErr w:type="spellEnd"/>
      <w:r w:rsidR="00C043BD">
        <w:rPr>
          <w:rFonts w:eastAsia="Calibri"/>
          <w:i/>
          <w:iCs/>
          <w:lang w:val="en-GB"/>
        </w:rPr>
        <w:t>”</w:t>
      </w:r>
      <w:r w:rsidRPr="008B0249">
        <w:rPr>
          <w:rFonts w:eastAsia="Calibri"/>
          <w:i/>
          <w:iCs/>
          <w:lang w:val="en-GB"/>
        </w:rPr>
        <w:t>.</w:t>
      </w:r>
    </w:p>
    <w:p w14:paraId="5E324178" w14:textId="7F1B0A9F" w:rsidR="001D6F12" w:rsidRPr="008B0249" w:rsidRDefault="00EB4617" w:rsidP="00EB4617">
      <w:pPr>
        <w:pStyle w:val="SingleTxtG"/>
        <w:rPr>
          <w:rFonts w:eastAsia="Calibri"/>
          <w:lang w:val="en-GB"/>
        </w:rPr>
      </w:pPr>
      <w:r w:rsidRPr="008B0249">
        <w:rPr>
          <w:rFonts w:eastAsia="Calibri"/>
          <w:lang w:val="en-GB"/>
        </w:rPr>
        <w:tab/>
        <w:t>2.</w:t>
      </w:r>
      <w:r w:rsidRPr="008B0249">
        <w:rPr>
          <w:rFonts w:eastAsia="Calibri"/>
          <w:lang w:val="en-GB"/>
        </w:rPr>
        <w:tab/>
      </w:r>
      <w:r w:rsidR="001D6F12" w:rsidRPr="008B0249">
        <w:rPr>
          <w:rFonts w:eastAsia="Calibri"/>
          <w:lang w:val="en-GB"/>
        </w:rPr>
        <w:t>In Belgium it is understood that this is the same as the water capacity.</w:t>
      </w:r>
    </w:p>
    <w:p w14:paraId="1874D195" w14:textId="072C3910" w:rsidR="001D6F12" w:rsidRPr="008B0249" w:rsidRDefault="00EB4617" w:rsidP="00EB4617">
      <w:pPr>
        <w:pStyle w:val="SingleTxtG"/>
        <w:rPr>
          <w:rFonts w:eastAsia="Calibri"/>
          <w:lang w:val="en-GB"/>
        </w:rPr>
      </w:pPr>
      <w:r w:rsidRPr="008B0249">
        <w:rPr>
          <w:rFonts w:eastAsia="Calibri"/>
          <w:lang w:val="en-GB"/>
        </w:rPr>
        <w:tab/>
        <w:t>3.</w:t>
      </w:r>
      <w:r w:rsidRPr="008B0249">
        <w:rPr>
          <w:rFonts w:eastAsia="Calibri"/>
          <w:lang w:val="en-GB"/>
        </w:rPr>
        <w:tab/>
      </w:r>
      <w:r w:rsidR="001D6F12" w:rsidRPr="008B0249">
        <w:rPr>
          <w:rFonts w:eastAsia="Calibri"/>
          <w:lang w:val="en-GB"/>
        </w:rPr>
        <w:t>In 4.1.3.3 of RID/ADR/AD</w:t>
      </w:r>
      <w:r w:rsidR="00CD50AA">
        <w:rPr>
          <w:rFonts w:eastAsia="Calibri"/>
          <w:lang w:val="en-GB"/>
        </w:rPr>
        <w:t>N</w:t>
      </w:r>
      <w:r w:rsidR="001D6F12" w:rsidRPr="008B0249">
        <w:rPr>
          <w:rFonts w:eastAsia="Calibri"/>
          <w:lang w:val="en-GB"/>
        </w:rPr>
        <w:t xml:space="preserve"> it is specified that the allowed maximum capacity in the different packing instructions is as defined in 1.2.1</w:t>
      </w:r>
      <w:r w:rsidR="000D2F21">
        <w:rPr>
          <w:rFonts w:eastAsia="Calibri"/>
          <w:lang w:val="en-GB"/>
        </w:rPr>
        <w:t>.</w:t>
      </w:r>
    </w:p>
    <w:p w14:paraId="0ECF433D" w14:textId="08ED557A" w:rsidR="001D6F12" w:rsidRPr="008B0249" w:rsidRDefault="00B11D45" w:rsidP="00B11D45">
      <w:pPr>
        <w:pStyle w:val="SingleTxtG"/>
        <w:rPr>
          <w:rFonts w:eastAsia="Calibri"/>
          <w:lang w:val="en-GB"/>
        </w:rPr>
      </w:pPr>
      <w:r w:rsidRPr="008B0249">
        <w:rPr>
          <w:rFonts w:eastAsia="Calibri"/>
          <w:lang w:val="en-GB"/>
        </w:rPr>
        <w:tab/>
        <w:t>4.</w:t>
      </w:r>
      <w:r w:rsidRPr="008B0249">
        <w:rPr>
          <w:rFonts w:eastAsia="Calibri"/>
          <w:lang w:val="en-GB"/>
        </w:rPr>
        <w:tab/>
      </w:r>
      <w:r w:rsidR="001D6F12" w:rsidRPr="008B0249">
        <w:rPr>
          <w:rFonts w:eastAsia="Calibri"/>
          <w:lang w:val="en-GB"/>
        </w:rPr>
        <w:t>6.1.5.2.1, 6.5.6.9.2 and 6.6.5.2.1 require that the packagings, IBCs and large packagings containing liquids are filled to at least 98 % of their maximum capacity for performing the required testing by the RID/ADR/ADN. While in 6.1.5.8.1, 6.5.6.14.1 and 6.6.5.4.2 it is required that the maximum capacity of the packagings, IBCs and large packagings is mentioned in the test report.</w:t>
      </w:r>
    </w:p>
    <w:p w14:paraId="512880C9" w14:textId="074A4463" w:rsidR="001D6F12" w:rsidRPr="008B0249" w:rsidRDefault="00B11D45" w:rsidP="00B11D45">
      <w:pPr>
        <w:pStyle w:val="SingleTxtG"/>
        <w:rPr>
          <w:rFonts w:eastAsia="Calibri"/>
          <w:lang w:val="en-GB"/>
        </w:rPr>
      </w:pPr>
      <w:r w:rsidRPr="008B0249">
        <w:rPr>
          <w:rFonts w:eastAsia="Calibri"/>
          <w:lang w:val="en-GB"/>
        </w:rPr>
        <w:tab/>
        <w:t>5.</w:t>
      </w:r>
      <w:r w:rsidRPr="008B0249">
        <w:rPr>
          <w:rFonts w:eastAsia="Calibri"/>
          <w:lang w:val="en-GB"/>
        </w:rPr>
        <w:tab/>
      </w:r>
      <w:r w:rsidR="001D6F12" w:rsidRPr="008B0249">
        <w:rPr>
          <w:rFonts w:eastAsia="Calibri"/>
          <w:lang w:val="en-GB"/>
        </w:rPr>
        <w:t>The second and third paragraph of 4.1.1.4 contain two different prescriptions to determine the maximum filling degree at a temperature of 15 °C. The second paragraph (a) allows to determine the filling degree based on the boiling point, while the third paragraph (b) takes account of the relative densities and the cubic expansion of the liquid for a temperature difference of 35</w:t>
      </w:r>
      <w:r w:rsidR="00757D4A">
        <w:rPr>
          <w:rFonts w:eastAsia="Calibri"/>
          <w:lang w:val="en-GB"/>
        </w:rPr>
        <w:t xml:space="preserve"> </w:t>
      </w:r>
      <w:r w:rsidR="001D6F12" w:rsidRPr="008B0249">
        <w:rPr>
          <w:rFonts w:eastAsia="Calibri"/>
          <w:lang w:val="en-GB"/>
        </w:rPr>
        <w:t xml:space="preserve">°C. </w:t>
      </w:r>
      <w:r w:rsidR="00757D4A" w:rsidRPr="008B0249">
        <w:rPr>
          <w:rFonts w:eastAsia="Calibri"/>
          <w:lang w:val="en-GB"/>
        </w:rPr>
        <w:t>Nevertheless,</w:t>
      </w:r>
      <w:r w:rsidR="001D6F12" w:rsidRPr="008B0249">
        <w:rPr>
          <w:rFonts w:eastAsia="Calibri"/>
          <w:lang w:val="en-GB"/>
        </w:rPr>
        <w:t xml:space="preserve"> in these paragraphs only capacity is referenced without further specification.</w:t>
      </w:r>
    </w:p>
    <w:p w14:paraId="7928AA20" w14:textId="160CEDB1" w:rsidR="001D6F12" w:rsidRPr="008B0249" w:rsidRDefault="00BD0B54" w:rsidP="00BD0B54">
      <w:pPr>
        <w:pStyle w:val="SingleTxtG"/>
        <w:rPr>
          <w:rFonts w:eastAsia="Calibri"/>
          <w:lang w:val="en-GB"/>
        </w:rPr>
      </w:pPr>
      <w:r w:rsidRPr="008B0249">
        <w:rPr>
          <w:rFonts w:eastAsia="Calibri"/>
          <w:lang w:val="en-GB"/>
        </w:rPr>
        <w:tab/>
        <w:t>6.</w:t>
      </w:r>
      <w:r w:rsidRPr="008B0249">
        <w:rPr>
          <w:rFonts w:eastAsia="Calibri"/>
          <w:lang w:val="en-GB"/>
        </w:rPr>
        <w:tab/>
      </w:r>
      <w:r w:rsidR="001D6F12" w:rsidRPr="008B0249">
        <w:rPr>
          <w:rFonts w:eastAsia="Calibri"/>
          <w:lang w:val="en-GB"/>
        </w:rPr>
        <w:t>In addition, manufacturers frequently give a nominal capacity which is not defined in the regulations for the transport of dangerous goods.</w:t>
      </w:r>
    </w:p>
    <w:p w14:paraId="11A7CA98" w14:textId="2B9EA4F7" w:rsidR="001D6F12" w:rsidRPr="008B0249" w:rsidRDefault="00BD0B54" w:rsidP="00BD0B54">
      <w:pPr>
        <w:pStyle w:val="SingleTxtG"/>
        <w:rPr>
          <w:rFonts w:eastAsia="Calibri"/>
          <w:lang w:val="en-GB"/>
        </w:rPr>
      </w:pPr>
      <w:r w:rsidRPr="008B0249">
        <w:rPr>
          <w:rFonts w:eastAsia="Calibri"/>
          <w:lang w:val="en-GB"/>
        </w:rPr>
        <w:tab/>
        <w:t>7.</w:t>
      </w:r>
      <w:r w:rsidRPr="008B0249">
        <w:rPr>
          <w:rFonts w:eastAsia="Calibri"/>
          <w:lang w:val="en-GB"/>
        </w:rPr>
        <w:tab/>
      </w:r>
      <w:r w:rsidR="001D6F12" w:rsidRPr="008B0249">
        <w:rPr>
          <w:rFonts w:eastAsia="Calibri"/>
          <w:lang w:val="en-GB"/>
        </w:rPr>
        <w:t xml:space="preserve">As the nominal capacity isn’t necessarily the same as the maximum or water capacity that is defined in the regulations for the transport of dangerous goods, discussion has arisen on whether the calculations in 4.1.1.4 </w:t>
      </w:r>
      <w:r w:rsidR="00DD15AC">
        <w:rPr>
          <w:rFonts w:eastAsia="Calibri"/>
          <w:lang w:val="en-GB"/>
        </w:rPr>
        <w:t>(</w:t>
      </w:r>
      <w:r w:rsidR="001D6F12" w:rsidRPr="008B0249">
        <w:rPr>
          <w:rFonts w:eastAsia="Calibri"/>
          <w:lang w:val="en-GB"/>
        </w:rPr>
        <w:t xml:space="preserve">a) and </w:t>
      </w:r>
      <w:r w:rsidR="00DD15AC">
        <w:rPr>
          <w:rFonts w:eastAsia="Calibri"/>
          <w:lang w:val="en-GB"/>
        </w:rPr>
        <w:t>(</w:t>
      </w:r>
      <w:r w:rsidR="001D6F12" w:rsidRPr="008B0249">
        <w:rPr>
          <w:rFonts w:eastAsia="Calibri"/>
          <w:lang w:val="en-GB"/>
        </w:rPr>
        <w:t>b) require the nominal capacity to be used or the maximum capacity.</w:t>
      </w:r>
    </w:p>
    <w:p w14:paraId="2D4B92BE" w14:textId="55C47200" w:rsidR="001D6F12" w:rsidRPr="008B0249" w:rsidRDefault="00BD0B54" w:rsidP="00BD0B54">
      <w:pPr>
        <w:pStyle w:val="SingleTxtG"/>
        <w:rPr>
          <w:rFonts w:eastAsia="Calibri"/>
          <w:lang w:val="en-GB"/>
        </w:rPr>
      </w:pPr>
      <w:r w:rsidRPr="008B0249">
        <w:rPr>
          <w:rFonts w:eastAsia="Calibri"/>
          <w:lang w:val="en-GB"/>
        </w:rPr>
        <w:tab/>
        <w:t>8.</w:t>
      </w:r>
      <w:r w:rsidRPr="008B0249">
        <w:rPr>
          <w:rFonts w:eastAsia="Calibri"/>
          <w:lang w:val="en-GB"/>
        </w:rPr>
        <w:tab/>
      </w:r>
      <w:r w:rsidR="001D6F12" w:rsidRPr="008B0249">
        <w:rPr>
          <w:rFonts w:eastAsia="Calibri"/>
          <w:lang w:val="en-GB"/>
        </w:rPr>
        <w:t xml:space="preserve">Belgium is of the opinion that the intention of 4.1.1.4 </w:t>
      </w:r>
      <w:r w:rsidR="000F66F7">
        <w:rPr>
          <w:rFonts w:eastAsia="Calibri"/>
          <w:lang w:val="en-GB"/>
        </w:rPr>
        <w:t>(</w:t>
      </w:r>
      <w:r w:rsidR="001D6F12" w:rsidRPr="008B0249">
        <w:rPr>
          <w:rFonts w:eastAsia="Calibri"/>
          <w:lang w:val="en-GB"/>
        </w:rPr>
        <w:t xml:space="preserve">a) and </w:t>
      </w:r>
      <w:r w:rsidR="000F66F7">
        <w:rPr>
          <w:rFonts w:eastAsia="Calibri"/>
          <w:lang w:val="en-GB"/>
        </w:rPr>
        <w:t>(</w:t>
      </w:r>
      <w:r w:rsidR="001D6F12" w:rsidRPr="008B0249">
        <w:rPr>
          <w:rFonts w:eastAsia="Calibri"/>
          <w:lang w:val="en-GB"/>
        </w:rPr>
        <w:t>b) is that the maximum capacity as defined in the RID/ADR/ADN is used for determining the maximum filling degree.</w:t>
      </w:r>
    </w:p>
    <w:p w14:paraId="64541DC4" w14:textId="27AA669E" w:rsidR="001D6F12" w:rsidRPr="008B0249" w:rsidRDefault="00042EAE" w:rsidP="00042EAE">
      <w:pPr>
        <w:pStyle w:val="SingleTxtG"/>
        <w:rPr>
          <w:rFonts w:eastAsia="Calibri"/>
          <w:lang w:val="en-GB"/>
        </w:rPr>
      </w:pPr>
      <w:r w:rsidRPr="008B0249">
        <w:rPr>
          <w:rFonts w:eastAsia="Calibri"/>
          <w:lang w:val="en-GB"/>
        </w:rPr>
        <w:tab/>
        <w:t>9.</w:t>
      </w:r>
      <w:r w:rsidRPr="008B0249">
        <w:rPr>
          <w:rFonts w:eastAsia="Calibri"/>
          <w:lang w:val="en-GB"/>
        </w:rPr>
        <w:tab/>
      </w:r>
      <w:r w:rsidR="001D6F12" w:rsidRPr="008B0249">
        <w:rPr>
          <w:rFonts w:eastAsia="Calibri"/>
          <w:lang w:val="en-GB"/>
        </w:rPr>
        <w:t xml:space="preserve">As such, Belgium proposes to have this </w:t>
      </w:r>
      <w:r w:rsidR="009907BD">
        <w:rPr>
          <w:rFonts w:eastAsia="Calibri"/>
          <w:lang w:val="en-GB"/>
        </w:rPr>
        <w:t xml:space="preserve">understanding </w:t>
      </w:r>
      <w:r w:rsidR="001D6F12" w:rsidRPr="008B0249">
        <w:rPr>
          <w:rFonts w:eastAsia="Calibri"/>
          <w:lang w:val="en-GB"/>
        </w:rPr>
        <w:t xml:space="preserve">clarified in 4.1.1.4 </w:t>
      </w:r>
      <w:r w:rsidR="009907BD">
        <w:rPr>
          <w:rFonts w:eastAsia="Calibri"/>
          <w:lang w:val="en-GB"/>
        </w:rPr>
        <w:t>(</w:t>
      </w:r>
      <w:r w:rsidR="001D6F12" w:rsidRPr="008B0249">
        <w:rPr>
          <w:rFonts w:eastAsia="Calibri"/>
          <w:lang w:val="en-GB"/>
        </w:rPr>
        <w:t xml:space="preserve">a) and </w:t>
      </w:r>
      <w:r w:rsidR="009907BD">
        <w:rPr>
          <w:rFonts w:eastAsia="Calibri"/>
          <w:lang w:val="en-GB"/>
        </w:rPr>
        <w:t>(</w:t>
      </w:r>
      <w:r w:rsidR="001D6F12" w:rsidRPr="008B0249">
        <w:rPr>
          <w:rFonts w:eastAsia="Calibri"/>
          <w:lang w:val="en-GB"/>
        </w:rPr>
        <w:t>b).</w:t>
      </w:r>
    </w:p>
    <w:p w14:paraId="43235114" w14:textId="1C17A297" w:rsidR="001D6F12" w:rsidRPr="008B0249" w:rsidRDefault="00042EAE" w:rsidP="00042EAE">
      <w:pPr>
        <w:pStyle w:val="SingleTxtG"/>
        <w:rPr>
          <w:rFonts w:eastAsia="Calibri"/>
          <w:lang w:val="en-GB"/>
        </w:rPr>
      </w:pPr>
      <w:r w:rsidRPr="008B0249">
        <w:rPr>
          <w:rFonts w:eastAsia="Calibri"/>
          <w:lang w:val="en-GB"/>
        </w:rPr>
        <w:tab/>
        <w:t>10</w:t>
      </w:r>
      <w:r w:rsidR="004E6B3F">
        <w:rPr>
          <w:rFonts w:eastAsia="Calibri"/>
          <w:lang w:val="en-GB"/>
        </w:rPr>
        <w:t>.</w:t>
      </w:r>
      <w:r w:rsidRPr="008B0249">
        <w:rPr>
          <w:rFonts w:eastAsia="Calibri"/>
          <w:lang w:val="en-GB"/>
        </w:rPr>
        <w:tab/>
      </w:r>
      <w:r w:rsidR="001D6F12" w:rsidRPr="008B0249">
        <w:rPr>
          <w:rFonts w:eastAsia="Calibri"/>
          <w:lang w:val="en-GB"/>
        </w:rPr>
        <w:t xml:space="preserve">In addition, during the discussions it was suggested that </w:t>
      </w:r>
      <w:r w:rsidR="004E6B3F" w:rsidRPr="008B0249">
        <w:rPr>
          <w:rFonts w:eastAsia="Calibri"/>
          <w:lang w:val="en-GB"/>
        </w:rPr>
        <w:t>there</w:t>
      </w:r>
      <w:r w:rsidR="001D6F12" w:rsidRPr="008B0249">
        <w:rPr>
          <w:rFonts w:eastAsia="Calibri"/>
          <w:lang w:val="en-GB"/>
        </w:rPr>
        <w:t xml:space="preserve"> might be a technical reason for the nominal capacities given by the manufacturers and that the nominal capacity should be the limiting capacity. Belgium would like to hear the opinion of the Joint Meeting on this</w:t>
      </w:r>
      <w:r w:rsidR="00076EB0">
        <w:rPr>
          <w:rFonts w:eastAsia="Calibri"/>
          <w:lang w:val="en-GB"/>
        </w:rPr>
        <w:t xml:space="preserve"> issue.</w:t>
      </w:r>
    </w:p>
    <w:p w14:paraId="5D1F27AA" w14:textId="0657915F" w:rsidR="001D6F12" w:rsidRPr="008B0249" w:rsidRDefault="00042EAE" w:rsidP="00042EAE">
      <w:pPr>
        <w:pStyle w:val="HChG"/>
        <w:rPr>
          <w:rFonts w:eastAsia="Calibri"/>
          <w:lang w:val="en-GB"/>
        </w:rPr>
      </w:pPr>
      <w:r w:rsidRPr="008B0249">
        <w:rPr>
          <w:rFonts w:eastAsia="Calibri"/>
          <w:lang w:val="en-GB"/>
        </w:rPr>
        <w:lastRenderedPageBreak/>
        <w:tab/>
      </w:r>
      <w:r w:rsidRPr="008B0249">
        <w:rPr>
          <w:rFonts w:eastAsia="Calibri"/>
          <w:lang w:val="en-GB"/>
        </w:rPr>
        <w:tab/>
      </w:r>
      <w:r w:rsidR="001D6F12" w:rsidRPr="008B0249">
        <w:rPr>
          <w:rFonts w:eastAsia="Calibri"/>
          <w:lang w:val="en-GB"/>
        </w:rPr>
        <w:t>Proposal</w:t>
      </w:r>
    </w:p>
    <w:p w14:paraId="0F41899E" w14:textId="0A803EB4" w:rsidR="001D6F12" w:rsidRPr="008B0249" w:rsidRDefault="00042EAE" w:rsidP="00042EAE">
      <w:pPr>
        <w:pStyle w:val="SingleTxtG"/>
        <w:rPr>
          <w:rFonts w:eastAsia="Calibri"/>
          <w:lang w:val="en-GB"/>
        </w:rPr>
      </w:pPr>
      <w:r w:rsidRPr="008B0249">
        <w:rPr>
          <w:rFonts w:eastAsia="Calibri"/>
          <w:lang w:val="en-GB"/>
        </w:rPr>
        <w:tab/>
        <w:t>11.</w:t>
      </w:r>
      <w:r w:rsidRPr="008B0249">
        <w:rPr>
          <w:rFonts w:eastAsia="Calibri"/>
          <w:lang w:val="en-GB"/>
        </w:rPr>
        <w:tab/>
      </w:r>
      <w:r w:rsidR="001D6F12" w:rsidRPr="008B0249">
        <w:rPr>
          <w:rFonts w:eastAsia="Calibri"/>
          <w:lang w:val="en-GB"/>
        </w:rPr>
        <w:t xml:space="preserve">Amend 4.1.1.4 </w:t>
      </w:r>
      <w:r w:rsidR="00076EB0">
        <w:rPr>
          <w:rFonts w:eastAsia="Calibri"/>
          <w:lang w:val="en-GB"/>
        </w:rPr>
        <w:t>(</w:t>
      </w:r>
      <w:r w:rsidR="001D6F12" w:rsidRPr="008B0249">
        <w:rPr>
          <w:rFonts w:eastAsia="Calibri"/>
          <w:lang w:val="en-GB"/>
        </w:rPr>
        <w:t xml:space="preserve">a) and </w:t>
      </w:r>
      <w:r w:rsidR="00076EB0">
        <w:rPr>
          <w:rFonts w:eastAsia="Calibri"/>
          <w:lang w:val="en-GB"/>
        </w:rPr>
        <w:t>(</w:t>
      </w:r>
      <w:r w:rsidR="001D6F12" w:rsidRPr="008B0249">
        <w:rPr>
          <w:rFonts w:eastAsia="Calibri"/>
          <w:lang w:val="en-GB"/>
        </w:rPr>
        <w:t xml:space="preserve">b) as follows </w:t>
      </w:r>
      <w:r w:rsidR="008D5571">
        <w:rPr>
          <w:rFonts w:eastAsia="Calibri"/>
          <w:lang w:val="en-GB"/>
        </w:rPr>
        <w:t>(</w:t>
      </w:r>
      <w:r w:rsidR="001D6F12" w:rsidRPr="008B0249">
        <w:rPr>
          <w:rFonts w:eastAsia="Calibri"/>
          <w:lang w:val="en-GB"/>
        </w:rPr>
        <w:t>new text</w:t>
      </w:r>
      <w:r w:rsidR="008D5571">
        <w:rPr>
          <w:rFonts w:eastAsia="Calibri"/>
          <w:lang w:val="en-GB"/>
        </w:rPr>
        <w:t xml:space="preserve"> is</w:t>
      </w:r>
      <w:r w:rsidR="001D6F12" w:rsidRPr="008B0249">
        <w:rPr>
          <w:rFonts w:eastAsia="Calibri"/>
          <w:lang w:val="en-GB"/>
        </w:rPr>
        <w:t xml:space="preserve"> </w:t>
      </w:r>
      <w:r w:rsidR="001D6F12" w:rsidRPr="008B0249">
        <w:rPr>
          <w:rFonts w:eastAsia="Calibri"/>
          <w:u w:val="single"/>
          <w:lang w:val="en-GB"/>
        </w:rPr>
        <w:t>underlined</w:t>
      </w:r>
      <w:r w:rsidR="008D5571" w:rsidRPr="008D5571">
        <w:rPr>
          <w:rFonts w:eastAsia="Calibri"/>
          <w:lang w:val="en-GB"/>
        </w:rPr>
        <w:t>)</w:t>
      </w:r>
      <w:r w:rsidR="001D6F12" w:rsidRPr="008B0249">
        <w:rPr>
          <w:rFonts w:eastAsia="Calibri"/>
          <w:lang w:val="en-GB"/>
        </w:rPr>
        <w:t>:</w:t>
      </w:r>
    </w:p>
    <w:p w14:paraId="6049293F" w14:textId="6D7AD7C7" w:rsidR="001D6F12" w:rsidRPr="008B0249" w:rsidRDefault="000F692C" w:rsidP="00464314">
      <w:pPr>
        <w:pStyle w:val="SingleTxtG"/>
        <w:rPr>
          <w:rFonts w:eastAsia="Calibri"/>
          <w:lang w:val="en-GB"/>
        </w:rPr>
      </w:pPr>
      <w:r>
        <w:rPr>
          <w:rFonts w:eastAsia="Calibri"/>
          <w:lang w:val="en-GB"/>
        </w:rPr>
        <w:t>“</w:t>
      </w:r>
      <w:r w:rsidR="001D6F12" w:rsidRPr="008B0249">
        <w:rPr>
          <w:rFonts w:eastAsia="Calibri"/>
          <w:lang w:val="en-GB"/>
        </w:rPr>
        <w:t>(a)</w:t>
      </w:r>
    </w:p>
    <w:tbl>
      <w:tblPr>
        <w:tblStyle w:val="Grilledutableau2"/>
        <w:tblW w:w="9502" w:type="dxa"/>
        <w:tblInd w:w="360" w:type="dxa"/>
        <w:tblLook w:val="04A0" w:firstRow="1" w:lastRow="0" w:firstColumn="1" w:lastColumn="0" w:noHBand="0" w:noVBand="1"/>
      </w:tblPr>
      <w:tblGrid>
        <w:gridCol w:w="4108"/>
        <w:gridCol w:w="638"/>
        <w:gridCol w:w="1176"/>
        <w:gridCol w:w="1202"/>
        <w:gridCol w:w="1202"/>
        <w:gridCol w:w="1176"/>
      </w:tblGrid>
      <w:tr w:rsidR="001D6F12" w:rsidRPr="008B0249" w14:paraId="5B06C26B" w14:textId="77777777" w:rsidTr="00182EA7">
        <w:trPr>
          <w:trHeight w:val="298"/>
        </w:trPr>
        <w:tc>
          <w:tcPr>
            <w:tcW w:w="4108" w:type="dxa"/>
          </w:tcPr>
          <w:p w14:paraId="71C02E39"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Boiling point (initial boiling point) of the substance in °C</w:t>
            </w:r>
          </w:p>
        </w:tc>
        <w:tc>
          <w:tcPr>
            <w:tcW w:w="638" w:type="dxa"/>
          </w:tcPr>
          <w:p w14:paraId="74BA46D3"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&lt; 60</w:t>
            </w:r>
          </w:p>
        </w:tc>
        <w:tc>
          <w:tcPr>
            <w:tcW w:w="1176" w:type="dxa"/>
          </w:tcPr>
          <w:p w14:paraId="293C1240"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 60</w:t>
            </w:r>
          </w:p>
          <w:p w14:paraId="0094F600"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&lt; 100</w:t>
            </w:r>
          </w:p>
        </w:tc>
        <w:tc>
          <w:tcPr>
            <w:tcW w:w="1202" w:type="dxa"/>
          </w:tcPr>
          <w:p w14:paraId="6DADFBD2"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 100</w:t>
            </w:r>
          </w:p>
          <w:p w14:paraId="46A28C5E"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&lt; 200</w:t>
            </w:r>
          </w:p>
        </w:tc>
        <w:tc>
          <w:tcPr>
            <w:tcW w:w="1202" w:type="dxa"/>
          </w:tcPr>
          <w:p w14:paraId="64EFD8E0"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 200</w:t>
            </w:r>
          </w:p>
          <w:p w14:paraId="605FE456"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&lt; 300</w:t>
            </w:r>
          </w:p>
        </w:tc>
        <w:tc>
          <w:tcPr>
            <w:tcW w:w="1176" w:type="dxa"/>
          </w:tcPr>
          <w:p w14:paraId="59C7A4B6"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 300</w:t>
            </w:r>
          </w:p>
        </w:tc>
      </w:tr>
      <w:tr w:rsidR="001D6F12" w:rsidRPr="008B0249" w14:paraId="34A339DE" w14:textId="77777777" w:rsidTr="00182EA7">
        <w:trPr>
          <w:trHeight w:val="605"/>
        </w:trPr>
        <w:tc>
          <w:tcPr>
            <w:tcW w:w="4108" w:type="dxa"/>
          </w:tcPr>
          <w:p w14:paraId="2D5D56B8"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 xml:space="preserve">Degree of filling as a percentage of the </w:t>
            </w:r>
            <w:r w:rsidRPr="008B0249">
              <w:rPr>
                <w:rFonts w:asciiTheme="majorBidi" w:hAnsiTheme="majorBidi" w:cstheme="majorBidi"/>
                <w:sz w:val="20"/>
                <w:szCs w:val="20"/>
                <w:u w:val="single"/>
                <w:lang w:val="en-GB"/>
              </w:rPr>
              <w:t>maximum</w:t>
            </w:r>
            <w:r w:rsidRPr="008B0249">
              <w:rPr>
                <w:rFonts w:asciiTheme="majorBidi" w:hAnsiTheme="majorBidi" w:cstheme="majorBidi"/>
                <w:sz w:val="20"/>
                <w:szCs w:val="20"/>
                <w:lang w:val="en-GB"/>
              </w:rPr>
              <w:t xml:space="preserve"> capacity of the packaging</w:t>
            </w:r>
          </w:p>
        </w:tc>
        <w:tc>
          <w:tcPr>
            <w:tcW w:w="638" w:type="dxa"/>
          </w:tcPr>
          <w:p w14:paraId="70D48E22"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90</w:t>
            </w:r>
          </w:p>
        </w:tc>
        <w:tc>
          <w:tcPr>
            <w:tcW w:w="1176" w:type="dxa"/>
          </w:tcPr>
          <w:p w14:paraId="255D9E85"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92</w:t>
            </w:r>
          </w:p>
        </w:tc>
        <w:tc>
          <w:tcPr>
            <w:tcW w:w="1202" w:type="dxa"/>
          </w:tcPr>
          <w:p w14:paraId="13972B03"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94</w:t>
            </w:r>
          </w:p>
        </w:tc>
        <w:tc>
          <w:tcPr>
            <w:tcW w:w="1202" w:type="dxa"/>
          </w:tcPr>
          <w:p w14:paraId="2959CBA3"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96</w:t>
            </w:r>
          </w:p>
        </w:tc>
        <w:tc>
          <w:tcPr>
            <w:tcW w:w="1176" w:type="dxa"/>
          </w:tcPr>
          <w:p w14:paraId="74E5F2DF" w14:textId="77777777" w:rsidR="001D6F12" w:rsidRPr="008B0249" w:rsidRDefault="001D6F12" w:rsidP="00182EA7">
            <w:pPr>
              <w:suppressAutoHyphens w:val="0"/>
              <w:spacing w:line="240" w:lineRule="auto"/>
              <w:jc w:val="center"/>
              <w:rPr>
                <w:rFonts w:asciiTheme="majorBidi" w:hAnsiTheme="majorBidi" w:cstheme="majorBidi"/>
                <w:sz w:val="20"/>
                <w:szCs w:val="20"/>
                <w:lang w:val="en-GB"/>
              </w:rPr>
            </w:pPr>
            <w:r w:rsidRPr="008B0249">
              <w:rPr>
                <w:rFonts w:asciiTheme="majorBidi" w:hAnsiTheme="majorBidi" w:cstheme="majorBidi"/>
                <w:sz w:val="20"/>
                <w:szCs w:val="20"/>
                <w:lang w:val="en-GB"/>
              </w:rPr>
              <w:t>98</w:t>
            </w:r>
          </w:p>
        </w:tc>
      </w:tr>
    </w:tbl>
    <w:p w14:paraId="07257B8B" w14:textId="7DF17CC3" w:rsidR="00BE0CEC" w:rsidRDefault="00BE0CEC" w:rsidP="00303F47">
      <w:pPr>
        <w:pStyle w:val="SingleTxtG"/>
        <w:spacing w:before="120"/>
        <w:rPr>
          <w:rFonts w:eastAsia="Calibri"/>
          <w:lang w:val="en-GB"/>
        </w:rPr>
      </w:pPr>
      <w:r>
        <w:rPr>
          <w:rFonts w:eastAsia="Calibri"/>
          <w:lang w:val="en-GB"/>
        </w:rPr>
        <w:t>or</w:t>
      </w:r>
    </w:p>
    <w:p w14:paraId="2CA5D5B5" w14:textId="699B5555" w:rsidR="001D6F12" w:rsidRPr="008B0249" w:rsidRDefault="00227336" w:rsidP="00303F47">
      <w:pPr>
        <w:pStyle w:val="SingleTxtG"/>
        <w:spacing w:before="120"/>
        <w:rPr>
          <w:rFonts w:eastAsia="Calibri"/>
          <w:lang w:val="en-GB"/>
        </w:rPr>
      </w:pPr>
      <w:r w:rsidRPr="008B0249">
        <w:rPr>
          <w:rFonts w:eastAsia="Calibri"/>
          <w:lang w:val="en-GB"/>
        </w:rPr>
        <w:tab/>
      </w:r>
      <w:r w:rsidR="001D6F12" w:rsidRPr="008B0249">
        <w:rPr>
          <w:rFonts w:eastAsia="Calibri"/>
          <w:lang w:val="en-GB"/>
        </w:rPr>
        <w:t>(b)</w:t>
      </w:r>
      <w:r w:rsidR="009C73E9">
        <w:rPr>
          <w:rFonts w:eastAsia="Calibri"/>
          <w:lang w:val="en-GB"/>
        </w:rPr>
        <w:tab/>
      </w:r>
      <w:r w:rsidR="001D6F12" w:rsidRPr="008B0249">
        <w:rPr>
          <w:rFonts w:eastAsia="Calibri"/>
          <w:lang w:val="en-GB"/>
        </w:rPr>
        <w:t xml:space="preserve">degree of filling = </w:t>
      </w:r>
      <m:oMath>
        <m:f>
          <m:fPr>
            <m:ctrlPr>
              <w:rPr>
                <w:rFonts w:ascii="Cambria Math" w:eastAsia="Calibri" w:hAnsi="Cambria Math"/>
                <w:i/>
                <w:sz w:val="28"/>
                <w:szCs w:val="28"/>
                <w:lang w:val="en-GB"/>
              </w:rPr>
            </m:ctrlPr>
          </m:fPr>
          <m:num>
            <m:r>
              <w:rPr>
                <w:rFonts w:ascii="Cambria Math" w:eastAsia="Calibri" w:hAnsi="Cambria Math"/>
                <w:sz w:val="28"/>
                <w:szCs w:val="28"/>
                <w:lang w:val="en-GB"/>
              </w:rPr>
              <m:t>98</m:t>
            </m:r>
          </m:num>
          <m:den>
            <m:r>
              <w:rPr>
                <w:rFonts w:ascii="Cambria Math" w:eastAsia="Calibri" w:hAnsi="Cambria Math"/>
                <w:sz w:val="28"/>
                <w:szCs w:val="28"/>
                <w:lang w:val="en-GB"/>
              </w:rPr>
              <m:t xml:space="preserve">1+ α(50 - tF) </m:t>
            </m:r>
          </m:den>
        </m:f>
      </m:oMath>
      <w:r w:rsidR="001D6F12" w:rsidRPr="008B0249">
        <w:rPr>
          <w:rFonts w:eastAsia="Calibri"/>
          <w:lang w:val="en-GB"/>
        </w:rPr>
        <w:t xml:space="preserve"> % of the </w:t>
      </w:r>
      <w:r w:rsidR="001D6F12" w:rsidRPr="008B0249">
        <w:rPr>
          <w:rFonts w:eastAsia="Calibri"/>
          <w:u w:val="single"/>
          <w:lang w:val="en-GB"/>
        </w:rPr>
        <w:t>maximum</w:t>
      </w:r>
      <w:r w:rsidR="001D6F12" w:rsidRPr="008B0249">
        <w:rPr>
          <w:rFonts w:eastAsia="Calibri"/>
          <w:lang w:val="en-GB"/>
        </w:rPr>
        <w:t xml:space="preserve"> capacity of the packaging </w:t>
      </w:r>
    </w:p>
    <w:p w14:paraId="71045798" w14:textId="77777777" w:rsidR="001D6F12" w:rsidRPr="008B0249" w:rsidRDefault="001D6F12" w:rsidP="00303F47">
      <w:pPr>
        <w:pStyle w:val="SingleTxtG"/>
        <w:rPr>
          <w:rFonts w:eastAsia="Calibri"/>
          <w:lang w:val="en-GB"/>
        </w:rPr>
      </w:pPr>
      <w:r w:rsidRPr="008B0249">
        <w:rPr>
          <w:rFonts w:eastAsia="Calibri"/>
          <w:lang w:val="en-GB"/>
        </w:rPr>
        <w:t xml:space="preserve">In this formula α represents the mean coefficient of cubic expansion of the liquid substance between 15 °C and 50 °C; that is to say, for a maximum rise in temperature of 35 °C, </w:t>
      </w:r>
    </w:p>
    <w:p w14:paraId="4EA15010" w14:textId="77777777" w:rsidR="001D6F12" w:rsidRPr="008B0249" w:rsidRDefault="001D6F12" w:rsidP="00177598">
      <w:pPr>
        <w:pStyle w:val="SingleTxtG"/>
        <w:rPr>
          <w:rFonts w:eastAsia="Calibri"/>
          <w:lang w:val="en-GB"/>
        </w:rPr>
      </w:pPr>
      <w:r w:rsidRPr="008B0249">
        <w:rPr>
          <w:rFonts w:eastAsia="Calibri"/>
          <w:lang w:val="en-GB"/>
        </w:rPr>
        <w:t xml:space="preserve">α is calculated according to the formula: α = </w:t>
      </w:r>
      <m:oMath>
        <m:f>
          <m:fPr>
            <m:ctrlPr>
              <w:rPr>
                <w:rFonts w:ascii="Cambria Math" w:eastAsia="Calibri" w:hAnsi="Cambria Math"/>
                <w:i/>
                <w:sz w:val="28"/>
                <w:szCs w:val="28"/>
                <w:lang w:val="en-GB"/>
              </w:rPr>
            </m:ctrlPr>
          </m:fPr>
          <m:num>
            <m:r>
              <w:rPr>
                <w:rFonts w:ascii="Cambria Math" w:eastAsia="Calibri" w:hAnsi="Cambria Math"/>
                <w:sz w:val="28"/>
                <w:szCs w:val="28"/>
                <w:lang w:val="en-GB"/>
              </w:rPr>
              <m:t>d15-d50</m:t>
            </m:r>
          </m:num>
          <m:den>
            <m:r>
              <w:rPr>
                <w:rFonts w:ascii="Cambria Math" w:eastAsia="Calibri" w:hAnsi="Cambria Math"/>
                <w:sz w:val="28"/>
                <w:szCs w:val="28"/>
                <w:lang w:val="en-GB"/>
              </w:rPr>
              <m:t>35 x d50</m:t>
            </m:r>
          </m:den>
        </m:f>
      </m:oMath>
      <w:r w:rsidRPr="008B0249">
        <w:rPr>
          <w:rFonts w:eastAsia="Calibri"/>
          <w:lang w:val="en-GB"/>
        </w:rPr>
        <w:t xml:space="preserve"> </w:t>
      </w:r>
    </w:p>
    <w:p w14:paraId="1D895ABE" w14:textId="02691E74" w:rsidR="001D6F12" w:rsidRPr="008B0249" w:rsidRDefault="001D6F12" w:rsidP="00177598">
      <w:pPr>
        <w:pStyle w:val="SingleTxtG"/>
        <w:rPr>
          <w:rFonts w:eastAsia="Calibri"/>
          <w:lang w:val="en-GB"/>
        </w:rPr>
      </w:pPr>
      <w:r w:rsidRPr="008B0249">
        <w:rPr>
          <w:rFonts w:eastAsia="Calibri"/>
          <w:lang w:val="en-GB"/>
        </w:rPr>
        <w:t>d</w:t>
      </w:r>
      <w:r w:rsidRPr="008B0249">
        <w:rPr>
          <w:rFonts w:eastAsia="Calibri"/>
          <w:vertAlign w:val="subscript"/>
          <w:lang w:val="en-GB"/>
        </w:rPr>
        <w:t>15</w:t>
      </w:r>
      <w:r w:rsidRPr="008B0249">
        <w:rPr>
          <w:rFonts w:eastAsia="Calibri"/>
          <w:lang w:val="en-GB"/>
        </w:rPr>
        <w:t xml:space="preserve"> and d</w:t>
      </w:r>
      <w:r w:rsidRPr="008B0249">
        <w:rPr>
          <w:rFonts w:eastAsia="Calibri"/>
          <w:vertAlign w:val="subscript"/>
          <w:lang w:val="en-GB"/>
        </w:rPr>
        <w:t>50</w:t>
      </w:r>
      <w:r w:rsidRPr="008B0249">
        <w:rPr>
          <w:rFonts w:eastAsia="Calibri"/>
          <w:lang w:val="en-GB"/>
        </w:rPr>
        <w:t xml:space="preserve"> being the relative densities</w:t>
      </w:r>
      <w:r w:rsidRPr="008B0249">
        <w:rPr>
          <w:rFonts w:eastAsia="Calibri"/>
          <w:vertAlign w:val="superscript"/>
          <w:lang w:val="en-GB"/>
        </w:rPr>
        <w:t>1</w:t>
      </w:r>
      <w:r w:rsidRPr="008B0249">
        <w:rPr>
          <w:rFonts w:eastAsia="Calibri"/>
          <w:lang w:val="en-GB"/>
        </w:rPr>
        <w:t xml:space="preserve"> of the liquid at 15 °C and 50 °C and </w:t>
      </w:r>
      <w:proofErr w:type="spellStart"/>
      <w:r w:rsidRPr="008B0249">
        <w:rPr>
          <w:rFonts w:eastAsia="Calibri"/>
          <w:lang w:val="en-GB"/>
        </w:rPr>
        <w:t>t</w:t>
      </w:r>
      <w:r w:rsidRPr="008B0249">
        <w:rPr>
          <w:rFonts w:eastAsia="Calibri"/>
          <w:vertAlign w:val="subscript"/>
          <w:lang w:val="en-GB"/>
        </w:rPr>
        <w:t>F</w:t>
      </w:r>
      <w:proofErr w:type="spellEnd"/>
      <w:r w:rsidRPr="008B0249">
        <w:rPr>
          <w:rFonts w:eastAsia="Calibri"/>
          <w:vertAlign w:val="subscript"/>
          <w:lang w:val="en-GB"/>
        </w:rPr>
        <w:t xml:space="preserve"> </w:t>
      </w:r>
      <w:r w:rsidRPr="008B0249">
        <w:rPr>
          <w:rFonts w:eastAsia="Calibri"/>
          <w:lang w:val="en-GB"/>
        </w:rPr>
        <w:t>the mean temperature of the liquid at the time of filling.</w:t>
      </w:r>
      <w:r w:rsidR="00BE0CEC">
        <w:rPr>
          <w:rFonts w:eastAsia="Calibri"/>
          <w:lang w:val="en-GB"/>
        </w:rPr>
        <w:t>”</w:t>
      </w:r>
    </w:p>
    <w:p w14:paraId="57C099D0" w14:textId="73D72D9D" w:rsidR="001D6F12" w:rsidRPr="008B0249" w:rsidRDefault="00177598" w:rsidP="00177598">
      <w:pPr>
        <w:pStyle w:val="HChG"/>
        <w:rPr>
          <w:rFonts w:eastAsia="Calibri"/>
          <w:lang w:val="en-GB"/>
        </w:rPr>
      </w:pPr>
      <w:r w:rsidRPr="008B0249">
        <w:rPr>
          <w:rFonts w:eastAsia="Calibri"/>
          <w:lang w:val="en-GB"/>
        </w:rPr>
        <w:tab/>
      </w:r>
      <w:r w:rsidRPr="008B0249">
        <w:rPr>
          <w:rFonts w:eastAsia="Calibri"/>
          <w:lang w:val="en-GB"/>
        </w:rPr>
        <w:tab/>
      </w:r>
      <w:r w:rsidR="001D6F12" w:rsidRPr="008B0249">
        <w:rPr>
          <w:rFonts w:eastAsia="Calibri"/>
          <w:lang w:val="en-GB"/>
        </w:rPr>
        <w:t>Discussion</w:t>
      </w:r>
    </w:p>
    <w:p w14:paraId="12D99FE0" w14:textId="6EAFF98D" w:rsidR="001D6F12" w:rsidRPr="008B0249" w:rsidRDefault="00B23CB4" w:rsidP="00177598">
      <w:pPr>
        <w:pStyle w:val="SingleTxtG"/>
        <w:rPr>
          <w:rFonts w:eastAsia="Calibri"/>
          <w:lang w:val="en-GB"/>
        </w:rPr>
      </w:pPr>
      <w:r w:rsidRPr="008B0249">
        <w:rPr>
          <w:rFonts w:eastAsia="Calibri"/>
          <w:lang w:val="en-GB"/>
        </w:rPr>
        <w:t>12.</w:t>
      </w:r>
      <w:r w:rsidRPr="008B0249">
        <w:rPr>
          <w:rFonts w:eastAsia="Calibri"/>
          <w:lang w:val="en-GB"/>
        </w:rPr>
        <w:tab/>
      </w:r>
      <w:r w:rsidR="001D6F12" w:rsidRPr="008B0249">
        <w:rPr>
          <w:rFonts w:eastAsia="Calibri"/>
          <w:lang w:val="en-GB"/>
        </w:rPr>
        <w:t xml:space="preserve">Even though the nominal capacity is currently not defined in the Regulations on the Transport of Dangerous Goods, it might be the case that the nominal capacity given by the manufacturer is given as a maximum capacity in the light of safety. Belgium welcomes any views on this topic and might return with a proposal </w:t>
      </w:r>
      <w:r w:rsidR="009549C7">
        <w:rPr>
          <w:rFonts w:eastAsia="Calibri"/>
          <w:lang w:val="en-GB"/>
        </w:rPr>
        <w:t xml:space="preserve">at the </w:t>
      </w:r>
      <w:r w:rsidR="001D6F12" w:rsidRPr="008B0249">
        <w:rPr>
          <w:rFonts w:eastAsia="Calibri"/>
          <w:lang w:val="en-GB"/>
        </w:rPr>
        <w:t>next session.</w:t>
      </w:r>
    </w:p>
    <w:p w14:paraId="41D709A6" w14:textId="58DB9E30" w:rsidR="001D6F12" w:rsidRPr="00B23CB4" w:rsidRDefault="00B23CB4" w:rsidP="00B23CB4">
      <w:pPr>
        <w:spacing w:before="24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1D6F12" w:rsidRPr="00B23CB4" w:rsidSect="00932EF9">
      <w:headerReference w:type="even" r:id="rId11"/>
      <w:headerReference w:type="default" r:id="rId12"/>
      <w:footerReference w:type="even" r:id="rId13"/>
      <w:footerReference w:type="default" r:id="rId14"/>
      <w:headerReference w:type="first" r:id="rId15"/>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CFF1" w14:textId="77777777" w:rsidR="00820CA1" w:rsidRDefault="00820CA1"/>
  </w:endnote>
  <w:endnote w:type="continuationSeparator" w:id="0">
    <w:p w14:paraId="73944D18" w14:textId="77777777" w:rsidR="00820CA1" w:rsidRDefault="00820CA1"/>
  </w:endnote>
  <w:endnote w:type="continuationNotice" w:id="1">
    <w:p w14:paraId="16FC91E1" w14:textId="77777777" w:rsidR="00820CA1" w:rsidRDefault="00820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A3" w14:textId="0BC2FDA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537F2">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34B" w14:textId="29C6ED1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288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1D51" w14:textId="77777777" w:rsidR="00820CA1" w:rsidRPr="000B175B" w:rsidRDefault="00820CA1" w:rsidP="000B175B">
      <w:pPr>
        <w:tabs>
          <w:tab w:val="right" w:pos="2155"/>
        </w:tabs>
        <w:spacing w:after="80"/>
        <w:ind w:left="680"/>
        <w:rPr>
          <w:u w:val="single"/>
        </w:rPr>
      </w:pPr>
      <w:r>
        <w:rPr>
          <w:u w:val="single"/>
        </w:rPr>
        <w:tab/>
      </w:r>
    </w:p>
  </w:footnote>
  <w:footnote w:type="continuationSeparator" w:id="0">
    <w:p w14:paraId="1C83A906" w14:textId="77777777" w:rsidR="00820CA1" w:rsidRPr="00FC68B7" w:rsidRDefault="00820CA1" w:rsidP="00FC68B7">
      <w:pPr>
        <w:tabs>
          <w:tab w:val="left" w:pos="2155"/>
        </w:tabs>
        <w:spacing w:after="80"/>
        <w:ind w:left="680"/>
        <w:rPr>
          <w:u w:val="single"/>
        </w:rPr>
      </w:pPr>
      <w:r>
        <w:rPr>
          <w:u w:val="single"/>
        </w:rPr>
        <w:tab/>
      </w:r>
    </w:p>
  </w:footnote>
  <w:footnote w:type="continuationNotice" w:id="1">
    <w:p w14:paraId="222AC21E" w14:textId="77777777" w:rsidR="00820CA1" w:rsidRDefault="00820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89E9" w14:textId="17857C82" w:rsidR="00652CFC" w:rsidRPr="00652CFC" w:rsidRDefault="00652CFC" w:rsidP="00AF31F2">
    <w:pPr>
      <w:pStyle w:val="Header"/>
      <w:rPr>
        <w:lang w:val="fr-CH"/>
      </w:rPr>
    </w:pPr>
    <w:r>
      <w:rPr>
        <w:lang w:val="fr-CH"/>
      </w:rPr>
      <w:t>INF.</w:t>
    </w:r>
    <w:r w:rsidR="00B23CB4">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45B2" w14:textId="3C843E6F" w:rsidR="00652CFC" w:rsidRPr="00652CFC" w:rsidRDefault="00652CFC" w:rsidP="00652CFC">
    <w:pPr>
      <w:pStyle w:val="Header"/>
      <w:pBdr>
        <w:bottom w:val="single" w:sz="4" w:space="1" w:color="auto"/>
      </w:pBdr>
      <w:jc w:val="right"/>
      <w:rPr>
        <w:lang w:val="fr-CH"/>
      </w:rPr>
    </w:pPr>
    <w:r>
      <w:rPr>
        <w:lang w:val="fr-CH"/>
      </w:rPr>
      <w:t>INF.</w:t>
    </w:r>
    <w:r w:rsidR="002B5C1D">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9AAC" w14:textId="77777777" w:rsidR="00872E49" w:rsidRDefault="00872E49" w:rsidP="00872E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C4C1E"/>
    <w:multiLevelType w:val="hybridMultilevel"/>
    <w:tmpl w:val="1040DB6A"/>
    <w:lvl w:ilvl="0" w:tplc="2332A6C8">
      <w:start w:val="1"/>
      <w:numFmt w:val="decimal"/>
      <w:pStyle w:val="Style1"/>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2"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2"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F6F186F"/>
    <w:multiLevelType w:val="hybridMultilevel"/>
    <w:tmpl w:val="BC4A06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74954329">
    <w:abstractNumId w:val="1"/>
  </w:num>
  <w:num w:numId="2" w16cid:durableId="1235772459">
    <w:abstractNumId w:val="0"/>
  </w:num>
  <w:num w:numId="3" w16cid:durableId="1020468819">
    <w:abstractNumId w:val="2"/>
  </w:num>
  <w:num w:numId="4" w16cid:durableId="71388774">
    <w:abstractNumId w:val="3"/>
  </w:num>
  <w:num w:numId="5" w16cid:durableId="988096573">
    <w:abstractNumId w:val="8"/>
  </w:num>
  <w:num w:numId="6" w16cid:durableId="167839509">
    <w:abstractNumId w:val="9"/>
  </w:num>
  <w:num w:numId="7" w16cid:durableId="123352667">
    <w:abstractNumId w:val="7"/>
  </w:num>
  <w:num w:numId="8" w16cid:durableId="967855751">
    <w:abstractNumId w:val="6"/>
  </w:num>
  <w:num w:numId="9" w16cid:durableId="351959800">
    <w:abstractNumId w:val="5"/>
  </w:num>
  <w:num w:numId="10" w16cid:durableId="568225844">
    <w:abstractNumId w:val="4"/>
  </w:num>
  <w:num w:numId="11" w16cid:durableId="2011516283">
    <w:abstractNumId w:val="23"/>
  </w:num>
  <w:num w:numId="12" w16cid:durableId="816651052">
    <w:abstractNumId w:val="19"/>
  </w:num>
  <w:num w:numId="13" w16cid:durableId="358631814">
    <w:abstractNumId w:val="10"/>
  </w:num>
  <w:num w:numId="14" w16cid:durableId="1860777072">
    <w:abstractNumId w:val="28"/>
  </w:num>
  <w:num w:numId="15" w16cid:durableId="1918859082">
    <w:abstractNumId w:val="16"/>
  </w:num>
  <w:num w:numId="16" w16cid:durableId="352342099">
    <w:abstractNumId w:val="13"/>
  </w:num>
  <w:num w:numId="17" w16cid:durableId="1027408441">
    <w:abstractNumId w:val="30"/>
  </w:num>
  <w:num w:numId="18" w16cid:durableId="78060936">
    <w:abstractNumId w:val="17"/>
  </w:num>
  <w:num w:numId="19" w16cid:durableId="1631209920">
    <w:abstractNumId w:val="31"/>
  </w:num>
  <w:num w:numId="20" w16cid:durableId="1282761901">
    <w:abstractNumId w:val="25"/>
  </w:num>
  <w:num w:numId="21" w16cid:durableId="1450857240">
    <w:abstractNumId w:val="29"/>
  </w:num>
  <w:num w:numId="22" w16cid:durableId="302586995">
    <w:abstractNumId w:val="14"/>
  </w:num>
  <w:num w:numId="23" w16cid:durableId="645086031">
    <w:abstractNumId w:val="26"/>
  </w:num>
  <w:num w:numId="24" w16cid:durableId="1267810753">
    <w:abstractNumId w:val="27"/>
  </w:num>
  <w:num w:numId="25" w16cid:durableId="506138605">
    <w:abstractNumId w:val="22"/>
  </w:num>
  <w:num w:numId="26" w16cid:durableId="397410922">
    <w:abstractNumId w:val="12"/>
  </w:num>
  <w:num w:numId="27" w16cid:durableId="1208444764">
    <w:abstractNumId w:val="18"/>
  </w:num>
  <w:num w:numId="28" w16cid:durableId="1410884202">
    <w:abstractNumId w:val="21"/>
  </w:num>
  <w:num w:numId="29" w16cid:durableId="376319804">
    <w:abstractNumId w:val="24"/>
  </w:num>
  <w:num w:numId="30" w16cid:durableId="1450319997">
    <w:abstractNumId w:val="20"/>
  </w:num>
  <w:num w:numId="31" w16cid:durableId="1802991027">
    <w:abstractNumId w:val="15"/>
  </w:num>
  <w:num w:numId="32" w16cid:durableId="487405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284064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76F"/>
    <w:rsid w:val="00013034"/>
    <w:rsid w:val="00020276"/>
    <w:rsid w:val="000217B5"/>
    <w:rsid w:val="0002216E"/>
    <w:rsid w:val="000305B1"/>
    <w:rsid w:val="00037F90"/>
    <w:rsid w:val="000412D8"/>
    <w:rsid w:val="00042EAE"/>
    <w:rsid w:val="00044805"/>
    <w:rsid w:val="00044F99"/>
    <w:rsid w:val="00045BBE"/>
    <w:rsid w:val="00046B1F"/>
    <w:rsid w:val="00047DD3"/>
    <w:rsid w:val="00050F6B"/>
    <w:rsid w:val="00052E55"/>
    <w:rsid w:val="00057E97"/>
    <w:rsid w:val="00063ABA"/>
    <w:rsid w:val="00064E9A"/>
    <w:rsid w:val="00072C8C"/>
    <w:rsid w:val="000733B5"/>
    <w:rsid w:val="00076EB0"/>
    <w:rsid w:val="00081815"/>
    <w:rsid w:val="00083DAB"/>
    <w:rsid w:val="000931C0"/>
    <w:rsid w:val="000943A1"/>
    <w:rsid w:val="00096262"/>
    <w:rsid w:val="00097556"/>
    <w:rsid w:val="000A3752"/>
    <w:rsid w:val="000A7267"/>
    <w:rsid w:val="000B0595"/>
    <w:rsid w:val="000B1000"/>
    <w:rsid w:val="000B1660"/>
    <w:rsid w:val="000B175B"/>
    <w:rsid w:val="000B296B"/>
    <w:rsid w:val="000B3A0F"/>
    <w:rsid w:val="000B4EF7"/>
    <w:rsid w:val="000B633F"/>
    <w:rsid w:val="000C1287"/>
    <w:rsid w:val="000C2C03"/>
    <w:rsid w:val="000C2D2E"/>
    <w:rsid w:val="000C4D51"/>
    <w:rsid w:val="000C7F79"/>
    <w:rsid w:val="000D2F21"/>
    <w:rsid w:val="000E0415"/>
    <w:rsid w:val="000E08C2"/>
    <w:rsid w:val="000E4B01"/>
    <w:rsid w:val="000F4FF6"/>
    <w:rsid w:val="000F567A"/>
    <w:rsid w:val="000F66F7"/>
    <w:rsid w:val="000F692C"/>
    <w:rsid w:val="0010391C"/>
    <w:rsid w:val="00104CDA"/>
    <w:rsid w:val="00105827"/>
    <w:rsid w:val="00105935"/>
    <w:rsid w:val="001103AA"/>
    <w:rsid w:val="00115271"/>
    <w:rsid w:val="00115C11"/>
    <w:rsid w:val="0011666B"/>
    <w:rsid w:val="001247DF"/>
    <w:rsid w:val="00125117"/>
    <w:rsid w:val="00126221"/>
    <w:rsid w:val="001343BC"/>
    <w:rsid w:val="001416D0"/>
    <w:rsid w:val="00151686"/>
    <w:rsid w:val="00151E9B"/>
    <w:rsid w:val="00155068"/>
    <w:rsid w:val="001555BF"/>
    <w:rsid w:val="00156009"/>
    <w:rsid w:val="001575FF"/>
    <w:rsid w:val="00165F3A"/>
    <w:rsid w:val="001766DA"/>
    <w:rsid w:val="00177598"/>
    <w:rsid w:val="001818BC"/>
    <w:rsid w:val="00186205"/>
    <w:rsid w:val="00195ED3"/>
    <w:rsid w:val="001A57BD"/>
    <w:rsid w:val="001A6E55"/>
    <w:rsid w:val="001B13A5"/>
    <w:rsid w:val="001B2401"/>
    <w:rsid w:val="001B4375"/>
    <w:rsid w:val="001B4B04"/>
    <w:rsid w:val="001C1DF0"/>
    <w:rsid w:val="001C6663"/>
    <w:rsid w:val="001C7895"/>
    <w:rsid w:val="001D0C8C"/>
    <w:rsid w:val="001D1419"/>
    <w:rsid w:val="001D26DF"/>
    <w:rsid w:val="001D3A03"/>
    <w:rsid w:val="001D6F12"/>
    <w:rsid w:val="001D7AD4"/>
    <w:rsid w:val="001E0495"/>
    <w:rsid w:val="001E0B9E"/>
    <w:rsid w:val="001E300A"/>
    <w:rsid w:val="001E45CD"/>
    <w:rsid w:val="001E49E0"/>
    <w:rsid w:val="001E7B67"/>
    <w:rsid w:val="001F1E44"/>
    <w:rsid w:val="001F34E3"/>
    <w:rsid w:val="001F5970"/>
    <w:rsid w:val="001F6DCC"/>
    <w:rsid w:val="001F7435"/>
    <w:rsid w:val="00202DA8"/>
    <w:rsid w:val="00203753"/>
    <w:rsid w:val="00207463"/>
    <w:rsid w:val="002102FF"/>
    <w:rsid w:val="0021114C"/>
    <w:rsid w:val="0021157B"/>
    <w:rsid w:val="00211DC0"/>
    <w:rsid w:val="00211E0B"/>
    <w:rsid w:val="002248F2"/>
    <w:rsid w:val="00227336"/>
    <w:rsid w:val="002336E0"/>
    <w:rsid w:val="00236F7D"/>
    <w:rsid w:val="0024023A"/>
    <w:rsid w:val="00243217"/>
    <w:rsid w:val="00243B56"/>
    <w:rsid w:val="002500D9"/>
    <w:rsid w:val="00252290"/>
    <w:rsid w:val="00252ADF"/>
    <w:rsid w:val="00263469"/>
    <w:rsid w:val="00265023"/>
    <w:rsid w:val="0026532A"/>
    <w:rsid w:val="00265963"/>
    <w:rsid w:val="00267F5F"/>
    <w:rsid w:val="002742CE"/>
    <w:rsid w:val="00286B4D"/>
    <w:rsid w:val="002925FF"/>
    <w:rsid w:val="00293582"/>
    <w:rsid w:val="002A009E"/>
    <w:rsid w:val="002A138A"/>
    <w:rsid w:val="002A2828"/>
    <w:rsid w:val="002A3C85"/>
    <w:rsid w:val="002A603B"/>
    <w:rsid w:val="002A68EA"/>
    <w:rsid w:val="002B5C1D"/>
    <w:rsid w:val="002B6DC4"/>
    <w:rsid w:val="002C2884"/>
    <w:rsid w:val="002D4643"/>
    <w:rsid w:val="002D4B6C"/>
    <w:rsid w:val="002D659E"/>
    <w:rsid w:val="002E26B9"/>
    <w:rsid w:val="002F175C"/>
    <w:rsid w:val="003007DB"/>
    <w:rsid w:val="00302E18"/>
    <w:rsid w:val="003032E0"/>
    <w:rsid w:val="00303F47"/>
    <w:rsid w:val="003050A4"/>
    <w:rsid w:val="0030606F"/>
    <w:rsid w:val="00310FC9"/>
    <w:rsid w:val="003204CE"/>
    <w:rsid w:val="00321582"/>
    <w:rsid w:val="003229D8"/>
    <w:rsid w:val="003314A6"/>
    <w:rsid w:val="003358CF"/>
    <w:rsid w:val="00337BA0"/>
    <w:rsid w:val="00345184"/>
    <w:rsid w:val="003505DA"/>
    <w:rsid w:val="00350A2F"/>
    <w:rsid w:val="00352709"/>
    <w:rsid w:val="003571EA"/>
    <w:rsid w:val="00360391"/>
    <w:rsid w:val="003635B9"/>
    <w:rsid w:val="00371178"/>
    <w:rsid w:val="0038272B"/>
    <w:rsid w:val="0038743C"/>
    <w:rsid w:val="00392173"/>
    <w:rsid w:val="0039354D"/>
    <w:rsid w:val="003956BD"/>
    <w:rsid w:val="003958E4"/>
    <w:rsid w:val="00396800"/>
    <w:rsid w:val="00397DF6"/>
    <w:rsid w:val="003A480D"/>
    <w:rsid w:val="003A53DA"/>
    <w:rsid w:val="003A593B"/>
    <w:rsid w:val="003A6810"/>
    <w:rsid w:val="003A7F75"/>
    <w:rsid w:val="003B0571"/>
    <w:rsid w:val="003B311A"/>
    <w:rsid w:val="003B36D1"/>
    <w:rsid w:val="003C2CC4"/>
    <w:rsid w:val="003C732E"/>
    <w:rsid w:val="003C7C2C"/>
    <w:rsid w:val="003C7D8F"/>
    <w:rsid w:val="003D0957"/>
    <w:rsid w:val="003D49AC"/>
    <w:rsid w:val="003D4B23"/>
    <w:rsid w:val="003D5DB4"/>
    <w:rsid w:val="003E0C3C"/>
    <w:rsid w:val="00400297"/>
    <w:rsid w:val="00405491"/>
    <w:rsid w:val="00410C89"/>
    <w:rsid w:val="00414137"/>
    <w:rsid w:val="004226EE"/>
    <w:rsid w:val="00422E03"/>
    <w:rsid w:val="00426B9B"/>
    <w:rsid w:val="004325CB"/>
    <w:rsid w:val="00433A32"/>
    <w:rsid w:val="004356D2"/>
    <w:rsid w:val="00435F27"/>
    <w:rsid w:val="00442A83"/>
    <w:rsid w:val="004532AC"/>
    <w:rsid w:val="0045495B"/>
    <w:rsid w:val="00454ADE"/>
    <w:rsid w:val="00461F7D"/>
    <w:rsid w:val="00464314"/>
    <w:rsid w:val="00464C81"/>
    <w:rsid w:val="0048397A"/>
    <w:rsid w:val="00483F1B"/>
    <w:rsid w:val="004A12F2"/>
    <w:rsid w:val="004A28A3"/>
    <w:rsid w:val="004B138F"/>
    <w:rsid w:val="004B1892"/>
    <w:rsid w:val="004B3010"/>
    <w:rsid w:val="004C2461"/>
    <w:rsid w:val="004C408F"/>
    <w:rsid w:val="004C64C0"/>
    <w:rsid w:val="004C7462"/>
    <w:rsid w:val="004D12C5"/>
    <w:rsid w:val="004D440A"/>
    <w:rsid w:val="004D4E04"/>
    <w:rsid w:val="004D5426"/>
    <w:rsid w:val="004E065B"/>
    <w:rsid w:val="004E0C05"/>
    <w:rsid w:val="004E3AA8"/>
    <w:rsid w:val="004E59A2"/>
    <w:rsid w:val="004E69B9"/>
    <w:rsid w:val="004E6B3F"/>
    <w:rsid w:val="004E6E17"/>
    <w:rsid w:val="004E77B2"/>
    <w:rsid w:val="004F3D1D"/>
    <w:rsid w:val="0050175B"/>
    <w:rsid w:val="00503DEB"/>
    <w:rsid w:val="00504B2D"/>
    <w:rsid w:val="005072AF"/>
    <w:rsid w:val="00507993"/>
    <w:rsid w:val="00514A11"/>
    <w:rsid w:val="0052136D"/>
    <w:rsid w:val="00522B58"/>
    <w:rsid w:val="00523CD7"/>
    <w:rsid w:val="005258AB"/>
    <w:rsid w:val="0052775E"/>
    <w:rsid w:val="005313DD"/>
    <w:rsid w:val="00535506"/>
    <w:rsid w:val="00537388"/>
    <w:rsid w:val="005420F2"/>
    <w:rsid w:val="00542540"/>
    <w:rsid w:val="00543B68"/>
    <w:rsid w:val="00546993"/>
    <w:rsid w:val="005501AB"/>
    <w:rsid w:val="0056075B"/>
    <w:rsid w:val="00560FD7"/>
    <w:rsid w:val="005628B6"/>
    <w:rsid w:val="00562CBB"/>
    <w:rsid w:val="00566FC4"/>
    <w:rsid w:val="00571EAB"/>
    <w:rsid w:val="00573E03"/>
    <w:rsid w:val="00574011"/>
    <w:rsid w:val="00574886"/>
    <w:rsid w:val="00584B44"/>
    <w:rsid w:val="00586813"/>
    <w:rsid w:val="0059363D"/>
    <w:rsid w:val="005970A6"/>
    <w:rsid w:val="00597863"/>
    <w:rsid w:val="005A29A3"/>
    <w:rsid w:val="005A753B"/>
    <w:rsid w:val="005B12FC"/>
    <w:rsid w:val="005B232C"/>
    <w:rsid w:val="005B3DB3"/>
    <w:rsid w:val="005B4E13"/>
    <w:rsid w:val="005C32D3"/>
    <w:rsid w:val="005C5A1C"/>
    <w:rsid w:val="005C68F0"/>
    <w:rsid w:val="005D0CF6"/>
    <w:rsid w:val="005D2A29"/>
    <w:rsid w:val="005D338C"/>
    <w:rsid w:val="005D50B2"/>
    <w:rsid w:val="005D7E91"/>
    <w:rsid w:val="005D7F39"/>
    <w:rsid w:val="005E1472"/>
    <w:rsid w:val="005E6A77"/>
    <w:rsid w:val="005F1010"/>
    <w:rsid w:val="005F7B75"/>
    <w:rsid w:val="006001EE"/>
    <w:rsid w:val="00605042"/>
    <w:rsid w:val="0060537B"/>
    <w:rsid w:val="00611FC4"/>
    <w:rsid w:val="00612219"/>
    <w:rsid w:val="0061457E"/>
    <w:rsid w:val="006176FB"/>
    <w:rsid w:val="0062198A"/>
    <w:rsid w:val="00622435"/>
    <w:rsid w:val="00630BAF"/>
    <w:rsid w:val="00640B26"/>
    <w:rsid w:val="00643033"/>
    <w:rsid w:val="00643FDE"/>
    <w:rsid w:val="00652CFC"/>
    <w:rsid w:val="00652D0A"/>
    <w:rsid w:val="006537F2"/>
    <w:rsid w:val="00654204"/>
    <w:rsid w:val="00654B4F"/>
    <w:rsid w:val="00654F44"/>
    <w:rsid w:val="00657C7B"/>
    <w:rsid w:val="006623D5"/>
    <w:rsid w:val="00662BB6"/>
    <w:rsid w:val="0066353E"/>
    <w:rsid w:val="00667F8F"/>
    <w:rsid w:val="0067369E"/>
    <w:rsid w:val="006741C5"/>
    <w:rsid w:val="006741F1"/>
    <w:rsid w:val="00684C21"/>
    <w:rsid w:val="00692E0E"/>
    <w:rsid w:val="006A0D0E"/>
    <w:rsid w:val="006A2530"/>
    <w:rsid w:val="006A5A42"/>
    <w:rsid w:val="006A67FC"/>
    <w:rsid w:val="006A6AEA"/>
    <w:rsid w:val="006B1C12"/>
    <w:rsid w:val="006C04FA"/>
    <w:rsid w:val="006C33AB"/>
    <w:rsid w:val="006C3454"/>
    <w:rsid w:val="006C3589"/>
    <w:rsid w:val="006C47A1"/>
    <w:rsid w:val="006C58E0"/>
    <w:rsid w:val="006D37AF"/>
    <w:rsid w:val="006D51D0"/>
    <w:rsid w:val="006E564B"/>
    <w:rsid w:val="006E7191"/>
    <w:rsid w:val="006F6AF0"/>
    <w:rsid w:val="00703577"/>
    <w:rsid w:val="00705894"/>
    <w:rsid w:val="007067C3"/>
    <w:rsid w:val="00707FA4"/>
    <w:rsid w:val="00721C4A"/>
    <w:rsid w:val="0072632A"/>
    <w:rsid w:val="007327D5"/>
    <w:rsid w:val="007351B4"/>
    <w:rsid w:val="00740B63"/>
    <w:rsid w:val="007431D0"/>
    <w:rsid w:val="00743D8C"/>
    <w:rsid w:val="00753C6F"/>
    <w:rsid w:val="00755A39"/>
    <w:rsid w:val="00757D4A"/>
    <w:rsid w:val="00760A73"/>
    <w:rsid w:val="007611CF"/>
    <w:rsid w:val="00761787"/>
    <w:rsid w:val="007629C8"/>
    <w:rsid w:val="00762CB8"/>
    <w:rsid w:val="00764668"/>
    <w:rsid w:val="00767D5D"/>
    <w:rsid w:val="0077011F"/>
    <w:rsid w:val="0077047D"/>
    <w:rsid w:val="00771625"/>
    <w:rsid w:val="00771856"/>
    <w:rsid w:val="00776430"/>
    <w:rsid w:val="0077656F"/>
    <w:rsid w:val="00776ACF"/>
    <w:rsid w:val="007840E3"/>
    <w:rsid w:val="00790C8F"/>
    <w:rsid w:val="00792538"/>
    <w:rsid w:val="007967A2"/>
    <w:rsid w:val="00797575"/>
    <w:rsid w:val="007A0948"/>
    <w:rsid w:val="007A1B1D"/>
    <w:rsid w:val="007B6BA5"/>
    <w:rsid w:val="007C3390"/>
    <w:rsid w:val="007C4F4B"/>
    <w:rsid w:val="007C7103"/>
    <w:rsid w:val="007D65E9"/>
    <w:rsid w:val="007D6759"/>
    <w:rsid w:val="007E01E9"/>
    <w:rsid w:val="007E0612"/>
    <w:rsid w:val="007E5239"/>
    <w:rsid w:val="007E63F3"/>
    <w:rsid w:val="007E640C"/>
    <w:rsid w:val="007E6B6D"/>
    <w:rsid w:val="007E6F8F"/>
    <w:rsid w:val="007F10B4"/>
    <w:rsid w:val="007F1F2D"/>
    <w:rsid w:val="007F2635"/>
    <w:rsid w:val="007F6611"/>
    <w:rsid w:val="007F6CA4"/>
    <w:rsid w:val="007F7106"/>
    <w:rsid w:val="007F7A86"/>
    <w:rsid w:val="008031DD"/>
    <w:rsid w:val="00807CE3"/>
    <w:rsid w:val="008116D7"/>
    <w:rsid w:val="00811920"/>
    <w:rsid w:val="00815AD0"/>
    <w:rsid w:val="00816C50"/>
    <w:rsid w:val="00820CA1"/>
    <w:rsid w:val="008242D7"/>
    <w:rsid w:val="008257B1"/>
    <w:rsid w:val="00826C3D"/>
    <w:rsid w:val="00831EFE"/>
    <w:rsid w:val="00836230"/>
    <w:rsid w:val="00840A12"/>
    <w:rsid w:val="00843767"/>
    <w:rsid w:val="00852B07"/>
    <w:rsid w:val="00854501"/>
    <w:rsid w:val="00863760"/>
    <w:rsid w:val="00863F55"/>
    <w:rsid w:val="008679D9"/>
    <w:rsid w:val="00871389"/>
    <w:rsid w:val="00872E49"/>
    <w:rsid w:val="00880848"/>
    <w:rsid w:val="00883999"/>
    <w:rsid w:val="00883EA7"/>
    <w:rsid w:val="00887652"/>
    <w:rsid w:val="008878DE"/>
    <w:rsid w:val="008902CE"/>
    <w:rsid w:val="00892CEC"/>
    <w:rsid w:val="008979B1"/>
    <w:rsid w:val="00897A2A"/>
    <w:rsid w:val="008A0777"/>
    <w:rsid w:val="008A6B25"/>
    <w:rsid w:val="008A6C4F"/>
    <w:rsid w:val="008A7B69"/>
    <w:rsid w:val="008B0249"/>
    <w:rsid w:val="008B216F"/>
    <w:rsid w:val="008B2335"/>
    <w:rsid w:val="008C7DAF"/>
    <w:rsid w:val="008D5571"/>
    <w:rsid w:val="008D78BD"/>
    <w:rsid w:val="008E0678"/>
    <w:rsid w:val="008E06E0"/>
    <w:rsid w:val="008E0DAA"/>
    <w:rsid w:val="008E4D3A"/>
    <w:rsid w:val="008F741A"/>
    <w:rsid w:val="00904A55"/>
    <w:rsid w:val="0091260B"/>
    <w:rsid w:val="00915B39"/>
    <w:rsid w:val="009223CA"/>
    <w:rsid w:val="00923CCF"/>
    <w:rsid w:val="00927B58"/>
    <w:rsid w:val="0093288D"/>
    <w:rsid w:val="00932EF9"/>
    <w:rsid w:val="0093354C"/>
    <w:rsid w:val="00940F93"/>
    <w:rsid w:val="00941495"/>
    <w:rsid w:val="0094558F"/>
    <w:rsid w:val="00952AC2"/>
    <w:rsid w:val="009549C7"/>
    <w:rsid w:val="00961690"/>
    <w:rsid w:val="009646C2"/>
    <w:rsid w:val="0096767E"/>
    <w:rsid w:val="00974776"/>
    <w:rsid w:val="00975ADA"/>
    <w:rsid w:val="009760F3"/>
    <w:rsid w:val="00976F61"/>
    <w:rsid w:val="00980E93"/>
    <w:rsid w:val="0098203C"/>
    <w:rsid w:val="0098441E"/>
    <w:rsid w:val="00985971"/>
    <w:rsid w:val="009907BD"/>
    <w:rsid w:val="0099212D"/>
    <w:rsid w:val="00992813"/>
    <w:rsid w:val="00997AA8"/>
    <w:rsid w:val="009A0E8D"/>
    <w:rsid w:val="009A2F41"/>
    <w:rsid w:val="009B1518"/>
    <w:rsid w:val="009B1CEB"/>
    <w:rsid w:val="009B26E7"/>
    <w:rsid w:val="009B4E21"/>
    <w:rsid w:val="009B56F3"/>
    <w:rsid w:val="009C454F"/>
    <w:rsid w:val="009C73E9"/>
    <w:rsid w:val="009D2A5B"/>
    <w:rsid w:val="009D7F37"/>
    <w:rsid w:val="009E1D8E"/>
    <w:rsid w:val="009F3A3C"/>
    <w:rsid w:val="009F4055"/>
    <w:rsid w:val="009F637B"/>
    <w:rsid w:val="009F652C"/>
    <w:rsid w:val="009F78BD"/>
    <w:rsid w:val="00A00A3F"/>
    <w:rsid w:val="00A01489"/>
    <w:rsid w:val="00A10F75"/>
    <w:rsid w:val="00A1433D"/>
    <w:rsid w:val="00A239E4"/>
    <w:rsid w:val="00A3009E"/>
    <w:rsid w:val="00A3026E"/>
    <w:rsid w:val="00A338F1"/>
    <w:rsid w:val="00A33B7F"/>
    <w:rsid w:val="00A35EE0"/>
    <w:rsid w:val="00A37A0A"/>
    <w:rsid w:val="00A47249"/>
    <w:rsid w:val="00A47A60"/>
    <w:rsid w:val="00A51CDF"/>
    <w:rsid w:val="00A53398"/>
    <w:rsid w:val="00A56C21"/>
    <w:rsid w:val="00A615A8"/>
    <w:rsid w:val="00A6748C"/>
    <w:rsid w:val="00A70684"/>
    <w:rsid w:val="00A72F22"/>
    <w:rsid w:val="00A7360F"/>
    <w:rsid w:val="00A748A6"/>
    <w:rsid w:val="00A769F4"/>
    <w:rsid w:val="00A776B4"/>
    <w:rsid w:val="00A805C7"/>
    <w:rsid w:val="00A8292C"/>
    <w:rsid w:val="00A93E6F"/>
    <w:rsid w:val="00A94361"/>
    <w:rsid w:val="00AA293C"/>
    <w:rsid w:val="00AA59DB"/>
    <w:rsid w:val="00AA66C0"/>
    <w:rsid w:val="00AA693A"/>
    <w:rsid w:val="00AB1AF0"/>
    <w:rsid w:val="00AC3E5A"/>
    <w:rsid w:val="00AD1A7B"/>
    <w:rsid w:val="00AD409C"/>
    <w:rsid w:val="00AD44C2"/>
    <w:rsid w:val="00AD48FA"/>
    <w:rsid w:val="00AE1070"/>
    <w:rsid w:val="00AE44BE"/>
    <w:rsid w:val="00AE4840"/>
    <w:rsid w:val="00AF1506"/>
    <w:rsid w:val="00AF31F2"/>
    <w:rsid w:val="00AF73DD"/>
    <w:rsid w:val="00B00164"/>
    <w:rsid w:val="00B042C8"/>
    <w:rsid w:val="00B05BC7"/>
    <w:rsid w:val="00B11BB4"/>
    <w:rsid w:val="00B11D45"/>
    <w:rsid w:val="00B20F91"/>
    <w:rsid w:val="00B22BC2"/>
    <w:rsid w:val="00B23CB4"/>
    <w:rsid w:val="00B26141"/>
    <w:rsid w:val="00B30179"/>
    <w:rsid w:val="00B33A82"/>
    <w:rsid w:val="00B36690"/>
    <w:rsid w:val="00B37544"/>
    <w:rsid w:val="00B421C1"/>
    <w:rsid w:val="00B45D92"/>
    <w:rsid w:val="00B50912"/>
    <w:rsid w:val="00B50AD5"/>
    <w:rsid w:val="00B51A66"/>
    <w:rsid w:val="00B52FD7"/>
    <w:rsid w:val="00B55C71"/>
    <w:rsid w:val="00B56BEE"/>
    <w:rsid w:val="00B56E4A"/>
    <w:rsid w:val="00B56E9C"/>
    <w:rsid w:val="00B61320"/>
    <w:rsid w:val="00B61BB6"/>
    <w:rsid w:val="00B62181"/>
    <w:rsid w:val="00B638D7"/>
    <w:rsid w:val="00B63B31"/>
    <w:rsid w:val="00B64B1F"/>
    <w:rsid w:val="00B6553F"/>
    <w:rsid w:val="00B70F1E"/>
    <w:rsid w:val="00B7236E"/>
    <w:rsid w:val="00B77D05"/>
    <w:rsid w:val="00B81206"/>
    <w:rsid w:val="00B81C66"/>
    <w:rsid w:val="00B81E12"/>
    <w:rsid w:val="00B8280B"/>
    <w:rsid w:val="00B9104C"/>
    <w:rsid w:val="00B93117"/>
    <w:rsid w:val="00B96FEC"/>
    <w:rsid w:val="00BA2681"/>
    <w:rsid w:val="00BA4BFE"/>
    <w:rsid w:val="00BA6D6F"/>
    <w:rsid w:val="00BB39D6"/>
    <w:rsid w:val="00BB4C56"/>
    <w:rsid w:val="00BB4CED"/>
    <w:rsid w:val="00BB77E9"/>
    <w:rsid w:val="00BB7CD1"/>
    <w:rsid w:val="00BB7FE9"/>
    <w:rsid w:val="00BC3FA0"/>
    <w:rsid w:val="00BC74E9"/>
    <w:rsid w:val="00BD0B54"/>
    <w:rsid w:val="00BD55A0"/>
    <w:rsid w:val="00BD6647"/>
    <w:rsid w:val="00BD6D1C"/>
    <w:rsid w:val="00BE0CEC"/>
    <w:rsid w:val="00BE218D"/>
    <w:rsid w:val="00BE3E69"/>
    <w:rsid w:val="00BE7D92"/>
    <w:rsid w:val="00BF15A1"/>
    <w:rsid w:val="00BF2A9F"/>
    <w:rsid w:val="00BF2AF0"/>
    <w:rsid w:val="00BF55CA"/>
    <w:rsid w:val="00BF63B3"/>
    <w:rsid w:val="00BF68A8"/>
    <w:rsid w:val="00C02ED5"/>
    <w:rsid w:val="00C043BD"/>
    <w:rsid w:val="00C05DAD"/>
    <w:rsid w:val="00C10415"/>
    <w:rsid w:val="00C10FE6"/>
    <w:rsid w:val="00C11A03"/>
    <w:rsid w:val="00C22C0C"/>
    <w:rsid w:val="00C23699"/>
    <w:rsid w:val="00C27DBF"/>
    <w:rsid w:val="00C33AF6"/>
    <w:rsid w:val="00C35BC8"/>
    <w:rsid w:val="00C36481"/>
    <w:rsid w:val="00C41BD5"/>
    <w:rsid w:val="00C43DF8"/>
    <w:rsid w:val="00C4527F"/>
    <w:rsid w:val="00C458FE"/>
    <w:rsid w:val="00C463DD"/>
    <w:rsid w:val="00C467C9"/>
    <w:rsid w:val="00C4724C"/>
    <w:rsid w:val="00C50425"/>
    <w:rsid w:val="00C51345"/>
    <w:rsid w:val="00C515C1"/>
    <w:rsid w:val="00C5185D"/>
    <w:rsid w:val="00C548AF"/>
    <w:rsid w:val="00C57B14"/>
    <w:rsid w:val="00C57DA4"/>
    <w:rsid w:val="00C629A0"/>
    <w:rsid w:val="00C637A9"/>
    <w:rsid w:val="00C64629"/>
    <w:rsid w:val="00C652F9"/>
    <w:rsid w:val="00C6662D"/>
    <w:rsid w:val="00C72681"/>
    <w:rsid w:val="00C73056"/>
    <w:rsid w:val="00C745C3"/>
    <w:rsid w:val="00C76CB0"/>
    <w:rsid w:val="00C82E48"/>
    <w:rsid w:val="00C875FE"/>
    <w:rsid w:val="00C91148"/>
    <w:rsid w:val="00C9216A"/>
    <w:rsid w:val="00C96184"/>
    <w:rsid w:val="00CA0CE1"/>
    <w:rsid w:val="00CA0E33"/>
    <w:rsid w:val="00CA409A"/>
    <w:rsid w:val="00CB1FF8"/>
    <w:rsid w:val="00CB3E03"/>
    <w:rsid w:val="00CB5104"/>
    <w:rsid w:val="00CB5B1E"/>
    <w:rsid w:val="00CB609A"/>
    <w:rsid w:val="00CC04D9"/>
    <w:rsid w:val="00CD21D5"/>
    <w:rsid w:val="00CD50AA"/>
    <w:rsid w:val="00CD57D2"/>
    <w:rsid w:val="00CD5DD3"/>
    <w:rsid w:val="00CD7BCB"/>
    <w:rsid w:val="00CE116B"/>
    <w:rsid w:val="00CE2CC6"/>
    <w:rsid w:val="00CE4A8F"/>
    <w:rsid w:val="00CE4B11"/>
    <w:rsid w:val="00CF54D5"/>
    <w:rsid w:val="00CF73CE"/>
    <w:rsid w:val="00D00610"/>
    <w:rsid w:val="00D0166C"/>
    <w:rsid w:val="00D06382"/>
    <w:rsid w:val="00D15D92"/>
    <w:rsid w:val="00D2031B"/>
    <w:rsid w:val="00D20A44"/>
    <w:rsid w:val="00D20B16"/>
    <w:rsid w:val="00D22720"/>
    <w:rsid w:val="00D25499"/>
    <w:rsid w:val="00D25FE2"/>
    <w:rsid w:val="00D27327"/>
    <w:rsid w:val="00D42D27"/>
    <w:rsid w:val="00D43252"/>
    <w:rsid w:val="00D47EEA"/>
    <w:rsid w:val="00D550D4"/>
    <w:rsid w:val="00D64D0D"/>
    <w:rsid w:val="00D65303"/>
    <w:rsid w:val="00D76FFE"/>
    <w:rsid w:val="00D773DF"/>
    <w:rsid w:val="00D80773"/>
    <w:rsid w:val="00D80FBB"/>
    <w:rsid w:val="00D861AD"/>
    <w:rsid w:val="00D876F8"/>
    <w:rsid w:val="00D9255F"/>
    <w:rsid w:val="00D95303"/>
    <w:rsid w:val="00D978C6"/>
    <w:rsid w:val="00DA0E79"/>
    <w:rsid w:val="00DA3C1C"/>
    <w:rsid w:val="00DA7865"/>
    <w:rsid w:val="00DB61A4"/>
    <w:rsid w:val="00DB6CA5"/>
    <w:rsid w:val="00DC0B3D"/>
    <w:rsid w:val="00DC53F4"/>
    <w:rsid w:val="00DC5953"/>
    <w:rsid w:val="00DD15AC"/>
    <w:rsid w:val="00DD3141"/>
    <w:rsid w:val="00DD430F"/>
    <w:rsid w:val="00DF64FE"/>
    <w:rsid w:val="00DF7B93"/>
    <w:rsid w:val="00E013B8"/>
    <w:rsid w:val="00E01800"/>
    <w:rsid w:val="00E028F4"/>
    <w:rsid w:val="00E046DF"/>
    <w:rsid w:val="00E073DE"/>
    <w:rsid w:val="00E15557"/>
    <w:rsid w:val="00E159CC"/>
    <w:rsid w:val="00E220D4"/>
    <w:rsid w:val="00E25628"/>
    <w:rsid w:val="00E26D50"/>
    <w:rsid w:val="00E27346"/>
    <w:rsid w:val="00E27E33"/>
    <w:rsid w:val="00E312C3"/>
    <w:rsid w:val="00E367BB"/>
    <w:rsid w:val="00E402A0"/>
    <w:rsid w:val="00E44A1D"/>
    <w:rsid w:val="00E5005F"/>
    <w:rsid w:val="00E51D9B"/>
    <w:rsid w:val="00E572C8"/>
    <w:rsid w:val="00E57319"/>
    <w:rsid w:val="00E658D0"/>
    <w:rsid w:val="00E702E4"/>
    <w:rsid w:val="00E71BC8"/>
    <w:rsid w:val="00E7260F"/>
    <w:rsid w:val="00E73F5D"/>
    <w:rsid w:val="00E77E4E"/>
    <w:rsid w:val="00E8090F"/>
    <w:rsid w:val="00E82755"/>
    <w:rsid w:val="00E83B19"/>
    <w:rsid w:val="00E83FB7"/>
    <w:rsid w:val="00E903B5"/>
    <w:rsid w:val="00E92479"/>
    <w:rsid w:val="00E96630"/>
    <w:rsid w:val="00EA3456"/>
    <w:rsid w:val="00EA6185"/>
    <w:rsid w:val="00EB1DCA"/>
    <w:rsid w:val="00EB237B"/>
    <w:rsid w:val="00EB4617"/>
    <w:rsid w:val="00EB6956"/>
    <w:rsid w:val="00EB7A4A"/>
    <w:rsid w:val="00EC106A"/>
    <w:rsid w:val="00EC32A0"/>
    <w:rsid w:val="00EC5986"/>
    <w:rsid w:val="00EC5E52"/>
    <w:rsid w:val="00ED7A2A"/>
    <w:rsid w:val="00EE288F"/>
    <w:rsid w:val="00EE3195"/>
    <w:rsid w:val="00EE5FC8"/>
    <w:rsid w:val="00EE6B3A"/>
    <w:rsid w:val="00EF1D46"/>
    <w:rsid w:val="00EF1D7F"/>
    <w:rsid w:val="00EF6552"/>
    <w:rsid w:val="00F026CD"/>
    <w:rsid w:val="00F10F61"/>
    <w:rsid w:val="00F13080"/>
    <w:rsid w:val="00F150A0"/>
    <w:rsid w:val="00F21B8B"/>
    <w:rsid w:val="00F227A6"/>
    <w:rsid w:val="00F22857"/>
    <w:rsid w:val="00F31E5F"/>
    <w:rsid w:val="00F32051"/>
    <w:rsid w:val="00F33C9F"/>
    <w:rsid w:val="00F36CB6"/>
    <w:rsid w:val="00F36F0D"/>
    <w:rsid w:val="00F4272A"/>
    <w:rsid w:val="00F5150A"/>
    <w:rsid w:val="00F60F02"/>
    <w:rsid w:val="00F6100A"/>
    <w:rsid w:val="00F66565"/>
    <w:rsid w:val="00F71B7F"/>
    <w:rsid w:val="00F74D18"/>
    <w:rsid w:val="00F80815"/>
    <w:rsid w:val="00F86D76"/>
    <w:rsid w:val="00F93781"/>
    <w:rsid w:val="00F955F8"/>
    <w:rsid w:val="00F95ED8"/>
    <w:rsid w:val="00F97A76"/>
    <w:rsid w:val="00F97B38"/>
    <w:rsid w:val="00FA3772"/>
    <w:rsid w:val="00FA730A"/>
    <w:rsid w:val="00FB613B"/>
    <w:rsid w:val="00FB7679"/>
    <w:rsid w:val="00FC3C87"/>
    <w:rsid w:val="00FC56A9"/>
    <w:rsid w:val="00FC68B7"/>
    <w:rsid w:val="00FD0E0B"/>
    <w:rsid w:val="00FD49F1"/>
    <w:rsid w:val="00FE0135"/>
    <w:rsid w:val="00FE106A"/>
    <w:rsid w:val="00FE1178"/>
    <w:rsid w:val="00FE20A2"/>
    <w:rsid w:val="00FE2378"/>
    <w:rsid w:val="00FE477D"/>
    <w:rsid w:val="00FF145D"/>
    <w:rsid w:val="00FF3121"/>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114A6"/>
  <w15:docId w15:val="{BA387193-045D-48A3-8BBA-55BB889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 w:type="paragraph" w:customStyle="1" w:styleId="Style1">
    <w:name w:val="Style1"/>
    <w:basedOn w:val="SingleTxtG"/>
    <w:link w:val="Style1Char"/>
    <w:qFormat/>
    <w:rsid w:val="002A68EA"/>
    <w:pPr>
      <w:numPr>
        <w:numId w:val="32"/>
      </w:numPr>
      <w:ind w:left="1134" w:firstLine="0"/>
    </w:pPr>
    <w:rPr>
      <w:lang w:val="en-GB"/>
    </w:rPr>
  </w:style>
  <w:style w:type="character" w:customStyle="1" w:styleId="Style1Char">
    <w:name w:val="Style1 Char"/>
    <w:basedOn w:val="SingleTxtGChar"/>
    <w:link w:val="Style1"/>
    <w:rsid w:val="002A68EA"/>
    <w:rPr>
      <w:lang w:eastAsia="en-US"/>
    </w:rPr>
  </w:style>
  <w:style w:type="character" w:styleId="UnresolvedMention">
    <w:name w:val="Unresolved Mention"/>
    <w:basedOn w:val="DefaultParagraphFont"/>
    <w:uiPriority w:val="99"/>
    <w:semiHidden/>
    <w:unhideWhenUsed/>
    <w:rsid w:val="00F026CD"/>
    <w:rPr>
      <w:color w:val="605E5C"/>
      <w:shd w:val="clear" w:color="auto" w:fill="E1DFDD"/>
    </w:rPr>
  </w:style>
  <w:style w:type="paragraph" w:styleId="Revision">
    <w:name w:val="Revision"/>
    <w:hidden/>
    <w:uiPriority w:val="99"/>
    <w:semiHidden/>
    <w:rsid w:val="00E25628"/>
    <w:rPr>
      <w:lang w:eastAsia="en-US"/>
    </w:rPr>
  </w:style>
  <w:style w:type="table" w:customStyle="1" w:styleId="Grilledutableau2">
    <w:name w:val="Grille du tableau2"/>
    <w:basedOn w:val="TableNormal"/>
    <w:next w:val="TableGrid"/>
    <w:uiPriority w:val="39"/>
    <w:rsid w:val="001D6F12"/>
    <w:rPr>
      <w:rFonts w:ascii="Calibri" w:eastAsia="Calibri" w:hAnsi="Calibr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6569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40927508">
      <w:bodyDiv w:val="1"/>
      <w:marLeft w:val="0"/>
      <w:marRight w:val="0"/>
      <w:marTop w:val="0"/>
      <w:marBottom w:val="0"/>
      <w:divBdr>
        <w:top w:val="none" w:sz="0" w:space="0" w:color="auto"/>
        <w:left w:val="none" w:sz="0" w:space="0" w:color="auto"/>
        <w:bottom w:val="none" w:sz="0" w:space="0" w:color="auto"/>
        <w:right w:val="none" w:sz="0" w:space="0" w:color="auto"/>
      </w:divBdr>
    </w:div>
    <w:div w:id="21286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Christine Barrio-Champeau</DisplayName>
        <AccountId>49</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9F8A08F6-D7BD-4B5A-BA90-96BBF29E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C9D1A-B2B5-43D2-832F-D2E9B036754D}">
  <ds:schemaRefs>
    <ds:schemaRef ds:uri="http://schemas.openxmlformats.org/officeDocument/2006/bibliography"/>
  </ds:schemaRefs>
</ds:datastoreItem>
</file>

<file path=customXml/itemProps4.xml><?xml version="1.0" encoding="utf-8"?>
<ds:datastoreItem xmlns:ds="http://schemas.openxmlformats.org/officeDocument/2006/customXml" ds:itemID="{05863A2C-E59B-4113-A0B1-1594C67CC33F}">
  <ds:schemaRefs>
    <ds:schemaRef ds:uri="http://schemas.microsoft.com/office/2006/metadata/properties"/>
    <ds:schemaRef ds:uri="http://schemas.microsoft.com/office/infopath/2007/PartnerControls"/>
    <ds:schemaRef ds:uri="985ec44e-1bab-4c0b-9df0-6ba128686fc9"/>
    <ds:schemaRef ds:uri="acccb6d4-dbe5-46d2-b4d3-5733603d8cc6"/>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713</Words>
  <Characters>3209</Characters>
  <Application>Microsoft Office Word</Application>
  <DocSecurity>0</DocSecurity>
  <Lines>1069</Lines>
  <Paragraphs>392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3530</CharactersWithSpaces>
  <SharedDoc>false</SharedDoc>
  <HLinks>
    <vt:vector size="12" baseType="variant">
      <vt:variant>
        <vt:i4>7602293</vt:i4>
      </vt:variant>
      <vt:variant>
        <vt:i4>3</vt:i4>
      </vt:variant>
      <vt:variant>
        <vt:i4>0</vt:i4>
      </vt:variant>
      <vt:variant>
        <vt:i4>5</vt:i4>
      </vt:variant>
      <vt:variant>
        <vt:lpwstr>https://unece.org/info/Transport/Dangerous-Goods/events/370093</vt:lpwstr>
      </vt:variant>
      <vt:variant>
        <vt:lpwstr/>
      </vt:variant>
      <vt:variant>
        <vt:i4>7798896</vt:i4>
      </vt:variant>
      <vt:variant>
        <vt:i4>0</vt:i4>
      </vt:variant>
      <vt:variant>
        <vt:i4>0</vt:i4>
      </vt:variant>
      <vt:variant>
        <vt:i4>5</vt:i4>
      </vt:variant>
      <vt:variant>
        <vt:lpwstr>https://unece.org/info/Transport/Dangerous-Goods/events/364687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Romain Hubert</cp:lastModifiedBy>
  <cp:revision>33</cp:revision>
  <cp:lastPrinted>2023-02-06T13:41:00Z</cp:lastPrinted>
  <dcterms:created xsi:type="dcterms:W3CDTF">2023-02-09T11:51:00Z</dcterms:created>
  <dcterms:modified xsi:type="dcterms:W3CDTF">2023-02-09T19:19:00Z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0x0101003B8422D08C252547BB1CFA7F78E2CB83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