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500BA" w14:paraId="2B534739" w14:textId="77777777" w:rsidTr="001E4D1A">
        <w:trPr>
          <w:trHeight w:val="851"/>
        </w:trPr>
        <w:tc>
          <w:tcPr>
            <w:tcW w:w="1259" w:type="dxa"/>
            <w:tcBorders>
              <w:top w:val="nil"/>
              <w:left w:val="nil"/>
              <w:bottom w:val="single" w:sz="4" w:space="0" w:color="auto"/>
              <w:right w:val="nil"/>
            </w:tcBorders>
            <w:shd w:val="clear" w:color="auto" w:fill="auto"/>
          </w:tcPr>
          <w:p w14:paraId="05A773D5" w14:textId="77777777" w:rsidR="000872B4" w:rsidRDefault="000872B4" w:rsidP="001E4D1A">
            <w:pPr>
              <w:spacing w:after="80" w:line="340" w:lineRule="exact"/>
            </w:pPr>
          </w:p>
          <w:p w14:paraId="04136243" w14:textId="77777777" w:rsidR="00446DE4" w:rsidRPr="000872B4" w:rsidRDefault="00446DE4" w:rsidP="001E4D1A">
            <w:pPr>
              <w:jc w:val="center"/>
            </w:pPr>
          </w:p>
        </w:tc>
        <w:tc>
          <w:tcPr>
            <w:tcW w:w="2236" w:type="dxa"/>
            <w:tcBorders>
              <w:top w:val="nil"/>
              <w:left w:val="nil"/>
              <w:bottom w:val="single" w:sz="4" w:space="0" w:color="auto"/>
              <w:right w:val="nil"/>
            </w:tcBorders>
            <w:shd w:val="clear" w:color="auto" w:fill="auto"/>
            <w:vAlign w:val="bottom"/>
          </w:tcPr>
          <w:p w14:paraId="76AD5A6F" w14:textId="77777777" w:rsidR="00446DE4" w:rsidRPr="001E4D1A" w:rsidRDefault="00B3317B" w:rsidP="001E4D1A">
            <w:pPr>
              <w:spacing w:after="80" w:line="340" w:lineRule="exact"/>
              <w:rPr>
                <w:sz w:val="28"/>
                <w:szCs w:val="28"/>
              </w:rPr>
            </w:pPr>
            <w:r w:rsidRPr="001E4D1A">
              <w:rPr>
                <w:sz w:val="28"/>
                <w:szCs w:val="28"/>
              </w:rPr>
              <w:t>United Nations</w:t>
            </w:r>
          </w:p>
        </w:tc>
        <w:tc>
          <w:tcPr>
            <w:tcW w:w="6144" w:type="dxa"/>
            <w:gridSpan w:val="2"/>
            <w:tcBorders>
              <w:top w:val="nil"/>
              <w:left w:val="nil"/>
              <w:bottom w:val="single" w:sz="4" w:space="0" w:color="auto"/>
              <w:right w:val="nil"/>
            </w:tcBorders>
            <w:shd w:val="clear" w:color="auto" w:fill="auto"/>
            <w:vAlign w:val="bottom"/>
          </w:tcPr>
          <w:p w14:paraId="73735A12" w14:textId="2552500F" w:rsidR="00446DE4" w:rsidRPr="006500BA" w:rsidRDefault="00197811" w:rsidP="00196276">
            <w:pPr>
              <w:jc w:val="right"/>
            </w:pPr>
            <w:r w:rsidRPr="001E4D1A">
              <w:rPr>
                <w:sz w:val="40"/>
              </w:rPr>
              <w:t>ST</w:t>
            </w:r>
            <w:r>
              <w:t>/SG/AC.10/</w:t>
            </w:r>
            <w:r w:rsidR="00A34A7B">
              <w:t>50</w:t>
            </w:r>
          </w:p>
        </w:tc>
      </w:tr>
      <w:tr w:rsidR="003107FA" w:rsidRPr="006500BA" w14:paraId="65D2AF71" w14:textId="77777777" w:rsidTr="001E4D1A">
        <w:trPr>
          <w:trHeight w:val="2835"/>
        </w:trPr>
        <w:tc>
          <w:tcPr>
            <w:tcW w:w="1259" w:type="dxa"/>
            <w:tcBorders>
              <w:top w:val="single" w:sz="4" w:space="0" w:color="auto"/>
              <w:left w:val="nil"/>
              <w:bottom w:val="single" w:sz="12" w:space="0" w:color="auto"/>
              <w:right w:val="nil"/>
            </w:tcBorders>
            <w:shd w:val="clear" w:color="auto" w:fill="auto"/>
          </w:tcPr>
          <w:p w14:paraId="34E011BA" w14:textId="7BD65E2A" w:rsidR="003107FA" w:rsidRPr="006500BA" w:rsidRDefault="00440E74" w:rsidP="001E4D1A">
            <w:pPr>
              <w:spacing w:before="120"/>
              <w:jc w:val="center"/>
            </w:pPr>
            <w:r w:rsidRPr="006500BA">
              <w:rPr>
                <w:noProof/>
              </w:rPr>
              <w:drawing>
                <wp:inline distT="0" distB="0" distL="0" distR="0" wp14:anchorId="7A9362DA" wp14:editId="70BF741D">
                  <wp:extent cx="7112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shd w:val="clear" w:color="auto" w:fill="auto"/>
          </w:tcPr>
          <w:p w14:paraId="1314D302" w14:textId="77777777" w:rsidR="003107FA" w:rsidRPr="001E4D1A" w:rsidRDefault="00D96CC5" w:rsidP="001E4D1A">
            <w:pPr>
              <w:spacing w:before="120" w:line="420" w:lineRule="exact"/>
              <w:rPr>
                <w:b/>
                <w:sz w:val="40"/>
                <w:szCs w:val="40"/>
              </w:rPr>
            </w:pPr>
            <w:r w:rsidRPr="001E4D1A">
              <w:rPr>
                <w:b/>
                <w:sz w:val="40"/>
                <w:szCs w:val="40"/>
              </w:rPr>
              <w:t>Secretariat</w:t>
            </w:r>
          </w:p>
        </w:tc>
        <w:tc>
          <w:tcPr>
            <w:tcW w:w="2930" w:type="dxa"/>
            <w:tcBorders>
              <w:top w:val="single" w:sz="4" w:space="0" w:color="auto"/>
              <w:left w:val="nil"/>
              <w:bottom w:val="single" w:sz="12" w:space="0" w:color="auto"/>
              <w:right w:val="nil"/>
            </w:tcBorders>
            <w:shd w:val="clear" w:color="auto" w:fill="auto"/>
          </w:tcPr>
          <w:p w14:paraId="20EF9D50" w14:textId="77777777" w:rsidR="00197811" w:rsidRPr="004E229D" w:rsidRDefault="00197811" w:rsidP="001E4D1A">
            <w:pPr>
              <w:spacing w:before="240" w:line="240" w:lineRule="exact"/>
            </w:pPr>
            <w:r w:rsidRPr="004E229D">
              <w:t>Distr.: General</w:t>
            </w:r>
          </w:p>
          <w:p w14:paraId="2372D8A3" w14:textId="6DCD26A4" w:rsidR="00197811" w:rsidRPr="004E229D" w:rsidRDefault="007C1650" w:rsidP="001E4D1A">
            <w:pPr>
              <w:spacing w:line="240" w:lineRule="exact"/>
            </w:pPr>
            <w:r>
              <w:t>10</w:t>
            </w:r>
            <w:r w:rsidR="008769DA">
              <w:t xml:space="preserve"> January 202</w:t>
            </w:r>
            <w:r w:rsidR="00A34A7B">
              <w:t>3</w:t>
            </w:r>
          </w:p>
          <w:p w14:paraId="07ED9F23" w14:textId="77777777" w:rsidR="00662779" w:rsidRPr="004E229D" w:rsidRDefault="00662779" w:rsidP="001E4D1A">
            <w:pPr>
              <w:spacing w:line="240" w:lineRule="exact"/>
            </w:pPr>
          </w:p>
          <w:p w14:paraId="41FEC4DA" w14:textId="77777777" w:rsidR="003107FA" w:rsidRPr="006500BA" w:rsidRDefault="00197811" w:rsidP="001E4D1A">
            <w:pPr>
              <w:spacing w:line="240" w:lineRule="exact"/>
            </w:pPr>
            <w:r w:rsidRPr="004E229D">
              <w:t xml:space="preserve">Original: English </w:t>
            </w:r>
          </w:p>
        </w:tc>
      </w:tr>
    </w:tbl>
    <w:p w14:paraId="5EA1707E" w14:textId="77777777" w:rsidR="009F0F06" w:rsidRPr="006500BA" w:rsidRDefault="009F0F06" w:rsidP="009F0F06">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726587EF" w14:textId="0FC712C9" w:rsidR="00530C11" w:rsidRDefault="00530C11" w:rsidP="002B24F6">
      <w:pPr>
        <w:pStyle w:val="HChG"/>
        <w:rPr>
          <w:bCs/>
        </w:rPr>
      </w:pPr>
      <w:r>
        <w:rPr>
          <w:bCs/>
        </w:rPr>
        <w:tab/>
      </w:r>
      <w:r>
        <w:rPr>
          <w:bCs/>
        </w:rPr>
        <w:tab/>
      </w:r>
      <w:r w:rsidRPr="00155700">
        <w:rPr>
          <w:bCs/>
        </w:rPr>
        <w:t>R</w:t>
      </w:r>
      <w:r>
        <w:rPr>
          <w:bCs/>
        </w:rPr>
        <w:t>eport</w:t>
      </w:r>
      <w:r w:rsidRPr="00155700">
        <w:rPr>
          <w:bCs/>
        </w:rPr>
        <w:t xml:space="preserve"> </w:t>
      </w:r>
      <w:r>
        <w:rPr>
          <w:bCs/>
        </w:rPr>
        <w:t xml:space="preserve">of the Committee of Experts </w:t>
      </w:r>
      <w:r w:rsidR="002B24F6">
        <w:rPr>
          <w:bCs/>
        </w:rPr>
        <w:t xml:space="preserve">on the Transport of Dangerous Goods and on the Globally Harmonized System of Classification and Labelling of Chemicals on its </w:t>
      </w:r>
      <w:r w:rsidR="00F57CFD">
        <w:rPr>
          <w:bCs/>
        </w:rPr>
        <w:t>eleventh</w:t>
      </w:r>
      <w:r w:rsidR="00522E4A">
        <w:rPr>
          <w:bCs/>
        </w:rPr>
        <w:t xml:space="preserve"> </w:t>
      </w:r>
      <w:r w:rsidR="002B24F6">
        <w:rPr>
          <w:bCs/>
        </w:rPr>
        <w:t>session</w:t>
      </w:r>
    </w:p>
    <w:p w14:paraId="3C1CC6D3" w14:textId="22091C6D" w:rsidR="002B24F6" w:rsidRPr="002B24F6" w:rsidRDefault="000872B4" w:rsidP="002F2778">
      <w:pPr>
        <w:pStyle w:val="SingleTxtG"/>
      </w:pPr>
      <w:r>
        <w:t>h</w:t>
      </w:r>
      <w:r w:rsidR="002B24F6">
        <w:t xml:space="preserve">eld in Geneva on </w:t>
      </w:r>
      <w:r w:rsidR="0058730D">
        <w:t>9</w:t>
      </w:r>
      <w:r w:rsidR="00196276">
        <w:t xml:space="preserve"> </w:t>
      </w:r>
      <w:r w:rsidR="002B24F6">
        <w:t xml:space="preserve">December </w:t>
      </w:r>
      <w:r w:rsidR="00522E4A">
        <w:t>20</w:t>
      </w:r>
      <w:r w:rsidR="00D379D2">
        <w:t>2</w:t>
      </w:r>
      <w:r w:rsidR="0058730D">
        <w:t>2</w:t>
      </w:r>
    </w:p>
    <w:p w14:paraId="37044ED1" w14:textId="77777777" w:rsidR="00C1333E" w:rsidRPr="00BA16EE" w:rsidRDefault="00C1333E" w:rsidP="00C1333E">
      <w:pPr>
        <w:spacing w:after="120"/>
        <w:rPr>
          <w:sz w:val="28"/>
          <w:lang w:val="fr-FR"/>
        </w:rPr>
      </w:pPr>
      <w:r w:rsidRPr="00BA16EE">
        <w:rPr>
          <w:sz w:val="28"/>
          <w:lang w:val="fr-FR"/>
        </w:rPr>
        <w:t>Contents</w:t>
      </w:r>
    </w:p>
    <w:p w14:paraId="3B506A50" w14:textId="77777777" w:rsidR="00C1333E" w:rsidRPr="00B96225" w:rsidRDefault="00C1333E" w:rsidP="00C1333E">
      <w:pPr>
        <w:tabs>
          <w:tab w:val="right" w:pos="8929"/>
          <w:tab w:val="right" w:pos="9638"/>
        </w:tabs>
        <w:spacing w:after="120"/>
        <w:ind w:left="283"/>
        <w:rPr>
          <w:lang w:val="fr-FR"/>
        </w:rPr>
      </w:pPr>
      <w:r w:rsidRPr="00BA16EE">
        <w:rPr>
          <w:i/>
          <w:sz w:val="18"/>
          <w:lang w:val="fr-FR"/>
        </w:rPr>
        <w:tab/>
      </w:r>
      <w:proofErr w:type="spellStart"/>
      <w:r w:rsidRPr="00B96225">
        <w:rPr>
          <w:i/>
          <w:sz w:val="18"/>
          <w:lang w:val="fr-FR"/>
        </w:rPr>
        <w:t>Paragraphs</w:t>
      </w:r>
      <w:proofErr w:type="spellEnd"/>
      <w:r w:rsidRPr="00B96225">
        <w:rPr>
          <w:i/>
          <w:sz w:val="18"/>
          <w:lang w:val="fr-FR"/>
        </w:rPr>
        <w:tab/>
        <w:t>Page</w:t>
      </w:r>
    </w:p>
    <w:p w14:paraId="170B565B" w14:textId="77777777" w:rsidR="00530C11" w:rsidRPr="002F2778" w:rsidRDefault="00C1333E" w:rsidP="00C1333E">
      <w:pPr>
        <w:tabs>
          <w:tab w:val="right" w:pos="850"/>
          <w:tab w:val="left" w:pos="1134"/>
          <w:tab w:val="left" w:pos="1559"/>
          <w:tab w:val="left" w:pos="1984"/>
          <w:tab w:val="left" w:leader="dot" w:pos="7654"/>
          <w:tab w:val="right" w:pos="8929"/>
          <w:tab w:val="right" w:pos="9638"/>
        </w:tabs>
        <w:spacing w:after="120"/>
        <w:rPr>
          <w:lang w:val="fr-FR"/>
        </w:rPr>
      </w:pPr>
      <w:r w:rsidRPr="00B96225">
        <w:rPr>
          <w:lang w:val="fr-FR"/>
        </w:rPr>
        <w:tab/>
      </w:r>
      <w:r w:rsidRPr="002F2778">
        <w:rPr>
          <w:lang w:val="fr-FR"/>
        </w:rPr>
        <w:t>I.</w:t>
      </w:r>
      <w:r w:rsidRPr="002F2778">
        <w:rPr>
          <w:lang w:val="fr-FR"/>
        </w:rPr>
        <w:tab/>
        <w:t>Attendance</w:t>
      </w:r>
      <w:r w:rsidRPr="002F2778">
        <w:rPr>
          <w:lang w:val="fr-FR"/>
        </w:rPr>
        <w:tab/>
      </w:r>
      <w:r w:rsidRPr="002F2778">
        <w:rPr>
          <w:lang w:val="fr-FR"/>
        </w:rPr>
        <w:tab/>
      </w:r>
      <w:r w:rsidR="00365DFB" w:rsidRPr="002F2778">
        <w:rPr>
          <w:lang w:val="fr-FR"/>
        </w:rPr>
        <w:t>1–</w:t>
      </w:r>
      <w:r w:rsidR="008F5210" w:rsidRPr="002F2778">
        <w:rPr>
          <w:lang w:val="fr-FR"/>
        </w:rPr>
        <w:t>4</w:t>
      </w:r>
      <w:r w:rsidRPr="002F2778">
        <w:rPr>
          <w:lang w:val="fr-FR"/>
        </w:rPr>
        <w:tab/>
      </w:r>
      <w:r w:rsidR="006B7A9B" w:rsidRPr="002F2778">
        <w:rPr>
          <w:lang w:val="fr-FR"/>
        </w:rPr>
        <w:t>3</w:t>
      </w:r>
    </w:p>
    <w:p w14:paraId="28FCABFD" w14:textId="77777777" w:rsidR="00C1333E" w:rsidRPr="002F2778" w:rsidRDefault="00C1333E" w:rsidP="00245DA8">
      <w:pPr>
        <w:tabs>
          <w:tab w:val="right" w:pos="850"/>
          <w:tab w:val="left" w:pos="1134"/>
          <w:tab w:val="left" w:pos="1559"/>
          <w:tab w:val="left" w:pos="1984"/>
          <w:tab w:val="left" w:leader="dot" w:pos="7654"/>
          <w:tab w:val="right" w:pos="8929"/>
          <w:tab w:val="right" w:pos="9638"/>
        </w:tabs>
        <w:spacing w:after="120"/>
      </w:pPr>
      <w:r w:rsidRPr="002F2778">
        <w:rPr>
          <w:lang w:val="fr-FR"/>
        </w:rPr>
        <w:tab/>
      </w:r>
      <w:r w:rsidRPr="002F2778">
        <w:t>II.</w:t>
      </w:r>
      <w:r w:rsidRPr="002F2778">
        <w:tab/>
        <w:t>Adoption of the agenda</w:t>
      </w:r>
      <w:r w:rsidR="00245DA8" w:rsidRPr="002F2778">
        <w:t xml:space="preserve"> (agenda item 1)</w:t>
      </w:r>
      <w:r w:rsidRPr="002F2778">
        <w:tab/>
      </w:r>
      <w:r w:rsidRPr="002F2778">
        <w:tab/>
      </w:r>
      <w:r w:rsidR="008F5210" w:rsidRPr="002F2778">
        <w:t>5</w:t>
      </w:r>
      <w:r w:rsidR="00E759AB" w:rsidRPr="002F2778">
        <w:tab/>
      </w:r>
      <w:r w:rsidR="006B7A9B" w:rsidRPr="002F2778">
        <w:t>3</w:t>
      </w:r>
    </w:p>
    <w:p w14:paraId="005ED4F7" w14:textId="77777777"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III.</w:t>
      </w:r>
      <w:r w:rsidRPr="002F2778">
        <w:tab/>
        <w:t>Election of officers</w:t>
      </w:r>
      <w:r w:rsidR="00245DA8" w:rsidRPr="002F2778">
        <w:t xml:space="preserve"> (agenda item 2)</w:t>
      </w:r>
      <w:r w:rsidRPr="002F2778">
        <w:tab/>
      </w:r>
      <w:r w:rsidRPr="002F2778">
        <w:tab/>
      </w:r>
      <w:r w:rsidR="008F5210" w:rsidRPr="002F2778">
        <w:t>6</w:t>
      </w:r>
      <w:r w:rsidRPr="002F2778">
        <w:tab/>
      </w:r>
      <w:r w:rsidR="006B7A9B" w:rsidRPr="002F2778">
        <w:t>3</w:t>
      </w:r>
    </w:p>
    <w:p w14:paraId="511CC938" w14:textId="77777777"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IV.</w:t>
      </w:r>
      <w:r w:rsidRPr="002F2778">
        <w:tab/>
        <w:t>Resolutions and decisions of the Economic and Social Council</w:t>
      </w:r>
      <w:r w:rsidR="00245DA8" w:rsidRPr="002F2778">
        <w:t xml:space="preserve"> (agenda item 3)</w:t>
      </w:r>
      <w:r w:rsidRPr="002F2778">
        <w:tab/>
      </w:r>
      <w:r w:rsidRPr="002F2778">
        <w:tab/>
      </w:r>
      <w:r w:rsidR="008F5210" w:rsidRPr="002F2778">
        <w:t>7</w:t>
      </w:r>
      <w:r w:rsidR="00365DFB" w:rsidRPr="002F2778">
        <w:t>–</w:t>
      </w:r>
      <w:r w:rsidR="008F5210" w:rsidRPr="002F2778">
        <w:t>9</w:t>
      </w:r>
      <w:r w:rsidRPr="002F2778">
        <w:tab/>
      </w:r>
      <w:r w:rsidR="006B7A9B" w:rsidRPr="002F2778">
        <w:t>3</w:t>
      </w:r>
    </w:p>
    <w:p w14:paraId="586039BE" w14:textId="51EC2176"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V.</w:t>
      </w:r>
      <w:r w:rsidRPr="002F2778">
        <w:tab/>
        <w:t xml:space="preserve">Work of the Sub-Committee of Experts on the Transport of Dangerous Goods </w:t>
      </w:r>
      <w:r w:rsidRPr="002F2778">
        <w:br/>
      </w:r>
      <w:r w:rsidRPr="002F2778">
        <w:tab/>
      </w:r>
      <w:r w:rsidRPr="002F2778">
        <w:tab/>
        <w:t xml:space="preserve">during the biennium </w:t>
      </w:r>
      <w:r w:rsidR="00522E4A" w:rsidRPr="002F2778">
        <w:t>20</w:t>
      </w:r>
      <w:r w:rsidR="007E1D1B">
        <w:t>21</w:t>
      </w:r>
      <w:r w:rsidR="00DE5283" w:rsidRPr="002F2778">
        <w:t>–</w:t>
      </w:r>
      <w:r w:rsidR="00522E4A" w:rsidRPr="002F2778">
        <w:t>20</w:t>
      </w:r>
      <w:r w:rsidR="00D02A89">
        <w:t>2</w:t>
      </w:r>
      <w:r w:rsidR="0077722B">
        <w:t>2</w:t>
      </w:r>
      <w:r w:rsidR="00522E4A" w:rsidRPr="002F2778">
        <w:t xml:space="preserve"> </w:t>
      </w:r>
      <w:r w:rsidR="00245DA8" w:rsidRPr="002F2778">
        <w:t>(agenda item 4)</w:t>
      </w:r>
      <w:r w:rsidRPr="002F2778">
        <w:tab/>
      </w:r>
      <w:r w:rsidRPr="002F2778">
        <w:tab/>
      </w:r>
      <w:r w:rsidR="00365DFB" w:rsidRPr="002F2778">
        <w:t>1</w:t>
      </w:r>
      <w:r w:rsidR="008F5210" w:rsidRPr="002F2778">
        <w:t>0</w:t>
      </w:r>
      <w:r w:rsidR="00365DFB" w:rsidRPr="002F2778">
        <w:t>–1</w:t>
      </w:r>
      <w:r w:rsidR="008F5210" w:rsidRPr="002F2778">
        <w:t>1</w:t>
      </w:r>
      <w:r w:rsidRPr="002F2778">
        <w:tab/>
      </w:r>
      <w:r w:rsidR="006B7A9B" w:rsidRPr="002F2778">
        <w:t>4</w:t>
      </w:r>
    </w:p>
    <w:p w14:paraId="7E94126D" w14:textId="5AE31C4A"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VI.</w:t>
      </w:r>
      <w:r w:rsidRPr="002F2778">
        <w:tab/>
        <w:t>Work of the Sub-Committee of Experts on the Globally Harmonized System</w:t>
      </w:r>
      <w:r w:rsidRPr="002F2778">
        <w:br/>
      </w:r>
      <w:r w:rsidRPr="002F2778">
        <w:tab/>
      </w:r>
      <w:r w:rsidRPr="002F2778">
        <w:tab/>
        <w:t xml:space="preserve">of Classification and Labelling of Chemicals during the biennium </w:t>
      </w:r>
      <w:r w:rsidR="0077722B" w:rsidRPr="002F2778">
        <w:t>20</w:t>
      </w:r>
      <w:r w:rsidR="0077722B">
        <w:t>21</w:t>
      </w:r>
      <w:r w:rsidR="00C548B0" w:rsidRPr="002F2778">
        <w:t>–</w:t>
      </w:r>
      <w:r w:rsidR="00BB25F4" w:rsidRPr="002F2778">
        <w:t>20</w:t>
      </w:r>
      <w:r w:rsidR="00D02A89">
        <w:t>2</w:t>
      </w:r>
      <w:r w:rsidR="0077722B">
        <w:t>2</w:t>
      </w:r>
      <w:r w:rsidRPr="002F2778">
        <w:br/>
      </w:r>
      <w:r w:rsidRPr="002F2778">
        <w:tab/>
      </w:r>
      <w:r w:rsidRPr="002F2778">
        <w:tab/>
      </w:r>
      <w:r w:rsidR="00245DA8" w:rsidRPr="002F2778">
        <w:t>(agenda item 5)</w:t>
      </w:r>
      <w:r w:rsidRPr="002F2778">
        <w:tab/>
      </w:r>
      <w:r w:rsidRPr="002F2778">
        <w:tab/>
      </w:r>
      <w:r w:rsidR="00365DFB" w:rsidRPr="002F2778">
        <w:t>1</w:t>
      </w:r>
      <w:r w:rsidR="008F5210" w:rsidRPr="002F2778">
        <w:t>2</w:t>
      </w:r>
      <w:r w:rsidR="00365DFB" w:rsidRPr="002F2778">
        <w:t>–1</w:t>
      </w:r>
      <w:r w:rsidR="008F5210" w:rsidRPr="002F2778">
        <w:t>3</w:t>
      </w:r>
      <w:r w:rsidRPr="002F2778">
        <w:tab/>
      </w:r>
      <w:r w:rsidR="006B7A9B" w:rsidRPr="002F2778">
        <w:t>4</w:t>
      </w:r>
    </w:p>
    <w:p w14:paraId="1193C8BA" w14:textId="7079E8B5"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VII.</w:t>
      </w:r>
      <w:r w:rsidRPr="002F2778">
        <w:tab/>
        <w:t xml:space="preserve">Programme of work for the biennium </w:t>
      </w:r>
      <w:r w:rsidR="00522E4A" w:rsidRPr="002F2778">
        <w:t>20</w:t>
      </w:r>
      <w:r w:rsidR="00D02A89">
        <w:t>2</w:t>
      </w:r>
      <w:r w:rsidR="0077722B">
        <w:t>3</w:t>
      </w:r>
      <w:r w:rsidR="00C548B0" w:rsidRPr="002F2778">
        <w:t>–</w:t>
      </w:r>
      <w:r w:rsidR="00522E4A" w:rsidRPr="002F2778">
        <w:t>202</w:t>
      </w:r>
      <w:r w:rsidR="0077722B">
        <w:t>4</w:t>
      </w:r>
      <w:r w:rsidR="00522E4A" w:rsidRPr="002F2778">
        <w:t xml:space="preserve"> </w:t>
      </w:r>
      <w:r w:rsidR="00245DA8" w:rsidRPr="002F2778">
        <w:t>(agenda item 6)</w:t>
      </w:r>
      <w:r w:rsidRPr="002F2778">
        <w:tab/>
      </w:r>
      <w:r w:rsidRPr="002F2778">
        <w:tab/>
      </w:r>
      <w:r w:rsidR="00365DFB" w:rsidRPr="002F2778">
        <w:t>1</w:t>
      </w:r>
      <w:r w:rsidR="008F5210" w:rsidRPr="002F2778">
        <w:t>4</w:t>
      </w:r>
      <w:r w:rsidR="00365DFB" w:rsidRPr="002F2778">
        <w:t>–1</w:t>
      </w:r>
      <w:r w:rsidR="00BF7DE5">
        <w:t>7</w:t>
      </w:r>
      <w:r w:rsidRPr="002F2778">
        <w:tab/>
      </w:r>
      <w:r w:rsidR="006B7A9B" w:rsidRPr="002F2778">
        <w:t>5</w:t>
      </w:r>
    </w:p>
    <w:p w14:paraId="6D88350D" w14:textId="77777777" w:rsidR="00E759AB" w:rsidRPr="002F2778" w:rsidRDefault="00E759AB" w:rsidP="00E2607E">
      <w:pPr>
        <w:tabs>
          <w:tab w:val="right" w:pos="850"/>
          <w:tab w:val="left" w:pos="1134"/>
          <w:tab w:val="left" w:pos="1559"/>
          <w:tab w:val="left" w:pos="1984"/>
          <w:tab w:val="left" w:leader="dot" w:pos="7654"/>
          <w:tab w:val="right" w:pos="8929"/>
          <w:tab w:val="right" w:pos="9638"/>
        </w:tabs>
        <w:spacing w:after="120"/>
      </w:pPr>
      <w:r w:rsidRPr="002F2778">
        <w:tab/>
      </w:r>
      <w:r w:rsidRPr="002F2778">
        <w:tab/>
        <w:t>A.</w:t>
      </w:r>
      <w:r w:rsidRPr="002F2778">
        <w:tab/>
        <w:t>Programme of work</w:t>
      </w:r>
      <w:r w:rsidRPr="002F2778">
        <w:tab/>
      </w:r>
      <w:r w:rsidRPr="002F2778">
        <w:tab/>
      </w:r>
      <w:r w:rsidR="00365DFB" w:rsidRPr="002F2778">
        <w:t>1</w:t>
      </w:r>
      <w:r w:rsidR="008F5210" w:rsidRPr="002F2778">
        <w:t>4</w:t>
      </w:r>
      <w:r w:rsidRPr="002F2778">
        <w:tab/>
      </w:r>
      <w:r w:rsidR="006B7A9B" w:rsidRPr="002F2778">
        <w:t>5</w:t>
      </w:r>
    </w:p>
    <w:p w14:paraId="1D681761" w14:textId="77777777" w:rsidR="00E759AB" w:rsidRPr="002F2778" w:rsidRDefault="00E759AB" w:rsidP="00E759AB">
      <w:pPr>
        <w:tabs>
          <w:tab w:val="right" w:pos="850"/>
          <w:tab w:val="left" w:pos="1134"/>
          <w:tab w:val="left" w:pos="1559"/>
          <w:tab w:val="left" w:pos="1984"/>
          <w:tab w:val="left" w:leader="dot" w:pos="7654"/>
          <w:tab w:val="right" w:pos="8929"/>
          <w:tab w:val="right" w:pos="9638"/>
        </w:tabs>
        <w:spacing w:after="120"/>
      </w:pPr>
      <w:r w:rsidRPr="002F2778">
        <w:tab/>
      </w:r>
      <w:r w:rsidRPr="002F2778">
        <w:tab/>
        <w:t>B.</w:t>
      </w:r>
      <w:r w:rsidRPr="002F2778">
        <w:tab/>
        <w:t>Calendar of meetings</w:t>
      </w:r>
      <w:r w:rsidRPr="002F2778">
        <w:tab/>
      </w:r>
      <w:r w:rsidRPr="002F2778">
        <w:tab/>
      </w:r>
      <w:r w:rsidR="00365DFB" w:rsidRPr="002F2778">
        <w:t>1</w:t>
      </w:r>
      <w:r w:rsidR="00BF7DE5">
        <w:t>5–17</w:t>
      </w:r>
      <w:r w:rsidRPr="002F2778">
        <w:tab/>
      </w:r>
      <w:r w:rsidR="006B7A9B" w:rsidRPr="002F2778">
        <w:t>5</w:t>
      </w:r>
    </w:p>
    <w:p w14:paraId="3D55AE31" w14:textId="5F7D4734"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VIII.</w:t>
      </w:r>
      <w:r w:rsidRPr="002F2778">
        <w:tab/>
        <w:t xml:space="preserve">Draft resolution </w:t>
      </w:r>
      <w:r w:rsidR="0077722B" w:rsidRPr="002F2778">
        <w:t>20</w:t>
      </w:r>
      <w:r w:rsidR="0077722B">
        <w:t>23</w:t>
      </w:r>
      <w:r w:rsidRPr="002F2778">
        <w:t>/… of the Economic and Social Council</w:t>
      </w:r>
      <w:r w:rsidR="00245DA8" w:rsidRPr="002F2778">
        <w:t xml:space="preserve"> (agenda item 7)</w:t>
      </w:r>
      <w:r w:rsidRPr="002F2778">
        <w:tab/>
      </w:r>
      <w:r w:rsidRPr="002F2778">
        <w:tab/>
      </w:r>
      <w:r w:rsidR="00BF7DE5">
        <w:t>18</w:t>
      </w:r>
      <w:r w:rsidRPr="002F2778">
        <w:tab/>
      </w:r>
      <w:r w:rsidR="006B7A9B" w:rsidRPr="002F2778">
        <w:t>6</w:t>
      </w:r>
    </w:p>
    <w:p w14:paraId="262F25C9" w14:textId="525EA81B" w:rsidR="0097455F" w:rsidRPr="002F2778" w:rsidRDefault="0097455F" w:rsidP="0097455F">
      <w:pPr>
        <w:tabs>
          <w:tab w:val="right" w:pos="850"/>
          <w:tab w:val="left" w:pos="1134"/>
          <w:tab w:val="left" w:pos="1559"/>
          <w:tab w:val="left" w:pos="1984"/>
          <w:tab w:val="left" w:leader="dot" w:pos="7654"/>
          <w:tab w:val="right" w:pos="8929"/>
          <w:tab w:val="right" w:pos="9638"/>
        </w:tabs>
        <w:spacing w:after="120"/>
      </w:pPr>
      <w:r w:rsidRPr="002F2778">
        <w:tab/>
        <w:t>IX.</w:t>
      </w:r>
      <w:r w:rsidRPr="002F2778">
        <w:tab/>
      </w:r>
      <w:r>
        <w:t>Work of the Economic and Social Council</w:t>
      </w:r>
      <w:r w:rsidRPr="00B20F1E">
        <w:t xml:space="preserve"> (agenda item 8)</w:t>
      </w:r>
      <w:r w:rsidRPr="002F2778">
        <w:tab/>
      </w:r>
      <w:r w:rsidRPr="002F2778">
        <w:tab/>
      </w:r>
      <w:r>
        <w:t>19</w:t>
      </w:r>
      <w:r w:rsidRPr="002F2778">
        <w:tab/>
        <w:t>6</w:t>
      </w:r>
    </w:p>
    <w:p w14:paraId="1B08725B" w14:textId="0C46ECC1" w:rsidR="00E759AB" w:rsidRPr="002F2778"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X.</w:t>
      </w:r>
      <w:r w:rsidRPr="002F2778">
        <w:tab/>
        <w:t>Any other business</w:t>
      </w:r>
      <w:r w:rsidR="00245DA8" w:rsidRPr="002F2778">
        <w:t xml:space="preserve"> (agenda item </w:t>
      </w:r>
      <w:r w:rsidR="005E0746">
        <w:t>9</w:t>
      </w:r>
      <w:r w:rsidR="00245DA8" w:rsidRPr="002F2778">
        <w:t>)</w:t>
      </w:r>
      <w:r w:rsidR="0097455F" w:rsidRPr="00B20F1E">
        <w:t>)</w:t>
      </w:r>
      <w:r w:rsidRPr="002F2778">
        <w:tab/>
      </w:r>
      <w:r w:rsidRPr="002F2778">
        <w:tab/>
      </w:r>
      <w:r w:rsidR="00010A1D">
        <w:t>20</w:t>
      </w:r>
      <w:r w:rsidRPr="002F2778">
        <w:tab/>
      </w:r>
      <w:r w:rsidR="006B7A9B" w:rsidRPr="002F2778">
        <w:t>6</w:t>
      </w:r>
    </w:p>
    <w:p w14:paraId="2E17DDC2" w14:textId="42545851" w:rsidR="00AD3956" w:rsidRDefault="00E759AB" w:rsidP="00245DA8">
      <w:pPr>
        <w:tabs>
          <w:tab w:val="right" w:pos="850"/>
          <w:tab w:val="left" w:pos="1134"/>
          <w:tab w:val="left" w:pos="1559"/>
          <w:tab w:val="left" w:pos="1984"/>
          <w:tab w:val="left" w:leader="dot" w:pos="7654"/>
          <w:tab w:val="right" w:pos="8929"/>
          <w:tab w:val="right" w:pos="9638"/>
        </w:tabs>
        <w:spacing w:after="120"/>
      </w:pPr>
      <w:r w:rsidRPr="002F2778">
        <w:tab/>
        <w:t>X</w:t>
      </w:r>
      <w:r w:rsidR="005E0746">
        <w:t>I</w:t>
      </w:r>
      <w:r w:rsidRPr="002F2778">
        <w:t>.</w:t>
      </w:r>
      <w:r w:rsidRPr="002F2778">
        <w:tab/>
        <w:t>Adoption of the report</w:t>
      </w:r>
      <w:r w:rsidR="00245DA8" w:rsidRPr="002F2778">
        <w:t xml:space="preserve"> (agenda item </w:t>
      </w:r>
      <w:r w:rsidR="005E0746">
        <w:t>10</w:t>
      </w:r>
      <w:r w:rsidR="00245DA8" w:rsidRPr="002F2778">
        <w:t>)</w:t>
      </w:r>
      <w:r w:rsidRPr="002F2778">
        <w:tab/>
      </w:r>
      <w:r w:rsidRPr="002F2778">
        <w:tab/>
      </w:r>
      <w:r w:rsidR="00BF7DE5">
        <w:t>2</w:t>
      </w:r>
      <w:r w:rsidR="00010A1D">
        <w:t>1</w:t>
      </w:r>
      <w:r w:rsidRPr="002F2778">
        <w:tab/>
      </w:r>
      <w:r w:rsidR="00010A1D">
        <w:t>7</w:t>
      </w:r>
    </w:p>
    <w:p w14:paraId="4B1A8A31" w14:textId="77777777" w:rsidR="00AD3956" w:rsidRDefault="00AD3956">
      <w:pPr>
        <w:suppressAutoHyphens w:val="0"/>
        <w:spacing w:line="240" w:lineRule="auto"/>
      </w:pPr>
      <w:r>
        <w:br w:type="page"/>
      </w:r>
    </w:p>
    <w:p w14:paraId="26D1217D" w14:textId="77777777" w:rsidR="00350511" w:rsidRDefault="00350511" w:rsidP="00350511">
      <w:pPr>
        <w:keepNext/>
        <w:keepLines/>
        <w:tabs>
          <w:tab w:val="right" w:pos="850"/>
          <w:tab w:val="left" w:pos="1134"/>
          <w:tab w:val="left" w:pos="1559"/>
          <w:tab w:val="left" w:pos="1984"/>
          <w:tab w:val="left" w:leader="dot" w:pos="7654"/>
          <w:tab w:val="right" w:pos="8929"/>
          <w:tab w:val="right" w:pos="9638"/>
        </w:tabs>
        <w:spacing w:after="120"/>
      </w:pPr>
      <w:r>
        <w:lastRenderedPageBreak/>
        <w:t>Annexes</w:t>
      </w:r>
    </w:p>
    <w:p w14:paraId="5C5D418D" w14:textId="71855195" w:rsidR="00066068" w:rsidRDefault="00350511" w:rsidP="00AF3CC0">
      <w:pPr>
        <w:keepNext/>
        <w:keepLines/>
        <w:tabs>
          <w:tab w:val="right" w:pos="850"/>
          <w:tab w:val="left" w:pos="1134"/>
          <w:tab w:val="left" w:pos="1559"/>
          <w:tab w:val="left" w:pos="1984"/>
          <w:tab w:val="left" w:leader="dot" w:pos="7654"/>
          <w:tab w:val="right" w:pos="8929"/>
          <w:tab w:val="right" w:pos="9638"/>
        </w:tabs>
        <w:spacing w:after="120"/>
      </w:pPr>
      <w:r>
        <w:tab/>
      </w:r>
      <w:r w:rsidRPr="008F5210">
        <w:t>I.</w:t>
      </w:r>
      <w:r w:rsidRPr="008F5210">
        <w:tab/>
        <w:t xml:space="preserve">Amendments to the </w:t>
      </w:r>
      <w:r>
        <w:t>twenty-second</w:t>
      </w:r>
      <w:r w:rsidRPr="008F5210">
        <w:t xml:space="preserve"> revised edition of the </w:t>
      </w:r>
      <w:r w:rsidRPr="008F5210">
        <w:br/>
      </w:r>
      <w:r w:rsidRPr="008F5210">
        <w:tab/>
      </w:r>
      <w:r w:rsidRPr="008F5210">
        <w:tab/>
        <w:t xml:space="preserve">Recommendations on the Transport of Dangerous Goods, </w:t>
      </w:r>
      <w:r w:rsidRPr="008F5210">
        <w:br/>
      </w:r>
      <w:r w:rsidRPr="008F5210">
        <w:tab/>
      </w:r>
      <w:r w:rsidRPr="008F5210">
        <w:tab/>
        <w:t>Model Regulations (ST/SG/AC.10/1/Rev.</w:t>
      </w:r>
      <w:r>
        <w:t>22</w:t>
      </w:r>
      <w:r w:rsidR="00066068">
        <w:t>)</w:t>
      </w:r>
      <w:r w:rsidR="00AF3CC0">
        <w:rPr>
          <w:rStyle w:val="FootnoteReference"/>
        </w:rPr>
        <w:footnoteReference w:id="2"/>
      </w:r>
      <w:r w:rsidR="00875CAE" w:rsidRPr="008F5210">
        <w:tab/>
      </w:r>
      <w:r w:rsidR="00066068">
        <w:tab/>
      </w:r>
      <w:r w:rsidR="00066068">
        <w:tab/>
      </w:r>
      <w:r w:rsidR="003A2BEE">
        <w:t>8</w:t>
      </w:r>
    </w:p>
    <w:p w14:paraId="502C19D3" w14:textId="59EE310A" w:rsidR="00350511" w:rsidRPr="008F5210" w:rsidRDefault="00066068" w:rsidP="00442F3B">
      <w:pPr>
        <w:keepNext/>
        <w:keepLines/>
        <w:tabs>
          <w:tab w:val="right" w:pos="850"/>
          <w:tab w:val="left" w:pos="1134"/>
          <w:tab w:val="left" w:pos="1559"/>
          <w:tab w:val="left" w:pos="1984"/>
          <w:tab w:val="left" w:leader="dot" w:pos="7654"/>
          <w:tab w:val="right" w:pos="8929"/>
          <w:tab w:val="right" w:pos="9638"/>
        </w:tabs>
      </w:pPr>
      <w:r>
        <w:tab/>
      </w:r>
      <w:r w:rsidR="00875CAE" w:rsidRPr="00D37D0E">
        <w:t>II.</w:t>
      </w:r>
      <w:r w:rsidR="00875CAE" w:rsidRPr="00D37D0E">
        <w:tab/>
        <w:t xml:space="preserve">Amendments to the </w:t>
      </w:r>
      <w:r w:rsidR="00D02A89">
        <w:t>seven</w:t>
      </w:r>
      <w:r w:rsidR="00196276" w:rsidRPr="00D37D0E">
        <w:t xml:space="preserve">th </w:t>
      </w:r>
      <w:r w:rsidR="00875CAE" w:rsidRPr="00D37D0E">
        <w:t xml:space="preserve">revised edition of the </w:t>
      </w:r>
      <w:r w:rsidR="00350511" w:rsidRPr="008F5210">
        <w:tab/>
      </w:r>
    </w:p>
    <w:p w14:paraId="6E3C355A" w14:textId="4AFEABA2" w:rsidR="00196276" w:rsidRPr="008F5210" w:rsidRDefault="00875CAE" w:rsidP="00350511">
      <w:pPr>
        <w:tabs>
          <w:tab w:val="right" w:pos="850"/>
          <w:tab w:val="left" w:pos="1134"/>
          <w:tab w:val="left" w:pos="1559"/>
          <w:tab w:val="left" w:pos="1984"/>
          <w:tab w:val="left" w:leader="dot" w:pos="7654"/>
          <w:tab w:val="right" w:pos="8929"/>
          <w:tab w:val="right" w:pos="9638"/>
        </w:tabs>
        <w:spacing w:after="120"/>
      </w:pPr>
      <w:r w:rsidRPr="00D37D0E">
        <w:tab/>
      </w:r>
      <w:r w:rsidRPr="00D37D0E">
        <w:tab/>
        <w:t>Manual of Tests and Criteria (ST/SG/AC.10/11/Rev.</w:t>
      </w:r>
      <w:r w:rsidR="00D02A89">
        <w:t>7</w:t>
      </w:r>
      <w:r w:rsidR="00B81271">
        <w:t xml:space="preserve"> and Amd.1</w:t>
      </w:r>
      <w:r w:rsidRPr="00D37D0E">
        <w:t>)</w:t>
      </w:r>
      <w:r w:rsidR="00BB50F9" w:rsidRPr="00D37D0E">
        <w:rPr>
          <w:rStyle w:val="FootnoteReference"/>
        </w:rPr>
        <w:footnoteReference w:customMarkFollows="1" w:id="3"/>
        <w:t>**</w:t>
      </w:r>
      <w:r w:rsidR="003E783D" w:rsidRPr="00D37D0E">
        <w:tab/>
      </w:r>
      <w:r w:rsidR="003E783D" w:rsidRPr="00D37D0E">
        <w:tab/>
      </w:r>
      <w:r w:rsidR="003E783D" w:rsidRPr="00D37D0E">
        <w:tab/>
      </w:r>
      <w:r w:rsidR="003A2BEE">
        <w:t>8</w:t>
      </w:r>
    </w:p>
    <w:p w14:paraId="16D7B775" w14:textId="33BA06D8" w:rsidR="00875CAE" w:rsidRPr="008F5210" w:rsidRDefault="00875CAE" w:rsidP="00716C0C">
      <w:pPr>
        <w:tabs>
          <w:tab w:val="right" w:pos="850"/>
          <w:tab w:val="left" w:pos="1134"/>
          <w:tab w:val="left" w:pos="1559"/>
          <w:tab w:val="left" w:pos="1984"/>
          <w:tab w:val="left" w:leader="dot" w:pos="7654"/>
          <w:tab w:val="right" w:pos="8929"/>
          <w:tab w:val="right" w:pos="9638"/>
        </w:tabs>
        <w:spacing w:after="120"/>
      </w:pPr>
      <w:r w:rsidRPr="008F5210">
        <w:tab/>
        <w:t>III.</w:t>
      </w:r>
      <w:r w:rsidRPr="008F5210">
        <w:tab/>
        <w:t xml:space="preserve">Amendments to the </w:t>
      </w:r>
      <w:r w:rsidR="00370E85">
        <w:t>nin</w:t>
      </w:r>
      <w:r w:rsidR="00662BC4">
        <w:t>th</w:t>
      </w:r>
      <w:r w:rsidR="00662BC4" w:rsidRPr="008F5210">
        <w:t xml:space="preserve"> </w:t>
      </w:r>
      <w:r w:rsidRPr="008F5210">
        <w:t xml:space="preserve">revised edition of the </w:t>
      </w:r>
      <w:r w:rsidRPr="008F5210">
        <w:br/>
      </w:r>
      <w:r w:rsidRPr="008F5210">
        <w:tab/>
      </w:r>
      <w:r w:rsidRPr="008F5210">
        <w:tab/>
        <w:t xml:space="preserve">Globally Harmonized System of Classification </w:t>
      </w:r>
      <w:r w:rsidRPr="008F5210">
        <w:br/>
      </w:r>
      <w:r w:rsidRPr="008F5210">
        <w:tab/>
      </w:r>
      <w:r w:rsidRPr="008F5210">
        <w:tab/>
      </w:r>
      <w:r w:rsidR="00C968FD" w:rsidRPr="008F5210">
        <w:t>and L</w:t>
      </w:r>
      <w:r w:rsidRPr="008F5210">
        <w:t>abelling of Chemicals (GHS) (ST/SG/AC.10/30/Rev.</w:t>
      </w:r>
      <w:r w:rsidR="00C5450D">
        <w:t>9</w:t>
      </w:r>
      <w:r w:rsidRPr="008F5210">
        <w:t>)</w:t>
      </w:r>
      <w:r w:rsidR="00BB50F9" w:rsidRPr="008F5210">
        <w:rPr>
          <w:rStyle w:val="FootnoteReference"/>
        </w:rPr>
        <w:footnoteReference w:customMarkFollows="1" w:id="4"/>
        <w:t>***</w:t>
      </w:r>
      <w:r w:rsidR="003E783D" w:rsidRPr="008F5210">
        <w:tab/>
      </w:r>
      <w:r w:rsidR="003E783D" w:rsidRPr="008F5210">
        <w:tab/>
      </w:r>
      <w:r w:rsidR="003E783D" w:rsidRPr="008F5210">
        <w:tab/>
      </w:r>
      <w:r w:rsidR="005D0D7A">
        <w:t>8</w:t>
      </w:r>
    </w:p>
    <w:p w14:paraId="6CA5BD6C" w14:textId="1D6700FA" w:rsidR="00875CAE" w:rsidRDefault="00875CAE" w:rsidP="00716C0C">
      <w:pPr>
        <w:tabs>
          <w:tab w:val="right" w:pos="850"/>
          <w:tab w:val="left" w:pos="1134"/>
          <w:tab w:val="left" w:pos="1559"/>
          <w:tab w:val="left" w:pos="1984"/>
          <w:tab w:val="left" w:leader="dot" w:pos="7654"/>
          <w:tab w:val="right" w:pos="8929"/>
          <w:tab w:val="right" w:pos="9638"/>
        </w:tabs>
        <w:spacing w:after="120"/>
      </w:pPr>
      <w:r w:rsidRPr="008F5210">
        <w:tab/>
        <w:t>IV.</w:t>
      </w:r>
      <w:r w:rsidRPr="008F5210">
        <w:tab/>
        <w:t xml:space="preserve">Draft resolution </w:t>
      </w:r>
      <w:r w:rsidR="00662BC4" w:rsidRPr="008F5210">
        <w:t>20</w:t>
      </w:r>
      <w:r w:rsidR="00D02A89">
        <w:t>2</w:t>
      </w:r>
      <w:r w:rsidR="00C5450D">
        <w:t>3</w:t>
      </w:r>
      <w:r w:rsidRPr="008F5210">
        <w:t>/…of the Economic and Social Council</w:t>
      </w:r>
      <w:r w:rsidRPr="008F5210">
        <w:tab/>
      </w:r>
      <w:r w:rsidRPr="008F5210">
        <w:tab/>
      </w:r>
      <w:r w:rsidR="008D5461" w:rsidRPr="008F5210">
        <w:tab/>
      </w:r>
      <w:r w:rsidR="005D0D7A">
        <w:t>9</w:t>
      </w:r>
    </w:p>
    <w:p w14:paraId="4E36DA46" w14:textId="77777777" w:rsidR="005567B2" w:rsidRDefault="005567B2" w:rsidP="00DC035A">
      <w:pPr>
        <w:pStyle w:val="HChG"/>
        <w:sectPr w:rsidR="005567B2" w:rsidSect="00DA2ECB">
          <w:headerReference w:type="even" r:id="rId13"/>
          <w:headerReference w:type="default" r:id="rId14"/>
          <w:footerReference w:type="even" r:id="rId15"/>
          <w:footerReference w:type="default" r:id="rId16"/>
          <w:footerReference w:type="first" r:id="rId17"/>
          <w:footnotePr>
            <w:numFmt w:val="chicago"/>
            <w:numRestart w:val="eachSect"/>
          </w:footnotePr>
          <w:endnotePr>
            <w:numFmt w:val="decimal"/>
          </w:endnotePr>
          <w:type w:val="continuous"/>
          <w:pgSz w:w="11907" w:h="16840" w:code="9"/>
          <w:pgMar w:top="1701" w:right="1134" w:bottom="2268" w:left="1134" w:header="1134" w:footer="1701" w:gutter="0"/>
          <w:cols w:space="720"/>
          <w:titlePg/>
          <w:docGrid w:linePitch="272"/>
        </w:sectPr>
      </w:pPr>
    </w:p>
    <w:p w14:paraId="60B0664B" w14:textId="77777777" w:rsidR="00DF2B22" w:rsidRDefault="00DF2B22" w:rsidP="00DC035A">
      <w:pPr>
        <w:pStyle w:val="HChG"/>
        <w:sectPr w:rsidR="00DF2B22" w:rsidSect="00DA2ECB">
          <w:footnotePr>
            <w:numFmt w:val="chicago"/>
            <w:numRestart w:val="eachSect"/>
          </w:footnotePr>
          <w:endnotePr>
            <w:numFmt w:val="decimal"/>
          </w:endnotePr>
          <w:type w:val="continuous"/>
          <w:pgSz w:w="11907" w:h="16840" w:code="9"/>
          <w:pgMar w:top="1701" w:right="1134" w:bottom="2268" w:left="1134" w:header="1134" w:footer="1701" w:gutter="0"/>
          <w:cols w:space="720"/>
          <w:titlePg/>
          <w:docGrid w:linePitch="272"/>
        </w:sectPr>
      </w:pPr>
    </w:p>
    <w:p w14:paraId="2D60C1BC" w14:textId="6A5140D8" w:rsidR="00DC035A" w:rsidRDefault="00696750" w:rsidP="00DC035A">
      <w:pPr>
        <w:pStyle w:val="HChG"/>
      </w:pPr>
      <w:r>
        <w:tab/>
      </w:r>
      <w:r w:rsidR="00DC035A">
        <w:t>Report</w:t>
      </w:r>
    </w:p>
    <w:p w14:paraId="73F5198B" w14:textId="77777777" w:rsidR="00AF6E8B" w:rsidRDefault="00AF6E8B" w:rsidP="00DC035A">
      <w:pPr>
        <w:pStyle w:val="HChG"/>
      </w:pPr>
      <w:r>
        <w:tab/>
      </w:r>
      <w:r w:rsidRPr="00AF6E8B">
        <w:t>I.</w:t>
      </w:r>
      <w:r w:rsidRPr="00AF6E8B">
        <w:tab/>
        <w:t>A</w:t>
      </w:r>
      <w:r w:rsidR="00DC035A">
        <w:t>ttendance</w:t>
      </w:r>
    </w:p>
    <w:p w14:paraId="1CE1D7F1" w14:textId="7CD12164" w:rsidR="00AF6E8B" w:rsidRPr="00880857" w:rsidRDefault="00AF6E8B" w:rsidP="00DC035A">
      <w:pPr>
        <w:pStyle w:val="SingleTxtG"/>
      </w:pPr>
      <w:r w:rsidRPr="00880857">
        <w:t>1.</w:t>
      </w:r>
      <w:r w:rsidRPr="00880857">
        <w:tab/>
        <w:t xml:space="preserve">The Committee of Experts on the Transport of Dangerous Goods and on the Globally Harmonized System of Classification and Labelling of Chemicals held its </w:t>
      </w:r>
      <w:r w:rsidR="0038434B">
        <w:t>eleven</w:t>
      </w:r>
      <w:r w:rsidR="00522E4A">
        <w:t>th</w:t>
      </w:r>
      <w:r w:rsidR="00196276" w:rsidRPr="00880857">
        <w:t xml:space="preserve"> </w:t>
      </w:r>
      <w:r w:rsidRPr="00880857">
        <w:t xml:space="preserve">session in Geneva on </w:t>
      </w:r>
      <w:r w:rsidR="00C5450D">
        <w:t>9</w:t>
      </w:r>
      <w:r w:rsidR="00522E4A" w:rsidRPr="00880857">
        <w:t xml:space="preserve"> </w:t>
      </w:r>
      <w:r w:rsidRPr="00880857">
        <w:t xml:space="preserve">December </w:t>
      </w:r>
      <w:r w:rsidR="00522E4A" w:rsidRPr="00880857">
        <w:t>20</w:t>
      </w:r>
      <w:r w:rsidR="000F3DD2">
        <w:t>2</w:t>
      </w:r>
      <w:r w:rsidR="00C5450D">
        <w:t>2</w:t>
      </w:r>
      <w:r w:rsidRPr="00880857">
        <w:t>.</w:t>
      </w:r>
    </w:p>
    <w:p w14:paraId="1F260880" w14:textId="66FF3272" w:rsidR="00AF6E8B" w:rsidRPr="00D37D0E" w:rsidRDefault="00AF6E8B" w:rsidP="008C66B6">
      <w:pPr>
        <w:pStyle w:val="SingleTxtG"/>
      </w:pPr>
      <w:r w:rsidRPr="00BB25F4">
        <w:t>2.</w:t>
      </w:r>
      <w:r w:rsidRPr="00BB25F4">
        <w:tab/>
        <w:t xml:space="preserve">Experts from the following countries took part in the session: </w:t>
      </w:r>
      <w:r w:rsidR="00382B42" w:rsidRPr="000209A1">
        <w:t xml:space="preserve">Australia, </w:t>
      </w:r>
      <w:r w:rsidRPr="000209A1">
        <w:t xml:space="preserve">Austria, </w:t>
      </w:r>
      <w:r w:rsidR="003A00EB" w:rsidRPr="000209A1">
        <w:t xml:space="preserve">Brazil, </w:t>
      </w:r>
      <w:r w:rsidRPr="000209A1">
        <w:t xml:space="preserve">Canada, </w:t>
      </w:r>
      <w:r w:rsidR="00BB25F4" w:rsidRPr="000209A1">
        <w:t xml:space="preserve">China, </w:t>
      </w:r>
      <w:r w:rsidRPr="000209A1">
        <w:t>France, Germany</w:t>
      </w:r>
      <w:r w:rsidR="008C66B6" w:rsidRPr="000209A1">
        <w:t xml:space="preserve">, </w:t>
      </w:r>
      <w:r w:rsidR="00382B42" w:rsidRPr="000209A1">
        <w:t xml:space="preserve">Italy, </w:t>
      </w:r>
      <w:r w:rsidR="00850F1E" w:rsidRPr="000209A1">
        <w:t xml:space="preserve">Japan, </w:t>
      </w:r>
      <w:r w:rsidR="008A6F69" w:rsidRPr="000209A1">
        <w:t xml:space="preserve">Netherlands, </w:t>
      </w:r>
      <w:r w:rsidR="00BB25F4" w:rsidRPr="000209A1">
        <w:t>Republic of Korea,</w:t>
      </w:r>
      <w:r w:rsidR="00382B42" w:rsidRPr="000209A1">
        <w:t xml:space="preserve"> </w:t>
      </w:r>
      <w:r w:rsidRPr="000209A1">
        <w:t xml:space="preserve">Sweden, </w:t>
      </w:r>
      <w:r w:rsidR="008C66B6" w:rsidRPr="000209A1">
        <w:t xml:space="preserve">Switzerland, </w:t>
      </w:r>
      <w:r w:rsidRPr="000209A1">
        <w:t>United Kingdom</w:t>
      </w:r>
      <w:r w:rsidR="00CD6A39">
        <w:t xml:space="preserve"> </w:t>
      </w:r>
      <w:r w:rsidR="00CD6A39" w:rsidRPr="00CD6A39">
        <w:t>of Great Britain and Northern Ireland</w:t>
      </w:r>
      <w:r w:rsidRPr="000209A1">
        <w:t xml:space="preserve"> </w:t>
      </w:r>
      <w:r w:rsidR="003A00EB" w:rsidRPr="000209A1">
        <w:t xml:space="preserve">and </w:t>
      </w:r>
      <w:r w:rsidRPr="000209A1">
        <w:t>United States of America.</w:t>
      </w:r>
    </w:p>
    <w:p w14:paraId="1120E913" w14:textId="7DFB0105" w:rsidR="00AF6E8B" w:rsidRPr="00D37D0E" w:rsidRDefault="00B96225" w:rsidP="006A4C48">
      <w:pPr>
        <w:pStyle w:val="SingleTxtG"/>
      </w:pPr>
      <w:r w:rsidRPr="00D37D0E">
        <w:t>3</w:t>
      </w:r>
      <w:r w:rsidR="00AF6E8B" w:rsidRPr="00D37D0E">
        <w:t>.</w:t>
      </w:r>
      <w:r w:rsidR="00AF6E8B" w:rsidRPr="00D37D0E">
        <w:tab/>
        <w:t xml:space="preserve">The </w:t>
      </w:r>
      <w:r w:rsidR="006A4C48" w:rsidRPr="00D37D0E">
        <w:t xml:space="preserve">European Union </w:t>
      </w:r>
      <w:r w:rsidR="004109EE" w:rsidRPr="00D37D0E">
        <w:t xml:space="preserve">was </w:t>
      </w:r>
      <w:r w:rsidR="00AF6E8B" w:rsidRPr="00D37D0E">
        <w:t>represented</w:t>
      </w:r>
      <w:r w:rsidR="006A4C48" w:rsidRPr="00D37D0E">
        <w:t>.</w:t>
      </w:r>
    </w:p>
    <w:p w14:paraId="369A37D3" w14:textId="7CACCDC7" w:rsidR="00AF6E8B" w:rsidRPr="008C294A" w:rsidRDefault="00382B42" w:rsidP="008C294A">
      <w:pPr>
        <w:pStyle w:val="SingleTxtG"/>
      </w:pPr>
      <w:r w:rsidRPr="000209A1">
        <w:t>4</w:t>
      </w:r>
      <w:r w:rsidR="00AF6E8B" w:rsidRPr="000209A1">
        <w:t>.</w:t>
      </w:r>
      <w:r w:rsidR="00AF6E8B" w:rsidRPr="000209A1">
        <w:tab/>
        <w:t>Representatives of the following non-governmental organizations were also present:</w:t>
      </w:r>
      <w:r w:rsidR="00B96225" w:rsidRPr="000209A1">
        <w:t xml:space="preserve"> </w:t>
      </w:r>
      <w:r w:rsidR="008C66B6" w:rsidRPr="000209A1">
        <w:t>Austral</w:t>
      </w:r>
      <w:r w:rsidR="00097FD5">
        <w:t>as</w:t>
      </w:r>
      <w:r w:rsidR="008C66B6" w:rsidRPr="000209A1">
        <w:t>ian Explosives Industry and Safety Group Incorporated (AEISG)</w:t>
      </w:r>
      <w:r w:rsidR="00151D7B" w:rsidRPr="000209A1">
        <w:t>,</w:t>
      </w:r>
      <w:r w:rsidR="00AF6E8B" w:rsidRPr="000209A1">
        <w:t xml:space="preserve"> </w:t>
      </w:r>
      <w:r w:rsidR="000209A1" w:rsidRPr="000209A1">
        <w:t>European Chemical Industry Council (</w:t>
      </w:r>
      <w:proofErr w:type="spellStart"/>
      <w:r w:rsidR="000209A1" w:rsidRPr="000209A1">
        <w:t>C</w:t>
      </w:r>
      <w:r w:rsidR="00D02A89">
        <w:t>efic</w:t>
      </w:r>
      <w:proofErr w:type="spellEnd"/>
      <w:r w:rsidR="000209A1" w:rsidRPr="000209A1">
        <w:t xml:space="preserve">); </w:t>
      </w:r>
      <w:r w:rsidR="00BB25F4" w:rsidRPr="000209A1">
        <w:t>Institute of Markers of Explosives (IME)</w:t>
      </w:r>
      <w:r w:rsidR="00153F95">
        <w:t xml:space="preserve"> and</w:t>
      </w:r>
      <w:r w:rsidR="00F0306B" w:rsidRPr="000209A1">
        <w:t xml:space="preserve"> </w:t>
      </w:r>
      <w:r w:rsidR="000209A1" w:rsidRPr="000209A1">
        <w:t xml:space="preserve">the </w:t>
      </w:r>
      <w:r w:rsidR="00F0306B" w:rsidRPr="000209A1">
        <w:t>Rechargeable Battery Association (PRBA)</w:t>
      </w:r>
      <w:r w:rsidRPr="000209A1">
        <w:t>.</w:t>
      </w:r>
    </w:p>
    <w:p w14:paraId="555C5CCA" w14:textId="77777777" w:rsidR="00DC035A" w:rsidRPr="00E96A05" w:rsidRDefault="00DC035A" w:rsidP="00DC035A">
      <w:pPr>
        <w:pStyle w:val="HChG"/>
      </w:pPr>
      <w:r>
        <w:tab/>
        <w:t>II.</w:t>
      </w:r>
      <w:r>
        <w:tab/>
      </w:r>
      <w:r w:rsidRPr="00E96A05">
        <w:t>Adoption of the agenda</w:t>
      </w:r>
      <w:r>
        <w:t xml:space="preserve"> (agenda item 1)</w:t>
      </w:r>
    </w:p>
    <w:p w14:paraId="536081A1" w14:textId="21631B39" w:rsidR="00E60084" w:rsidRDefault="00E60084" w:rsidP="00F32839">
      <w:pPr>
        <w:pStyle w:val="SingleTxtG"/>
        <w:tabs>
          <w:tab w:val="left" w:pos="2800"/>
          <w:tab w:val="left" w:pos="3402"/>
        </w:tabs>
      </w:pPr>
      <w:r w:rsidRPr="00301F83">
        <w:rPr>
          <w:i/>
          <w:iCs/>
        </w:rPr>
        <w:t>Document:</w:t>
      </w:r>
      <w:r w:rsidRPr="008741E5">
        <w:t xml:space="preserve"> </w:t>
      </w:r>
      <w:r w:rsidRPr="008741E5">
        <w:tab/>
        <w:t>ST/SG/AC.10/</w:t>
      </w:r>
      <w:r w:rsidR="002A40BF">
        <w:t>4</w:t>
      </w:r>
      <w:r w:rsidR="00075B03">
        <w:t>9</w:t>
      </w:r>
      <w:r w:rsidR="002A40BF">
        <w:t xml:space="preserve"> </w:t>
      </w:r>
      <w:r w:rsidRPr="008741E5">
        <w:t>(Secretariat)</w:t>
      </w:r>
    </w:p>
    <w:p w14:paraId="533905C0" w14:textId="2564AB83" w:rsidR="00B648E6" w:rsidRPr="008741E5" w:rsidRDefault="00B648E6" w:rsidP="00B648E6">
      <w:pPr>
        <w:pStyle w:val="SingleTxtG"/>
        <w:tabs>
          <w:tab w:val="left" w:pos="2800"/>
          <w:tab w:val="left" w:pos="3402"/>
        </w:tabs>
      </w:pPr>
      <w:r>
        <w:rPr>
          <w:i/>
        </w:rPr>
        <w:t>Informal document</w:t>
      </w:r>
      <w:r w:rsidRPr="00B72EA4">
        <w:rPr>
          <w:i/>
        </w:rPr>
        <w:t>:</w:t>
      </w:r>
      <w:r w:rsidRPr="00B72EA4">
        <w:tab/>
        <w:t>INF.1 (</w:t>
      </w:r>
      <w:r w:rsidR="00464C5B">
        <w:t>S</w:t>
      </w:r>
      <w:r w:rsidRPr="00B72EA4">
        <w:t>ecretariat)</w:t>
      </w:r>
    </w:p>
    <w:p w14:paraId="3859EBEF" w14:textId="237EC262" w:rsidR="00E60084" w:rsidRDefault="00263783" w:rsidP="00E60084">
      <w:pPr>
        <w:pStyle w:val="SingleTxtG"/>
      </w:pPr>
      <w:r>
        <w:t>5</w:t>
      </w:r>
      <w:r w:rsidR="00E60084" w:rsidRPr="008741E5">
        <w:t>.</w:t>
      </w:r>
      <w:r w:rsidR="00E60084" w:rsidRPr="008741E5">
        <w:tab/>
      </w:r>
      <w:r w:rsidR="00E22114">
        <w:t xml:space="preserve">The eleventh session of the Committee was held in a hybrid format, with the possibility of participation online or in person, following the </w:t>
      </w:r>
      <w:r w:rsidR="008370D9">
        <w:t>working arrang</w:t>
      </w:r>
      <w:r w:rsidR="001661B8">
        <w:t>ements</w:t>
      </w:r>
      <w:r w:rsidR="00E22114">
        <w:t xml:space="preserve"> described in informal document INF.1. </w:t>
      </w:r>
      <w:r w:rsidR="00E60084" w:rsidRPr="008741E5">
        <w:t>The Committee adopted the provisional agenda prepared by the secretariat.</w:t>
      </w:r>
    </w:p>
    <w:p w14:paraId="6CBCFF9F" w14:textId="77777777" w:rsidR="00DC035A" w:rsidRPr="00E96A05" w:rsidRDefault="00DC035A" w:rsidP="00DC035A">
      <w:pPr>
        <w:pStyle w:val="HChG"/>
      </w:pPr>
      <w:r>
        <w:tab/>
        <w:t>III.</w:t>
      </w:r>
      <w:r>
        <w:tab/>
      </w:r>
      <w:r w:rsidRPr="00E96A05">
        <w:t>Election of officers</w:t>
      </w:r>
      <w:r>
        <w:t xml:space="preserve"> (agenda item 2)</w:t>
      </w:r>
    </w:p>
    <w:p w14:paraId="29A761C3" w14:textId="7B64528D" w:rsidR="00E60084" w:rsidRDefault="00263783" w:rsidP="001E07D9">
      <w:pPr>
        <w:pStyle w:val="SingleTxtG"/>
      </w:pPr>
      <w:r>
        <w:t>6</w:t>
      </w:r>
      <w:r w:rsidR="00E60084" w:rsidRPr="00B96225">
        <w:t>.</w:t>
      </w:r>
      <w:r w:rsidR="00E60084" w:rsidRPr="00B96225">
        <w:tab/>
      </w:r>
      <w:r w:rsidR="00116136">
        <w:t xml:space="preserve">Ms. M. Ruskin (United States of America) </w:t>
      </w:r>
      <w:r w:rsidR="002A40BF">
        <w:t xml:space="preserve">and </w:t>
      </w:r>
      <w:r w:rsidR="00116136">
        <w:t xml:space="preserve">Mr. D. Pfund (United States of America) </w:t>
      </w:r>
      <w:r w:rsidR="00E60084" w:rsidRPr="00B96225">
        <w:t>were elected President and Vice-President respectively.</w:t>
      </w:r>
    </w:p>
    <w:p w14:paraId="155E3801" w14:textId="77777777" w:rsidR="00DC035A" w:rsidRPr="00E96A05" w:rsidRDefault="00DC035A" w:rsidP="00DC035A">
      <w:pPr>
        <w:pStyle w:val="HChG"/>
      </w:pPr>
      <w:r>
        <w:tab/>
      </w:r>
      <w:r w:rsidRPr="00C241F7">
        <w:t>IV.</w:t>
      </w:r>
      <w:r w:rsidRPr="00C241F7">
        <w:tab/>
        <w:t>Resolutions and decisions of the Economic and Social Council (agenda item 3)</w:t>
      </w:r>
    </w:p>
    <w:p w14:paraId="4B5D4030" w14:textId="54D3EACD" w:rsidR="004E69DD" w:rsidRPr="00F302E5" w:rsidRDefault="00263783" w:rsidP="003C263E">
      <w:pPr>
        <w:pStyle w:val="SingleTxtG"/>
      </w:pPr>
      <w:r>
        <w:t>7</w:t>
      </w:r>
      <w:r w:rsidR="00FC4DAE" w:rsidRPr="008741E5">
        <w:t>.</w:t>
      </w:r>
      <w:r w:rsidR="00FC4DAE" w:rsidRPr="008741E5">
        <w:rPr>
          <w:b/>
          <w:bCs/>
        </w:rPr>
        <w:tab/>
      </w:r>
      <w:r w:rsidR="00FC4DAE" w:rsidRPr="008741E5">
        <w:t>The Committee note</w:t>
      </w:r>
      <w:r w:rsidR="004E7ED7">
        <w:t>d</w:t>
      </w:r>
      <w:r w:rsidR="00FC4DAE" w:rsidRPr="008741E5">
        <w:t xml:space="preserve"> </w:t>
      </w:r>
      <w:r w:rsidR="004E7ED7">
        <w:t xml:space="preserve">that the resolution prepared by the Committee at its </w:t>
      </w:r>
      <w:r w:rsidR="00D036DE">
        <w:t>tenth</w:t>
      </w:r>
      <w:r w:rsidR="004E7ED7">
        <w:t xml:space="preserve"> session had been adopted without change</w:t>
      </w:r>
      <w:r w:rsidR="006C0827">
        <w:t>s</w:t>
      </w:r>
      <w:r w:rsidR="004E7ED7">
        <w:t xml:space="preserve"> by </w:t>
      </w:r>
      <w:r w:rsidR="00FC4DAE" w:rsidRPr="008741E5">
        <w:t xml:space="preserve">the Economic and Social Council </w:t>
      </w:r>
      <w:r w:rsidR="004E7ED7">
        <w:t>on</w:t>
      </w:r>
      <w:r w:rsidR="009D7AC2">
        <w:t xml:space="preserve"> </w:t>
      </w:r>
      <w:r w:rsidR="00652465">
        <w:t>15</w:t>
      </w:r>
      <w:r w:rsidR="009D7AC2">
        <w:t xml:space="preserve"> June </w:t>
      </w:r>
      <w:r w:rsidR="004E7ED7">
        <w:t>20</w:t>
      </w:r>
      <w:r w:rsidR="00652465">
        <w:t>2</w:t>
      </w:r>
      <w:r w:rsidR="004E7ED7">
        <w:t xml:space="preserve">1 </w:t>
      </w:r>
      <w:r w:rsidR="00F27AEA">
        <w:t>(E/RES/20</w:t>
      </w:r>
      <w:r w:rsidR="00652465">
        <w:t>2</w:t>
      </w:r>
      <w:r w:rsidR="00F27AEA">
        <w:t>1/</w:t>
      </w:r>
      <w:r w:rsidR="003C263E">
        <w:t>13</w:t>
      </w:r>
      <w:r w:rsidR="00F27AEA">
        <w:t>)</w:t>
      </w:r>
      <w:r w:rsidR="004E7ED7">
        <w:t xml:space="preserve">. It was also noted that </w:t>
      </w:r>
      <w:r w:rsidR="00F22E84" w:rsidRPr="00F302E5">
        <w:t>since</w:t>
      </w:r>
      <w:r w:rsidR="00C8700E" w:rsidRPr="00F302E5">
        <w:t xml:space="preserve"> no application</w:t>
      </w:r>
      <w:r w:rsidR="00DD0B4D" w:rsidRPr="00F302E5">
        <w:t xml:space="preserve"> for membership in the Committee or any of its sub-committees w</w:t>
      </w:r>
      <w:r w:rsidR="00C8700E" w:rsidRPr="00F302E5">
        <w:t>as</w:t>
      </w:r>
      <w:r w:rsidR="00476767" w:rsidRPr="00F302E5">
        <w:t xml:space="preserve"> received during the </w:t>
      </w:r>
      <w:r w:rsidR="00146660" w:rsidRPr="00F302E5">
        <w:t>biennium</w:t>
      </w:r>
      <w:r w:rsidR="00476767" w:rsidRPr="00F302E5">
        <w:t xml:space="preserve"> </w:t>
      </w:r>
      <w:r w:rsidR="00522E4A" w:rsidRPr="00F302E5">
        <w:t>20</w:t>
      </w:r>
      <w:r w:rsidR="003C263E">
        <w:t>2</w:t>
      </w:r>
      <w:r w:rsidR="00522E4A" w:rsidRPr="00F302E5">
        <w:t>1</w:t>
      </w:r>
      <w:r w:rsidR="00476767" w:rsidRPr="00F302E5">
        <w:t>-</w:t>
      </w:r>
      <w:r w:rsidR="00522E4A" w:rsidRPr="00F302E5">
        <w:t>20</w:t>
      </w:r>
      <w:r w:rsidR="000F3DD2" w:rsidRPr="00F302E5">
        <w:t>2</w:t>
      </w:r>
      <w:r w:rsidR="003C263E">
        <w:t>2</w:t>
      </w:r>
      <w:r w:rsidR="00F22E84" w:rsidRPr="00F302E5">
        <w:t>,</w:t>
      </w:r>
      <w:r w:rsidR="00DD0B4D" w:rsidRPr="00F302E5">
        <w:t xml:space="preserve"> </w:t>
      </w:r>
      <w:r w:rsidR="00F22E84" w:rsidRPr="00F302E5">
        <w:t>it remains as follows</w:t>
      </w:r>
      <w:r w:rsidR="00476767" w:rsidRPr="00F302E5">
        <w:t xml:space="preserve"> and as</w:t>
      </w:r>
      <w:r w:rsidR="00FC4DAE" w:rsidRPr="00F302E5">
        <w:t xml:space="preserve"> detailed in the explanatory notes to the agenda</w:t>
      </w:r>
      <w:r w:rsidR="00125F5F" w:rsidRPr="00F302E5">
        <w:t>:</w:t>
      </w:r>
    </w:p>
    <w:p w14:paraId="779BDD0A" w14:textId="77777777" w:rsidR="00476767" w:rsidRPr="00F302E5" w:rsidRDefault="00476767" w:rsidP="00476767">
      <w:pPr>
        <w:pStyle w:val="Bullet1G"/>
      </w:pPr>
      <w:r w:rsidRPr="00F302E5">
        <w:t xml:space="preserve">Committee of Experts: 40 </w:t>
      </w:r>
      <w:proofErr w:type="gramStart"/>
      <w:r w:rsidRPr="00F302E5">
        <w:t>members</w:t>
      </w:r>
      <w:r w:rsidR="009D7E82" w:rsidRPr="00F302E5">
        <w:t>;</w:t>
      </w:r>
      <w:proofErr w:type="gramEnd"/>
    </w:p>
    <w:p w14:paraId="317BB9ED" w14:textId="77777777" w:rsidR="00F22E84" w:rsidRPr="00F302E5" w:rsidRDefault="00F22E84" w:rsidP="00AF430C">
      <w:pPr>
        <w:pStyle w:val="Bullet1G"/>
      </w:pPr>
      <w:r w:rsidRPr="00F302E5">
        <w:t xml:space="preserve">Sub-Committee of Experts on the Transport of Dangerous Goods: 30 </w:t>
      </w:r>
      <w:proofErr w:type="gramStart"/>
      <w:r w:rsidR="00F60F39" w:rsidRPr="00F302E5">
        <w:t>m</w:t>
      </w:r>
      <w:r w:rsidRPr="00F302E5">
        <w:t>embers</w:t>
      </w:r>
      <w:r w:rsidR="009D7E82" w:rsidRPr="00F302E5">
        <w:t>;</w:t>
      </w:r>
      <w:proofErr w:type="gramEnd"/>
    </w:p>
    <w:p w14:paraId="72988526" w14:textId="77777777" w:rsidR="00FC4DAE" w:rsidRDefault="00F22E84" w:rsidP="00AF430C">
      <w:pPr>
        <w:pStyle w:val="Bullet1G"/>
      </w:pPr>
      <w:r w:rsidRPr="00F302E5">
        <w:t xml:space="preserve">Sub-Committee of Experts on the Globally Harmonized System of Classification and Labelling of Chemicals: 36 </w:t>
      </w:r>
      <w:r w:rsidR="00F60F39" w:rsidRPr="00F302E5">
        <w:t>m</w:t>
      </w:r>
      <w:r w:rsidRPr="00F302E5">
        <w:t>embers</w:t>
      </w:r>
      <w:r w:rsidR="009D7E82" w:rsidRPr="00F302E5">
        <w:t>.</w:t>
      </w:r>
    </w:p>
    <w:p w14:paraId="103CB61B" w14:textId="77777777" w:rsidR="006D76D5" w:rsidRPr="00F302E5" w:rsidRDefault="006D76D5" w:rsidP="006D76D5">
      <w:pPr>
        <w:pStyle w:val="Bullet1G"/>
        <w:numPr>
          <w:ilvl w:val="0"/>
          <w:numId w:val="0"/>
        </w:numPr>
        <w:ind w:left="1701" w:hanging="170"/>
      </w:pPr>
    </w:p>
    <w:p w14:paraId="503CD73E" w14:textId="77777777" w:rsidR="006D76D5" w:rsidRDefault="006D76D5" w:rsidP="0092293E">
      <w:pPr>
        <w:pStyle w:val="SingleTxtG"/>
        <w:sectPr w:rsidR="006D76D5" w:rsidSect="00DF2B22">
          <w:headerReference w:type="even" r:id="rId18"/>
          <w:headerReference w:type="default" r:id="rId19"/>
          <w:footerReference w:type="even" r:id="rId20"/>
          <w:footerReference w:type="default" r:id="rId21"/>
          <w:headerReference w:type="first" r:id="rId22"/>
          <w:footerReference w:type="first" r:id="rId23"/>
          <w:footnotePr>
            <w:numFmt w:val="chicago"/>
            <w:numRestart w:val="eachSect"/>
          </w:footnotePr>
          <w:endnotePr>
            <w:numFmt w:val="decimal"/>
          </w:endnotePr>
          <w:pgSz w:w="11907" w:h="16840" w:code="9"/>
          <w:pgMar w:top="1701" w:right="1134" w:bottom="2268" w:left="1134" w:header="1134" w:footer="1701" w:gutter="0"/>
          <w:cols w:space="720"/>
          <w:titlePg/>
          <w:docGrid w:linePitch="272"/>
        </w:sectPr>
      </w:pPr>
    </w:p>
    <w:p w14:paraId="6038EAA7" w14:textId="7C8868D9" w:rsidR="00FC4DAE" w:rsidRPr="008741E5" w:rsidRDefault="00263783" w:rsidP="0092293E">
      <w:pPr>
        <w:pStyle w:val="SingleTxtG"/>
      </w:pPr>
      <w:r>
        <w:t>8</w:t>
      </w:r>
      <w:r w:rsidR="00FC4DAE" w:rsidRPr="008741E5">
        <w:t>.</w:t>
      </w:r>
      <w:r w:rsidR="00FC4DAE" w:rsidRPr="008741E5">
        <w:tab/>
        <w:t xml:space="preserve">The Committee noted with satisfaction that the secretariat had published the </w:t>
      </w:r>
      <w:r w:rsidR="003E7507">
        <w:t>twent</w:t>
      </w:r>
      <w:r w:rsidR="007B2011">
        <w:t>y-</w:t>
      </w:r>
      <w:r w:rsidR="00D70C1F">
        <w:t>second</w:t>
      </w:r>
      <w:r w:rsidR="003E7507" w:rsidRPr="008741E5">
        <w:t xml:space="preserve"> </w:t>
      </w:r>
      <w:r w:rsidR="00FC4DAE" w:rsidRPr="008741E5">
        <w:t>revised edition of the Recommendations on the Transport of Dangerous Goods, Model Regulations (ST/SG/AC.10/1/Rev.</w:t>
      </w:r>
      <w:r w:rsidR="003E7507">
        <w:t>2</w:t>
      </w:r>
      <w:r w:rsidR="00D70C1F">
        <w:t>2</w:t>
      </w:r>
      <w:r w:rsidR="00FC4DAE" w:rsidRPr="008741E5">
        <w:t xml:space="preserve">), </w:t>
      </w:r>
      <w:r w:rsidR="003E7507">
        <w:t xml:space="preserve">the </w:t>
      </w:r>
      <w:r w:rsidR="00BD7A7A">
        <w:t xml:space="preserve">amendment 1 to the </w:t>
      </w:r>
      <w:r w:rsidR="00D368D3">
        <w:t>s</w:t>
      </w:r>
      <w:r w:rsidR="007B2011">
        <w:t>even</w:t>
      </w:r>
      <w:r w:rsidR="00D368D3">
        <w:t xml:space="preserve">th </w:t>
      </w:r>
      <w:r w:rsidR="00FC4DAE" w:rsidRPr="008741E5">
        <w:t>revised edition of the Manual of Test</w:t>
      </w:r>
      <w:r w:rsidR="004109EE">
        <w:t>s</w:t>
      </w:r>
      <w:r w:rsidR="00FC4DAE" w:rsidRPr="008741E5">
        <w:t xml:space="preserve"> and Criteria (ST/SG/AC.10/11/Rev.</w:t>
      </w:r>
      <w:r w:rsidR="007B2011">
        <w:t>7</w:t>
      </w:r>
      <w:r w:rsidR="005256DD">
        <w:t>/Amd.1</w:t>
      </w:r>
      <w:r w:rsidR="00FC4DAE" w:rsidRPr="008741E5">
        <w:t xml:space="preserve">) and the </w:t>
      </w:r>
      <w:r w:rsidR="005256DD">
        <w:t>nin</w:t>
      </w:r>
      <w:r w:rsidR="003E7507">
        <w:t xml:space="preserve">th </w:t>
      </w:r>
      <w:r w:rsidR="00FC4DAE" w:rsidRPr="008741E5">
        <w:t>revised edition of the Globally Harmonized System of Classification and Labelling of Chemicals (GHS) (ST/SG/AC.10/30/Rev.</w:t>
      </w:r>
      <w:r w:rsidR="005256DD">
        <w:t>9</w:t>
      </w:r>
      <w:r w:rsidR="00FC4DAE" w:rsidRPr="008741E5">
        <w:t>) in all official l</w:t>
      </w:r>
      <w:r w:rsidR="00710468">
        <w:t>anguages of the United Nations.</w:t>
      </w:r>
    </w:p>
    <w:p w14:paraId="028EFF95" w14:textId="182B4612" w:rsidR="00FC4DAE" w:rsidRDefault="00263783" w:rsidP="001E07D9">
      <w:pPr>
        <w:pStyle w:val="SingleTxtG"/>
      </w:pPr>
      <w:r>
        <w:t>9</w:t>
      </w:r>
      <w:r w:rsidR="00FC4DAE" w:rsidRPr="008741E5">
        <w:t>.</w:t>
      </w:r>
      <w:r w:rsidR="00FC4DAE" w:rsidRPr="008741E5">
        <w:tab/>
        <w:t xml:space="preserve">It was noted that the </w:t>
      </w:r>
      <w:r w:rsidR="006E5EBF">
        <w:t xml:space="preserve">three publications </w:t>
      </w:r>
      <w:r w:rsidR="00FC4DAE">
        <w:t>were</w:t>
      </w:r>
      <w:r w:rsidR="00FC4DAE" w:rsidRPr="008741E5">
        <w:t xml:space="preserve"> also available in electronic format:</w:t>
      </w:r>
    </w:p>
    <w:p w14:paraId="42EFB4B8" w14:textId="5FF96B8C" w:rsidR="001E07D9" w:rsidRDefault="00FC4DAE" w:rsidP="00EC3503">
      <w:pPr>
        <w:pStyle w:val="SingleTxtG"/>
        <w:ind w:left="2268" w:hanging="567"/>
        <w:jc w:val="left"/>
      </w:pPr>
      <w:r w:rsidRPr="008741E5">
        <w:t>(a)</w:t>
      </w:r>
      <w:r>
        <w:tab/>
        <w:t>O</w:t>
      </w:r>
      <w:r w:rsidRPr="008741E5">
        <w:t xml:space="preserve">n the website of the </w:t>
      </w:r>
      <w:r w:rsidR="00EC3503">
        <w:t xml:space="preserve">Sustainable </w:t>
      </w:r>
      <w:r w:rsidRPr="008741E5">
        <w:t xml:space="preserve">Transport Division of the United Nations Economic </w:t>
      </w:r>
      <w:r w:rsidRPr="00203C08">
        <w:t>Commission for Europe</w:t>
      </w:r>
      <w:r w:rsidR="006A0431">
        <w:rPr>
          <w:rStyle w:val="FootnoteReference"/>
        </w:rPr>
        <w:footnoteReference w:id="5"/>
      </w:r>
      <w:r w:rsidRPr="001E07D9">
        <w:t>; and</w:t>
      </w:r>
    </w:p>
    <w:p w14:paraId="00F4DC87" w14:textId="77777777" w:rsidR="009E40E2" w:rsidRDefault="00FC4DAE" w:rsidP="00A0186B">
      <w:pPr>
        <w:pStyle w:val="SingleTxtG"/>
        <w:ind w:left="2268" w:hanging="567"/>
      </w:pPr>
      <w:r>
        <w:t>(b)</w:t>
      </w:r>
      <w:r>
        <w:tab/>
        <w:t>S</w:t>
      </w:r>
      <w:r w:rsidRPr="008741E5">
        <w:t xml:space="preserve">eparately </w:t>
      </w:r>
      <w:r w:rsidR="006E5EBF">
        <w:t>in pdf format,</w:t>
      </w:r>
      <w:r w:rsidRPr="008741E5">
        <w:t xml:space="preserve"> as sales publication</w:t>
      </w:r>
      <w:r w:rsidR="001E07D9">
        <w:t>s</w:t>
      </w:r>
      <w:r w:rsidRPr="008741E5">
        <w:t>.</w:t>
      </w:r>
    </w:p>
    <w:p w14:paraId="4CBCDDD1" w14:textId="377375B3" w:rsidR="00DC035A" w:rsidRPr="00E96A05" w:rsidRDefault="00DC035A" w:rsidP="00DC035A">
      <w:pPr>
        <w:pStyle w:val="HChG"/>
      </w:pPr>
      <w:r>
        <w:tab/>
        <w:t>V</w:t>
      </w:r>
      <w:r w:rsidRPr="00E96A05">
        <w:t>.</w:t>
      </w:r>
      <w:r>
        <w:tab/>
      </w:r>
      <w:r w:rsidRPr="00E96A05">
        <w:t xml:space="preserve">Work of the Sub-Committee of Experts on the Transport of Dangerous Goods during the biennium </w:t>
      </w:r>
      <w:r w:rsidR="0067260D">
        <w:t>20</w:t>
      </w:r>
      <w:r w:rsidR="00F97295">
        <w:t>2</w:t>
      </w:r>
      <w:r w:rsidR="0067260D">
        <w:t>1</w:t>
      </w:r>
      <w:r w:rsidRPr="00E96A05">
        <w:t>-</w:t>
      </w:r>
      <w:r w:rsidR="0067260D">
        <w:t>20</w:t>
      </w:r>
      <w:r w:rsidR="007B2011">
        <w:t>2</w:t>
      </w:r>
      <w:r w:rsidR="00F97295">
        <w:t>2</w:t>
      </w:r>
      <w:r w:rsidR="0067260D">
        <w:t xml:space="preserve"> </w:t>
      </w:r>
      <w:r>
        <w:t>(agenda item 4)</w:t>
      </w:r>
    </w:p>
    <w:p w14:paraId="04966C4E" w14:textId="0D6072F3" w:rsidR="00525188" w:rsidRPr="00B96225" w:rsidRDefault="00525188" w:rsidP="00132133">
      <w:pPr>
        <w:pStyle w:val="SingleTxtG"/>
        <w:tabs>
          <w:tab w:val="left" w:pos="2800"/>
        </w:tabs>
        <w:jc w:val="left"/>
      </w:pPr>
      <w:r w:rsidRPr="00B96225">
        <w:rPr>
          <w:i/>
          <w:iCs/>
        </w:rPr>
        <w:t>Documents</w:t>
      </w:r>
      <w:r w:rsidRPr="00B96225">
        <w:t xml:space="preserve">: </w:t>
      </w:r>
      <w:r w:rsidRPr="00B96225">
        <w:tab/>
        <w:t>ST/SG/AC.10/C.3/</w:t>
      </w:r>
      <w:r w:rsidR="00B1331B">
        <w:t>1</w:t>
      </w:r>
      <w:r w:rsidR="00F97295">
        <w:t>1</w:t>
      </w:r>
      <w:r w:rsidR="00641510">
        <w:t>6</w:t>
      </w:r>
      <w:r w:rsidRPr="00B96225">
        <w:br/>
      </w:r>
      <w:r w:rsidRPr="00B96225">
        <w:tab/>
        <w:t>ST/SG/AC.10/C.3/</w:t>
      </w:r>
      <w:r w:rsidR="00B1331B">
        <w:t>1</w:t>
      </w:r>
      <w:r w:rsidR="007B2011">
        <w:t>1</w:t>
      </w:r>
      <w:r w:rsidR="00641510">
        <w:t>8</w:t>
      </w:r>
      <w:r w:rsidR="00B1331B">
        <w:t xml:space="preserve"> </w:t>
      </w:r>
      <w:r w:rsidR="009E73C0">
        <w:t xml:space="preserve">and </w:t>
      </w:r>
      <w:proofErr w:type="gramStart"/>
      <w:r w:rsidR="009E73C0">
        <w:t>Add</w:t>
      </w:r>
      <w:proofErr w:type="gramEnd"/>
      <w:r w:rsidR="009E73C0">
        <w:t>.1</w:t>
      </w:r>
      <w:r w:rsidRPr="00B96225">
        <w:br/>
      </w:r>
      <w:r w:rsidRPr="00B96225">
        <w:tab/>
        <w:t>ST/SG/AC.10/C.3/</w:t>
      </w:r>
      <w:r w:rsidR="00641510">
        <w:t xml:space="preserve">120 </w:t>
      </w:r>
      <w:r w:rsidR="009E73C0">
        <w:t>and Add.1</w:t>
      </w:r>
      <w:r w:rsidR="007B2011">
        <w:br/>
      </w:r>
      <w:r w:rsidR="00132133">
        <w:tab/>
      </w:r>
      <w:r w:rsidRPr="00880857">
        <w:t>ST/SG/AC.10/C.3/</w:t>
      </w:r>
      <w:r w:rsidR="00B1331B" w:rsidRPr="00880857">
        <w:t>20</w:t>
      </w:r>
      <w:r w:rsidR="007B2011">
        <w:t>2</w:t>
      </w:r>
      <w:r w:rsidR="008C689E">
        <w:t>2</w:t>
      </w:r>
      <w:r w:rsidR="00B31449" w:rsidRPr="00880857">
        <w:t>/</w:t>
      </w:r>
      <w:r w:rsidRPr="00880857">
        <w:t>R.</w:t>
      </w:r>
      <w:r w:rsidR="000E075D">
        <w:t>3</w:t>
      </w:r>
      <w:r w:rsidRPr="00880857">
        <w:t xml:space="preserve"> and </w:t>
      </w:r>
      <w:r w:rsidR="009D7E82" w:rsidRPr="00D37D0E">
        <w:t xml:space="preserve">Add.1 </w:t>
      </w:r>
      <w:r w:rsidR="003E0FA1" w:rsidRPr="00D37D0E">
        <w:t xml:space="preserve">to </w:t>
      </w:r>
      <w:r w:rsidR="000E075D">
        <w:t>9</w:t>
      </w:r>
      <w:r w:rsidRPr="00B96225">
        <w:br/>
      </w:r>
      <w:r w:rsidRPr="00B96225">
        <w:tab/>
      </w:r>
      <w:r w:rsidRPr="00880857">
        <w:t>ST/SG/AC.10/C.3/</w:t>
      </w:r>
      <w:r w:rsidR="00B1331B" w:rsidRPr="00880857">
        <w:t>20</w:t>
      </w:r>
      <w:r w:rsidR="007B2011">
        <w:t>2</w:t>
      </w:r>
      <w:r w:rsidR="008C689E">
        <w:t>2</w:t>
      </w:r>
      <w:r w:rsidR="00B31449" w:rsidRPr="00880857">
        <w:t>/</w:t>
      </w:r>
      <w:r w:rsidR="00C8700E" w:rsidRPr="00880857">
        <w:t>R.</w:t>
      </w:r>
      <w:r w:rsidR="000E075D">
        <w:t>4</w:t>
      </w:r>
      <w:r w:rsidR="00C8700E" w:rsidRPr="00880857">
        <w:t xml:space="preserve"> and </w:t>
      </w:r>
      <w:r w:rsidR="00C8700E" w:rsidRPr="00D37D0E">
        <w:t>Add</w:t>
      </w:r>
      <w:r w:rsidR="009D7E82" w:rsidRPr="00D37D0E">
        <w:t xml:space="preserve">.1 </w:t>
      </w:r>
      <w:r w:rsidR="003E0FA1" w:rsidRPr="00D37D0E">
        <w:t>to</w:t>
      </w:r>
      <w:r w:rsidRPr="00D37D0E">
        <w:t xml:space="preserve"> </w:t>
      </w:r>
      <w:r w:rsidR="00DE245D">
        <w:t>3</w:t>
      </w:r>
    </w:p>
    <w:p w14:paraId="19C58EF5" w14:textId="67A7E249" w:rsidR="00525188" w:rsidRPr="00B96225" w:rsidRDefault="00263783" w:rsidP="006A4C48">
      <w:pPr>
        <w:pStyle w:val="SingleTxtG"/>
      </w:pPr>
      <w:r>
        <w:t>10</w:t>
      </w:r>
      <w:r w:rsidR="00525188" w:rsidRPr="00B96225">
        <w:t>.</w:t>
      </w:r>
      <w:r w:rsidR="00525188" w:rsidRPr="00B96225">
        <w:tab/>
        <w:t xml:space="preserve">The Committee took note of the reports of the Sub-Committee of Experts on the Transport of Dangerous Goods (TDG Sub-Committee) on its </w:t>
      </w:r>
      <w:r w:rsidR="0067260D">
        <w:t>fifty-</w:t>
      </w:r>
      <w:r w:rsidR="0007289E">
        <w:t>eig</w:t>
      </w:r>
      <w:r w:rsidR="001114DB">
        <w:t>hth, fifty-</w:t>
      </w:r>
      <w:r w:rsidR="00D46FCA">
        <w:t xml:space="preserve">ninth and </w:t>
      </w:r>
      <w:r w:rsidR="007B2011">
        <w:t>sixt</w:t>
      </w:r>
      <w:r w:rsidR="00D46FCA">
        <w:t>iet</w:t>
      </w:r>
      <w:r w:rsidR="007B2011">
        <w:t>h</w:t>
      </w:r>
      <w:r w:rsidR="009E73C0" w:rsidRPr="00B96225">
        <w:t xml:space="preserve"> </w:t>
      </w:r>
      <w:r w:rsidR="00525188" w:rsidRPr="00B96225">
        <w:t xml:space="preserve">sessions. The Committee noted also that the Sub-Committee had adopted </w:t>
      </w:r>
      <w:r w:rsidR="006A4C48" w:rsidRPr="00B96225">
        <w:t xml:space="preserve">the </w:t>
      </w:r>
      <w:r w:rsidR="00525188" w:rsidRPr="00B96225">
        <w:t xml:space="preserve">report on its </w:t>
      </w:r>
      <w:r w:rsidR="001114DB">
        <w:t>sixty-first</w:t>
      </w:r>
      <w:r w:rsidR="0067260D" w:rsidRPr="00B96225">
        <w:t xml:space="preserve"> </w:t>
      </w:r>
      <w:r w:rsidR="00525188" w:rsidRPr="00B96225">
        <w:t>session (</w:t>
      </w:r>
      <w:r w:rsidR="001114DB">
        <w:t>28</w:t>
      </w:r>
      <w:r w:rsidR="0067260D">
        <w:t xml:space="preserve"> </w:t>
      </w:r>
      <w:r w:rsidR="007434C8">
        <w:t>November</w:t>
      </w:r>
      <w:r w:rsidR="008861A8" w:rsidRPr="00B96225">
        <w:t xml:space="preserve"> </w:t>
      </w:r>
      <w:r w:rsidR="00B31449" w:rsidRPr="00B96225">
        <w:t>–</w:t>
      </w:r>
      <w:r w:rsidR="005247CE">
        <w:t xml:space="preserve"> </w:t>
      </w:r>
      <w:r w:rsidR="001114DB">
        <w:t>6</w:t>
      </w:r>
      <w:r w:rsidR="00EC3503">
        <w:t xml:space="preserve"> </w:t>
      </w:r>
      <w:r w:rsidR="00525188" w:rsidRPr="00B96225">
        <w:t>December</w:t>
      </w:r>
      <w:r w:rsidR="00EC3503">
        <w:t xml:space="preserve"> </w:t>
      </w:r>
      <w:r w:rsidR="0067260D">
        <w:t>20</w:t>
      </w:r>
      <w:r w:rsidR="007B2011">
        <w:t>2</w:t>
      </w:r>
      <w:r w:rsidR="001114DB">
        <w:t>2</w:t>
      </w:r>
      <w:r w:rsidR="00525188" w:rsidRPr="00B96225">
        <w:t>) on the basis of a draft prepared by the secretariat (ST/SG/AC.10/C.3/</w:t>
      </w:r>
      <w:r w:rsidR="0067260D">
        <w:t>20</w:t>
      </w:r>
      <w:r w:rsidR="007B2011">
        <w:t>2</w:t>
      </w:r>
      <w:r w:rsidR="001114DB">
        <w:t>2</w:t>
      </w:r>
      <w:r w:rsidR="009D7E82">
        <w:t>/R.</w:t>
      </w:r>
      <w:r w:rsidR="0009583F">
        <w:t>3</w:t>
      </w:r>
      <w:r w:rsidR="009D7E82">
        <w:t xml:space="preserve"> and </w:t>
      </w:r>
      <w:proofErr w:type="gramStart"/>
      <w:r w:rsidR="009D7E82" w:rsidRPr="00D37D0E">
        <w:t>Add</w:t>
      </w:r>
      <w:proofErr w:type="gramEnd"/>
      <w:r w:rsidR="00525188" w:rsidRPr="00D37D0E">
        <w:t>.1</w:t>
      </w:r>
      <w:r w:rsidR="003E0FA1" w:rsidRPr="00D37D0E">
        <w:t xml:space="preserve"> to </w:t>
      </w:r>
      <w:r w:rsidR="0009583F">
        <w:t>9</w:t>
      </w:r>
      <w:r w:rsidR="00EC3503">
        <w:t>,</w:t>
      </w:r>
      <w:r w:rsidR="00DB217E" w:rsidRPr="00D37D0E">
        <w:t xml:space="preserve"> </w:t>
      </w:r>
      <w:r w:rsidR="009D7E82" w:rsidRPr="00D37D0E">
        <w:t>and -/R</w:t>
      </w:r>
      <w:r w:rsidR="00921574">
        <w:t>.</w:t>
      </w:r>
      <w:r w:rsidR="0009583F">
        <w:t>4</w:t>
      </w:r>
      <w:r w:rsidR="00921574">
        <w:t xml:space="preserve"> and Add.1 to 3</w:t>
      </w:r>
      <w:r w:rsidR="00525188" w:rsidRPr="00D37D0E">
        <w:t xml:space="preserve">) with some </w:t>
      </w:r>
      <w:r w:rsidR="00D02A89">
        <w:t xml:space="preserve">additional </w:t>
      </w:r>
      <w:r w:rsidR="00525188" w:rsidRPr="00D37D0E">
        <w:t xml:space="preserve">modifications. </w:t>
      </w:r>
      <w:r w:rsidR="005247CE" w:rsidRPr="00D37D0E">
        <w:t>For t</w:t>
      </w:r>
      <w:r w:rsidR="00525188" w:rsidRPr="00D37D0E">
        <w:t xml:space="preserve">he final report </w:t>
      </w:r>
      <w:r w:rsidR="005247CE" w:rsidRPr="00D37D0E">
        <w:t>see document</w:t>
      </w:r>
      <w:r w:rsidR="00525188" w:rsidRPr="00D37D0E">
        <w:t xml:space="preserve"> ST/SG/AC.10/C.3/</w:t>
      </w:r>
      <w:r w:rsidR="0067260D" w:rsidRPr="00D37D0E">
        <w:t>1</w:t>
      </w:r>
      <w:r w:rsidR="00D46714">
        <w:t>22</w:t>
      </w:r>
      <w:r w:rsidR="000209A1">
        <w:t xml:space="preserve"> and </w:t>
      </w:r>
      <w:proofErr w:type="gramStart"/>
      <w:r w:rsidR="000209A1">
        <w:t>Add</w:t>
      </w:r>
      <w:proofErr w:type="gramEnd"/>
      <w:r w:rsidR="000209A1">
        <w:t>.1</w:t>
      </w:r>
      <w:r w:rsidR="00525188" w:rsidRPr="00D37D0E">
        <w:t>.</w:t>
      </w:r>
    </w:p>
    <w:p w14:paraId="4B09FD55" w14:textId="3F50B589" w:rsidR="00525188" w:rsidRDefault="00263783" w:rsidP="006A4C48">
      <w:pPr>
        <w:pStyle w:val="SingleTxtG"/>
      </w:pPr>
      <w:r>
        <w:t>11</w:t>
      </w:r>
      <w:r w:rsidR="00525188" w:rsidRPr="00B96225">
        <w:t>.</w:t>
      </w:r>
      <w:r w:rsidR="00525188" w:rsidRPr="00B96225">
        <w:tab/>
        <w:t>The Committee endorsed the reports of the Sub-Committee, including the</w:t>
      </w:r>
      <w:r w:rsidR="00525188" w:rsidRPr="008741E5">
        <w:t xml:space="preserve"> amendments to the existing recommendations on the transport of dangerous goods and the new recommendations </w:t>
      </w:r>
      <w:r w:rsidR="00525188" w:rsidRPr="00F302E5">
        <w:t xml:space="preserve">made (see </w:t>
      </w:r>
      <w:r w:rsidR="006A4C48" w:rsidRPr="00F302E5">
        <w:t>a</w:t>
      </w:r>
      <w:r w:rsidR="00525188" w:rsidRPr="00F302E5">
        <w:t>nnexes I and II).</w:t>
      </w:r>
    </w:p>
    <w:p w14:paraId="594885C9" w14:textId="700610D4" w:rsidR="00DC035A" w:rsidRPr="00E96A05" w:rsidRDefault="00DC035A" w:rsidP="00DC035A">
      <w:pPr>
        <w:pStyle w:val="HChG"/>
      </w:pPr>
      <w:r>
        <w:tab/>
        <w:t>VI</w:t>
      </w:r>
      <w:r w:rsidRPr="00E96A05">
        <w:t>.</w:t>
      </w:r>
      <w:r w:rsidRPr="00E96A05">
        <w:tab/>
        <w:t xml:space="preserve">Work of the Sub-Committee of Experts on the Globally Harmonized System of Classification and Labelling of Chemicals during the biennium </w:t>
      </w:r>
      <w:r w:rsidR="00EF3D3E">
        <w:t>20</w:t>
      </w:r>
      <w:r w:rsidR="00C40934">
        <w:t>2</w:t>
      </w:r>
      <w:r w:rsidR="00EF3D3E">
        <w:t>1</w:t>
      </w:r>
      <w:r w:rsidRPr="00E96A05">
        <w:t>-</w:t>
      </w:r>
      <w:r w:rsidR="00EF3D3E">
        <w:t>20</w:t>
      </w:r>
      <w:r w:rsidR="00921574">
        <w:t>2</w:t>
      </w:r>
      <w:r w:rsidR="00C40934">
        <w:t>2</w:t>
      </w:r>
      <w:r w:rsidR="00EF3D3E" w:rsidRPr="00E96A05">
        <w:t xml:space="preserve"> </w:t>
      </w:r>
      <w:r>
        <w:t>(agenda item 5)</w:t>
      </w:r>
    </w:p>
    <w:p w14:paraId="4E415D0A" w14:textId="22E23808" w:rsidR="00895714" w:rsidRPr="00B66EA7" w:rsidRDefault="00895714" w:rsidP="00132133">
      <w:pPr>
        <w:pStyle w:val="SingleTxtG"/>
        <w:tabs>
          <w:tab w:val="left" w:pos="2800"/>
        </w:tabs>
        <w:jc w:val="left"/>
      </w:pPr>
      <w:r w:rsidRPr="00B66EA7">
        <w:rPr>
          <w:i/>
          <w:iCs/>
        </w:rPr>
        <w:t>Documents</w:t>
      </w:r>
      <w:r w:rsidRPr="00B66EA7">
        <w:t xml:space="preserve">: </w:t>
      </w:r>
      <w:r w:rsidRPr="00B66EA7">
        <w:tab/>
        <w:t>ST/SG/AC.10/C.4/</w:t>
      </w:r>
      <w:r w:rsidR="00BF5608">
        <w:t>80</w:t>
      </w:r>
      <w:r w:rsidRPr="00B66EA7">
        <w:br/>
      </w:r>
      <w:r w:rsidRPr="00B66EA7">
        <w:tab/>
        <w:t>ST/SG/AC.10/C.4/</w:t>
      </w:r>
      <w:r w:rsidR="0050021B">
        <w:t>82</w:t>
      </w:r>
      <w:r w:rsidRPr="00B66EA7">
        <w:br/>
      </w:r>
      <w:r w:rsidRPr="00B66EA7">
        <w:tab/>
        <w:t>ST/SG/AC.10/C.4/</w:t>
      </w:r>
      <w:r w:rsidR="0050021B">
        <w:t>84</w:t>
      </w:r>
      <w:r w:rsidRPr="00B66EA7">
        <w:br/>
      </w:r>
      <w:r w:rsidRPr="00B66EA7">
        <w:tab/>
        <w:t>ST/SG/AC.10/C.4/</w:t>
      </w:r>
      <w:r w:rsidR="00F56E05" w:rsidRPr="00B66EA7">
        <w:t>20</w:t>
      </w:r>
      <w:r w:rsidR="00921574">
        <w:t>2</w:t>
      </w:r>
      <w:r w:rsidR="00BF5608">
        <w:t>2</w:t>
      </w:r>
      <w:r w:rsidRPr="00B66EA7">
        <w:t>/R.</w:t>
      </w:r>
      <w:r w:rsidR="00577310">
        <w:t>3</w:t>
      </w:r>
      <w:r w:rsidR="00DE3B96" w:rsidRPr="00B66EA7">
        <w:t xml:space="preserve"> </w:t>
      </w:r>
      <w:r w:rsidR="004F78A5" w:rsidRPr="00B66EA7">
        <w:t xml:space="preserve">and </w:t>
      </w:r>
      <w:proofErr w:type="gramStart"/>
      <w:r w:rsidR="004F78A5" w:rsidRPr="00D4597B">
        <w:t>Add</w:t>
      </w:r>
      <w:proofErr w:type="gramEnd"/>
      <w:r w:rsidRPr="00D4597B">
        <w:t>.1</w:t>
      </w:r>
      <w:r w:rsidR="00D4597B">
        <w:t xml:space="preserve"> to </w:t>
      </w:r>
      <w:r w:rsidR="007C147B">
        <w:t>3</w:t>
      </w:r>
      <w:r w:rsidRPr="00B66EA7">
        <w:br/>
      </w:r>
      <w:r w:rsidRPr="00B66EA7">
        <w:tab/>
        <w:t>ST/SG/AC.10/C.4/</w:t>
      </w:r>
      <w:r w:rsidR="00F56E05" w:rsidRPr="00B66EA7">
        <w:t>20</w:t>
      </w:r>
      <w:r w:rsidR="00921574">
        <w:t>2</w:t>
      </w:r>
      <w:r w:rsidR="00BF5608">
        <w:t>2</w:t>
      </w:r>
      <w:r w:rsidRPr="00B66EA7">
        <w:t>/R.</w:t>
      </w:r>
      <w:r w:rsidR="00577310">
        <w:t>4</w:t>
      </w:r>
      <w:r w:rsidR="00DB217E" w:rsidRPr="00D4597B">
        <w:t xml:space="preserve"> and Add.</w:t>
      </w:r>
      <w:r w:rsidR="007C147B">
        <w:t>1 to 3</w:t>
      </w:r>
    </w:p>
    <w:p w14:paraId="3C9B2D7D" w14:textId="66803B30" w:rsidR="00895714" w:rsidRPr="008741E5" w:rsidRDefault="00263783" w:rsidP="0002633D">
      <w:pPr>
        <w:pStyle w:val="SingleTxtG"/>
      </w:pPr>
      <w:r w:rsidRPr="00B66EA7">
        <w:t>12</w:t>
      </w:r>
      <w:r w:rsidR="00895714" w:rsidRPr="00B66EA7">
        <w:t>.</w:t>
      </w:r>
      <w:r w:rsidR="00895714" w:rsidRPr="00B66EA7">
        <w:tab/>
        <w:t xml:space="preserve">The Committee took note of the reports of the Sub-Committee of Experts on the Globally Harmonized System of Classification and Labelling of Chemicals (GHS Sub-Committee) on its </w:t>
      </w:r>
      <w:r w:rsidR="008E2DA1">
        <w:t>fortieth</w:t>
      </w:r>
      <w:r w:rsidR="00631515">
        <w:t xml:space="preserve">, forty-first and forty-second </w:t>
      </w:r>
      <w:r w:rsidR="00895714" w:rsidRPr="00B66EA7">
        <w:t xml:space="preserve">sessions. The Committee </w:t>
      </w:r>
      <w:r w:rsidR="00921574" w:rsidRPr="00B66EA7">
        <w:t xml:space="preserve">also </w:t>
      </w:r>
      <w:r w:rsidR="00895714" w:rsidRPr="00B66EA7">
        <w:t xml:space="preserve">noted that the Sub-Committee had adopted the report on its </w:t>
      </w:r>
      <w:r w:rsidR="008E2DA1">
        <w:t>forty-third</w:t>
      </w:r>
      <w:r w:rsidR="00B14C09" w:rsidRPr="00B66EA7">
        <w:t xml:space="preserve"> </w:t>
      </w:r>
      <w:r w:rsidR="00895714" w:rsidRPr="00B66EA7">
        <w:t>session</w:t>
      </w:r>
      <w:r w:rsidR="00046D34" w:rsidRPr="00B66EA7">
        <w:t xml:space="preserve"> </w:t>
      </w:r>
      <w:r w:rsidR="00895714" w:rsidRPr="00B66EA7">
        <w:t>(</w:t>
      </w:r>
      <w:r w:rsidR="009765A6">
        <w:t>7</w:t>
      </w:r>
      <w:r w:rsidR="00895714" w:rsidRPr="00B66EA7">
        <w:t>–</w:t>
      </w:r>
      <w:r w:rsidR="009765A6">
        <w:t>9</w:t>
      </w:r>
      <w:r w:rsidR="00B14C09" w:rsidRPr="00B66EA7">
        <w:t xml:space="preserve"> </w:t>
      </w:r>
      <w:r w:rsidR="00895714" w:rsidRPr="00B66EA7">
        <w:t xml:space="preserve">December </w:t>
      </w:r>
      <w:r w:rsidR="00B14C09" w:rsidRPr="00B66EA7">
        <w:t>20</w:t>
      </w:r>
      <w:r w:rsidR="00921574">
        <w:t>2</w:t>
      </w:r>
      <w:r w:rsidR="009765A6">
        <w:t>2</w:t>
      </w:r>
      <w:r w:rsidR="00895714" w:rsidRPr="00B66EA7">
        <w:t xml:space="preserve">) </w:t>
      </w:r>
      <w:r w:rsidR="002579F2" w:rsidRPr="00B66EA7">
        <w:t>based on</w:t>
      </w:r>
      <w:r w:rsidR="00895714" w:rsidRPr="00B66EA7">
        <w:t xml:space="preserve"> a draft prepared by the secretariat (ST/SG/AC.10/C.4/</w:t>
      </w:r>
      <w:r w:rsidR="00B14C09" w:rsidRPr="00B66EA7">
        <w:t>20</w:t>
      </w:r>
      <w:r w:rsidR="00921574">
        <w:t>2</w:t>
      </w:r>
      <w:r w:rsidR="009765A6">
        <w:t>2</w:t>
      </w:r>
      <w:r w:rsidR="00895714" w:rsidRPr="00B66EA7">
        <w:t>/R.</w:t>
      </w:r>
      <w:r w:rsidR="009765A6">
        <w:t>3</w:t>
      </w:r>
      <w:r w:rsidR="00DE3B96" w:rsidRPr="00B66EA7">
        <w:t xml:space="preserve"> </w:t>
      </w:r>
      <w:r w:rsidR="004F78A5" w:rsidRPr="00D4597B">
        <w:t xml:space="preserve">and </w:t>
      </w:r>
      <w:proofErr w:type="gramStart"/>
      <w:r w:rsidR="004F78A5" w:rsidRPr="00D4597B">
        <w:t>Add</w:t>
      </w:r>
      <w:proofErr w:type="gramEnd"/>
      <w:r w:rsidR="00895714" w:rsidRPr="00D4597B">
        <w:t>.1</w:t>
      </w:r>
      <w:r w:rsidR="003F340E">
        <w:t xml:space="preserve"> to</w:t>
      </w:r>
      <w:r w:rsidR="00753B94">
        <w:t> </w:t>
      </w:r>
      <w:r w:rsidR="003F340E">
        <w:t>3</w:t>
      </w:r>
      <w:r w:rsidR="00F302E5" w:rsidRPr="00D4597B">
        <w:t>,</w:t>
      </w:r>
      <w:r w:rsidR="00DE3B96" w:rsidRPr="00B66EA7">
        <w:t xml:space="preserve"> </w:t>
      </w:r>
      <w:r w:rsidR="00895714" w:rsidRPr="00B66EA7">
        <w:t>and -/R.</w:t>
      </w:r>
      <w:r w:rsidR="00954713">
        <w:t>4</w:t>
      </w:r>
      <w:r w:rsidR="00F302E5" w:rsidRPr="007B26FB">
        <w:t xml:space="preserve"> </w:t>
      </w:r>
      <w:r w:rsidR="00DB217E" w:rsidRPr="007B26FB">
        <w:t>and Add.</w:t>
      </w:r>
      <w:r w:rsidR="003F340E">
        <w:t xml:space="preserve">1 to </w:t>
      </w:r>
      <w:r w:rsidR="00A215CB">
        <w:t>3</w:t>
      </w:r>
      <w:r w:rsidR="00895714" w:rsidRPr="003F340E">
        <w:t>)</w:t>
      </w:r>
      <w:r w:rsidR="00895714" w:rsidRPr="00B66EA7">
        <w:t xml:space="preserve"> with some changes. </w:t>
      </w:r>
      <w:r w:rsidR="005247CE" w:rsidRPr="00B66EA7">
        <w:t>For t</w:t>
      </w:r>
      <w:r w:rsidR="00895714" w:rsidRPr="00B66EA7">
        <w:t xml:space="preserve">he final report </w:t>
      </w:r>
      <w:r w:rsidR="005247CE" w:rsidRPr="00B66EA7">
        <w:t>se</w:t>
      </w:r>
      <w:r w:rsidR="00B66EA7">
        <w:t>e</w:t>
      </w:r>
      <w:r w:rsidR="005247CE" w:rsidRPr="00B66EA7">
        <w:t xml:space="preserve"> document</w:t>
      </w:r>
      <w:r w:rsidR="00895714" w:rsidRPr="00B66EA7">
        <w:t xml:space="preserve"> ST/SG/AC.10/C.4/</w:t>
      </w:r>
      <w:r w:rsidR="00554C84">
        <w:t>86</w:t>
      </w:r>
      <w:r w:rsidR="00895714" w:rsidRPr="00B66EA7">
        <w:t>.</w:t>
      </w:r>
    </w:p>
    <w:p w14:paraId="282CDA9F" w14:textId="3907664C" w:rsidR="000D00F0" w:rsidRDefault="00263783" w:rsidP="006A4C48">
      <w:pPr>
        <w:pStyle w:val="SingleTxtG"/>
      </w:pPr>
      <w:r>
        <w:t>13</w:t>
      </w:r>
      <w:r w:rsidR="00895714" w:rsidRPr="008741E5">
        <w:t>.</w:t>
      </w:r>
      <w:r w:rsidR="00895714" w:rsidRPr="008741E5">
        <w:tab/>
        <w:t>The Committee endorse</w:t>
      </w:r>
      <w:r w:rsidR="00895714">
        <w:t>d</w:t>
      </w:r>
      <w:r w:rsidR="00895714" w:rsidRPr="008741E5">
        <w:t xml:space="preserve"> the reports of the Sub-Committee, including the amendments to the existing text of the GHS and the new provisions adopted (see</w:t>
      </w:r>
      <w:r w:rsidR="00062BF7">
        <w:t xml:space="preserve"> </w:t>
      </w:r>
      <w:r w:rsidR="006A4C48" w:rsidRPr="00F302E5">
        <w:t>a</w:t>
      </w:r>
      <w:r w:rsidR="00895714" w:rsidRPr="00F302E5">
        <w:t>nnex</w:t>
      </w:r>
      <w:r w:rsidR="00062BF7">
        <w:t xml:space="preserve"> </w:t>
      </w:r>
      <w:r w:rsidR="00895714" w:rsidRPr="00F302E5">
        <w:t>III).</w:t>
      </w:r>
    </w:p>
    <w:p w14:paraId="37D5CDBA" w14:textId="498E2BCB" w:rsidR="00DC035A" w:rsidRPr="003156CD" w:rsidRDefault="00DC035A" w:rsidP="00E21CAA">
      <w:pPr>
        <w:pStyle w:val="HChG"/>
        <w:keepNext w:val="0"/>
        <w:keepLines w:val="0"/>
        <w:rPr>
          <w:bCs/>
        </w:rPr>
      </w:pPr>
      <w:r>
        <w:tab/>
        <w:t>VII</w:t>
      </w:r>
      <w:r w:rsidRPr="00E96A05">
        <w:t>.</w:t>
      </w:r>
      <w:r w:rsidRPr="00E96A05">
        <w:tab/>
        <w:t xml:space="preserve">Programme of work for the biennium </w:t>
      </w:r>
      <w:r w:rsidR="00EF3D3E">
        <w:t>20</w:t>
      </w:r>
      <w:r w:rsidR="00DE245D">
        <w:t>2</w:t>
      </w:r>
      <w:r w:rsidR="00BA17BA">
        <w:t>3</w:t>
      </w:r>
      <w:r w:rsidRPr="00E96A05">
        <w:t>-</w:t>
      </w:r>
      <w:r w:rsidR="00EF3D3E">
        <w:t>202</w:t>
      </w:r>
      <w:r w:rsidR="00BA17BA">
        <w:t>4</w:t>
      </w:r>
      <w:r w:rsidR="00EF3D3E">
        <w:t xml:space="preserve"> </w:t>
      </w:r>
      <w:r>
        <w:t>(agenda item 6)</w:t>
      </w:r>
    </w:p>
    <w:p w14:paraId="20422646" w14:textId="756BEDA8" w:rsidR="00DC035A" w:rsidRDefault="00F530A9" w:rsidP="00E21CAA">
      <w:pPr>
        <w:pStyle w:val="H1G"/>
        <w:keepNext w:val="0"/>
        <w:keepLines w:val="0"/>
      </w:pPr>
      <w:r>
        <w:tab/>
      </w:r>
      <w:r w:rsidR="00DC035A" w:rsidRPr="00E96A05">
        <w:t>(a)</w:t>
      </w:r>
      <w:r w:rsidR="00DC035A" w:rsidRPr="00E96A05">
        <w:tab/>
        <w:t xml:space="preserve">Programme of work </w:t>
      </w:r>
      <w:r w:rsidR="00882A06">
        <w:t xml:space="preserve">and related </w:t>
      </w:r>
      <w:r w:rsidR="009E066E">
        <w:t>proposals</w:t>
      </w:r>
    </w:p>
    <w:p w14:paraId="24C30CC5" w14:textId="6E32E9FA" w:rsidR="00DE3B96" w:rsidRPr="00B72EA4" w:rsidRDefault="00DE3B96" w:rsidP="00B83853">
      <w:r>
        <w:tab/>
      </w:r>
      <w:r>
        <w:tab/>
      </w:r>
      <w:r w:rsidR="00F0306B">
        <w:rPr>
          <w:i/>
        </w:rPr>
        <w:t>Informal document</w:t>
      </w:r>
      <w:r w:rsidRPr="00B72EA4">
        <w:rPr>
          <w:i/>
        </w:rPr>
        <w:t>:</w:t>
      </w:r>
      <w:r w:rsidR="00F60F39" w:rsidRPr="00B72EA4">
        <w:tab/>
      </w:r>
      <w:r w:rsidR="00F0306B">
        <w:tab/>
      </w:r>
      <w:r w:rsidR="00F60F39" w:rsidRPr="00B72EA4">
        <w:t>INF.</w:t>
      </w:r>
      <w:r w:rsidR="00382D7B">
        <w:t>2</w:t>
      </w:r>
      <w:r w:rsidR="00F60F39" w:rsidRPr="00B72EA4">
        <w:t xml:space="preserve"> </w:t>
      </w:r>
      <w:r w:rsidR="002E1BEC" w:rsidRPr="00B72EA4">
        <w:t>(s</w:t>
      </w:r>
      <w:r w:rsidRPr="00B72EA4">
        <w:t>ecretariat)</w:t>
      </w:r>
    </w:p>
    <w:p w14:paraId="69CDA407" w14:textId="3962ADA9" w:rsidR="00F530A9" w:rsidRDefault="00263783" w:rsidP="00B3720E">
      <w:pPr>
        <w:pStyle w:val="SingleTxtG"/>
        <w:spacing w:before="240"/>
      </w:pPr>
      <w:r w:rsidRPr="00B72EA4">
        <w:t>14</w:t>
      </w:r>
      <w:r w:rsidR="00F530A9" w:rsidRPr="00B72EA4">
        <w:t>.</w:t>
      </w:r>
      <w:r w:rsidR="00F530A9" w:rsidRPr="00B72EA4">
        <w:tab/>
        <w:t>The Committee approved the programme of work of the two sub-committees as reflected in ST/SG/AC.10/C.3/</w:t>
      </w:r>
      <w:r w:rsidR="00E23A3D" w:rsidRPr="00B72EA4">
        <w:t>1</w:t>
      </w:r>
      <w:r w:rsidR="00344425">
        <w:t>22</w:t>
      </w:r>
      <w:r w:rsidR="00F530A9" w:rsidRPr="00B72EA4">
        <w:t>, par</w:t>
      </w:r>
      <w:r w:rsidR="004109EE" w:rsidRPr="00B72EA4">
        <w:t>agraph</w:t>
      </w:r>
      <w:r w:rsidR="00A938A7">
        <w:t>s</w:t>
      </w:r>
      <w:r w:rsidR="00C06711" w:rsidRPr="00B72EA4">
        <w:t xml:space="preserve"> </w:t>
      </w:r>
      <w:r w:rsidR="00E45C0C">
        <w:t>7</w:t>
      </w:r>
      <w:r w:rsidR="00B77857">
        <w:t>8</w:t>
      </w:r>
      <w:r w:rsidR="00E45C0C">
        <w:t>-79</w:t>
      </w:r>
      <w:r w:rsidR="00046D34" w:rsidRPr="00F302E5">
        <w:t xml:space="preserve"> </w:t>
      </w:r>
      <w:r w:rsidR="00F530A9" w:rsidRPr="00F302E5">
        <w:t>and ST/SG/AC.10/C.4/</w:t>
      </w:r>
      <w:r w:rsidR="007F7510">
        <w:t>86</w:t>
      </w:r>
      <w:r w:rsidR="00F530A9" w:rsidRPr="00F302E5">
        <w:t xml:space="preserve">, </w:t>
      </w:r>
      <w:r w:rsidR="006A4C48" w:rsidRPr="00F302E5">
        <w:t>a</w:t>
      </w:r>
      <w:r w:rsidR="00F530A9" w:rsidRPr="00F302E5">
        <w:t>nnex</w:t>
      </w:r>
      <w:r w:rsidR="00D379D2">
        <w:t xml:space="preserve"> II</w:t>
      </w:r>
      <w:r w:rsidR="003171A0">
        <w:t>I</w:t>
      </w:r>
      <w:r w:rsidR="00D379D2">
        <w:t>.</w:t>
      </w:r>
    </w:p>
    <w:p w14:paraId="111A7ECE" w14:textId="77777777" w:rsidR="00DC035A" w:rsidRDefault="00F530A9" w:rsidP="00E21CAA">
      <w:pPr>
        <w:pStyle w:val="H1G"/>
        <w:keepNext w:val="0"/>
        <w:keepLines w:val="0"/>
        <w:spacing w:before="240" w:after="120"/>
      </w:pPr>
      <w:r>
        <w:tab/>
      </w:r>
      <w:r w:rsidR="00DC035A" w:rsidRPr="00791290">
        <w:t>(b)</w:t>
      </w:r>
      <w:r w:rsidR="00DC035A" w:rsidRPr="00791290">
        <w:tab/>
        <w:t>Calendar of meetings</w:t>
      </w:r>
    </w:p>
    <w:p w14:paraId="407F6BA5" w14:textId="70A28EA9" w:rsidR="00B21CA3" w:rsidRPr="003E0FA1" w:rsidRDefault="00263783" w:rsidP="00DE245D">
      <w:pPr>
        <w:spacing w:after="240"/>
        <w:ind w:left="1134" w:right="1134"/>
        <w:jc w:val="both"/>
      </w:pPr>
      <w:r w:rsidRPr="003E0FA1">
        <w:t>15</w:t>
      </w:r>
      <w:r w:rsidR="000231D2" w:rsidRPr="003E0FA1">
        <w:t>.</w:t>
      </w:r>
      <w:r w:rsidR="000231D2" w:rsidRPr="003E0FA1">
        <w:tab/>
      </w:r>
      <w:r w:rsidR="005C6837" w:rsidRPr="003E0FA1">
        <w:t>At its seventh session, t</w:t>
      </w:r>
      <w:r w:rsidR="00121B71" w:rsidRPr="003E0FA1">
        <w:t xml:space="preserve">he Committee </w:t>
      </w:r>
      <w:r w:rsidR="005C6837" w:rsidRPr="003E0FA1">
        <w:t xml:space="preserve">agreed to give the opportunity to </w:t>
      </w:r>
      <w:r w:rsidR="001501D3" w:rsidRPr="003E0FA1">
        <w:t>the TDG and GHS</w:t>
      </w:r>
      <w:r w:rsidR="005C6837" w:rsidRPr="003E0FA1">
        <w:t xml:space="preserve"> sub-committees to meet jointly to avoid duplication of discussions and </w:t>
      </w:r>
      <w:r w:rsidR="001733AE" w:rsidRPr="003E0FA1">
        <w:t xml:space="preserve">facilitate exchange of knowledge and expertise on </w:t>
      </w:r>
      <w:r w:rsidR="005C6837" w:rsidRPr="003E0FA1">
        <w:t>matters of common interest</w:t>
      </w:r>
      <w:r w:rsidR="00E21CAA">
        <w:rPr>
          <w:rStyle w:val="FootnoteReference"/>
        </w:rPr>
        <w:footnoteReference w:id="6"/>
      </w:r>
      <w:r w:rsidR="005C6837" w:rsidRPr="003E0FA1">
        <w:t xml:space="preserve">. </w:t>
      </w:r>
      <w:r w:rsidR="00D02A89">
        <w:t>Subsequently</w:t>
      </w:r>
      <w:r w:rsidR="003E0FA1">
        <w:t xml:space="preserve">, </w:t>
      </w:r>
      <w:r w:rsidR="001264CC">
        <w:t xml:space="preserve">since then </w:t>
      </w:r>
      <w:r w:rsidR="003E0FA1">
        <w:t>the sub-committees held</w:t>
      </w:r>
      <w:r w:rsidR="00DB6678">
        <w:t xml:space="preserve"> three j</w:t>
      </w:r>
      <w:r w:rsidR="003E0FA1">
        <w:t>oint sessions (</w:t>
      </w:r>
      <w:r w:rsidR="00DE50A9" w:rsidRPr="003E0FA1">
        <w:t>9 December 2015</w:t>
      </w:r>
      <w:r w:rsidR="00E21CAA">
        <w:rPr>
          <w:rStyle w:val="FootnoteReference"/>
        </w:rPr>
        <w:footnoteReference w:id="7"/>
      </w:r>
      <w:r w:rsidR="003E0FA1">
        <w:t xml:space="preserve">, </w:t>
      </w:r>
      <w:r w:rsidR="00185977" w:rsidRPr="003E0FA1">
        <w:t>5 July 2016</w:t>
      </w:r>
      <w:r w:rsidR="003E0FA1">
        <w:rPr>
          <w:rStyle w:val="FootnoteReference"/>
        </w:rPr>
        <w:footnoteReference w:id="8"/>
      </w:r>
      <w:r w:rsidR="00DE245D">
        <w:t>,</w:t>
      </w:r>
      <w:r w:rsidR="00185977" w:rsidRPr="003E0FA1">
        <w:t xml:space="preserve"> </w:t>
      </w:r>
      <w:r w:rsidR="003E0FA1">
        <w:t>3 July 2018</w:t>
      </w:r>
      <w:r w:rsidR="003E0FA1">
        <w:rPr>
          <w:rStyle w:val="FootnoteReference"/>
        </w:rPr>
        <w:footnoteReference w:id="9"/>
      </w:r>
      <w:r w:rsidR="00DE245D">
        <w:t>)</w:t>
      </w:r>
      <w:r w:rsidR="001501D3" w:rsidRPr="003E0FA1">
        <w:t>.</w:t>
      </w:r>
    </w:p>
    <w:p w14:paraId="7351655E" w14:textId="77777777" w:rsidR="00C8700E" w:rsidRDefault="005247CE" w:rsidP="00791290">
      <w:pPr>
        <w:spacing w:after="240"/>
        <w:ind w:left="1134" w:right="1134"/>
        <w:jc w:val="both"/>
      </w:pPr>
      <w:r>
        <w:t>16</w:t>
      </w:r>
      <w:r w:rsidR="00E83CAD" w:rsidRPr="003E0FA1">
        <w:t>.</w:t>
      </w:r>
      <w:r w:rsidR="00E83CAD" w:rsidRPr="003E0FA1">
        <w:tab/>
        <w:t xml:space="preserve">Considering that the joint sessions had proven to be successful for enhancing cooperation between the two sub-committees and addressing matters of common interest, the Committee decided </w:t>
      </w:r>
      <w:r w:rsidR="00A36402">
        <w:t>that j</w:t>
      </w:r>
      <w:r w:rsidR="00725BC5" w:rsidRPr="003E0FA1">
        <w:t xml:space="preserve">oint sessions of both </w:t>
      </w:r>
      <w:r w:rsidR="00121B71" w:rsidRPr="003E0FA1">
        <w:t>sub</w:t>
      </w:r>
      <w:r w:rsidR="002F32BE" w:rsidRPr="003E0FA1">
        <w:t>-</w:t>
      </w:r>
      <w:r w:rsidR="00121B71" w:rsidRPr="003E0FA1">
        <w:t xml:space="preserve">committees </w:t>
      </w:r>
      <w:r w:rsidR="00E83CAD" w:rsidRPr="003E0FA1">
        <w:t>may continue to</w:t>
      </w:r>
      <w:r w:rsidR="00725BC5" w:rsidRPr="003E0FA1">
        <w:t xml:space="preserve"> be convened </w:t>
      </w:r>
      <w:r w:rsidR="00C8700E" w:rsidRPr="003E0FA1">
        <w:t>at the second and third sessions</w:t>
      </w:r>
      <w:r w:rsidR="00725BC5" w:rsidRPr="003E0FA1">
        <w:t xml:space="preserve"> of </w:t>
      </w:r>
      <w:r w:rsidR="00A36402">
        <w:t>each</w:t>
      </w:r>
      <w:r w:rsidR="00A36402" w:rsidRPr="003E0FA1">
        <w:t xml:space="preserve"> </w:t>
      </w:r>
      <w:r w:rsidR="00725BC5" w:rsidRPr="003E0FA1">
        <w:t xml:space="preserve">biennium. The time allocated to the joint sessions would be determined by the chairs of both sub-committees and the secretariat </w:t>
      </w:r>
      <w:r w:rsidR="00A36402">
        <w:t>based on</w:t>
      </w:r>
      <w:r w:rsidR="00725BC5" w:rsidRPr="003E0FA1">
        <w:t xml:space="preserve"> the number of issues to be considered.</w:t>
      </w:r>
      <w:r w:rsidR="00C8700E" w:rsidRPr="003E0FA1">
        <w:t xml:space="preserve"> This would not entail any additional conference costs since it would not affect the </w:t>
      </w:r>
      <w:r w:rsidR="00146660" w:rsidRPr="003E0FA1">
        <w:t xml:space="preserve">global </w:t>
      </w:r>
      <w:r w:rsidR="00121B71" w:rsidRPr="003E0FA1">
        <w:t>number of meetings allocated.</w:t>
      </w:r>
    </w:p>
    <w:p w14:paraId="14AAAB7B" w14:textId="1A17C889" w:rsidR="00F530A9" w:rsidRDefault="005247CE" w:rsidP="0002633D">
      <w:pPr>
        <w:pStyle w:val="SingleTxtG"/>
      </w:pPr>
      <w:r>
        <w:t>17</w:t>
      </w:r>
      <w:r w:rsidR="00F530A9" w:rsidRPr="008741E5">
        <w:t>.</w:t>
      </w:r>
      <w:r w:rsidR="00F530A9" w:rsidRPr="008741E5">
        <w:tab/>
      </w:r>
      <w:r w:rsidR="00B751CE">
        <w:t>Informed by the secretariat about the availability of conference facilities, t</w:t>
      </w:r>
      <w:r w:rsidR="00F530A9" w:rsidRPr="008741E5">
        <w:t xml:space="preserve">he Committee agreed that the schedule of meetings for </w:t>
      </w:r>
      <w:r w:rsidR="00733AAD">
        <w:t>20</w:t>
      </w:r>
      <w:r w:rsidR="00DB6678">
        <w:t>2</w:t>
      </w:r>
      <w:r w:rsidR="000B6A6D">
        <w:t>3</w:t>
      </w:r>
      <w:r w:rsidR="00F530A9" w:rsidRPr="008741E5">
        <w:t>-</w:t>
      </w:r>
      <w:r w:rsidR="00733AAD">
        <w:t>202</w:t>
      </w:r>
      <w:r w:rsidR="000B6A6D">
        <w:t>4</w:t>
      </w:r>
      <w:r w:rsidR="00733AAD" w:rsidRPr="008741E5">
        <w:t xml:space="preserve"> </w:t>
      </w:r>
      <w:r w:rsidR="00F530A9" w:rsidRPr="008741E5">
        <w:t>should be as follows:</w:t>
      </w:r>
    </w:p>
    <w:p w14:paraId="7281498C" w14:textId="1D750065" w:rsidR="00733AAD" w:rsidRPr="00E21CAA" w:rsidRDefault="009C4A73" w:rsidP="00E21CAA">
      <w:pPr>
        <w:pStyle w:val="H4G"/>
        <w:keepNext w:val="0"/>
        <w:keepLines w:val="0"/>
        <w:rPr>
          <w:b/>
          <w:bCs/>
          <w:i w:val="0"/>
          <w:iCs/>
        </w:rPr>
      </w:pPr>
      <w:r w:rsidRPr="00E21CAA">
        <w:rPr>
          <w:b/>
          <w:bCs/>
          <w:i w:val="0"/>
          <w:iCs/>
        </w:rPr>
        <w:tab/>
      </w:r>
      <w:r w:rsidRPr="00E21CAA">
        <w:rPr>
          <w:b/>
          <w:bCs/>
          <w:i w:val="0"/>
          <w:iCs/>
        </w:rPr>
        <w:tab/>
      </w:r>
      <w:r w:rsidR="00733AAD" w:rsidRPr="00E21CAA">
        <w:rPr>
          <w:b/>
          <w:bCs/>
          <w:i w:val="0"/>
          <w:iCs/>
        </w:rPr>
        <w:t>20</w:t>
      </w:r>
      <w:r w:rsidR="00DB6678">
        <w:rPr>
          <w:b/>
          <w:bCs/>
          <w:i w:val="0"/>
          <w:iCs/>
        </w:rPr>
        <w:t>2</w:t>
      </w:r>
      <w:r w:rsidR="00EA4C6D">
        <w:rPr>
          <w:b/>
          <w:bCs/>
          <w:i w:val="0"/>
          <w:iCs/>
        </w:rPr>
        <w:t>3</w:t>
      </w:r>
    </w:p>
    <w:p w14:paraId="64EF8514" w14:textId="1BF905D0" w:rsidR="00733AAD" w:rsidRDefault="00CE2A09" w:rsidP="007B26FB">
      <w:pPr>
        <w:pStyle w:val="SingleTxtG"/>
        <w:tabs>
          <w:tab w:val="left" w:pos="3969"/>
          <w:tab w:val="right" w:pos="8505"/>
        </w:tabs>
      </w:pPr>
      <w:r>
        <w:t>3-7</w:t>
      </w:r>
      <w:r w:rsidR="00AE734C">
        <w:t xml:space="preserve"> July 20</w:t>
      </w:r>
      <w:r w:rsidR="00DB6678">
        <w:t>2</w:t>
      </w:r>
      <w:r>
        <w:t>3</w:t>
      </w:r>
      <w:r w:rsidR="00AE734C">
        <w:tab/>
      </w:r>
      <w:r w:rsidR="00DC4ADB">
        <w:tab/>
      </w:r>
      <w:r w:rsidR="00AE734C">
        <w:t xml:space="preserve">TDG Sub-Committee, </w:t>
      </w:r>
      <w:r>
        <w:t>sixty-second</w:t>
      </w:r>
      <w:r w:rsidR="00A36402">
        <w:t xml:space="preserve"> </w:t>
      </w:r>
      <w:r w:rsidR="00733AAD">
        <w:t>session</w:t>
      </w:r>
      <w:r w:rsidR="00AE734C">
        <w:t xml:space="preserve"> (10 meetings</w:t>
      </w:r>
      <w:r w:rsidR="00733AAD">
        <w:t>)</w:t>
      </w:r>
    </w:p>
    <w:p w14:paraId="53D14EF8" w14:textId="65C6E79C" w:rsidR="00733AAD" w:rsidRDefault="00331B33" w:rsidP="00DB6678">
      <w:pPr>
        <w:pStyle w:val="SingleTxtG"/>
        <w:tabs>
          <w:tab w:val="left" w:pos="3969"/>
          <w:tab w:val="right" w:pos="8505"/>
        </w:tabs>
      </w:pPr>
      <w:r>
        <w:t>10</w:t>
      </w:r>
      <w:r w:rsidR="00733AAD">
        <w:t>-</w:t>
      </w:r>
      <w:r>
        <w:t>12</w:t>
      </w:r>
      <w:r w:rsidR="00733AAD">
        <w:t xml:space="preserve"> (morning) </w:t>
      </w:r>
      <w:r w:rsidR="00AE734C">
        <w:t>July 20</w:t>
      </w:r>
      <w:r w:rsidR="00DB6678">
        <w:t>2</w:t>
      </w:r>
      <w:r>
        <w:t>3</w:t>
      </w:r>
      <w:r w:rsidR="00AE734C">
        <w:tab/>
        <w:t xml:space="preserve">GHS Sub-Committee, </w:t>
      </w:r>
      <w:r w:rsidR="00DB6678">
        <w:t>fort</w:t>
      </w:r>
      <w:r w:rsidR="00A701BA">
        <w:t>y-fourth</w:t>
      </w:r>
      <w:r w:rsidR="00733AAD">
        <w:t xml:space="preserve"> session</w:t>
      </w:r>
      <w:r w:rsidR="00AE734C">
        <w:t xml:space="preserve"> (5</w:t>
      </w:r>
      <w:r w:rsidR="008B0C2A">
        <w:t xml:space="preserve"> </w:t>
      </w:r>
      <w:r w:rsidR="00AE734C">
        <w:t>meetings</w:t>
      </w:r>
      <w:r w:rsidR="00733AAD">
        <w:t>)</w:t>
      </w:r>
    </w:p>
    <w:p w14:paraId="1FCF5FDB" w14:textId="6FBD8699" w:rsidR="00733AAD" w:rsidRDefault="00733AAD" w:rsidP="003F0A86">
      <w:pPr>
        <w:pStyle w:val="SingleTxtG"/>
        <w:tabs>
          <w:tab w:val="left" w:pos="3969"/>
        </w:tabs>
        <w:ind w:right="992"/>
        <w:jc w:val="left"/>
      </w:pPr>
      <w:r>
        <w:t>2</w:t>
      </w:r>
      <w:r w:rsidR="00A701BA">
        <w:t>7</w:t>
      </w:r>
      <w:r w:rsidR="00DB6678">
        <w:t xml:space="preserve"> Nov.</w:t>
      </w:r>
      <w:r>
        <w:t>-</w:t>
      </w:r>
      <w:r w:rsidR="00DF3E9F">
        <w:t>6</w:t>
      </w:r>
      <w:r>
        <w:t xml:space="preserve"> (morning)</w:t>
      </w:r>
      <w:bookmarkStart w:id="0" w:name="_Ref530389642"/>
      <w:r w:rsidR="00AE734C" w:rsidRPr="00E21CAA">
        <w:rPr>
          <w:vertAlign w:val="superscript"/>
        </w:rPr>
        <w:footnoteReference w:id="10"/>
      </w:r>
      <w:bookmarkEnd w:id="0"/>
      <w:r w:rsidR="009F5388">
        <w:t xml:space="preserve"> </w:t>
      </w:r>
      <w:r>
        <w:t>D</w:t>
      </w:r>
      <w:r w:rsidR="00AE734C">
        <w:t>ec</w:t>
      </w:r>
      <w:r w:rsidR="00DB6678">
        <w:t>.</w:t>
      </w:r>
      <w:r w:rsidR="00AE734C">
        <w:t xml:space="preserve"> 20</w:t>
      </w:r>
      <w:r w:rsidR="00DB6678">
        <w:t>2</w:t>
      </w:r>
      <w:r w:rsidR="00DF3E9F">
        <w:t>3</w:t>
      </w:r>
      <w:r w:rsidR="00AE734C">
        <w:tab/>
        <w:t xml:space="preserve">TDG Sub-Committee, </w:t>
      </w:r>
      <w:r w:rsidR="00DF3E9F">
        <w:t>sixty-third</w:t>
      </w:r>
      <w:r>
        <w:t xml:space="preserve"> session</w:t>
      </w:r>
      <w:r w:rsidR="00AE734C">
        <w:t xml:space="preserve"> (15 meetings</w:t>
      </w:r>
      <w:r>
        <w:t>)</w:t>
      </w:r>
    </w:p>
    <w:p w14:paraId="719D0D47" w14:textId="4FABECFA" w:rsidR="00733AAD" w:rsidRDefault="00942A76" w:rsidP="003F0A86">
      <w:pPr>
        <w:pStyle w:val="SingleTxtG"/>
        <w:tabs>
          <w:tab w:val="left" w:pos="3969"/>
        </w:tabs>
        <w:ind w:right="992"/>
        <w:jc w:val="left"/>
      </w:pPr>
      <w:r>
        <w:t>6</w:t>
      </w:r>
      <w:r w:rsidR="00733AAD">
        <w:t xml:space="preserve"> (afternoon)</w:t>
      </w:r>
      <w:r w:rsidR="002203FA">
        <w:rPr>
          <w:vertAlign w:val="superscript"/>
        </w:rPr>
        <w:t>6</w:t>
      </w:r>
      <w:r w:rsidR="00F0306B">
        <w:t>-</w:t>
      </w:r>
      <w:r w:rsidR="0007149F">
        <w:t>8</w:t>
      </w:r>
      <w:r w:rsidR="00733AAD">
        <w:t xml:space="preserve"> De</w:t>
      </w:r>
      <w:r w:rsidR="00AE734C">
        <w:t>c</w:t>
      </w:r>
      <w:r w:rsidR="00F0306B">
        <w:t>ember</w:t>
      </w:r>
      <w:r w:rsidR="00AE734C">
        <w:t xml:space="preserve"> 20</w:t>
      </w:r>
      <w:r w:rsidR="00DB6678">
        <w:t>2</w:t>
      </w:r>
      <w:r w:rsidR="002E3FBE">
        <w:t>3</w:t>
      </w:r>
      <w:r w:rsidR="00AE734C">
        <w:tab/>
        <w:t xml:space="preserve">GHS Sub-Committee, </w:t>
      </w:r>
      <w:r w:rsidR="00DB6678">
        <w:t>for</w:t>
      </w:r>
      <w:r w:rsidR="00A36402">
        <w:t>ty-</w:t>
      </w:r>
      <w:r>
        <w:t>fifth</w:t>
      </w:r>
      <w:r w:rsidR="00733AAD">
        <w:t xml:space="preserve"> session</w:t>
      </w:r>
      <w:r w:rsidR="00AE734C">
        <w:t xml:space="preserve"> (5 meetings</w:t>
      </w:r>
      <w:r w:rsidR="00733AAD">
        <w:t>)</w:t>
      </w:r>
    </w:p>
    <w:p w14:paraId="311349E4" w14:textId="77777777" w:rsidR="00AE734C" w:rsidRDefault="00AE734C" w:rsidP="00E21CAA">
      <w:pPr>
        <w:pStyle w:val="H4G"/>
        <w:keepNext w:val="0"/>
        <w:keepLines w:val="0"/>
      </w:pPr>
      <w:r w:rsidRPr="00B96225">
        <w:tab/>
      </w:r>
      <w:r w:rsidRPr="00B96225">
        <w:tab/>
        <w:t>Total:</w:t>
      </w:r>
    </w:p>
    <w:p w14:paraId="4C067549" w14:textId="2F4B1001" w:rsidR="00AE734C" w:rsidRPr="00B96225" w:rsidRDefault="00AE734C" w:rsidP="00AE734C">
      <w:pPr>
        <w:pStyle w:val="SingleTxtG"/>
      </w:pPr>
      <w:r w:rsidRPr="00B96225">
        <w:t xml:space="preserve">TDG: </w:t>
      </w:r>
      <w:r>
        <w:t>25</w:t>
      </w:r>
      <w:r w:rsidRPr="00B96225">
        <w:t xml:space="preserve"> meetings</w:t>
      </w:r>
      <w:r w:rsidR="00621DF1">
        <w:rPr>
          <w:vertAlign w:val="superscript"/>
        </w:rPr>
        <w:t>7</w:t>
      </w:r>
    </w:p>
    <w:p w14:paraId="2ECE59F9" w14:textId="31FFC122" w:rsidR="00AE734C" w:rsidRDefault="00AE734C" w:rsidP="00AE734C">
      <w:pPr>
        <w:pStyle w:val="SingleTxtG"/>
        <w:jc w:val="left"/>
        <w:rPr>
          <w:sz w:val="18"/>
          <w:szCs w:val="18"/>
          <w:vertAlign w:val="superscript"/>
        </w:rPr>
      </w:pPr>
      <w:r w:rsidRPr="00B96225">
        <w:t xml:space="preserve">GHS: </w:t>
      </w:r>
      <w:r>
        <w:t>10 meetings</w:t>
      </w:r>
      <w:r w:rsidR="00280705">
        <w:rPr>
          <w:vertAlign w:val="superscript"/>
        </w:rPr>
        <w:t>7</w:t>
      </w:r>
    </w:p>
    <w:p w14:paraId="3D5E60E0" w14:textId="3A6F66B5" w:rsidR="00733AAD" w:rsidRPr="00E21CAA" w:rsidRDefault="009C4A73" w:rsidP="00E21CAA">
      <w:pPr>
        <w:pStyle w:val="H4G"/>
        <w:rPr>
          <w:b/>
          <w:bCs/>
          <w:i w:val="0"/>
          <w:iCs/>
        </w:rPr>
      </w:pPr>
      <w:r w:rsidRPr="00E21CAA">
        <w:rPr>
          <w:b/>
          <w:bCs/>
          <w:i w:val="0"/>
          <w:iCs/>
        </w:rPr>
        <w:tab/>
      </w:r>
      <w:r w:rsidRPr="00E21CAA">
        <w:rPr>
          <w:b/>
          <w:bCs/>
          <w:i w:val="0"/>
          <w:iCs/>
        </w:rPr>
        <w:tab/>
      </w:r>
      <w:r w:rsidR="00733AAD" w:rsidRPr="00E21CAA">
        <w:rPr>
          <w:b/>
          <w:bCs/>
          <w:i w:val="0"/>
          <w:iCs/>
        </w:rPr>
        <w:t>202</w:t>
      </w:r>
      <w:r w:rsidR="0007149F">
        <w:rPr>
          <w:b/>
          <w:bCs/>
          <w:i w:val="0"/>
          <w:iCs/>
        </w:rPr>
        <w:t>4</w:t>
      </w:r>
    </w:p>
    <w:p w14:paraId="68B74CC9" w14:textId="1F187FB6" w:rsidR="00733AAD" w:rsidRDefault="00733AAD" w:rsidP="00E21CAA">
      <w:pPr>
        <w:pStyle w:val="SingleTxtG"/>
        <w:tabs>
          <w:tab w:val="left" w:pos="3828"/>
          <w:tab w:val="right" w:pos="8460"/>
        </w:tabs>
      </w:pPr>
      <w:r>
        <w:t>2</w:t>
      </w:r>
      <w:r w:rsidR="009D0135">
        <w:t>4</w:t>
      </w:r>
      <w:r>
        <w:t xml:space="preserve"> June</w:t>
      </w:r>
      <w:r w:rsidR="00F0306B">
        <w:t>-</w:t>
      </w:r>
      <w:r w:rsidR="009A2418">
        <w:t>3</w:t>
      </w:r>
      <w:r>
        <w:t xml:space="preserve"> (morning</w:t>
      </w:r>
      <w:r w:rsidR="00AE734C">
        <w:t>)</w:t>
      </w:r>
      <w:r w:rsidR="00280705">
        <w:rPr>
          <w:rStyle w:val="FootnoteReference"/>
        </w:rPr>
        <w:footnoteReference w:customMarkFollows="1" w:id="11"/>
        <w:t>7</w:t>
      </w:r>
      <w:r w:rsidR="00AE734C">
        <w:t xml:space="preserve"> July 202</w:t>
      </w:r>
      <w:r w:rsidR="008C724D">
        <w:t>4</w:t>
      </w:r>
      <w:r w:rsidR="00AE734C">
        <w:tab/>
        <w:t xml:space="preserve">TDG Sub-Committee, </w:t>
      </w:r>
      <w:r w:rsidR="00250E7E">
        <w:t>sixt</w:t>
      </w:r>
      <w:r w:rsidR="00C558AB">
        <w:t>y-</w:t>
      </w:r>
      <w:r w:rsidR="00124A53">
        <w:t>fourth</w:t>
      </w:r>
      <w:r>
        <w:t xml:space="preserve"> session</w:t>
      </w:r>
      <w:r w:rsidR="00AE734C">
        <w:t xml:space="preserve"> (15 meetings</w:t>
      </w:r>
      <w:r>
        <w:t>)</w:t>
      </w:r>
    </w:p>
    <w:p w14:paraId="5B09ABEF" w14:textId="6776D26F" w:rsidR="00733AAD" w:rsidRDefault="00E10691" w:rsidP="00E21CAA">
      <w:pPr>
        <w:pStyle w:val="SingleTxtG"/>
        <w:tabs>
          <w:tab w:val="left" w:pos="3828"/>
          <w:tab w:val="right" w:pos="8460"/>
        </w:tabs>
      </w:pPr>
      <w:r>
        <w:t>3</w:t>
      </w:r>
      <w:r w:rsidR="00733AAD">
        <w:t xml:space="preserve"> (afternoon)</w:t>
      </w:r>
      <w:r w:rsidR="00A422C9">
        <w:rPr>
          <w:vertAlign w:val="superscript"/>
        </w:rPr>
        <w:t>7</w:t>
      </w:r>
      <w:r w:rsidR="00F0306B">
        <w:t>-</w:t>
      </w:r>
      <w:r w:rsidR="00094382">
        <w:t>5</w:t>
      </w:r>
      <w:r w:rsidR="00AE734C">
        <w:t xml:space="preserve"> July 202</w:t>
      </w:r>
      <w:r w:rsidR="008C724D">
        <w:t>4</w:t>
      </w:r>
      <w:r w:rsidR="00AE734C">
        <w:tab/>
        <w:t xml:space="preserve">GHS Sub-Committee, </w:t>
      </w:r>
      <w:r w:rsidR="00250E7E">
        <w:t>forty-</w:t>
      </w:r>
      <w:r w:rsidR="00124A53">
        <w:t>sixth</w:t>
      </w:r>
      <w:r w:rsidR="00733AAD">
        <w:t xml:space="preserve"> session</w:t>
      </w:r>
      <w:r w:rsidR="00AE734C">
        <w:t xml:space="preserve"> (5 meetings</w:t>
      </w:r>
      <w:r w:rsidR="00733AAD">
        <w:t>)</w:t>
      </w:r>
    </w:p>
    <w:p w14:paraId="1D15E5C4" w14:textId="263C73A7" w:rsidR="00733AAD" w:rsidRDefault="00250E7E" w:rsidP="00E21CAA">
      <w:pPr>
        <w:pStyle w:val="SingleTxtG"/>
        <w:tabs>
          <w:tab w:val="left" w:pos="3828"/>
          <w:tab w:val="right" w:pos="8460"/>
        </w:tabs>
      </w:pPr>
      <w:r>
        <w:t>2</w:t>
      </w:r>
      <w:r w:rsidR="00BB2997">
        <w:t>5</w:t>
      </w:r>
      <w:r w:rsidR="00733AAD">
        <w:t xml:space="preserve"> November</w:t>
      </w:r>
      <w:r w:rsidR="00F0306B">
        <w:t>-</w:t>
      </w:r>
      <w:r w:rsidR="00BB2997">
        <w:t>3</w:t>
      </w:r>
      <w:r w:rsidR="00733AAD">
        <w:t xml:space="preserve"> Dec</w:t>
      </w:r>
      <w:r w:rsidR="00F0306B">
        <w:t>ember</w:t>
      </w:r>
      <w:r w:rsidR="00733AAD">
        <w:t xml:space="preserve"> 202</w:t>
      </w:r>
      <w:r w:rsidR="008C724D">
        <w:t>4</w:t>
      </w:r>
      <w:r w:rsidR="00733AAD">
        <w:tab/>
        <w:t>TDG Sub</w:t>
      </w:r>
      <w:r w:rsidR="00AE734C">
        <w:t xml:space="preserve">-Committee, </w:t>
      </w:r>
      <w:r>
        <w:t>sixty-</w:t>
      </w:r>
      <w:r w:rsidR="00C75059">
        <w:t>fifth</w:t>
      </w:r>
      <w:r w:rsidR="00733AAD">
        <w:t xml:space="preserve"> session</w:t>
      </w:r>
      <w:r w:rsidR="00AE734C">
        <w:t xml:space="preserve"> (14 meetings</w:t>
      </w:r>
      <w:r w:rsidR="00733AAD">
        <w:t>)</w:t>
      </w:r>
    </w:p>
    <w:p w14:paraId="6C1C3FEE" w14:textId="62859797" w:rsidR="00733AAD" w:rsidRDefault="00AE668D" w:rsidP="00E21CAA">
      <w:pPr>
        <w:pStyle w:val="SingleTxtG"/>
        <w:tabs>
          <w:tab w:val="left" w:pos="3828"/>
          <w:tab w:val="right" w:pos="8460"/>
        </w:tabs>
      </w:pPr>
      <w:r>
        <w:t>4</w:t>
      </w:r>
      <w:r w:rsidR="00F0306B">
        <w:t>-</w:t>
      </w:r>
      <w:r w:rsidR="00C31E0B">
        <w:t>6</w:t>
      </w:r>
      <w:r w:rsidR="00733AAD">
        <w:t xml:space="preserve"> (morning) De</w:t>
      </w:r>
      <w:r w:rsidR="00AE734C">
        <w:t>c</w:t>
      </w:r>
      <w:r w:rsidR="00F0306B">
        <w:t>ember</w:t>
      </w:r>
      <w:r w:rsidR="00AE734C">
        <w:t xml:space="preserve"> 202</w:t>
      </w:r>
      <w:r w:rsidR="008C724D">
        <w:t>4</w:t>
      </w:r>
      <w:r w:rsidR="00AE734C">
        <w:tab/>
        <w:t xml:space="preserve">GHS Sub-Committee, </w:t>
      </w:r>
      <w:r w:rsidR="00250E7E">
        <w:t>forty-</w:t>
      </w:r>
      <w:r w:rsidR="00C75059">
        <w:t>seventh</w:t>
      </w:r>
      <w:r w:rsidR="00733AAD">
        <w:t xml:space="preserve"> session</w:t>
      </w:r>
      <w:r w:rsidR="00AE734C">
        <w:t xml:space="preserve"> (5 meetings</w:t>
      </w:r>
      <w:r w:rsidR="00733AAD">
        <w:t>)</w:t>
      </w:r>
    </w:p>
    <w:p w14:paraId="12CD825A" w14:textId="0AB5707C" w:rsidR="00733AAD" w:rsidRDefault="00C31E0B" w:rsidP="00E21CAA">
      <w:pPr>
        <w:pStyle w:val="SingleTxtG"/>
        <w:tabs>
          <w:tab w:val="left" w:pos="3828"/>
          <w:tab w:val="right" w:pos="8460"/>
        </w:tabs>
      </w:pPr>
      <w:r>
        <w:t>6</w:t>
      </w:r>
      <w:r w:rsidR="00733AAD">
        <w:t xml:space="preserve"> December (afte</w:t>
      </w:r>
      <w:r w:rsidR="00AE734C">
        <w:t>rnoon) 202</w:t>
      </w:r>
      <w:r w:rsidR="008C724D">
        <w:t>4</w:t>
      </w:r>
      <w:r w:rsidR="00AE734C">
        <w:tab/>
        <w:t xml:space="preserve">TDG-GHS Committee, </w:t>
      </w:r>
      <w:r>
        <w:t>twelf</w:t>
      </w:r>
      <w:r w:rsidR="00A36402">
        <w:t>th</w:t>
      </w:r>
      <w:r w:rsidR="00733AAD">
        <w:t xml:space="preserve"> session</w:t>
      </w:r>
      <w:r w:rsidR="00AE734C">
        <w:t xml:space="preserve"> (1 meeting</w:t>
      </w:r>
      <w:r w:rsidR="00733AAD">
        <w:t>)</w:t>
      </w:r>
    </w:p>
    <w:p w14:paraId="710E77F5" w14:textId="77777777" w:rsidR="00AE734C" w:rsidRDefault="00AE734C" w:rsidP="00AE734C">
      <w:pPr>
        <w:pStyle w:val="H4G"/>
        <w:keepNext w:val="0"/>
        <w:keepLines w:val="0"/>
      </w:pPr>
      <w:r w:rsidRPr="00B96225">
        <w:tab/>
      </w:r>
      <w:r w:rsidRPr="00B96225">
        <w:tab/>
        <w:t>Total:</w:t>
      </w:r>
    </w:p>
    <w:p w14:paraId="531CD3DC" w14:textId="78F625E2" w:rsidR="00AE734C" w:rsidRPr="00B96225" w:rsidRDefault="00AE734C" w:rsidP="00AE734C">
      <w:pPr>
        <w:pStyle w:val="SingleTxtG"/>
      </w:pPr>
      <w:r w:rsidRPr="00B96225">
        <w:t>TDG:</w:t>
      </w:r>
      <w:r w:rsidRPr="00B96225">
        <w:tab/>
      </w:r>
      <w:r w:rsidRPr="00B96225">
        <w:tab/>
        <w:t>29 meetings</w:t>
      </w:r>
      <w:r w:rsidR="00A422C9">
        <w:rPr>
          <w:vertAlign w:val="superscript"/>
        </w:rPr>
        <w:t>7</w:t>
      </w:r>
    </w:p>
    <w:p w14:paraId="13F88175" w14:textId="3C7F2254" w:rsidR="00AE734C" w:rsidRDefault="00AE734C" w:rsidP="00AE734C">
      <w:pPr>
        <w:pStyle w:val="SingleTxtG"/>
      </w:pPr>
      <w:r w:rsidRPr="00B96225">
        <w:t>GHS:</w:t>
      </w:r>
      <w:r w:rsidRPr="00B96225">
        <w:tab/>
      </w:r>
      <w:r w:rsidRPr="00B96225">
        <w:tab/>
      </w:r>
      <w:r>
        <w:t>10</w:t>
      </w:r>
      <w:r w:rsidRPr="00B96225">
        <w:t xml:space="preserve"> meetings</w:t>
      </w:r>
      <w:r w:rsidR="00A422C9">
        <w:rPr>
          <w:vertAlign w:val="superscript"/>
        </w:rPr>
        <w:t>7</w:t>
      </w:r>
    </w:p>
    <w:p w14:paraId="3F8B1383" w14:textId="77777777" w:rsidR="00AE734C" w:rsidRDefault="00AE734C" w:rsidP="00AE734C">
      <w:pPr>
        <w:pStyle w:val="SingleTxtG"/>
      </w:pPr>
      <w:r w:rsidRPr="008741E5">
        <w:t>Committee:</w:t>
      </w:r>
      <w:r>
        <w:tab/>
        <w:t>1</w:t>
      </w:r>
      <w:r w:rsidRPr="008741E5">
        <w:t xml:space="preserve"> meeting</w:t>
      </w:r>
    </w:p>
    <w:p w14:paraId="5578504C" w14:textId="6DA8ECC2" w:rsidR="00DC035A" w:rsidRDefault="00DC035A" w:rsidP="00B96225">
      <w:pPr>
        <w:pStyle w:val="HChG"/>
      </w:pPr>
      <w:r>
        <w:tab/>
        <w:t>VIII</w:t>
      </w:r>
      <w:r w:rsidRPr="00E96A05">
        <w:t>.</w:t>
      </w:r>
      <w:r w:rsidRPr="00E96A05">
        <w:tab/>
        <w:t xml:space="preserve">Draft resolution </w:t>
      </w:r>
      <w:r w:rsidR="00EF3D3E">
        <w:t>20</w:t>
      </w:r>
      <w:r w:rsidR="00250E7E">
        <w:t>2</w:t>
      </w:r>
      <w:r w:rsidR="00CF6B8B">
        <w:t>3</w:t>
      </w:r>
      <w:r w:rsidRPr="00E96A05">
        <w:t xml:space="preserve">/… of the Economic and Social Council </w:t>
      </w:r>
      <w:r>
        <w:t>(agenda item 7)</w:t>
      </w:r>
    </w:p>
    <w:p w14:paraId="03AD46EF" w14:textId="6FD2D15F" w:rsidR="00F42B0E" w:rsidRPr="004A31F7" w:rsidRDefault="00F42B0E" w:rsidP="004A31F7">
      <w:pPr>
        <w:pStyle w:val="SingleTxtG"/>
        <w:keepNext/>
        <w:keepLines/>
        <w:tabs>
          <w:tab w:val="left" w:pos="3119"/>
        </w:tabs>
        <w:ind w:left="3119" w:hanging="1985"/>
        <w:jc w:val="left"/>
      </w:pPr>
      <w:r w:rsidRPr="004A31F7">
        <w:rPr>
          <w:i/>
          <w:iCs/>
        </w:rPr>
        <w:t>Informal document</w:t>
      </w:r>
      <w:r w:rsidRPr="004A31F7">
        <w:t xml:space="preserve">: </w:t>
      </w:r>
      <w:r w:rsidR="00933CCF" w:rsidRPr="004A31F7">
        <w:tab/>
      </w:r>
      <w:r w:rsidR="00072C66" w:rsidRPr="004A31F7">
        <w:t>INF.</w:t>
      </w:r>
      <w:r w:rsidR="002709D8">
        <w:t>12/Rev.1</w:t>
      </w:r>
      <w:r w:rsidR="002A7B19" w:rsidRPr="004A31F7">
        <w:t xml:space="preserve"> (TDG </w:t>
      </w:r>
      <w:r w:rsidR="009161C2">
        <w:t>sixty-first</w:t>
      </w:r>
      <w:r w:rsidR="002A7B19" w:rsidRPr="004A31F7">
        <w:t xml:space="preserve"> session)</w:t>
      </w:r>
      <w:r w:rsidR="00D379D2">
        <w:t>/</w:t>
      </w:r>
      <w:r w:rsidR="00443689">
        <w:br/>
      </w:r>
      <w:r w:rsidR="002A7B19" w:rsidRPr="004A31F7">
        <w:t>INF.</w:t>
      </w:r>
      <w:r w:rsidR="009161C2">
        <w:t>10</w:t>
      </w:r>
      <w:r w:rsidR="00F00097">
        <w:t>/Rev.1</w:t>
      </w:r>
      <w:r w:rsidR="002A7B19" w:rsidRPr="004A31F7">
        <w:t xml:space="preserve"> (GHS </w:t>
      </w:r>
      <w:r w:rsidR="004E02A9">
        <w:t>forty-third</w:t>
      </w:r>
      <w:r w:rsidR="002A7B19" w:rsidRPr="004A31F7">
        <w:t xml:space="preserve"> session)</w:t>
      </w:r>
    </w:p>
    <w:p w14:paraId="2986F1B4" w14:textId="233C6846" w:rsidR="00F42B0E" w:rsidRDefault="005247CE" w:rsidP="006A4C48">
      <w:pPr>
        <w:pStyle w:val="SingleTxtG"/>
      </w:pPr>
      <w:r w:rsidRPr="004A31F7">
        <w:t>18</w:t>
      </w:r>
      <w:r w:rsidR="00F42B0E" w:rsidRPr="004A31F7">
        <w:t>.</w:t>
      </w:r>
      <w:r w:rsidR="00F42B0E" w:rsidRPr="004A31F7">
        <w:tab/>
        <w:t>The Committee adopted a draft resolution for cons</w:t>
      </w:r>
      <w:r w:rsidR="009F5388" w:rsidRPr="004A31F7">
        <w:t>ideration by</w:t>
      </w:r>
      <w:r w:rsidR="009F5388">
        <w:t xml:space="preserve"> the Council at its </w:t>
      </w:r>
      <w:r w:rsidR="00EF3D3E">
        <w:t>20</w:t>
      </w:r>
      <w:r w:rsidR="00C50E67">
        <w:t>2</w:t>
      </w:r>
      <w:r w:rsidR="001F45D8">
        <w:t>3</w:t>
      </w:r>
      <w:r w:rsidR="00EF3D3E" w:rsidRPr="008741E5">
        <w:t xml:space="preserve"> </w:t>
      </w:r>
      <w:r w:rsidR="00F42B0E" w:rsidRPr="008741E5">
        <w:t xml:space="preserve">session (see </w:t>
      </w:r>
      <w:r w:rsidR="006A4C48">
        <w:t>a</w:t>
      </w:r>
      <w:r w:rsidR="00F42B0E" w:rsidRPr="008741E5">
        <w:t>nnex</w:t>
      </w:r>
      <w:r w:rsidR="000046B8">
        <w:t xml:space="preserve"> IV</w:t>
      </w:r>
      <w:r w:rsidR="00F42B0E" w:rsidRPr="008741E5">
        <w:t>).</w:t>
      </w:r>
    </w:p>
    <w:p w14:paraId="2DF1E13A" w14:textId="1B23E265" w:rsidR="00AA01BD" w:rsidRPr="00B20F1E" w:rsidRDefault="00AA01BD" w:rsidP="00AA01BD">
      <w:pPr>
        <w:pStyle w:val="HChG"/>
        <w:rPr>
          <w:bCs/>
        </w:rPr>
      </w:pPr>
      <w:r>
        <w:tab/>
      </w:r>
      <w:r w:rsidRPr="00B20F1E">
        <w:t>IX.</w:t>
      </w:r>
      <w:r w:rsidRPr="00B20F1E">
        <w:tab/>
      </w:r>
      <w:r>
        <w:t xml:space="preserve">Work of the </w:t>
      </w:r>
      <w:r w:rsidR="001B33AF">
        <w:t>Economic and Social Council</w:t>
      </w:r>
      <w:r w:rsidRPr="00B20F1E">
        <w:t xml:space="preserve"> (agenda item 8)</w:t>
      </w:r>
    </w:p>
    <w:p w14:paraId="13DEE6FA" w14:textId="347A8D1D" w:rsidR="002D000F" w:rsidRPr="004A31F7" w:rsidRDefault="002D000F" w:rsidP="002D000F">
      <w:pPr>
        <w:pStyle w:val="SingleTxtG"/>
        <w:keepNext/>
        <w:keepLines/>
        <w:tabs>
          <w:tab w:val="left" w:pos="3119"/>
        </w:tabs>
        <w:ind w:left="3119" w:hanging="1985"/>
        <w:jc w:val="left"/>
      </w:pPr>
      <w:r w:rsidRPr="004A31F7">
        <w:rPr>
          <w:i/>
          <w:iCs/>
        </w:rPr>
        <w:t>Informal document</w:t>
      </w:r>
      <w:r>
        <w:rPr>
          <w:i/>
          <w:iCs/>
        </w:rPr>
        <w:t>s</w:t>
      </w:r>
      <w:r w:rsidRPr="004A31F7">
        <w:t xml:space="preserve">: </w:t>
      </w:r>
      <w:r w:rsidRPr="004A31F7">
        <w:tab/>
        <w:t>INF.</w:t>
      </w:r>
      <w:r w:rsidR="00D7566E">
        <w:t>3</w:t>
      </w:r>
      <w:r>
        <w:t>1/Rev.1</w:t>
      </w:r>
      <w:r w:rsidRPr="004A31F7">
        <w:t xml:space="preserve"> (TDG </w:t>
      </w:r>
      <w:r w:rsidR="00D7566E">
        <w:t>fift</w:t>
      </w:r>
      <w:r>
        <w:t>y-</w:t>
      </w:r>
      <w:r w:rsidR="00D7566E">
        <w:t>nin</w:t>
      </w:r>
      <w:r>
        <w:t>t</w:t>
      </w:r>
      <w:r w:rsidR="00D7566E">
        <w:t>h</w:t>
      </w:r>
      <w:r w:rsidRPr="004A31F7">
        <w:t xml:space="preserve"> session)</w:t>
      </w:r>
      <w:r w:rsidR="00D7566E">
        <w:br/>
      </w:r>
      <w:r w:rsidRPr="004A31F7">
        <w:t>INF.</w:t>
      </w:r>
      <w:r w:rsidR="00D7566E">
        <w:t>5</w:t>
      </w:r>
      <w:r w:rsidRPr="004A31F7">
        <w:t xml:space="preserve"> (GHS </w:t>
      </w:r>
      <w:r>
        <w:t>forty-</w:t>
      </w:r>
      <w:r w:rsidR="00D7566E">
        <w:t>first</w:t>
      </w:r>
      <w:r w:rsidRPr="004A31F7">
        <w:t xml:space="preserve"> session)</w:t>
      </w:r>
    </w:p>
    <w:p w14:paraId="335A3D32" w14:textId="474408EA" w:rsidR="00AA01BD" w:rsidRPr="00E96A05" w:rsidRDefault="00AA01BD" w:rsidP="00B21229">
      <w:pPr>
        <w:pStyle w:val="SingleTxtG"/>
      </w:pPr>
      <w:r>
        <w:t>19</w:t>
      </w:r>
      <w:r w:rsidRPr="00B20F1E">
        <w:t>.</w:t>
      </w:r>
      <w:r w:rsidRPr="00B20F1E">
        <w:tab/>
      </w:r>
      <w:r w:rsidR="00626247">
        <w:t xml:space="preserve">The </w:t>
      </w:r>
      <w:r w:rsidR="005529AB">
        <w:t xml:space="preserve">Committee </w:t>
      </w:r>
      <w:r w:rsidR="00A54A20">
        <w:t>noted the r</w:t>
      </w:r>
      <w:r w:rsidR="00A54A20" w:rsidRPr="00A54A20">
        <w:t xml:space="preserve">eview of ECOSOC subsidiary bodies </w:t>
      </w:r>
      <w:r w:rsidR="00CA6E2C">
        <w:t>which was cond</w:t>
      </w:r>
      <w:r w:rsidR="00A54A20" w:rsidRPr="00A54A20">
        <w:t>ucted during the 2022 session of ECOSOC</w:t>
      </w:r>
      <w:r w:rsidR="00B20BE3">
        <w:t xml:space="preserve"> and to which </w:t>
      </w:r>
      <w:r w:rsidR="00A54A20" w:rsidRPr="00A54A20">
        <w:t xml:space="preserve">the TDG </w:t>
      </w:r>
      <w:r w:rsidR="00211C35">
        <w:t>and GHS s</w:t>
      </w:r>
      <w:r w:rsidR="00A54A20" w:rsidRPr="00A54A20">
        <w:t>ub-</w:t>
      </w:r>
      <w:r w:rsidR="00211C35">
        <w:t>c</w:t>
      </w:r>
      <w:r w:rsidR="00A54A20" w:rsidRPr="00A54A20">
        <w:t>ommittee</w:t>
      </w:r>
      <w:r w:rsidR="00211C35">
        <w:t>s</w:t>
      </w:r>
      <w:r w:rsidR="00A54A20" w:rsidRPr="00A54A20">
        <w:t xml:space="preserve"> </w:t>
      </w:r>
      <w:r w:rsidR="001448A0">
        <w:t xml:space="preserve">already </w:t>
      </w:r>
      <w:r w:rsidR="00211C35">
        <w:t>contributed</w:t>
      </w:r>
      <w:r w:rsidR="00EB5B5E">
        <w:t xml:space="preserve"> with</w:t>
      </w:r>
      <w:r w:rsidR="00A54A20" w:rsidRPr="00A54A20">
        <w:t xml:space="preserve"> </w:t>
      </w:r>
      <w:r w:rsidR="00EB5B5E">
        <w:t xml:space="preserve">information and </w:t>
      </w:r>
      <w:r w:rsidR="00A54A20" w:rsidRPr="00A54A20">
        <w:t>follow-up actions</w:t>
      </w:r>
      <w:r w:rsidR="00EB5B5E">
        <w:t>.</w:t>
      </w:r>
      <w:r w:rsidR="00B21229">
        <w:t xml:space="preserve"> </w:t>
      </w:r>
      <w:r w:rsidR="002D04E5">
        <w:t>In support of the implementation of the 2030 Agenda, t</w:t>
      </w:r>
      <w:r w:rsidR="00164EC0">
        <w:t xml:space="preserve">he Committee </w:t>
      </w:r>
      <w:r w:rsidR="00D90601">
        <w:t>affirmed that</w:t>
      </w:r>
      <w:r w:rsidR="00164EC0">
        <w:t>,</w:t>
      </w:r>
      <w:r w:rsidR="00D90601">
        <w:t xml:space="preserve"> b</w:t>
      </w:r>
      <w:r w:rsidR="00626247">
        <w:t xml:space="preserve">y nature, </w:t>
      </w:r>
      <w:r w:rsidR="00164EC0">
        <w:t>its</w:t>
      </w:r>
      <w:r w:rsidR="00626247">
        <w:t xml:space="preserve"> work and </w:t>
      </w:r>
      <w:r w:rsidR="00164EC0">
        <w:t>that</w:t>
      </w:r>
      <w:r w:rsidR="000F5EB8">
        <w:t xml:space="preserve"> of its</w:t>
      </w:r>
      <w:r w:rsidR="00626247">
        <w:t xml:space="preserve"> two sub-committees </w:t>
      </w:r>
      <w:r w:rsidR="00DA4E1A">
        <w:t>will</w:t>
      </w:r>
      <w:r w:rsidR="001B5EDF">
        <w:t xml:space="preserve"> continue to be</w:t>
      </w:r>
      <w:r w:rsidR="005005B6">
        <w:t xml:space="preserve"> built</w:t>
      </w:r>
      <w:r w:rsidR="00626247">
        <w:t xml:space="preserve"> on best practices, science, data, evidence, technical expert analysis and on the interlinkages across the Sustainable Development Goals</w:t>
      </w:r>
      <w:r w:rsidR="00EF58E3">
        <w:t xml:space="preserve">, </w:t>
      </w:r>
      <w:proofErr w:type="gramStart"/>
      <w:r w:rsidR="007339AF">
        <w:t>in particular in</w:t>
      </w:r>
      <w:proofErr w:type="gramEnd"/>
      <w:r w:rsidR="007339AF">
        <w:t xml:space="preserve"> line with the targets under Goals 3, 6, 8, 12, 13 and 14</w:t>
      </w:r>
      <w:r w:rsidR="00FC564B">
        <w:t>.</w:t>
      </w:r>
    </w:p>
    <w:p w14:paraId="38F346AE" w14:textId="43C2D679" w:rsidR="00DC035A" w:rsidRPr="00B20F1E" w:rsidRDefault="00DC035A" w:rsidP="00DC035A">
      <w:pPr>
        <w:pStyle w:val="HChG"/>
        <w:rPr>
          <w:bCs/>
        </w:rPr>
      </w:pPr>
      <w:r>
        <w:tab/>
      </w:r>
      <w:r w:rsidRPr="00B20F1E">
        <w:t>X.</w:t>
      </w:r>
      <w:r w:rsidRPr="00B20F1E">
        <w:tab/>
        <w:t xml:space="preserve">Any other business (agenda item </w:t>
      </w:r>
      <w:r w:rsidR="001B33AF">
        <w:t>9</w:t>
      </w:r>
      <w:r w:rsidRPr="00B20F1E">
        <w:t>)</w:t>
      </w:r>
    </w:p>
    <w:p w14:paraId="67EB5534" w14:textId="24AAB620" w:rsidR="00DC035A" w:rsidRPr="00E96A05" w:rsidRDefault="001B33AF" w:rsidP="006A4C48">
      <w:pPr>
        <w:pStyle w:val="SingleTxtG"/>
      </w:pPr>
      <w:r>
        <w:t>20</w:t>
      </w:r>
      <w:r w:rsidR="00DC035A" w:rsidRPr="00B20F1E">
        <w:t>.</w:t>
      </w:r>
      <w:r w:rsidR="00DC035A" w:rsidRPr="00B20F1E">
        <w:tab/>
      </w:r>
      <w:r w:rsidR="004A31F7" w:rsidRPr="00B20F1E">
        <w:t xml:space="preserve">No issue </w:t>
      </w:r>
      <w:r w:rsidR="004A31F7">
        <w:t>was</w:t>
      </w:r>
      <w:r w:rsidR="004A31F7" w:rsidRPr="00B20F1E">
        <w:t xml:space="preserve"> discussed under this agenda item</w:t>
      </w:r>
      <w:r w:rsidR="00DC035A" w:rsidRPr="00B20F1E">
        <w:t>.</w:t>
      </w:r>
    </w:p>
    <w:p w14:paraId="4A309D7B" w14:textId="4419BF1E" w:rsidR="00DC035A" w:rsidRPr="003156CD" w:rsidRDefault="00DC035A" w:rsidP="00DC035A">
      <w:pPr>
        <w:pStyle w:val="HChG"/>
        <w:rPr>
          <w:bCs/>
        </w:rPr>
      </w:pPr>
      <w:r>
        <w:tab/>
        <w:t>X</w:t>
      </w:r>
      <w:r w:rsidR="001B33AF">
        <w:t>I</w:t>
      </w:r>
      <w:r w:rsidRPr="00E96A05">
        <w:t>.</w:t>
      </w:r>
      <w:r w:rsidRPr="00E96A05">
        <w:tab/>
        <w:t>Adoption of the report</w:t>
      </w:r>
      <w:r>
        <w:t xml:space="preserve"> (agenda item </w:t>
      </w:r>
      <w:r w:rsidR="00632C80">
        <w:t>10</w:t>
      </w:r>
      <w:r>
        <w:t>)</w:t>
      </w:r>
    </w:p>
    <w:p w14:paraId="46165F9C" w14:textId="68F0F873" w:rsidR="00E32716" w:rsidRDefault="005247CE" w:rsidP="0002633D">
      <w:pPr>
        <w:pStyle w:val="SingleTxtG"/>
      </w:pPr>
      <w:r>
        <w:t>2</w:t>
      </w:r>
      <w:r w:rsidR="001B33AF">
        <w:t>1</w:t>
      </w:r>
      <w:r w:rsidR="00E32716" w:rsidRPr="008C7B7B">
        <w:t>.</w:t>
      </w:r>
      <w:r w:rsidR="00E32716" w:rsidRPr="008741E5">
        <w:tab/>
        <w:t xml:space="preserve">The Committee adopted the report on its </w:t>
      </w:r>
      <w:r w:rsidR="00A65F3E">
        <w:t xml:space="preserve">eleventh </w:t>
      </w:r>
      <w:r w:rsidR="00E32716" w:rsidRPr="008741E5">
        <w:t xml:space="preserve">session and the annexes thereto </w:t>
      </w:r>
      <w:r w:rsidR="000454B2">
        <w:t>based on</w:t>
      </w:r>
      <w:r w:rsidR="00E32716" w:rsidRPr="008741E5">
        <w:t xml:space="preserve"> a draft prepared by the secretariat.</w:t>
      </w:r>
    </w:p>
    <w:p w14:paraId="635EBB09" w14:textId="77777777" w:rsidR="000872B4" w:rsidRDefault="000872B4" w:rsidP="0002633D">
      <w:pPr>
        <w:pStyle w:val="SingleTxtG"/>
      </w:pPr>
    </w:p>
    <w:p w14:paraId="443A4088" w14:textId="77777777" w:rsidR="000872B4" w:rsidRDefault="000872B4" w:rsidP="0002633D">
      <w:pPr>
        <w:pStyle w:val="SingleTxtG"/>
        <w:sectPr w:rsidR="000872B4" w:rsidSect="00DF2B22">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1701" w:right="1134" w:bottom="2268" w:left="1134" w:header="1134" w:footer="1701" w:gutter="0"/>
          <w:cols w:space="720"/>
          <w:titlePg/>
          <w:docGrid w:linePitch="272"/>
        </w:sectPr>
      </w:pPr>
    </w:p>
    <w:p w14:paraId="09CA6957" w14:textId="77777777" w:rsidR="001A0389" w:rsidRPr="008741E5" w:rsidRDefault="0038209D" w:rsidP="00301F83">
      <w:pPr>
        <w:pStyle w:val="HChG"/>
      </w:pPr>
      <w:r>
        <w:tab/>
      </w:r>
      <w:r w:rsidR="001A0389" w:rsidRPr="008741E5">
        <w:t xml:space="preserve">Annex </w:t>
      </w:r>
      <w:r w:rsidR="00301F83">
        <w:t>I</w:t>
      </w:r>
    </w:p>
    <w:p w14:paraId="3537F078" w14:textId="416F2D14" w:rsidR="001A0389" w:rsidRPr="008741E5" w:rsidRDefault="001A0389" w:rsidP="00A7763A">
      <w:pPr>
        <w:pStyle w:val="HChG"/>
      </w:pPr>
      <w:r>
        <w:tab/>
      </w:r>
      <w:r>
        <w:tab/>
      </w:r>
      <w:r w:rsidRPr="008741E5">
        <w:t xml:space="preserve">Amendments to the </w:t>
      </w:r>
      <w:r w:rsidR="00662BC4">
        <w:t>twent</w:t>
      </w:r>
      <w:r w:rsidR="00AB1D8B">
        <w:t>y-second</w:t>
      </w:r>
      <w:r w:rsidR="00662BC4" w:rsidRPr="008741E5">
        <w:t xml:space="preserve"> </w:t>
      </w:r>
      <w:r w:rsidRPr="008741E5">
        <w:t>revised edition of the Reco</w:t>
      </w:r>
      <w:r>
        <w:t xml:space="preserve">mmendations on the Transport of </w:t>
      </w:r>
      <w:r w:rsidRPr="008741E5">
        <w:t>Dangerous Goods, Model Regulations (ST/SG/AC.10/1/Rev.</w:t>
      </w:r>
      <w:r w:rsidR="00662BC4">
        <w:t>2</w:t>
      </w:r>
      <w:r w:rsidR="00C90994">
        <w:t>2</w:t>
      </w:r>
      <w:r w:rsidRPr="008741E5">
        <w:t>)</w:t>
      </w:r>
    </w:p>
    <w:p w14:paraId="3E10F878" w14:textId="50BD10CB" w:rsidR="001A0389" w:rsidRPr="008741E5" w:rsidRDefault="001A0389" w:rsidP="007678DB">
      <w:pPr>
        <w:pStyle w:val="H1G"/>
      </w:pPr>
      <w:r>
        <w:tab/>
      </w:r>
      <w:r>
        <w:tab/>
      </w:r>
      <w:r w:rsidRPr="008741E5">
        <w:t>(See ST/SG/AC.10/</w:t>
      </w:r>
      <w:r w:rsidR="00C90994">
        <w:t>50</w:t>
      </w:r>
      <w:r w:rsidRPr="008741E5">
        <w:t>/Add.1)</w:t>
      </w:r>
    </w:p>
    <w:p w14:paraId="2C18FB5F" w14:textId="77777777" w:rsidR="001A0389" w:rsidRPr="001A0389" w:rsidRDefault="001A0389" w:rsidP="00886638">
      <w:pPr>
        <w:pStyle w:val="HChG"/>
        <w:ind w:left="0" w:firstLine="0"/>
      </w:pPr>
      <w:r w:rsidRPr="001A0389">
        <w:t xml:space="preserve">Annex </w:t>
      </w:r>
      <w:r w:rsidR="00301F83">
        <w:t>II</w:t>
      </w:r>
    </w:p>
    <w:p w14:paraId="557034F1" w14:textId="40D38607" w:rsidR="001A0389" w:rsidRPr="001A0389" w:rsidRDefault="001A0389" w:rsidP="001A7E9C">
      <w:pPr>
        <w:pStyle w:val="HChG"/>
      </w:pPr>
      <w:r>
        <w:tab/>
      </w:r>
      <w:r>
        <w:tab/>
      </w:r>
      <w:r w:rsidRPr="00E21CAA">
        <w:t xml:space="preserve">Amendments to the </w:t>
      </w:r>
      <w:r w:rsidR="00CF1243" w:rsidRPr="00E21CAA">
        <w:t>s</w:t>
      </w:r>
      <w:r w:rsidR="004A31F7">
        <w:t>even</w:t>
      </w:r>
      <w:r w:rsidR="00CF1243" w:rsidRPr="00E21CAA">
        <w:t xml:space="preserve">th </w:t>
      </w:r>
      <w:r w:rsidRPr="00E21CAA">
        <w:t>revised edition of the</w:t>
      </w:r>
      <w:r w:rsidR="000046B8">
        <w:br/>
      </w:r>
      <w:r w:rsidRPr="00E21CAA">
        <w:t>Manual of Tests and Criteria (ST/SG/AC.10/11/Rev.</w:t>
      </w:r>
      <w:r w:rsidR="004A31F7">
        <w:t>7</w:t>
      </w:r>
      <w:r w:rsidR="00C90994">
        <w:t xml:space="preserve"> and Amd.1</w:t>
      </w:r>
      <w:r w:rsidRPr="00E21CAA">
        <w:t>)</w:t>
      </w:r>
      <w:r w:rsidR="00662BC4" w:rsidRPr="00E21CAA">
        <w:t xml:space="preserve"> </w:t>
      </w:r>
    </w:p>
    <w:p w14:paraId="4CABDBB0" w14:textId="4DC2BF87" w:rsidR="001A0389" w:rsidRPr="001A0389" w:rsidRDefault="001A0389" w:rsidP="007678DB">
      <w:pPr>
        <w:pStyle w:val="H1G"/>
      </w:pPr>
      <w:r>
        <w:tab/>
      </w:r>
      <w:r>
        <w:tab/>
      </w:r>
      <w:r w:rsidRPr="001A0389">
        <w:t>(See ST/SG/AC.10/</w:t>
      </w:r>
      <w:r w:rsidR="00C90994">
        <w:t>50</w:t>
      </w:r>
      <w:r w:rsidRPr="001A0389">
        <w:t>/Add.2)</w:t>
      </w:r>
    </w:p>
    <w:p w14:paraId="7817DC7B" w14:textId="77777777" w:rsidR="001A0389" w:rsidRPr="001A0389" w:rsidRDefault="0038209D" w:rsidP="00301F83">
      <w:pPr>
        <w:pStyle w:val="HChG"/>
      </w:pPr>
      <w:r>
        <w:tab/>
      </w:r>
      <w:r w:rsidR="001A0389" w:rsidRPr="001A0389">
        <w:t xml:space="preserve">Annex </w:t>
      </w:r>
      <w:r w:rsidR="00301F83">
        <w:t>III</w:t>
      </w:r>
    </w:p>
    <w:p w14:paraId="467249F4" w14:textId="0906672B" w:rsidR="001A0389" w:rsidRPr="001A0389" w:rsidRDefault="001A0389" w:rsidP="00A7763A">
      <w:pPr>
        <w:pStyle w:val="HChG"/>
      </w:pPr>
      <w:r w:rsidRPr="001A0389">
        <w:tab/>
      </w:r>
      <w:r>
        <w:tab/>
      </w:r>
      <w:r w:rsidRPr="001A0389">
        <w:t xml:space="preserve">Amendments to the </w:t>
      </w:r>
      <w:r w:rsidR="00C90994">
        <w:t>n</w:t>
      </w:r>
      <w:r w:rsidR="00422D1E">
        <w:t>inth</w:t>
      </w:r>
      <w:r w:rsidR="00C90994" w:rsidRPr="001A0389">
        <w:t xml:space="preserve"> </w:t>
      </w:r>
      <w:r w:rsidRPr="001A0389">
        <w:t>revised edition of the Globally Harmonized System of</w:t>
      </w:r>
      <w:r w:rsidR="004A31F7">
        <w:t xml:space="preserve"> </w:t>
      </w:r>
      <w:r w:rsidRPr="001A0389">
        <w:t xml:space="preserve">Classification and </w:t>
      </w:r>
      <w:r>
        <w:t>L</w:t>
      </w:r>
      <w:r w:rsidRPr="001A0389">
        <w:t>abelling of Chemicals (GHS) (ST/SG/AC.10/30/Rev.</w:t>
      </w:r>
      <w:r w:rsidR="00C90994">
        <w:t>9</w:t>
      </w:r>
      <w:r w:rsidRPr="001A0389">
        <w:t>)</w:t>
      </w:r>
    </w:p>
    <w:p w14:paraId="298BE571" w14:textId="724CD879" w:rsidR="009739EA" w:rsidRDefault="001A0389" w:rsidP="007678DB">
      <w:pPr>
        <w:pStyle w:val="H1G"/>
      </w:pPr>
      <w:r>
        <w:tab/>
      </w:r>
      <w:r>
        <w:tab/>
      </w:r>
      <w:r w:rsidRPr="008741E5">
        <w:t>(See ST/SG/AC.10/</w:t>
      </w:r>
      <w:r w:rsidR="00C90994">
        <w:t>50</w:t>
      </w:r>
      <w:r w:rsidRPr="008741E5">
        <w:t>/Add.3)</w:t>
      </w:r>
    </w:p>
    <w:p w14:paraId="76EDE4AF" w14:textId="77777777" w:rsidR="00672464" w:rsidRPr="00E420FE" w:rsidRDefault="00672464" w:rsidP="00DE36AB"/>
    <w:p w14:paraId="1F6AF61A" w14:textId="77777777" w:rsidR="000872B4" w:rsidRPr="000872B4" w:rsidRDefault="000872B4" w:rsidP="000872B4">
      <w:pPr>
        <w:sectPr w:rsidR="000872B4" w:rsidRPr="000872B4" w:rsidSect="000872B4">
          <w:headerReference w:type="even" r:id="rId30"/>
          <w:headerReference w:type="default" r:id="rId31"/>
          <w:headerReference w:type="first" r:id="rId32"/>
          <w:footerReference w:type="first" r:id="rId33"/>
          <w:footnotePr>
            <w:numRestart w:val="eachSect"/>
          </w:footnotePr>
          <w:endnotePr>
            <w:numFmt w:val="decimal"/>
          </w:endnotePr>
          <w:pgSz w:w="11907" w:h="16840" w:code="9"/>
          <w:pgMar w:top="1701" w:right="1134" w:bottom="2268" w:left="1134" w:header="1134" w:footer="1701" w:gutter="0"/>
          <w:cols w:space="720"/>
          <w:titlePg/>
          <w:docGrid w:linePitch="272"/>
        </w:sectPr>
      </w:pPr>
    </w:p>
    <w:p w14:paraId="657005E8" w14:textId="77777777" w:rsidR="001A0389" w:rsidRPr="00E21CAA" w:rsidRDefault="00DE5283" w:rsidP="00301F83">
      <w:pPr>
        <w:pStyle w:val="HChG"/>
      </w:pPr>
      <w:r>
        <w:tab/>
      </w:r>
      <w:r w:rsidR="001A0389" w:rsidRPr="00E21CAA">
        <w:t xml:space="preserve">Annex </w:t>
      </w:r>
      <w:r w:rsidR="00301F83" w:rsidRPr="00E21CAA">
        <w:t>IV</w:t>
      </w:r>
    </w:p>
    <w:p w14:paraId="159F738B" w14:textId="09199E82" w:rsidR="001A0389" w:rsidRDefault="001A0389" w:rsidP="001A0389">
      <w:pPr>
        <w:pStyle w:val="HChG"/>
      </w:pPr>
      <w:r w:rsidRPr="00E21CAA">
        <w:tab/>
      </w:r>
      <w:r w:rsidRPr="00E21CAA">
        <w:tab/>
        <w:t xml:space="preserve">Draft resolution </w:t>
      </w:r>
      <w:r w:rsidR="00B14C09" w:rsidRPr="00E21CAA">
        <w:t>20</w:t>
      </w:r>
      <w:r w:rsidR="004A31F7">
        <w:t>2</w:t>
      </w:r>
      <w:r w:rsidR="00F321C9">
        <w:t>3</w:t>
      </w:r>
      <w:r w:rsidRPr="00E21CAA">
        <w:t>/… of the Economic and Social Council</w:t>
      </w:r>
    </w:p>
    <w:p w14:paraId="142E280B" w14:textId="77777777" w:rsidR="00B5614A" w:rsidRDefault="00B5614A" w:rsidP="00B5614A">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t>“2023/xx.</w:t>
      </w:r>
      <w:r>
        <w:tab/>
        <w:t xml:space="preserve">Work of the Committee of Experts on the Transport of Dangerous Goods and on the Globally Harmonized System of Classification and Labelling of Chemicals </w:t>
      </w:r>
    </w:p>
    <w:p w14:paraId="49C2E225" w14:textId="77777777" w:rsidR="00B5614A" w:rsidRDefault="00B5614A" w:rsidP="00B5614A">
      <w:pPr>
        <w:pStyle w:val="SingleTxt"/>
        <w:spacing w:after="0" w:line="120" w:lineRule="exact"/>
        <w:rPr>
          <w:sz w:val="10"/>
        </w:rPr>
      </w:pPr>
    </w:p>
    <w:p w14:paraId="546A8F77" w14:textId="77777777" w:rsidR="00B5614A" w:rsidRDefault="00B5614A" w:rsidP="00B5614A">
      <w:pPr>
        <w:pStyle w:val="SingleTxt"/>
        <w:spacing w:after="0" w:line="120" w:lineRule="exact"/>
        <w:rPr>
          <w:sz w:val="10"/>
        </w:rPr>
      </w:pPr>
    </w:p>
    <w:p w14:paraId="170EA2E6" w14:textId="77777777" w:rsidR="00B5614A" w:rsidRDefault="00B5614A" w:rsidP="00B5614A">
      <w:pPr>
        <w:pStyle w:val="SingleTxt"/>
        <w:spacing w:after="110"/>
      </w:pPr>
      <w:r>
        <w:tab/>
      </w:r>
      <w:r>
        <w:rPr>
          <w:i/>
          <w:iCs/>
        </w:rPr>
        <w:t>The Economic and Social Council</w:t>
      </w:r>
      <w:r>
        <w:t>,</w:t>
      </w:r>
    </w:p>
    <w:p w14:paraId="278BFCCA" w14:textId="77777777" w:rsidR="00B5614A" w:rsidRDefault="00B5614A" w:rsidP="00B5614A">
      <w:pPr>
        <w:pStyle w:val="SingleTxt"/>
      </w:pPr>
      <w:r>
        <w:tab/>
      </w:r>
      <w:r>
        <w:rPr>
          <w:i/>
          <w:iCs/>
        </w:rPr>
        <w:t>Recalling</w:t>
      </w:r>
      <w:r>
        <w:t xml:space="preserve"> its resolutions 1999/65 of 26 October 1999 and </w:t>
      </w:r>
      <w:r>
        <w:rPr>
          <w:rStyle w:val="Hyperlink"/>
        </w:rPr>
        <w:t>2021/13</w:t>
      </w:r>
      <w:r>
        <w:t xml:space="preserve"> of 8 June 2021,</w:t>
      </w:r>
    </w:p>
    <w:p w14:paraId="406DA3CE" w14:textId="77777777" w:rsidR="00B5614A" w:rsidRDefault="00B5614A" w:rsidP="00B5614A">
      <w:pPr>
        <w:pStyle w:val="SingleTxt"/>
      </w:pPr>
      <w:r>
        <w:tab/>
      </w:r>
      <w:r>
        <w:rPr>
          <w:i/>
          <w:iCs/>
        </w:rPr>
        <w:t>Having considered</w:t>
      </w:r>
      <w:r>
        <w:t xml:space="preserve"> the report of the Secretary-General on the work of the Committee of Experts on the Transport of Dangerous Goods and on the Globally Harmonized System of Classification and Labelling of Chemicals during the biennium 2021–2022,</w:t>
      </w:r>
      <w:r>
        <w:rPr>
          <w:rStyle w:val="FootnoteReference"/>
        </w:rPr>
        <w:footnoteReference w:id="12"/>
      </w:r>
    </w:p>
    <w:p w14:paraId="4931E82F" w14:textId="77777777" w:rsidR="00B5614A" w:rsidRDefault="00B5614A" w:rsidP="00B5614A">
      <w:pPr>
        <w:pStyle w:val="H23"/>
        <w:ind w:right="1260"/>
      </w:pPr>
      <w:r>
        <w:tab/>
      </w:r>
      <w:r>
        <w:tab/>
        <w:t>A</w:t>
      </w:r>
      <w:r>
        <w:br/>
        <w:t>Work of the Committee regarding the transport of dangerous goods</w:t>
      </w:r>
    </w:p>
    <w:p w14:paraId="1AA51E74" w14:textId="77777777" w:rsidR="00B5614A" w:rsidRDefault="00B5614A" w:rsidP="00B5614A">
      <w:pPr>
        <w:pStyle w:val="SingleTxt"/>
        <w:spacing w:after="0" w:line="120" w:lineRule="exact"/>
        <w:rPr>
          <w:sz w:val="10"/>
        </w:rPr>
      </w:pPr>
    </w:p>
    <w:p w14:paraId="4B8E17A4" w14:textId="77777777" w:rsidR="00B5614A" w:rsidRDefault="00B5614A" w:rsidP="00B5614A">
      <w:pPr>
        <w:pStyle w:val="SingleTxt"/>
      </w:pPr>
      <w:r>
        <w:tab/>
      </w:r>
      <w:r>
        <w:rPr>
          <w:i/>
          <w:iCs/>
        </w:rPr>
        <w:t>Recognizing</w:t>
      </w:r>
      <w:r>
        <w:t xml:space="preserve"> the importance of the work of the Committee for the harmonization of codes and regulations relating to the transport of dangerous goods,</w:t>
      </w:r>
    </w:p>
    <w:p w14:paraId="252DBDB4" w14:textId="77777777" w:rsidR="00B5614A" w:rsidRDefault="00B5614A" w:rsidP="00B5614A">
      <w:pPr>
        <w:pStyle w:val="SingleTxt"/>
      </w:pPr>
      <w:r>
        <w:tab/>
      </w:r>
      <w:r>
        <w:rPr>
          <w:i/>
          <w:iCs/>
        </w:rPr>
        <w:t>Bearing in mind</w:t>
      </w:r>
      <w:r>
        <w:t xml:space="preserve"> the need to </w:t>
      </w:r>
      <w:proofErr w:type="gramStart"/>
      <w:r>
        <w:t>maintain safety standards at all times</w:t>
      </w:r>
      <w:proofErr w:type="gramEnd"/>
      <w:r>
        <w:t xml:space="preserve"> and to facilitate trade, as well as the importance of these issues to the various organizations responsible for modal regulations, while meeting the growing concern for the protection of life, property and the environment through the safe and secure transport of dangerous goods,</w:t>
      </w:r>
    </w:p>
    <w:p w14:paraId="66D37509" w14:textId="77777777" w:rsidR="00B5614A" w:rsidRPr="002C01FA" w:rsidRDefault="00B5614A" w:rsidP="00B5614A">
      <w:pPr>
        <w:pStyle w:val="SingleTxt"/>
      </w:pPr>
      <w:r w:rsidRPr="002C01FA">
        <w:tab/>
      </w:r>
      <w:r w:rsidRPr="002C01FA">
        <w:rPr>
          <w:i/>
          <w:iCs/>
        </w:rPr>
        <w:t>Bearing in mind further</w:t>
      </w:r>
      <w:r w:rsidRPr="002C01FA">
        <w:t xml:space="preserve"> the commitment by Member States to work for the full implementation by 2030 of the Sustainable Development Goals and related targets as agreed by the General Assembly in its resolution </w:t>
      </w:r>
      <w:hyperlink r:id="rId34" w:history="1">
        <w:r w:rsidRPr="002C01FA">
          <w:rPr>
            <w:rStyle w:val="Hyperlink"/>
          </w:rPr>
          <w:t>70/1</w:t>
        </w:r>
      </w:hyperlink>
      <w:r w:rsidRPr="002C01FA">
        <w:t xml:space="preserve"> of 25 September 2015, entitled “Transforming our world: the 2030 Agenda for Sustainable Development”, in particular target 12.4 related to the achievement of the environmentally sound management of chemicals and wastes through their life cycle in accordance with agreed international frameworks,</w:t>
      </w:r>
    </w:p>
    <w:p w14:paraId="593DC185" w14:textId="77777777" w:rsidR="00B5614A" w:rsidRDefault="00B5614A" w:rsidP="00B5614A">
      <w:pPr>
        <w:pStyle w:val="SingleTxt"/>
      </w:pPr>
      <w:r>
        <w:tab/>
      </w:r>
      <w:r>
        <w:rPr>
          <w:i/>
          <w:iCs/>
        </w:rPr>
        <w:t>Noting</w:t>
      </w:r>
      <w:r>
        <w:t xml:space="preserve"> the ever-increasing volume of dangerous goods being introduced into worldwide commerce and the rapid expansion of technology and innovation,</w:t>
      </w:r>
    </w:p>
    <w:p w14:paraId="3135F0B2" w14:textId="77777777" w:rsidR="00B5614A" w:rsidRDefault="00B5614A" w:rsidP="00B5614A">
      <w:pPr>
        <w:pStyle w:val="SingleTxt"/>
      </w:pPr>
      <w:r>
        <w:tab/>
      </w:r>
      <w:r>
        <w:rPr>
          <w:i/>
          <w:iCs/>
        </w:rPr>
        <w:t>Recalling</w:t>
      </w:r>
      <w:r>
        <w:t xml:space="preserve"> that, while the major international instruments governing the transport of dangerous goods by the various modes of transport and many national regulations are now better harmonized with the Model Regulations annexed to the recommendations of the Committee on the transport of dangerous goods, further work on harmonizing these instruments is necessary to enhance safety and to facilitate trade, and recalling also that uneven progress in the updating of national inland transport legislation in some countries of the world continues to present serious challenges to international multimodal transport,</w:t>
      </w:r>
    </w:p>
    <w:p w14:paraId="7D5FAD49" w14:textId="77777777" w:rsidR="00B5614A" w:rsidRDefault="00B5614A" w:rsidP="00B5614A">
      <w:pPr>
        <w:pStyle w:val="SingleTxt"/>
      </w:pPr>
      <w:r>
        <w:tab/>
        <w:t>1.</w:t>
      </w:r>
      <w:r>
        <w:tab/>
      </w:r>
      <w:r>
        <w:rPr>
          <w:i/>
          <w:iCs/>
        </w:rPr>
        <w:t>Expresses its appreciation</w:t>
      </w:r>
      <w:r>
        <w:t xml:space="preserve"> for the work of the Committee of Experts on the Transport of Dangerous Goods and on the Globally Harmonized System of Classification and Labelling of Chemicals with respect to matters relating to the transport of dangerous goods, including their security in </w:t>
      </w:r>
      <w:proofErr w:type="gramStart"/>
      <w:r>
        <w:t>transport;</w:t>
      </w:r>
      <w:proofErr w:type="gramEnd"/>
    </w:p>
    <w:p w14:paraId="5A87B471" w14:textId="77777777" w:rsidR="00B5614A" w:rsidRDefault="00B5614A" w:rsidP="00B5614A">
      <w:pPr>
        <w:pStyle w:val="SingleTxt"/>
      </w:pPr>
      <w:r>
        <w:tab/>
        <w:t>2.</w:t>
      </w:r>
      <w:r>
        <w:tab/>
      </w:r>
      <w:r>
        <w:rPr>
          <w:i/>
          <w:iCs/>
        </w:rPr>
        <w:t>Requests</w:t>
      </w:r>
      <w:r>
        <w:t xml:space="preserve"> the Secretary-General:</w:t>
      </w:r>
    </w:p>
    <w:p w14:paraId="232234AF" w14:textId="77777777" w:rsidR="00B5614A" w:rsidRDefault="00B5614A" w:rsidP="00B5614A">
      <w:pPr>
        <w:pStyle w:val="SingleTxt"/>
      </w:pPr>
      <w:r>
        <w:tab/>
        <w:t>(a)</w:t>
      </w:r>
      <w:r>
        <w:tab/>
        <w:t>To circulate the new and amended recommendations on the transport of dangerous goods</w:t>
      </w:r>
      <w:r>
        <w:rPr>
          <w:rStyle w:val="FootnoteReference"/>
        </w:rPr>
        <w:footnoteReference w:id="13"/>
      </w:r>
      <w:r>
        <w:t xml:space="preserve"> to the Governments of Member States, the specialized agencies, the International Atomic Energy Agency and other international organizations </w:t>
      </w:r>
      <w:proofErr w:type="gramStart"/>
      <w:r>
        <w:t>concerned;</w:t>
      </w:r>
      <w:proofErr w:type="gramEnd"/>
    </w:p>
    <w:p w14:paraId="724BEB0C" w14:textId="77777777" w:rsidR="00B5614A" w:rsidRDefault="00B5614A" w:rsidP="00B5614A">
      <w:pPr>
        <w:pStyle w:val="SingleTxt"/>
      </w:pPr>
      <w:r>
        <w:tab/>
        <w:t>(b)</w:t>
      </w:r>
      <w:r>
        <w:tab/>
        <w:t xml:space="preserve">To publish the twenty-third revised edition of the </w:t>
      </w:r>
      <w:r>
        <w:rPr>
          <w:i/>
          <w:iCs/>
        </w:rPr>
        <w:t>Recommendations on the Transport of Dangerous Goods: Model Regulations</w:t>
      </w:r>
      <w:r>
        <w:t xml:space="preserve"> and the eighth revised edition of the </w:t>
      </w:r>
      <w:r>
        <w:rPr>
          <w:i/>
          <w:iCs/>
        </w:rPr>
        <w:t>Manual of Tests and Criteria</w:t>
      </w:r>
      <w:r>
        <w:t xml:space="preserve"> in all the official languages of the United Nations, in the most cost-effective manner, no later than the end of </w:t>
      </w:r>
      <w:proofErr w:type="gramStart"/>
      <w:r>
        <w:t>2023;</w:t>
      </w:r>
      <w:proofErr w:type="gramEnd"/>
    </w:p>
    <w:p w14:paraId="65852484" w14:textId="77777777" w:rsidR="00B5614A" w:rsidRDefault="00B5614A" w:rsidP="00B5614A">
      <w:pPr>
        <w:pStyle w:val="SingleTxt"/>
      </w:pPr>
      <w:r>
        <w:tab/>
        <w:t>(c)</w:t>
      </w:r>
      <w:r>
        <w:tab/>
        <w:t xml:space="preserve">To make those publications available in book and electronic format and on the website of the Economic Commission for Europe, which provides secretariat services to the </w:t>
      </w:r>
      <w:proofErr w:type="gramStart"/>
      <w:r>
        <w:t>Committee;</w:t>
      </w:r>
      <w:proofErr w:type="gramEnd"/>
    </w:p>
    <w:p w14:paraId="3FD6D137" w14:textId="77777777" w:rsidR="00B5614A" w:rsidRDefault="00B5614A" w:rsidP="00B5614A">
      <w:pPr>
        <w:pStyle w:val="SingleTxt"/>
      </w:pPr>
      <w:r>
        <w:tab/>
        <w:t>3.</w:t>
      </w:r>
      <w:r>
        <w:tab/>
      </w:r>
      <w:r>
        <w:rPr>
          <w:i/>
          <w:iCs/>
        </w:rPr>
        <w:t>Invites</w:t>
      </w:r>
      <w:r>
        <w:t xml:space="preserve"> all Governments, the regional commissions, the specialized agencies, the International Atomic Energy Agency and the other international organizations concerned to transmit to the secretariat of the Committee their views on the work of the Committee, together with any comments that they may wish to make on the recommendations on the transport of dangerous </w:t>
      </w:r>
      <w:proofErr w:type="gramStart"/>
      <w:r>
        <w:t>goods;</w:t>
      </w:r>
      <w:proofErr w:type="gramEnd"/>
    </w:p>
    <w:p w14:paraId="2F250F16" w14:textId="77777777" w:rsidR="00B5614A" w:rsidRDefault="00B5614A" w:rsidP="00B5614A">
      <w:pPr>
        <w:pStyle w:val="SingleTxt"/>
      </w:pPr>
      <w:r>
        <w:tab/>
        <w:t>4.</w:t>
      </w:r>
      <w:r>
        <w:tab/>
      </w:r>
      <w:r>
        <w:rPr>
          <w:i/>
          <w:iCs/>
        </w:rPr>
        <w:t>Invites</w:t>
      </w:r>
      <w:r>
        <w:t xml:space="preserve"> all interested Governments, the regional commissions, the specialized agencies and the international organizations concerned to take into account the recommendations of the Committee when developing or updating appropriate codes and </w:t>
      </w:r>
      <w:proofErr w:type="gramStart"/>
      <w:r>
        <w:t>regulations;</w:t>
      </w:r>
      <w:proofErr w:type="gramEnd"/>
    </w:p>
    <w:p w14:paraId="3BC08C3E" w14:textId="77777777" w:rsidR="00B5614A" w:rsidRDefault="00B5614A" w:rsidP="00B5614A">
      <w:pPr>
        <w:pStyle w:val="SingleTxt"/>
      </w:pPr>
      <w:r>
        <w:tab/>
        <w:t>5.</w:t>
      </w:r>
      <w:r>
        <w:tab/>
      </w:r>
      <w:r>
        <w:rPr>
          <w:i/>
          <w:iCs/>
        </w:rPr>
        <w:t>Requests</w:t>
      </w:r>
      <w:r>
        <w:t xml:space="preserve"> the Committee to study, in consultation with the International Maritime Organization, the International Civil Aviation Organization, the regional commissions and the intergovernmental organizations concerned, the possibilities of improving the implementation of the Model Regulations on the transport of dangerous goods in all countries for the purposes of ensuring a high level of safety and eliminating technical barriers to international trade, including through the further harmonization of international agreements or conventions governing the international transport of dangerous goods;</w:t>
      </w:r>
    </w:p>
    <w:p w14:paraId="64D10AC7" w14:textId="77777777" w:rsidR="00B5614A" w:rsidRDefault="00B5614A" w:rsidP="00B5614A">
      <w:pPr>
        <w:pStyle w:val="SingleTxt"/>
      </w:pPr>
      <w:r>
        <w:tab/>
        <w:t>6.</w:t>
      </w:r>
      <w:r>
        <w:tab/>
      </w:r>
      <w:r>
        <w:rPr>
          <w:i/>
          <w:iCs/>
        </w:rPr>
        <w:t>Invites</w:t>
      </w:r>
      <w:r>
        <w:t xml:space="preserve"> all Governments, as well as the regional commissions and organizations concerned, the International Maritime Organization and the International Civil Aviation Organization to provide feedback to the Committee regarding differences between the provisions of national, regional or international legal instruments and those of the Model Regulations, in order to enable the Committee to develop cooperative guidelines for enhancing consistency between these requirements and reducing unnecessary impediments; to identify existing substantive and international, regional and national differences, with the aim of reducing those differences in modal treatment to the greatest extent practical and ensuring that, where differences are necessary, they do not pose impediments to the safe and efficient transport of dangerous goods; and to undertake an editorial review of the Model Regulations and various modal instruments with the aim of improving clarity, user friendliness and ease of translation;</w:t>
      </w:r>
    </w:p>
    <w:p w14:paraId="42974F7B" w14:textId="77777777" w:rsidR="00B5614A" w:rsidRDefault="00B5614A" w:rsidP="00B5614A">
      <w:pPr>
        <w:pStyle w:val="H23"/>
        <w:ind w:right="1260"/>
      </w:pPr>
      <w:r>
        <w:tab/>
      </w:r>
      <w:r>
        <w:tab/>
        <w:t>B</w:t>
      </w:r>
      <w:r>
        <w:br/>
        <w:t>Work of the Committee regarding the Globally Harmonized System of Classification and Labelling of Chemicals</w:t>
      </w:r>
    </w:p>
    <w:p w14:paraId="41D0FDB2" w14:textId="77777777" w:rsidR="00B5614A" w:rsidRDefault="00B5614A" w:rsidP="00B5614A">
      <w:pPr>
        <w:pStyle w:val="SingleTxt"/>
        <w:spacing w:after="0" w:line="120" w:lineRule="exact"/>
        <w:rPr>
          <w:sz w:val="10"/>
        </w:rPr>
      </w:pPr>
    </w:p>
    <w:p w14:paraId="09A1719B" w14:textId="77777777" w:rsidR="00B5614A" w:rsidRDefault="00B5614A" w:rsidP="00B5614A">
      <w:pPr>
        <w:pStyle w:val="SingleTxt"/>
      </w:pPr>
      <w:r>
        <w:tab/>
      </w:r>
      <w:r>
        <w:rPr>
          <w:i/>
          <w:iCs/>
        </w:rPr>
        <w:t>Bearing in mind</w:t>
      </w:r>
      <w:r>
        <w:t xml:space="preserve"> that in paragraph 23 (c) of the Plan of Implementation of the World Summit on Sustainable Development (Johannesburg Plan of Implementation),</w:t>
      </w:r>
      <w:r>
        <w:rPr>
          <w:rStyle w:val="FootnoteReference"/>
        </w:rPr>
        <w:footnoteReference w:id="14"/>
      </w:r>
      <w:r>
        <w:t xml:space="preserve"> countries were encouraged to implement the Globally Harmonized System of Classification and Labelling of Chemicals as soon as possible with a view to having the system fully operational by 2008,</w:t>
      </w:r>
    </w:p>
    <w:p w14:paraId="118FF5EB" w14:textId="77777777" w:rsidR="00B5614A" w:rsidRDefault="00B5614A" w:rsidP="00B5614A">
      <w:pPr>
        <w:pStyle w:val="SingleTxt"/>
      </w:pPr>
      <w:r>
        <w:tab/>
      </w:r>
      <w:r>
        <w:rPr>
          <w:i/>
          <w:iCs/>
        </w:rPr>
        <w:t>Bearing in mind also</w:t>
      </w:r>
      <w:r>
        <w:t xml:space="preserve"> that the General Assembly, in its resolution </w:t>
      </w:r>
      <w:hyperlink r:id="rId35" w:history="1">
        <w:r>
          <w:rPr>
            <w:rStyle w:val="Hyperlink"/>
          </w:rPr>
          <w:t>57/253</w:t>
        </w:r>
      </w:hyperlink>
      <w:r>
        <w:t xml:space="preserve"> of 20 December 2002, endorsed the Johannesburg Plan of Implementation and requested the Economic and Social Council to implement the provisions of the Plan relevant to its mandate and, in particular, to promote the implementation of Agenda 21</w:t>
      </w:r>
      <w:r>
        <w:rPr>
          <w:rStyle w:val="FootnoteReference"/>
        </w:rPr>
        <w:footnoteReference w:id="15"/>
      </w:r>
      <w:r>
        <w:t xml:space="preserve"> by strengthening system-wide coordination,</w:t>
      </w:r>
    </w:p>
    <w:p w14:paraId="5AD9EB19" w14:textId="77777777" w:rsidR="00B5614A" w:rsidRDefault="00B5614A" w:rsidP="00B5614A">
      <w:pPr>
        <w:pStyle w:val="SingleTxt"/>
      </w:pPr>
      <w:r>
        <w:tab/>
      </w:r>
      <w:r>
        <w:rPr>
          <w:i/>
          <w:iCs/>
        </w:rPr>
        <w:t>Bearing in mind further</w:t>
      </w:r>
      <w:r>
        <w:t xml:space="preserve"> the commitment by Member States to work for the full implementation by 2030 of the Sustainable Development Goals and related targets as agreed by the General Assembly in its resolution </w:t>
      </w:r>
      <w:hyperlink r:id="rId36" w:history="1">
        <w:r>
          <w:rPr>
            <w:rStyle w:val="Hyperlink"/>
          </w:rPr>
          <w:t>70/1</w:t>
        </w:r>
      </w:hyperlink>
      <w:r>
        <w:t xml:space="preserve"> of 25 September 2015, entitled “Transforming our world: the 2030 Agenda for Sustainable Development”, in particular target 12.4 related to the achievement of the environmentally sound management of chemicals and wastes through their life cycle in accordance with agreed international frameworks,</w:t>
      </w:r>
    </w:p>
    <w:p w14:paraId="751CF6CB" w14:textId="77777777" w:rsidR="00B5614A" w:rsidRDefault="00B5614A" w:rsidP="00B5614A">
      <w:pPr>
        <w:pStyle w:val="SingleTxt"/>
      </w:pPr>
      <w:r>
        <w:tab/>
      </w:r>
      <w:r>
        <w:rPr>
          <w:i/>
          <w:iCs/>
        </w:rPr>
        <w:t>Noting with satisfaction</w:t>
      </w:r>
      <w:r>
        <w:t>:</w:t>
      </w:r>
    </w:p>
    <w:p w14:paraId="7334CC58" w14:textId="77777777" w:rsidR="00B5614A" w:rsidRDefault="00B5614A" w:rsidP="00B5614A">
      <w:pPr>
        <w:pStyle w:val="SingleTxt"/>
      </w:pPr>
      <w:r>
        <w:tab/>
        <w:t>(a)</w:t>
      </w:r>
      <w:r>
        <w:tab/>
        <w:t xml:space="preserve">That the Economic Commission for Europe and all United Nations programmes and specialized agencies concerned with chemical safety in the field of transport or of the environment, </w:t>
      </w:r>
      <w:proofErr w:type="gramStart"/>
      <w:r>
        <w:t>in particular the</w:t>
      </w:r>
      <w:proofErr w:type="gramEnd"/>
      <w:r>
        <w:t xml:space="preserve"> International Maritime Organization, the International Civil Aviation Organization and the United Nations Environment Programme, have already taken appropriate steps to amend or update their legal instruments in order to give effect to the Globally Harmonized System,</w:t>
      </w:r>
    </w:p>
    <w:p w14:paraId="4B903CE3" w14:textId="77777777" w:rsidR="00B5614A" w:rsidRDefault="00B5614A" w:rsidP="00B5614A">
      <w:pPr>
        <w:pStyle w:val="SingleTxt"/>
      </w:pPr>
      <w:r>
        <w:tab/>
        <w:t>(b)</w:t>
      </w:r>
      <w:r>
        <w:tab/>
        <w:t xml:space="preserve">That the International Labour Organization, the Food and Agriculture Organization of the United Nations and the World Health Organization have also taken appropriate steps to adapt their chemical safety recommendations, </w:t>
      </w:r>
      <w:proofErr w:type="gramStart"/>
      <w:r>
        <w:t>codes</w:t>
      </w:r>
      <w:proofErr w:type="gramEnd"/>
      <w:r>
        <w:t xml:space="preserve"> and guidelines to the Globally Harmonized System, in particular in the areas of occupational health and safety, prevention of major industrial accidents, pesticide management and prevention and treatment of poisoning,</w:t>
      </w:r>
    </w:p>
    <w:p w14:paraId="777CA01C" w14:textId="77777777" w:rsidR="00B5614A" w:rsidRDefault="00B5614A" w:rsidP="00B5614A">
      <w:pPr>
        <w:pStyle w:val="SingleTxt"/>
      </w:pPr>
      <w:r>
        <w:tab/>
        <w:t>(c)</w:t>
      </w:r>
      <w:r>
        <w:tab/>
        <w:t>That many Member States have already issued national legislation or standards implementing the Globally Harmonized System, or allowing its application, in one or several sectors other than transport,</w:t>
      </w:r>
    </w:p>
    <w:p w14:paraId="0317559A" w14:textId="77777777" w:rsidR="00B5614A" w:rsidRDefault="00B5614A" w:rsidP="00B5614A">
      <w:pPr>
        <w:pStyle w:val="SingleTxt"/>
      </w:pPr>
      <w:r>
        <w:tab/>
        <w:t>(d)</w:t>
      </w:r>
      <w:r>
        <w:tab/>
        <w:t xml:space="preserve">That work on the development or revision of national legislation, standards or guidelines to implement the Globally Harmonized System continues in other countries, while in some </w:t>
      </w:r>
      <w:proofErr w:type="gramStart"/>
      <w:r>
        <w:t>others</w:t>
      </w:r>
      <w:proofErr w:type="gramEnd"/>
      <w:r>
        <w:t xml:space="preserve"> activities related to the development of sectoral implementation plans or national implementation strategies are being conducted or are expected to be initiated,</w:t>
      </w:r>
    </w:p>
    <w:p w14:paraId="313B9923" w14:textId="77777777" w:rsidR="00B5614A" w:rsidRDefault="00B5614A" w:rsidP="00B5614A">
      <w:pPr>
        <w:pStyle w:val="SingleTxt"/>
      </w:pPr>
      <w:r>
        <w:tab/>
        <w:t>(e)</w:t>
      </w:r>
      <w:r>
        <w:tab/>
        <w:t>That a number of United Nations programmes and specialized agencies and regional organizations, in particular the United Nations Institute for Training and Research, the International Labour Organization, the World Health Organization,  the Economic Commission for Europe, the Asia-Pacific Economic Cooperation forum, the Organisation for Economic Co-operation and Development and the European Union, Governments and non-governmental organizations representing the chemical industry, have organized or contributed to multiple workshops, seminars and other capacity-building activities at the international, regional, subregional and national levels to raise awareness in the administration, health and industrial sectors and to prepare for or support the implementation of the Globally Harmonized System,</w:t>
      </w:r>
    </w:p>
    <w:p w14:paraId="566EA34A" w14:textId="77777777" w:rsidR="00B5614A" w:rsidRDefault="00B5614A" w:rsidP="00B5614A">
      <w:pPr>
        <w:pStyle w:val="SingleTxt"/>
      </w:pPr>
      <w:r>
        <w:tab/>
      </w:r>
      <w:r>
        <w:rPr>
          <w:i/>
          <w:iCs/>
        </w:rPr>
        <w:t>Aware</w:t>
      </w:r>
      <w:r>
        <w:t xml:space="preserve"> that effective implementation will require further cooperation between the Subcommittee of Experts on the Globally Harmonized System of Classification and Labelling of Chemicals and the international bodies concerned, continued efforts by the Governments of Member States, cooperation with the industry and other stakeholders and significant support for capacity-building activities in countries with economies in transition and developing countries,</w:t>
      </w:r>
    </w:p>
    <w:p w14:paraId="6D7B3AFA" w14:textId="77777777" w:rsidR="00B5614A" w:rsidRDefault="00B5614A" w:rsidP="00B5614A">
      <w:pPr>
        <w:pStyle w:val="SingleTxt"/>
      </w:pPr>
      <w:r>
        <w:tab/>
      </w:r>
      <w:r>
        <w:rPr>
          <w:i/>
          <w:iCs/>
        </w:rPr>
        <w:t>Recalling</w:t>
      </w:r>
      <w:r>
        <w:t xml:space="preserve"> the particular significance of the Global Partnership for Capacity-building to Implement the Globally Harmonized System of Classification and Labelling of Chemicals of the United Nations Institute for Training and Research, the International Labour Organization and the Organisation for Economic Co-operation and Development for building capacities at all levels,</w:t>
      </w:r>
    </w:p>
    <w:p w14:paraId="2B9274A5" w14:textId="77777777" w:rsidR="00B5614A" w:rsidRDefault="00B5614A" w:rsidP="00B5614A">
      <w:pPr>
        <w:pStyle w:val="SingleTxt"/>
      </w:pPr>
      <w:r>
        <w:tab/>
        <w:t>1.</w:t>
      </w:r>
      <w:r>
        <w:tab/>
      </w:r>
      <w:r>
        <w:rPr>
          <w:i/>
          <w:iCs/>
        </w:rPr>
        <w:t>Commends</w:t>
      </w:r>
      <w:r>
        <w:t xml:space="preserve"> the Secretary-General on the publication of the ninth revised edition of the </w:t>
      </w:r>
      <w:r>
        <w:rPr>
          <w:i/>
          <w:iCs/>
        </w:rPr>
        <w:t>Globally Harmonized System of Classification and Labelling of Chemicals</w:t>
      </w:r>
      <w:r>
        <w:rPr>
          <w:rStyle w:val="FootnoteReference"/>
        </w:rPr>
        <w:footnoteReference w:id="16"/>
      </w:r>
      <w:r>
        <w:t xml:space="preserve"> in the six official languages of the United Nations, electronically and in book form, and its availability, together with related informational material, on the website of the Economic Commission for Europe, which provides secretariat services to the </w:t>
      </w:r>
      <w:proofErr w:type="gramStart"/>
      <w:r>
        <w:t>Committee;</w:t>
      </w:r>
      <w:proofErr w:type="gramEnd"/>
    </w:p>
    <w:p w14:paraId="2C91A01B" w14:textId="77777777" w:rsidR="00B5614A" w:rsidRDefault="00B5614A" w:rsidP="00B5614A">
      <w:pPr>
        <w:pStyle w:val="SingleTxt"/>
      </w:pPr>
      <w:r>
        <w:tab/>
        <w:t>2.</w:t>
      </w:r>
      <w:r>
        <w:tab/>
      </w:r>
      <w:r>
        <w:rPr>
          <w:i/>
          <w:iCs/>
        </w:rPr>
        <w:t>Expresses its deep appreciation</w:t>
      </w:r>
      <w:r>
        <w:t xml:space="preserve"> to the Committee, the Commission and the United Nations programmes, specialized agencies and other organizations concerned for their fruitful cooperation and their commitment to the implementation of the Globally Harmonized </w:t>
      </w:r>
      <w:proofErr w:type="gramStart"/>
      <w:r>
        <w:t>System;</w:t>
      </w:r>
      <w:proofErr w:type="gramEnd"/>
    </w:p>
    <w:p w14:paraId="69B7EE31" w14:textId="77777777" w:rsidR="00B5614A" w:rsidRDefault="00B5614A" w:rsidP="00B5614A">
      <w:pPr>
        <w:pStyle w:val="SingleTxt"/>
      </w:pPr>
      <w:r>
        <w:tab/>
        <w:t>3.</w:t>
      </w:r>
      <w:r>
        <w:tab/>
      </w:r>
      <w:r>
        <w:rPr>
          <w:i/>
          <w:iCs/>
        </w:rPr>
        <w:t>Requests</w:t>
      </w:r>
      <w:r>
        <w:t xml:space="preserve"> the Secretary-General:</w:t>
      </w:r>
    </w:p>
    <w:p w14:paraId="5039CB74" w14:textId="77777777" w:rsidR="00B5614A" w:rsidRDefault="00B5614A" w:rsidP="00B5614A">
      <w:pPr>
        <w:pStyle w:val="SingleTxt"/>
      </w:pPr>
      <w:r>
        <w:tab/>
        <w:t>(a)</w:t>
      </w:r>
      <w:r>
        <w:tab/>
        <w:t>To circulate the amendments</w:t>
      </w:r>
      <w:r>
        <w:rPr>
          <w:rStyle w:val="FootnoteReference"/>
        </w:rPr>
        <w:footnoteReference w:id="17"/>
      </w:r>
      <w:r>
        <w:t xml:space="preserve"> to the ninth revised edition of the </w:t>
      </w:r>
      <w:r>
        <w:rPr>
          <w:i/>
          <w:iCs/>
        </w:rPr>
        <w:t>Globally Harmonized System</w:t>
      </w:r>
      <w:r>
        <w:t xml:space="preserve"> to the Governments of Member States, the specialized agencies and other international organizations </w:t>
      </w:r>
      <w:proofErr w:type="gramStart"/>
      <w:r>
        <w:t>concerned;</w:t>
      </w:r>
      <w:proofErr w:type="gramEnd"/>
    </w:p>
    <w:p w14:paraId="543F126E" w14:textId="77777777" w:rsidR="00B5614A" w:rsidRDefault="00B5614A" w:rsidP="00B5614A">
      <w:pPr>
        <w:pStyle w:val="SingleTxt"/>
      </w:pPr>
      <w:r>
        <w:tab/>
        <w:t>(b)</w:t>
      </w:r>
      <w:r>
        <w:tab/>
        <w:t xml:space="preserve">To publish the tenth revised edition of the </w:t>
      </w:r>
      <w:r>
        <w:rPr>
          <w:i/>
          <w:iCs/>
        </w:rPr>
        <w:t>Globally Harmonized System</w:t>
      </w:r>
      <w:r>
        <w:t xml:space="preserve"> in all the official languages of the United Nations in the most cost-effective manner, no later than the end of 2023, and to make it available in book and electronic format and on the website of the </w:t>
      </w:r>
      <w:proofErr w:type="gramStart"/>
      <w:r>
        <w:t>Commission;</w:t>
      </w:r>
      <w:proofErr w:type="gramEnd"/>
    </w:p>
    <w:p w14:paraId="12B2F861" w14:textId="77777777" w:rsidR="00B5614A" w:rsidRDefault="00B5614A" w:rsidP="00B5614A">
      <w:pPr>
        <w:pStyle w:val="SingleTxt"/>
      </w:pPr>
      <w:r>
        <w:tab/>
        <w:t>(c)</w:t>
      </w:r>
      <w:r>
        <w:tab/>
        <w:t>To continue to make information on the implementation of the Globally Harmonized System available on the website of the Commission;</w:t>
      </w:r>
      <w:r>
        <w:rPr>
          <w:rStyle w:val="FootnoteReference"/>
        </w:rPr>
        <w:footnoteReference w:id="18"/>
      </w:r>
    </w:p>
    <w:p w14:paraId="76EF62B9" w14:textId="77777777" w:rsidR="00B5614A" w:rsidRDefault="00B5614A" w:rsidP="00B5614A">
      <w:pPr>
        <w:pStyle w:val="SingleTxt"/>
      </w:pPr>
      <w:r>
        <w:tab/>
        <w:t>4.</w:t>
      </w:r>
      <w:r>
        <w:tab/>
      </w:r>
      <w:r>
        <w:rPr>
          <w:i/>
          <w:iCs/>
        </w:rPr>
        <w:t>Invites</w:t>
      </w:r>
      <w:r>
        <w:t xml:space="preserve"> Governments that have not yet done so to take the steps necessary to implement the Globally Harmonized System as soon as possible through appropriate national procedures and/or legislation and to keep them updated to take account of the recommendations made by the Committee every two </w:t>
      </w:r>
      <w:proofErr w:type="gramStart"/>
      <w:r>
        <w:t>years;</w:t>
      </w:r>
      <w:proofErr w:type="gramEnd"/>
    </w:p>
    <w:p w14:paraId="58AB49F8" w14:textId="77777777" w:rsidR="00B5614A" w:rsidRDefault="00B5614A" w:rsidP="00B5614A">
      <w:pPr>
        <w:pStyle w:val="SingleTxt"/>
      </w:pPr>
      <w:r>
        <w:tab/>
        <w:t>5.</w:t>
      </w:r>
      <w:r>
        <w:tab/>
      </w:r>
      <w:r>
        <w:rPr>
          <w:i/>
          <w:iCs/>
        </w:rPr>
        <w:t>Reiterates its invitation</w:t>
      </w:r>
      <w:r>
        <w:t xml:space="preserve"> to the regional commissions, United Nations programmes, specialized agencies and other organizations concerned to promote the implementation of the Globally Harmonized System and, where relevant, to amend their respective international legal instruments addressing transport safety, workplace safety, consumer protection or the protection of the environment so as to give effect to the Globally Harmonized System through such </w:t>
      </w:r>
      <w:proofErr w:type="gramStart"/>
      <w:r>
        <w:t>instruments;</w:t>
      </w:r>
      <w:proofErr w:type="gramEnd"/>
    </w:p>
    <w:p w14:paraId="3E418530" w14:textId="77777777" w:rsidR="00B5614A" w:rsidRDefault="00B5614A" w:rsidP="00B5614A">
      <w:pPr>
        <w:pStyle w:val="SingleTxt"/>
      </w:pPr>
      <w:r>
        <w:tab/>
        <w:t>6.</w:t>
      </w:r>
      <w:r>
        <w:tab/>
      </w:r>
      <w:r>
        <w:rPr>
          <w:i/>
          <w:iCs/>
          <w:spacing w:val="2"/>
        </w:rPr>
        <w:t>Invites</w:t>
      </w:r>
      <w:r>
        <w:rPr>
          <w:spacing w:val="2"/>
        </w:rPr>
        <w:t xml:space="preserve"> Governments, the regional commissions, United Nations programmes, specialized agencies and other organizations concerned to provide feedback</w:t>
      </w:r>
      <w:r>
        <w:rPr>
          <w:rStyle w:val="FootnoteReference"/>
          <w:spacing w:val="2"/>
        </w:rPr>
        <w:footnoteReference w:id="19"/>
      </w:r>
      <w:r>
        <w:rPr>
          <w:spacing w:val="2"/>
        </w:rPr>
        <w:t xml:space="preserve"> to the Subcommittee of Experts on the Globally Harmonized System of Classification and Labelling of Chemicals on the steps taken for the implementation of the Globally Harmonized System in all relevant sectors, through international, regional or national legal instruments, recommendations, codes and guidelines, including, when applicable, information about the transitional periods for its implementation;</w:t>
      </w:r>
    </w:p>
    <w:p w14:paraId="729F50F6" w14:textId="77777777" w:rsidR="00B5614A" w:rsidRDefault="00B5614A" w:rsidP="00B5614A">
      <w:pPr>
        <w:pStyle w:val="SingleTxt"/>
      </w:pPr>
      <w:r>
        <w:tab/>
        <w:t>7.</w:t>
      </w:r>
      <w:r>
        <w:tab/>
      </w:r>
      <w:r>
        <w:rPr>
          <w:i/>
          <w:iCs/>
        </w:rPr>
        <w:t>Encourages</w:t>
      </w:r>
      <w:r>
        <w:t xml:space="preserve"> Governments, the regional commissions, United Nations programmes, specialized agencies and other relevant international organizations and non-governmental organizations, in particular those representing industry, to strengthen their support for the implementation of the Globally Harmonized System by providing financial contributions and/or technical assistance for capacity-building activities in developing countries and countries with economies in </w:t>
      </w:r>
      <w:proofErr w:type="gramStart"/>
      <w:r>
        <w:t>transition;</w:t>
      </w:r>
      <w:proofErr w:type="gramEnd"/>
    </w:p>
    <w:p w14:paraId="64F1D4FE" w14:textId="77777777" w:rsidR="00B5614A" w:rsidRDefault="00B5614A" w:rsidP="00B5614A">
      <w:pPr>
        <w:pStyle w:val="H23"/>
        <w:ind w:right="1260"/>
      </w:pPr>
      <w:r>
        <w:tab/>
      </w:r>
      <w:r>
        <w:tab/>
        <w:t>C</w:t>
      </w:r>
      <w:r>
        <w:br/>
        <w:t>Scope and programme of work of the Committee</w:t>
      </w:r>
    </w:p>
    <w:p w14:paraId="2C84F635" w14:textId="77777777" w:rsidR="00B5614A" w:rsidRDefault="00B5614A" w:rsidP="00B5614A">
      <w:r>
        <w:tab/>
      </w:r>
      <w:r>
        <w:tab/>
      </w:r>
    </w:p>
    <w:p w14:paraId="2C5696D6" w14:textId="77777777" w:rsidR="00B5614A" w:rsidRDefault="00B5614A" w:rsidP="00B5614A">
      <w:pPr>
        <w:pStyle w:val="SingleTxt"/>
        <w:rPr>
          <w:spacing w:val="0"/>
        </w:rPr>
      </w:pPr>
      <w:r>
        <w:tab/>
      </w:r>
      <w:r>
        <w:rPr>
          <w:i/>
          <w:iCs/>
          <w:spacing w:val="0"/>
          <w:w w:val="101"/>
        </w:rPr>
        <w:t>Taking note</w:t>
      </w:r>
      <w:r>
        <w:rPr>
          <w:spacing w:val="0"/>
          <w:w w:val="101"/>
        </w:rPr>
        <w:t xml:space="preserve"> of the programme of work of the Committee for the biennium 2023-2024</w:t>
      </w:r>
      <w:r>
        <w:rPr>
          <w:spacing w:val="0"/>
        </w:rPr>
        <w:t xml:space="preserve"> as contained in paragraphs […] and […] of the report of the Secretary-General,</w:t>
      </w:r>
      <w:r>
        <w:rPr>
          <w:rStyle w:val="FootnoteReference"/>
          <w:spacing w:val="0"/>
        </w:rPr>
        <w:footnoteReference w:id="20"/>
      </w:r>
    </w:p>
    <w:p w14:paraId="10E56012" w14:textId="77777777" w:rsidR="00B5614A" w:rsidRDefault="00B5614A" w:rsidP="00B5614A">
      <w:pPr>
        <w:pStyle w:val="SingleTxt"/>
      </w:pPr>
      <w:r>
        <w:tab/>
      </w:r>
      <w:r>
        <w:rPr>
          <w:i/>
          <w:iCs/>
        </w:rPr>
        <w:t>Noting</w:t>
      </w:r>
      <w:r>
        <w:t xml:space="preserve"> the relatively poor level of participation of experts from developing countries and countries with economies in transition in the work of the Committee and the need to promote their wider participation in its work,</w:t>
      </w:r>
    </w:p>
    <w:p w14:paraId="4AA33B3A" w14:textId="77777777" w:rsidR="00B5614A" w:rsidRDefault="00B5614A" w:rsidP="00B5614A">
      <w:pPr>
        <w:pStyle w:val="SingleTxt"/>
      </w:pPr>
      <w:r>
        <w:rPr>
          <w:i/>
          <w:iCs/>
        </w:rPr>
        <w:tab/>
        <w:t xml:space="preserve">Noting also </w:t>
      </w:r>
      <w:r>
        <w:t>that following the reconfiguration of the Committee and the establishment of the Sub-Committee on the Globally Harmonized System in accordance with resolution 1999/65 of 26 October 1999, the scope of the work of the Committee was extended to cover not only transport of dangerous goods but also implementation and updating of the Globally Harmonized System,</w:t>
      </w:r>
    </w:p>
    <w:p w14:paraId="7323EBBF" w14:textId="77777777" w:rsidR="00B5614A" w:rsidRDefault="00B5614A" w:rsidP="00B5614A">
      <w:pPr>
        <w:pStyle w:val="SingleTxt"/>
      </w:pPr>
      <w:r>
        <w:tab/>
        <w:t>1.</w:t>
      </w:r>
      <w:r>
        <w:tab/>
      </w:r>
      <w:r>
        <w:rPr>
          <w:i/>
          <w:iCs/>
        </w:rPr>
        <w:t>Decides</w:t>
      </w:r>
      <w:r>
        <w:t xml:space="preserve"> to approve the programme of work of the </w:t>
      </w:r>
      <w:proofErr w:type="gramStart"/>
      <w:r>
        <w:t>Committee;</w:t>
      </w:r>
      <w:proofErr w:type="gramEnd"/>
    </w:p>
    <w:p w14:paraId="4417E9C2" w14:textId="77777777" w:rsidR="00B5614A" w:rsidRDefault="00B5614A" w:rsidP="00B5614A">
      <w:pPr>
        <w:pStyle w:val="SingleTxt"/>
      </w:pPr>
      <w:r>
        <w:tab/>
        <w:t>2.</w:t>
      </w:r>
      <w:r>
        <w:tab/>
      </w:r>
      <w:r>
        <w:rPr>
          <w:i/>
          <w:iCs/>
        </w:rPr>
        <w:t>Stresses</w:t>
      </w:r>
      <w:r>
        <w:t xml:space="preserve"> the importance of the participation of experts from developing countries and countries with economies in transition in the work of the Committee, calls in that regard for voluntary contributions to facilitate their participation, including through support for travel and daily subsistence, and invites Member States and international organizations in a position to do so to </w:t>
      </w:r>
      <w:proofErr w:type="gramStart"/>
      <w:r>
        <w:t>contribute;</w:t>
      </w:r>
      <w:proofErr w:type="gramEnd"/>
    </w:p>
    <w:p w14:paraId="646F9C8E" w14:textId="77777777" w:rsidR="00B5614A" w:rsidRDefault="00B5614A" w:rsidP="00B5614A">
      <w:pPr>
        <w:pStyle w:val="SingleTxt"/>
      </w:pPr>
      <w:r>
        <w:tab/>
        <w:t>3.</w:t>
      </w:r>
      <w:r>
        <w:tab/>
      </w:r>
      <w:r>
        <w:rPr>
          <w:i/>
          <w:iCs/>
        </w:rPr>
        <w:t>Requests</w:t>
      </w:r>
      <w:r>
        <w:t xml:space="preserve"> the Secretary-General to submit to the Economic and Social Council, in at its 2025 session, a report on the implementation of the present resolution, the recommendations on the transport of dangerous goods and the Globally Harmonized System of Classification and Labelling of Chemicals.</w:t>
      </w:r>
    </w:p>
    <w:p w14:paraId="28D5CEB3" w14:textId="61BD0486" w:rsidR="00B5614A" w:rsidRDefault="00B5614A" w:rsidP="00B5614A">
      <w:pPr>
        <w:pStyle w:val="SingleTxt"/>
      </w:pPr>
      <w:r>
        <w:tab/>
        <w:t>4.</w:t>
      </w:r>
      <w:r>
        <w:tab/>
      </w:r>
      <w:r>
        <w:rPr>
          <w:i/>
          <w:iCs/>
        </w:rPr>
        <w:t xml:space="preserve">Decides </w:t>
      </w:r>
      <w:r>
        <w:t>to rename the existing agenda sub-item from “Transport of dangerous goods” to “Transport of dangerous goods and globally harmonized system of classification and labelling of chemicals" and decides to include the sub-item in the agenda of its 2025 session.</w:t>
      </w:r>
    </w:p>
    <w:p w14:paraId="2B2D0E89" w14:textId="750797F6" w:rsidR="00715286" w:rsidRDefault="00E60F9D" w:rsidP="007B26FB">
      <w:pPr>
        <w:pStyle w:val="SingleTxt"/>
        <w:jc w:val="center"/>
      </w:pPr>
      <w:r>
        <w:t>__________________</w:t>
      </w:r>
    </w:p>
    <w:sectPr w:rsidR="00715286" w:rsidSect="009739EA">
      <w:headerReference w:type="even" r:id="rId37"/>
      <w:headerReference w:type="default" r:id="rId38"/>
      <w:footerReference w:type="even" r:id="rId39"/>
      <w:footerReference w:type="default" r:id="rId40"/>
      <w:headerReference w:type="first" r:id="rId41"/>
      <w:footerReference w:type="first" r:id="rId42"/>
      <w:footnoteP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CF7F" w14:textId="77777777" w:rsidR="002A3FFF" w:rsidRDefault="002A3FFF"/>
  </w:endnote>
  <w:endnote w:type="continuationSeparator" w:id="0">
    <w:p w14:paraId="775B0CE5" w14:textId="77777777" w:rsidR="002A3FFF" w:rsidRDefault="002A3FFF"/>
  </w:endnote>
  <w:endnote w:type="continuationNotice" w:id="1">
    <w:p w14:paraId="60B3EF94" w14:textId="77777777" w:rsidR="002A3FFF" w:rsidRDefault="002A3F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EAE3" w14:textId="77777777" w:rsidR="00684A13" w:rsidRPr="00DE36AB" w:rsidRDefault="00684A13" w:rsidP="00E420FE">
    <w:pPr>
      <w:pStyle w:val="Footer"/>
      <w:rPr>
        <w:rStyle w:val="PageNumber"/>
        <w:noProof/>
      </w:rPr>
    </w:pPr>
    <w:r w:rsidRPr="00DE36AB">
      <w:rPr>
        <w:rStyle w:val="PageNumber"/>
        <w:noProof/>
      </w:rPr>
      <w:fldChar w:fldCharType="begin"/>
    </w:r>
    <w:r w:rsidRPr="00DE36AB">
      <w:rPr>
        <w:rStyle w:val="PageNumber"/>
        <w:noProof/>
      </w:rPr>
      <w:instrText xml:space="preserve"> PAGE   \* MERGEFORMAT </w:instrText>
    </w:r>
    <w:r w:rsidRPr="00DE36AB">
      <w:rPr>
        <w:rStyle w:val="PageNumber"/>
        <w:noProof/>
      </w:rPr>
      <w:fldChar w:fldCharType="separate"/>
    </w:r>
    <w:r>
      <w:rPr>
        <w:rStyle w:val="PageNumber"/>
        <w:noProof/>
      </w:rPr>
      <w:t>6</w:t>
    </w:r>
    <w:r w:rsidRPr="00DE36AB">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BE47" w14:textId="77777777" w:rsidR="00684A13" w:rsidRDefault="00684A13" w:rsidP="00A07FD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5D91" w14:textId="77777777" w:rsidR="00684A13" w:rsidRDefault="00684A13" w:rsidP="00E420F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E22B" w14:textId="77777777" w:rsidR="00684A13" w:rsidRDefault="00684A13" w:rsidP="000872B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11BB" w14:textId="77777777" w:rsidR="00684A13" w:rsidRDefault="00684A13" w:rsidP="00A07FD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472219"/>
      <w:docPartObj>
        <w:docPartGallery w:val="Page Numbers (Bottom of Page)"/>
        <w:docPartUnique/>
      </w:docPartObj>
    </w:sdtPr>
    <w:sdtEndPr>
      <w:rPr>
        <w:b/>
        <w:bCs/>
        <w:noProof/>
        <w:sz w:val="18"/>
        <w:szCs w:val="18"/>
      </w:rPr>
    </w:sdtEndPr>
    <w:sdtContent>
      <w:p w14:paraId="7AD61ADD" w14:textId="3AE07155" w:rsidR="00480EE0" w:rsidRPr="00480EE0" w:rsidRDefault="00480EE0">
        <w:pPr>
          <w:pStyle w:val="Footer"/>
          <w:jc w:val="right"/>
          <w:rPr>
            <w:b/>
            <w:bCs/>
            <w:sz w:val="18"/>
            <w:szCs w:val="18"/>
          </w:rPr>
        </w:pPr>
        <w:r w:rsidRPr="00480EE0">
          <w:rPr>
            <w:b/>
            <w:bCs/>
            <w:sz w:val="18"/>
            <w:szCs w:val="18"/>
          </w:rPr>
          <w:fldChar w:fldCharType="begin"/>
        </w:r>
        <w:r w:rsidRPr="00480EE0">
          <w:rPr>
            <w:b/>
            <w:bCs/>
            <w:sz w:val="18"/>
            <w:szCs w:val="18"/>
          </w:rPr>
          <w:instrText xml:space="preserve"> PAGE   \* MERGEFORMAT </w:instrText>
        </w:r>
        <w:r w:rsidRPr="00480EE0">
          <w:rPr>
            <w:b/>
            <w:bCs/>
            <w:sz w:val="18"/>
            <w:szCs w:val="18"/>
          </w:rPr>
          <w:fldChar w:fldCharType="separate"/>
        </w:r>
        <w:r w:rsidRPr="00480EE0">
          <w:rPr>
            <w:b/>
            <w:bCs/>
            <w:noProof/>
            <w:sz w:val="18"/>
            <w:szCs w:val="18"/>
          </w:rPr>
          <w:t>2</w:t>
        </w:r>
        <w:r w:rsidRPr="00480EE0">
          <w:rPr>
            <w:b/>
            <w:bCs/>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128B" w14:textId="2A2E2EB1" w:rsidR="00684A13" w:rsidRPr="00DF2B22" w:rsidRDefault="00684A13">
    <w:pPr>
      <w:pStyle w:val="Footer"/>
      <w:jc w:val="right"/>
      <w:rPr>
        <w:b/>
        <w:bCs/>
        <w:sz w:val="18"/>
        <w:szCs w:val="18"/>
      </w:rPr>
    </w:pPr>
  </w:p>
  <w:p w14:paraId="70CE327D" w14:textId="77777777" w:rsidR="00684A13" w:rsidRDefault="00684A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265E" w14:textId="77777777" w:rsidR="00346EF7" w:rsidRPr="00DE36AB" w:rsidRDefault="00346EF7" w:rsidP="00E420FE">
    <w:pPr>
      <w:pStyle w:val="Footer"/>
      <w:rPr>
        <w:rStyle w:val="PageNumber"/>
        <w:noProof/>
      </w:rPr>
    </w:pPr>
    <w:r w:rsidRPr="00DE36AB">
      <w:rPr>
        <w:rStyle w:val="PageNumber"/>
        <w:noProof/>
      </w:rPr>
      <w:fldChar w:fldCharType="begin"/>
    </w:r>
    <w:r w:rsidRPr="00DE36AB">
      <w:rPr>
        <w:rStyle w:val="PageNumber"/>
        <w:noProof/>
      </w:rPr>
      <w:instrText xml:space="preserve"> PAGE   \* MERGEFORMAT </w:instrText>
    </w:r>
    <w:r w:rsidRPr="00DE36AB">
      <w:rPr>
        <w:rStyle w:val="PageNumber"/>
        <w:noProof/>
      </w:rPr>
      <w:fldChar w:fldCharType="separate"/>
    </w:r>
    <w:r>
      <w:rPr>
        <w:rStyle w:val="PageNumber"/>
        <w:noProof/>
      </w:rPr>
      <w:t>6</w:t>
    </w:r>
    <w:r w:rsidRPr="00DE36AB">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991896"/>
      <w:docPartObj>
        <w:docPartGallery w:val="Page Numbers (Bottom of Page)"/>
        <w:docPartUnique/>
      </w:docPartObj>
    </w:sdtPr>
    <w:sdtEndPr>
      <w:rPr>
        <w:b/>
        <w:bCs/>
        <w:noProof/>
        <w:sz w:val="18"/>
        <w:szCs w:val="18"/>
      </w:rPr>
    </w:sdtEndPr>
    <w:sdtContent>
      <w:p w14:paraId="6BC9E3E0" w14:textId="77777777" w:rsidR="009C4A41" w:rsidRPr="00480EE0" w:rsidRDefault="009C4A41">
        <w:pPr>
          <w:pStyle w:val="Footer"/>
          <w:jc w:val="right"/>
          <w:rPr>
            <w:b/>
            <w:bCs/>
            <w:sz w:val="18"/>
            <w:szCs w:val="18"/>
          </w:rPr>
        </w:pPr>
        <w:r w:rsidRPr="00480EE0">
          <w:rPr>
            <w:b/>
            <w:bCs/>
            <w:sz w:val="18"/>
            <w:szCs w:val="18"/>
          </w:rPr>
          <w:fldChar w:fldCharType="begin"/>
        </w:r>
        <w:r w:rsidRPr="00480EE0">
          <w:rPr>
            <w:b/>
            <w:bCs/>
            <w:sz w:val="18"/>
            <w:szCs w:val="18"/>
          </w:rPr>
          <w:instrText xml:space="preserve"> PAGE   \* MERGEFORMAT </w:instrText>
        </w:r>
        <w:r w:rsidRPr="00480EE0">
          <w:rPr>
            <w:b/>
            <w:bCs/>
            <w:sz w:val="18"/>
            <w:szCs w:val="18"/>
          </w:rPr>
          <w:fldChar w:fldCharType="separate"/>
        </w:r>
        <w:r w:rsidRPr="00480EE0">
          <w:rPr>
            <w:b/>
            <w:bCs/>
            <w:noProof/>
            <w:sz w:val="18"/>
            <w:szCs w:val="18"/>
          </w:rPr>
          <w:t>2</w:t>
        </w:r>
        <w:r w:rsidRPr="00480EE0">
          <w:rPr>
            <w:b/>
            <w:bCs/>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BE7E" w14:textId="77777777" w:rsidR="004F3BD9" w:rsidRPr="00DF2B22" w:rsidRDefault="004F3BD9">
    <w:pPr>
      <w:pStyle w:val="Footer"/>
      <w:jc w:val="right"/>
      <w:rPr>
        <w:b/>
        <w:bCs/>
        <w:sz w:val="18"/>
        <w:szCs w:val="18"/>
      </w:rPr>
    </w:pPr>
    <w:r w:rsidRPr="00DF2B22">
      <w:rPr>
        <w:b/>
        <w:bCs/>
        <w:sz w:val="18"/>
        <w:szCs w:val="18"/>
      </w:rPr>
      <w:fldChar w:fldCharType="begin"/>
    </w:r>
    <w:r w:rsidRPr="00DF2B22">
      <w:rPr>
        <w:b/>
        <w:bCs/>
        <w:sz w:val="18"/>
        <w:szCs w:val="18"/>
      </w:rPr>
      <w:instrText xml:space="preserve"> PAGE   \* MERGEFORMAT </w:instrText>
    </w:r>
    <w:r w:rsidRPr="00DF2B22">
      <w:rPr>
        <w:b/>
        <w:bCs/>
        <w:sz w:val="18"/>
        <w:szCs w:val="18"/>
      </w:rPr>
      <w:fldChar w:fldCharType="separate"/>
    </w:r>
    <w:r w:rsidRPr="00DF2B22">
      <w:rPr>
        <w:b/>
        <w:bCs/>
        <w:noProof/>
        <w:sz w:val="18"/>
        <w:szCs w:val="18"/>
      </w:rPr>
      <w:t>5</w:t>
    </w:r>
    <w:r w:rsidRPr="00DF2B22">
      <w:rPr>
        <w:b/>
        <w:bCs/>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FCB6" w14:textId="77777777" w:rsidR="00A07FDC" w:rsidRPr="00DE36AB" w:rsidRDefault="00A07FDC" w:rsidP="00E420FE">
    <w:pPr>
      <w:pStyle w:val="Footer"/>
      <w:rPr>
        <w:rStyle w:val="PageNumber"/>
        <w:noProof/>
      </w:rPr>
    </w:pPr>
    <w:r w:rsidRPr="00DE36AB">
      <w:rPr>
        <w:rStyle w:val="PageNumber"/>
        <w:noProof/>
      </w:rPr>
      <w:fldChar w:fldCharType="begin"/>
    </w:r>
    <w:r w:rsidRPr="00DE36AB">
      <w:rPr>
        <w:rStyle w:val="PageNumber"/>
        <w:noProof/>
      </w:rPr>
      <w:instrText xml:space="preserve"> PAGE   \* MERGEFORMAT </w:instrText>
    </w:r>
    <w:r w:rsidRPr="00DE36AB">
      <w:rPr>
        <w:rStyle w:val="PageNumber"/>
        <w:noProof/>
      </w:rPr>
      <w:fldChar w:fldCharType="separate"/>
    </w:r>
    <w:r>
      <w:rPr>
        <w:rStyle w:val="PageNumber"/>
        <w:noProof/>
      </w:rPr>
      <w:t>6</w:t>
    </w:r>
    <w:r w:rsidRPr="00DE36AB">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177937"/>
      <w:docPartObj>
        <w:docPartGallery w:val="Page Numbers (Bottom of Page)"/>
        <w:docPartUnique/>
      </w:docPartObj>
    </w:sdtPr>
    <w:sdtEndPr>
      <w:rPr>
        <w:b/>
        <w:bCs/>
        <w:noProof/>
        <w:sz w:val="18"/>
        <w:szCs w:val="18"/>
      </w:rPr>
    </w:sdtEndPr>
    <w:sdtContent>
      <w:p w14:paraId="6CDB9966" w14:textId="77777777" w:rsidR="00A07FDC" w:rsidRPr="00480EE0" w:rsidRDefault="00A07FDC">
        <w:pPr>
          <w:pStyle w:val="Footer"/>
          <w:jc w:val="right"/>
          <w:rPr>
            <w:b/>
            <w:bCs/>
            <w:sz w:val="18"/>
            <w:szCs w:val="18"/>
          </w:rPr>
        </w:pPr>
        <w:r w:rsidRPr="00480EE0">
          <w:rPr>
            <w:b/>
            <w:bCs/>
            <w:sz w:val="18"/>
            <w:szCs w:val="18"/>
          </w:rPr>
          <w:fldChar w:fldCharType="begin"/>
        </w:r>
        <w:r w:rsidRPr="00480EE0">
          <w:rPr>
            <w:b/>
            <w:bCs/>
            <w:sz w:val="18"/>
            <w:szCs w:val="18"/>
          </w:rPr>
          <w:instrText xml:space="preserve"> PAGE   \* MERGEFORMAT </w:instrText>
        </w:r>
        <w:r w:rsidRPr="00480EE0">
          <w:rPr>
            <w:b/>
            <w:bCs/>
            <w:sz w:val="18"/>
            <w:szCs w:val="18"/>
          </w:rPr>
          <w:fldChar w:fldCharType="separate"/>
        </w:r>
        <w:r w:rsidRPr="00480EE0">
          <w:rPr>
            <w:b/>
            <w:bCs/>
            <w:noProof/>
            <w:sz w:val="18"/>
            <w:szCs w:val="18"/>
          </w:rPr>
          <w:t>2</w:t>
        </w:r>
        <w:r w:rsidRPr="00480EE0">
          <w:rPr>
            <w:b/>
            <w:bCs/>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24C7" w14:textId="77777777" w:rsidR="005D0D7A" w:rsidRPr="00DF2B22" w:rsidRDefault="005D0D7A" w:rsidP="00996C7A">
    <w:pPr>
      <w:pStyle w:val="Footer"/>
      <w:rPr>
        <w:b/>
        <w:bCs/>
        <w:sz w:val="18"/>
        <w:szCs w:val="18"/>
      </w:rPr>
    </w:pPr>
    <w:r w:rsidRPr="00DF2B22">
      <w:rPr>
        <w:b/>
        <w:bCs/>
        <w:sz w:val="18"/>
        <w:szCs w:val="18"/>
      </w:rPr>
      <w:fldChar w:fldCharType="begin"/>
    </w:r>
    <w:r w:rsidRPr="00DF2B22">
      <w:rPr>
        <w:b/>
        <w:bCs/>
        <w:sz w:val="18"/>
        <w:szCs w:val="18"/>
      </w:rPr>
      <w:instrText xml:space="preserve"> PAGE   \* MERGEFORMAT </w:instrText>
    </w:r>
    <w:r w:rsidRPr="00DF2B22">
      <w:rPr>
        <w:b/>
        <w:bCs/>
        <w:sz w:val="18"/>
        <w:szCs w:val="18"/>
      </w:rPr>
      <w:fldChar w:fldCharType="separate"/>
    </w:r>
    <w:r w:rsidRPr="00DF2B22">
      <w:rPr>
        <w:b/>
        <w:bCs/>
        <w:noProof/>
        <w:sz w:val="18"/>
        <w:szCs w:val="18"/>
      </w:rPr>
      <w:t>5</w:t>
    </w:r>
    <w:r w:rsidRPr="00DF2B22">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701E" w14:textId="77777777" w:rsidR="002A3FFF" w:rsidRPr="000B175B" w:rsidRDefault="002A3FFF" w:rsidP="000B175B">
      <w:pPr>
        <w:tabs>
          <w:tab w:val="right" w:pos="2155"/>
        </w:tabs>
        <w:spacing w:after="80"/>
        <w:ind w:left="680"/>
        <w:rPr>
          <w:u w:val="single"/>
        </w:rPr>
      </w:pPr>
      <w:r>
        <w:rPr>
          <w:u w:val="single"/>
        </w:rPr>
        <w:tab/>
      </w:r>
    </w:p>
  </w:footnote>
  <w:footnote w:type="continuationSeparator" w:id="0">
    <w:p w14:paraId="0F1390FE" w14:textId="77777777" w:rsidR="002A3FFF" w:rsidRPr="00FC68B7" w:rsidRDefault="002A3FFF" w:rsidP="00FC68B7">
      <w:pPr>
        <w:tabs>
          <w:tab w:val="left" w:pos="2155"/>
        </w:tabs>
        <w:spacing w:after="80"/>
        <w:ind w:left="680"/>
        <w:rPr>
          <w:u w:val="single"/>
        </w:rPr>
      </w:pPr>
      <w:r>
        <w:rPr>
          <w:u w:val="single"/>
        </w:rPr>
        <w:tab/>
      </w:r>
    </w:p>
  </w:footnote>
  <w:footnote w:type="continuationNotice" w:id="1">
    <w:p w14:paraId="3C6987BC" w14:textId="77777777" w:rsidR="002A3FFF" w:rsidRDefault="002A3FFF"/>
  </w:footnote>
  <w:footnote w:id="2">
    <w:p w14:paraId="3F988D96" w14:textId="3478433D" w:rsidR="00AF3CC0" w:rsidRPr="00AF3CC0" w:rsidRDefault="00AF3CC0" w:rsidP="00E876EE">
      <w:pPr>
        <w:pStyle w:val="FootnoteText"/>
        <w:tabs>
          <w:tab w:val="left" w:pos="1418"/>
        </w:tabs>
        <w:ind w:firstLine="0"/>
        <w:rPr>
          <w:lang w:val="fr-CH"/>
        </w:rPr>
      </w:pPr>
      <w:r>
        <w:rPr>
          <w:rStyle w:val="FootnoteReference"/>
        </w:rPr>
        <w:footnoteRef/>
      </w:r>
      <w:r w:rsidR="00E876EE">
        <w:tab/>
      </w:r>
      <w:r w:rsidR="00E876EE" w:rsidRPr="00AF6E8B">
        <w:t xml:space="preserve">For practical reasons, this annex has been published as an addendum with the symbol </w:t>
      </w:r>
      <w:r w:rsidR="00E876EE">
        <w:tab/>
      </w:r>
      <w:r w:rsidR="00E876EE" w:rsidRPr="00AF6E8B">
        <w:t>ST/SG/AC.10/</w:t>
      </w:r>
      <w:r w:rsidR="00E876EE">
        <w:t>50/Add.1.</w:t>
      </w:r>
    </w:p>
  </w:footnote>
  <w:footnote w:id="3">
    <w:p w14:paraId="571CC0A0" w14:textId="20940D69" w:rsidR="00684A13" w:rsidRPr="00BE6FAA" w:rsidRDefault="00684A13" w:rsidP="00BB50F9">
      <w:pPr>
        <w:pStyle w:val="FootnoteText"/>
        <w:tabs>
          <w:tab w:val="left" w:pos="1418"/>
        </w:tabs>
        <w:ind w:firstLine="0"/>
      </w:pPr>
      <w:r w:rsidRPr="00BB50F9">
        <w:rPr>
          <w:rStyle w:val="FootnoteReference"/>
          <w:sz w:val="20"/>
        </w:rPr>
        <w:t>**</w:t>
      </w:r>
      <w:r>
        <w:t xml:space="preserve"> </w:t>
      </w:r>
      <w:r>
        <w:tab/>
      </w:r>
      <w:r w:rsidRPr="00AF6E8B">
        <w:t xml:space="preserve">For practical reasons, this annex has been published as an addendum with the symbol </w:t>
      </w:r>
      <w:r>
        <w:tab/>
      </w:r>
      <w:r w:rsidRPr="00AF6E8B">
        <w:t>ST/SG/AC.10/</w:t>
      </w:r>
      <w:r w:rsidR="0034242A">
        <w:t>50</w:t>
      </w:r>
      <w:r>
        <w:t>/Add.2</w:t>
      </w:r>
      <w:r w:rsidRPr="00AF6E8B">
        <w:t>.</w:t>
      </w:r>
    </w:p>
  </w:footnote>
  <w:footnote w:id="4">
    <w:p w14:paraId="0516A188" w14:textId="6AD32C11" w:rsidR="00684A13" w:rsidRPr="00BE6FAA" w:rsidRDefault="00684A13" w:rsidP="00BB50F9">
      <w:pPr>
        <w:pStyle w:val="FootnoteText"/>
        <w:tabs>
          <w:tab w:val="left" w:pos="1418"/>
        </w:tabs>
        <w:ind w:firstLine="0"/>
      </w:pPr>
      <w:r>
        <w:rPr>
          <w:rStyle w:val="FootnoteReference"/>
        </w:rPr>
        <w:t>***</w:t>
      </w:r>
      <w:r>
        <w:t xml:space="preserve"> </w:t>
      </w:r>
      <w:r>
        <w:tab/>
      </w:r>
      <w:r w:rsidRPr="00AF6E8B">
        <w:t xml:space="preserve">For practical reasons, this annex has been published as an addendum with the symbol </w:t>
      </w:r>
      <w:r>
        <w:tab/>
      </w:r>
      <w:r w:rsidRPr="00AF6E8B">
        <w:t>ST/SG/AC.10/</w:t>
      </w:r>
      <w:r w:rsidR="0034242A">
        <w:t>50</w:t>
      </w:r>
      <w:r>
        <w:t>/Add.3</w:t>
      </w:r>
      <w:r w:rsidRPr="00AF6E8B">
        <w:t>.</w:t>
      </w:r>
    </w:p>
  </w:footnote>
  <w:footnote w:id="5">
    <w:p w14:paraId="768BB128" w14:textId="31C7AB6A" w:rsidR="006A0431" w:rsidRPr="006A0431" w:rsidRDefault="006A0431" w:rsidP="00312C22">
      <w:pPr>
        <w:pStyle w:val="FootnoteText"/>
        <w:tabs>
          <w:tab w:val="clear" w:pos="1021"/>
          <w:tab w:val="right" w:pos="1134"/>
        </w:tabs>
        <w:rPr>
          <w:lang w:val="fr-CH"/>
        </w:rPr>
      </w:pPr>
      <w:r>
        <w:tab/>
      </w:r>
      <w:r>
        <w:rPr>
          <w:rStyle w:val="FootnoteReference"/>
        </w:rPr>
        <w:footnoteRef/>
      </w:r>
      <w:r>
        <w:t xml:space="preserve"> </w:t>
      </w:r>
      <w:r>
        <w:tab/>
      </w:r>
      <w:r w:rsidRPr="000D7AAB">
        <w:t>https://unece.org/publications/transport/dangerous%20goods</w:t>
      </w:r>
    </w:p>
  </w:footnote>
  <w:footnote w:id="6">
    <w:p w14:paraId="503F84FE" w14:textId="77777777" w:rsidR="00684A13" w:rsidRPr="00E21CAA" w:rsidRDefault="00684A13" w:rsidP="00CE7152">
      <w:pPr>
        <w:pStyle w:val="FootnoteText"/>
        <w:tabs>
          <w:tab w:val="left" w:pos="1418"/>
        </w:tabs>
        <w:ind w:firstLine="0"/>
        <w:rPr>
          <w:lang w:val="fr-CH"/>
        </w:rPr>
      </w:pPr>
      <w:r>
        <w:rPr>
          <w:rStyle w:val="FootnoteReference"/>
        </w:rPr>
        <w:footnoteRef/>
      </w:r>
      <w:r>
        <w:t xml:space="preserve"> </w:t>
      </w:r>
      <w:r>
        <w:tab/>
      </w:r>
      <w:r w:rsidRPr="00BE6FAA">
        <w:t xml:space="preserve">See </w:t>
      </w:r>
      <w:r>
        <w:t xml:space="preserve">the </w:t>
      </w:r>
      <w:r w:rsidRPr="00BE6FAA">
        <w:t>report of the Committee on its seventh session (ST/SG/AC.10/42, para.16)</w:t>
      </w:r>
      <w:r>
        <w:t>.</w:t>
      </w:r>
    </w:p>
  </w:footnote>
  <w:footnote w:id="7">
    <w:p w14:paraId="2FDDF305" w14:textId="77777777" w:rsidR="00684A13" w:rsidRPr="00E21CAA" w:rsidRDefault="00684A13" w:rsidP="00F32B26">
      <w:pPr>
        <w:pStyle w:val="FootnoteText"/>
        <w:tabs>
          <w:tab w:val="left" w:pos="1418"/>
        </w:tabs>
        <w:ind w:firstLine="0"/>
        <w:rPr>
          <w:lang w:val="fr-CH"/>
        </w:rPr>
      </w:pPr>
      <w:r>
        <w:rPr>
          <w:rStyle w:val="FootnoteReference"/>
        </w:rPr>
        <w:footnoteRef/>
      </w:r>
      <w:r>
        <w:t xml:space="preserve"> </w:t>
      </w:r>
      <w:r>
        <w:tab/>
        <w:t xml:space="preserve">See the report of the GHS Sub-Committee on its thirtieth session (ST/SG/AC.10/C.4/60, </w:t>
      </w:r>
      <w:r w:rsidR="00563AFD">
        <w:br/>
      </w:r>
      <w:r>
        <w:t>annex II).</w:t>
      </w:r>
    </w:p>
  </w:footnote>
  <w:footnote w:id="8">
    <w:p w14:paraId="70C0CC1F" w14:textId="77777777" w:rsidR="00684A13" w:rsidRPr="00E21CAA" w:rsidRDefault="00684A13" w:rsidP="00F32B26">
      <w:pPr>
        <w:pStyle w:val="FootnoteText"/>
        <w:tabs>
          <w:tab w:val="left" w:pos="1418"/>
        </w:tabs>
        <w:ind w:firstLine="0"/>
        <w:rPr>
          <w:lang w:val="fr-CH"/>
        </w:rPr>
      </w:pPr>
      <w:r>
        <w:rPr>
          <w:rStyle w:val="FootnoteReference"/>
        </w:rPr>
        <w:footnoteRef/>
      </w:r>
      <w:r>
        <w:t xml:space="preserve"> </w:t>
      </w:r>
      <w:r>
        <w:tab/>
        <w:t xml:space="preserve">See the report of the GHS Sub-Committee on its thirty-first session (ST/SG/AC.10/C.4/62, </w:t>
      </w:r>
      <w:r w:rsidR="00563AFD">
        <w:br/>
      </w:r>
      <w:r>
        <w:t>annex II).</w:t>
      </w:r>
    </w:p>
  </w:footnote>
  <w:footnote w:id="9">
    <w:p w14:paraId="2F63C224" w14:textId="570985F6" w:rsidR="00684A13" w:rsidRPr="00E21CAA" w:rsidRDefault="00684A13" w:rsidP="00F32B26">
      <w:pPr>
        <w:pStyle w:val="FootnoteText"/>
        <w:tabs>
          <w:tab w:val="left" w:pos="1418"/>
        </w:tabs>
        <w:ind w:firstLine="0"/>
        <w:rPr>
          <w:lang w:val="fr-CH"/>
        </w:rPr>
      </w:pPr>
      <w:r>
        <w:rPr>
          <w:rStyle w:val="FootnoteReference"/>
        </w:rPr>
        <w:footnoteRef/>
      </w:r>
      <w:r>
        <w:t xml:space="preserve"> </w:t>
      </w:r>
      <w:r>
        <w:tab/>
        <w:t>See the report of the TDG Sub-Committee on its fifty-third session (ST/SG/AC.10/C.3/106, paras.</w:t>
      </w:r>
      <w:r w:rsidR="009D6CD4">
        <w:t> </w:t>
      </w:r>
      <w:r>
        <w:t>162 to 176).</w:t>
      </w:r>
    </w:p>
  </w:footnote>
  <w:footnote w:id="10">
    <w:p w14:paraId="211BA2BE" w14:textId="07BFF68E" w:rsidR="00684A13" w:rsidRPr="00BE6FAA" w:rsidRDefault="00684A13" w:rsidP="00F32B26">
      <w:pPr>
        <w:pStyle w:val="FootnoteText"/>
        <w:tabs>
          <w:tab w:val="left" w:pos="1418"/>
        </w:tabs>
        <w:ind w:firstLine="0"/>
      </w:pPr>
      <w:r w:rsidRPr="00B0766F">
        <w:rPr>
          <w:rStyle w:val="FootnoteReference"/>
          <w:sz w:val="20"/>
        </w:rPr>
        <w:footnoteRef/>
      </w:r>
      <w:r w:rsidRPr="00DE36AB">
        <w:rPr>
          <w:rStyle w:val="FootnoteReference"/>
        </w:rPr>
        <w:t xml:space="preserve"> </w:t>
      </w:r>
      <w:r>
        <w:tab/>
        <w:t xml:space="preserve">With possibility for both sub-committees to share the meetings allocated to their respective </w:t>
      </w:r>
      <w:r w:rsidRPr="00880857">
        <w:t xml:space="preserve">sessions for meeting </w:t>
      </w:r>
      <w:r w:rsidRPr="00EC6FF4">
        <w:t>jointly all day</w:t>
      </w:r>
      <w:r>
        <w:t xml:space="preserve"> on </w:t>
      </w:r>
      <w:r w:rsidR="00A36CB4">
        <w:t>6</w:t>
      </w:r>
      <w:r>
        <w:t xml:space="preserve"> December 202</w:t>
      </w:r>
      <w:r w:rsidR="00A36CB4">
        <w:t>3</w:t>
      </w:r>
      <w:r w:rsidRPr="00880857">
        <w:t xml:space="preserve"> and </w:t>
      </w:r>
      <w:r w:rsidR="000949FA">
        <w:t>3</w:t>
      </w:r>
      <w:r>
        <w:t xml:space="preserve"> July 202</w:t>
      </w:r>
      <w:r w:rsidR="008F00F0">
        <w:t>4</w:t>
      </w:r>
      <w:r w:rsidRPr="00880857">
        <w:t>.</w:t>
      </w:r>
    </w:p>
  </w:footnote>
  <w:footnote w:id="11">
    <w:p w14:paraId="3F1772CE" w14:textId="28980527" w:rsidR="00280705" w:rsidRPr="00E45453" w:rsidRDefault="00280705" w:rsidP="00563AFD">
      <w:pPr>
        <w:pStyle w:val="FootnoteText"/>
        <w:tabs>
          <w:tab w:val="clear" w:pos="1021"/>
          <w:tab w:val="left" w:pos="1418"/>
        </w:tabs>
        <w:ind w:firstLine="0"/>
        <w:rPr>
          <w:lang w:val="fr-CH"/>
        </w:rPr>
      </w:pPr>
      <w:r>
        <w:rPr>
          <w:rStyle w:val="FootnoteReference"/>
        </w:rPr>
        <w:t>7</w:t>
      </w:r>
      <w:r>
        <w:t xml:space="preserve"> </w:t>
      </w:r>
      <w:r>
        <w:tab/>
        <w:t xml:space="preserve">With possibility for both sub-committees to share the meetings allocated to their respective </w:t>
      </w:r>
      <w:r w:rsidRPr="00880857">
        <w:t xml:space="preserve">sessions for meeting </w:t>
      </w:r>
      <w:r w:rsidRPr="00EC6FF4">
        <w:t>jointly all day</w:t>
      </w:r>
      <w:r>
        <w:t xml:space="preserve"> on 6 December 2023</w:t>
      </w:r>
      <w:r w:rsidRPr="00880857">
        <w:t xml:space="preserve"> and </w:t>
      </w:r>
      <w:r>
        <w:t>3 July 2024</w:t>
      </w:r>
      <w:r w:rsidRPr="00880857">
        <w:t>.</w:t>
      </w:r>
      <w:r>
        <w:t xml:space="preserve"> </w:t>
      </w:r>
    </w:p>
  </w:footnote>
  <w:footnote w:id="12">
    <w:p w14:paraId="2D677E13"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Pr>
          <w:lang w:val="en-US"/>
        </w:rPr>
        <w:tab/>
        <w:t xml:space="preserve"> [E/2023/xx].</w:t>
      </w:r>
    </w:p>
  </w:footnote>
  <w:footnote w:id="13">
    <w:p w14:paraId="765C5898"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t xml:space="preserve">See </w:t>
      </w:r>
      <w:r>
        <w:rPr>
          <w:lang w:val="fr-CH"/>
        </w:rPr>
        <w:t>ST/SG/AC.10/50/Add.1 and ST/SG/AC.10/50/Add.2.</w:t>
      </w:r>
    </w:p>
  </w:footnote>
  <w:footnote w:id="14">
    <w:p w14:paraId="4FBFBA2D"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r>
      <w:r>
        <w:rPr>
          <w:lang w:val="en-US"/>
        </w:rPr>
        <w:tab/>
      </w:r>
      <w:r>
        <w:rPr>
          <w:i/>
          <w:iCs/>
          <w:lang w:val="en-US"/>
        </w:rPr>
        <w:t>Report of the World Summit on Sustainable Development, Johannesburg, South Africa, 26 August–4 September 2002</w:t>
      </w:r>
      <w:r>
        <w:rPr>
          <w:lang w:val="en-US"/>
        </w:rPr>
        <w:t xml:space="preserve"> (United Nations publication, Sales No. E.03.II.A.1 and corrigendum), chap. I, resolution 2, annex.</w:t>
      </w:r>
    </w:p>
  </w:footnote>
  <w:footnote w:id="15">
    <w:p w14:paraId="09562D0A"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r>
      <w:r>
        <w:rPr>
          <w:lang w:val="en-US"/>
        </w:rPr>
        <w:tab/>
      </w:r>
      <w:r>
        <w:rPr>
          <w:i/>
          <w:iCs/>
          <w:lang w:val="en-US"/>
        </w:rPr>
        <w:t>Report of the United Nations Conference on Environment and Development, Rio de Janeiro, 3</w:t>
      </w:r>
      <w:r>
        <w:rPr>
          <w:i/>
          <w:iCs/>
          <w:position w:val="-1"/>
          <w:lang w:val="en-US"/>
        </w:rPr>
        <w:t>−</w:t>
      </w:r>
      <w:r>
        <w:rPr>
          <w:i/>
          <w:iCs/>
          <w:lang w:val="en-US"/>
        </w:rPr>
        <w:t>14 June 1992</w:t>
      </w:r>
      <w:r>
        <w:rPr>
          <w:lang w:val="en-US"/>
        </w:rPr>
        <w:t xml:space="preserve">, vol. I, </w:t>
      </w:r>
      <w:r>
        <w:rPr>
          <w:i/>
          <w:iCs/>
          <w:lang w:val="en-US"/>
        </w:rPr>
        <w:t>Resolutions Adopted by the Conference</w:t>
      </w:r>
      <w:r>
        <w:rPr>
          <w:lang w:val="en-US"/>
        </w:rPr>
        <w:t xml:space="preserve"> (United Nations publication, Sales No. E.93.I.8 and corrigendum), resolution 1, annex II.</w:t>
      </w:r>
    </w:p>
  </w:footnote>
  <w:footnote w:id="16">
    <w:p w14:paraId="4A0A8032"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t xml:space="preserve">United Nations publication, Sales No. </w:t>
      </w:r>
      <w:proofErr w:type="gramStart"/>
      <w:r>
        <w:rPr>
          <w:lang w:val="en-US"/>
        </w:rPr>
        <w:t>E.21.II.E.</w:t>
      </w:r>
      <w:proofErr w:type="gramEnd"/>
      <w:r>
        <w:rPr>
          <w:lang w:val="en-US"/>
        </w:rPr>
        <w:t>1.</w:t>
      </w:r>
    </w:p>
  </w:footnote>
  <w:footnote w:id="17">
    <w:p w14:paraId="0FE4D469"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t>ST/SG/AC.10/50/Add.3.</w:t>
      </w:r>
    </w:p>
  </w:footnote>
  <w:footnote w:id="18">
    <w:p w14:paraId="58B5763E" w14:textId="77777777" w:rsidR="00B5614A" w:rsidRDefault="00B5614A" w:rsidP="00B5614A">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t xml:space="preserve">Available at </w:t>
      </w:r>
      <w:hyperlink r:id="rId1" w:history="1">
        <w:r>
          <w:rPr>
            <w:rStyle w:val="Hyperlink"/>
            <w:lang w:val="en-US"/>
          </w:rPr>
          <w:t>https://unece.org/ghs-implementation-0</w:t>
        </w:r>
      </w:hyperlink>
      <w:r>
        <w:rPr>
          <w:lang w:val="en-US"/>
        </w:rPr>
        <w:t>.</w:t>
      </w:r>
    </w:p>
  </w:footnote>
  <w:footnote w:id="19">
    <w:p w14:paraId="448607E8" w14:textId="77777777" w:rsidR="00B5614A" w:rsidRDefault="00B5614A" w:rsidP="00B5614A">
      <w:pPr>
        <w:pStyle w:val="FootnoteText"/>
        <w:rPr>
          <w:lang w:val="en-US"/>
        </w:rPr>
      </w:pPr>
      <w:r>
        <w:rPr>
          <w:lang w:val="en-US"/>
        </w:rPr>
        <w:tab/>
      </w:r>
      <w:r>
        <w:rPr>
          <w:rStyle w:val="FootnoteReference"/>
        </w:rPr>
        <w:footnoteRef/>
      </w:r>
      <w:r>
        <w:rPr>
          <w:lang w:val="en-US"/>
        </w:rPr>
        <w:t xml:space="preserve"> </w:t>
      </w:r>
      <w:r>
        <w:rPr>
          <w:lang w:val="en-US"/>
        </w:rPr>
        <w:tab/>
        <w:t>https://unece.org/transportdangerous-goods/ghs-implementation-information-submission-form</w:t>
      </w:r>
    </w:p>
  </w:footnote>
  <w:footnote w:id="20">
    <w:p w14:paraId="64EA31E3" w14:textId="5B782875" w:rsidR="00B5614A" w:rsidRDefault="00B5614A" w:rsidP="00871840">
      <w:pPr>
        <w:pStyle w:val="FootnoteText"/>
        <w:rPr>
          <w:lang w:val="en-US"/>
        </w:rPr>
      </w:pPr>
      <w:r>
        <w:rPr>
          <w:lang w:val="en-US"/>
        </w:rPr>
        <w:tab/>
      </w:r>
      <w:r>
        <w:rPr>
          <w:rStyle w:val="FootnoteReference"/>
        </w:rPr>
        <w:footnoteRef/>
      </w:r>
      <w:r>
        <w:tab/>
      </w:r>
      <w:r w:rsidR="00871840">
        <w:tab/>
      </w:r>
      <w:r>
        <w:rPr>
          <w:rStyle w:val="Hyperlink"/>
        </w:rPr>
        <w:t>[</w:t>
      </w:r>
      <w:r>
        <w:t>E/2023/xx].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F677" w14:textId="36E2A124" w:rsidR="00684A13" w:rsidRDefault="00684A13">
    <w:pPr>
      <w:pStyle w:val="Header"/>
    </w:pPr>
    <w:r>
      <w:t>ST/SG/AC.10/</w:t>
    </w:r>
    <w:r w:rsidR="00812642">
      <w:t>50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4820" w14:textId="77777777" w:rsidR="00684A13" w:rsidRDefault="00684A1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DC9A" w14:textId="2D78DC0E" w:rsidR="00684A13" w:rsidRPr="000872B4" w:rsidRDefault="00684A13" w:rsidP="00A07FDC">
    <w:pPr>
      <w:pStyle w:val="Header"/>
    </w:pPr>
    <w:r>
      <w:t>ST/SG/AC.10/</w:t>
    </w:r>
    <w:r w:rsidR="00812642">
      <w:t>50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E9A1" w14:textId="109EC4C7" w:rsidR="00684A13" w:rsidRDefault="00684A13" w:rsidP="000872B4">
    <w:pPr>
      <w:pStyle w:val="Header"/>
    </w:pPr>
    <w:r>
      <w:t>ST/SG/AC.10/</w:t>
    </w:r>
    <w:r w:rsidR="00E60F9D">
      <w:t>50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292C" w14:textId="35EFC8E8" w:rsidR="00684A13" w:rsidRDefault="00684A13" w:rsidP="000872B4">
    <w:pPr>
      <w:pStyle w:val="Header"/>
      <w:jc w:val="right"/>
    </w:pPr>
    <w:r>
      <w:t>ST/SG/AC.10/</w:t>
    </w:r>
    <w:r w:rsidR="00E60F9D">
      <w:t>50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D213" w14:textId="4AFB321D" w:rsidR="00684A13" w:rsidRPr="000872B4" w:rsidRDefault="00684A13" w:rsidP="00A07FDC">
    <w:pPr>
      <w:pStyle w:val="Header"/>
      <w:jc w:val="right"/>
    </w:pPr>
    <w:r>
      <w:t>ST/SG/AC.10/</w:t>
    </w:r>
    <w:r w:rsidR="00812642">
      <w:t>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52F1" w14:textId="30A85BBE" w:rsidR="00684A13" w:rsidRDefault="00970BF3" w:rsidP="00480EE0">
    <w:pPr>
      <w:pStyle w:val="Header"/>
      <w:jc w:val="right"/>
    </w:pPr>
    <w:r w:rsidRPr="00970BF3">
      <w:t>ST/SG/AC.10/50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A333" w14:textId="77777777" w:rsidR="00346EF7" w:rsidRDefault="00346EF7">
    <w:pPr>
      <w:pStyle w:val="Header"/>
    </w:pPr>
    <w:r>
      <w:t>ST/SG/AC.10/50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9314" w14:textId="77777777" w:rsidR="00346EF7" w:rsidRDefault="00346EF7" w:rsidP="00480EE0">
    <w:pPr>
      <w:pStyle w:val="Header"/>
      <w:jc w:val="right"/>
    </w:pPr>
    <w:r w:rsidRPr="00970BF3">
      <w:t>ST/SG/AC.10/50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B18F" w14:textId="04EED3CF" w:rsidR="004F3BD9" w:rsidRPr="004F3BD9" w:rsidRDefault="004F3BD9" w:rsidP="00996C7A">
    <w:pPr>
      <w:pStyle w:val="Header"/>
      <w:jc w:val="right"/>
    </w:pPr>
    <w:r>
      <w:t>ST/SG/AC.10/50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D977" w14:textId="77777777" w:rsidR="00A07FDC" w:rsidRDefault="00A07FDC">
    <w:pPr>
      <w:pStyle w:val="Header"/>
    </w:pPr>
    <w:r>
      <w:t>ST/SG/AC.10/50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F27F" w14:textId="77777777" w:rsidR="001C060B" w:rsidRDefault="001C060B" w:rsidP="00480EE0">
    <w:pPr>
      <w:pStyle w:val="Header"/>
      <w:jc w:val="right"/>
    </w:pPr>
    <w:r w:rsidRPr="00970BF3">
      <w:t>ST/SG/AC.10/50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CDCB" w14:textId="77777777" w:rsidR="00996C7A" w:rsidRPr="004F3BD9" w:rsidRDefault="00996C7A" w:rsidP="001C060B">
    <w:pPr>
      <w:pStyle w:val="Header"/>
    </w:pPr>
    <w:r>
      <w:t>ST/SG/AC.10/50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02ED" w14:textId="77777777" w:rsidR="00684A13" w:rsidRDefault="00684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32D5B15"/>
    <w:multiLevelType w:val="hybridMultilevel"/>
    <w:tmpl w:val="596AA8A8"/>
    <w:lvl w:ilvl="0" w:tplc="7EBA2802">
      <w:start w:val="1"/>
      <w:numFmt w:val="decimal"/>
      <w:lvlText w:val="%1."/>
      <w:lvlJc w:val="left"/>
      <w:pPr>
        <w:ind w:left="2227" w:hanging="480"/>
      </w:pPr>
      <w:rPr>
        <w:rFonts w:hint="default"/>
      </w:rPr>
    </w:lvl>
    <w:lvl w:ilvl="1" w:tplc="08090019" w:tentative="1">
      <w:start w:val="1"/>
      <w:numFmt w:val="lowerLetter"/>
      <w:lvlText w:val="%2."/>
      <w:lvlJc w:val="left"/>
      <w:pPr>
        <w:ind w:left="2827" w:hanging="360"/>
      </w:pPr>
    </w:lvl>
    <w:lvl w:ilvl="2" w:tplc="0809001B" w:tentative="1">
      <w:start w:val="1"/>
      <w:numFmt w:val="lowerRoman"/>
      <w:lvlText w:val="%3."/>
      <w:lvlJc w:val="right"/>
      <w:pPr>
        <w:ind w:left="3547" w:hanging="180"/>
      </w:pPr>
    </w:lvl>
    <w:lvl w:ilvl="3" w:tplc="0809000F" w:tentative="1">
      <w:start w:val="1"/>
      <w:numFmt w:val="decimal"/>
      <w:lvlText w:val="%4."/>
      <w:lvlJc w:val="left"/>
      <w:pPr>
        <w:ind w:left="4267" w:hanging="360"/>
      </w:pPr>
    </w:lvl>
    <w:lvl w:ilvl="4" w:tplc="08090019" w:tentative="1">
      <w:start w:val="1"/>
      <w:numFmt w:val="lowerLetter"/>
      <w:lvlText w:val="%5."/>
      <w:lvlJc w:val="left"/>
      <w:pPr>
        <w:ind w:left="4987" w:hanging="360"/>
      </w:pPr>
    </w:lvl>
    <w:lvl w:ilvl="5" w:tplc="0809001B" w:tentative="1">
      <w:start w:val="1"/>
      <w:numFmt w:val="lowerRoman"/>
      <w:lvlText w:val="%6."/>
      <w:lvlJc w:val="right"/>
      <w:pPr>
        <w:ind w:left="5707" w:hanging="180"/>
      </w:pPr>
    </w:lvl>
    <w:lvl w:ilvl="6" w:tplc="0809000F" w:tentative="1">
      <w:start w:val="1"/>
      <w:numFmt w:val="decimal"/>
      <w:lvlText w:val="%7."/>
      <w:lvlJc w:val="left"/>
      <w:pPr>
        <w:ind w:left="6427" w:hanging="360"/>
      </w:pPr>
    </w:lvl>
    <w:lvl w:ilvl="7" w:tplc="08090019" w:tentative="1">
      <w:start w:val="1"/>
      <w:numFmt w:val="lowerLetter"/>
      <w:lvlText w:val="%8."/>
      <w:lvlJc w:val="left"/>
      <w:pPr>
        <w:ind w:left="7147" w:hanging="360"/>
      </w:pPr>
    </w:lvl>
    <w:lvl w:ilvl="8" w:tplc="0809001B" w:tentative="1">
      <w:start w:val="1"/>
      <w:numFmt w:val="lowerRoman"/>
      <w:lvlText w:val="%9."/>
      <w:lvlJc w:val="right"/>
      <w:pPr>
        <w:ind w:left="7867" w:hanging="180"/>
      </w:pPr>
    </w:lvl>
  </w:abstractNum>
  <w:abstractNum w:abstractNumId="12" w15:restartNumberingAfterBreak="0">
    <w:nsid w:val="15C37BBE"/>
    <w:multiLevelType w:val="hybridMultilevel"/>
    <w:tmpl w:val="1BB8E2E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C84FA6"/>
    <w:multiLevelType w:val="hybridMultilevel"/>
    <w:tmpl w:val="C97AE4DE"/>
    <w:lvl w:ilvl="0" w:tplc="DDFC9348">
      <w:start w:val="1"/>
      <w:numFmt w:val="upperLetter"/>
      <w:lvlText w:val="%1."/>
      <w:lvlJc w:val="left"/>
      <w:pPr>
        <w:ind w:left="1500" w:hanging="360"/>
      </w:pPr>
      <w:rPr>
        <w:rFonts w:ascii="Times New Roman" w:eastAsia="Times New Roman" w:hAnsi="Times New Roman" w:cs="Times New Roman"/>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0"/>
  </w:num>
  <w:num w:numId="14">
    <w:abstractNumId w:val="15"/>
  </w:num>
  <w:num w:numId="15">
    <w:abstractNumId w:val="17"/>
  </w:num>
  <w:num w:numId="16">
    <w:abstractNumId w:val="12"/>
  </w:num>
  <w:num w:numId="17">
    <w:abstractNumId w:val="16"/>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D"/>
    <w:rsid w:val="00001495"/>
    <w:rsid w:val="000046B8"/>
    <w:rsid w:val="000067A6"/>
    <w:rsid w:val="00006F53"/>
    <w:rsid w:val="00010A1D"/>
    <w:rsid w:val="000177BC"/>
    <w:rsid w:val="000209A1"/>
    <w:rsid w:val="000231D2"/>
    <w:rsid w:val="0002633D"/>
    <w:rsid w:val="000309DA"/>
    <w:rsid w:val="00033994"/>
    <w:rsid w:val="000339E5"/>
    <w:rsid w:val="0004492F"/>
    <w:rsid w:val="000454B2"/>
    <w:rsid w:val="0004638A"/>
    <w:rsid w:val="00046D34"/>
    <w:rsid w:val="00050F6B"/>
    <w:rsid w:val="00052C2D"/>
    <w:rsid w:val="0006211F"/>
    <w:rsid w:val="00062BF7"/>
    <w:rsid w:val="00063C13"/>
    <w:rsid w:val="00066068"/>
    <w:rsid w:val="00067C5E"/>
    <w:rsid w:val="0007149F"/>
    <w:rsid w:val="000722AA"/>
    <w:rsid w:val="0007289E"/>
    <w:rsid w:val="00072C66"/>
    <w:rsid w:val="00072C8C"/>
    <w:rsid w:val="00075B03"/>
    <w:rsid w:val="00076686"/>
    <w:rsid w:val="000805C5"/>
    <w:rsid w:val="00083E14"/>
    <w:rsid w:val="00084307"/>
    <w:rsid w:val="000872B4"/>
    <w:rsid w:val="00087E89"/>
    <w:rsid w:val="00091419"/>
    <w:rsid w:val="000931C0"/>
    <w:rsid w:val="00094382"/>
    <w:rsid w:val="00094978"/>
    <w:rsid w:val="000949FA"/>
    <w:rsid w:val="00094BC4"/>
    <w:rsid w:val="0009583F"/>
    <w:rsid w:val="00097FD5"/>
    <w:rsid w:val="000B175B"/>
    <w:rsid w:val="000B37C9"/>
    <w:rsid w:val="000B3A0F"/>
    <w:rsid w:val="000B6A6D"/>
    <w:rsid w:val="000B76E9"/>
    <w:rsid w:val="000D00F0"/>
    <w:rsid w:val="000D7AAB"/>
    <w:rsid w:val="000E0415"/>
    <w:rsid w:val="000E075D"/>
    <w:rsid w:val="000E11BA"/>
    <w:rsid w:val="000E3E69"/>
    <w:rsid w:val="000F3DD2"/>
    <w:rsid w:val="000F4349"/>
    <w:rsid w:val="000F5EB8"/>
    <w:rsid w:val="000F61EF"/>
    <w:rsid w:val="00111240"/>
    <w:rsid w:val="001114DB"/>
    <w:rsid w:val="00116136"/>
    <w:rsid w:val="00117787"/>
    <w:rsid w:val="00121B71"/>
    <w:rsid w:val="00124A53"/>
    <w:rsid w:val="00125F5F"/>
    <w:rsid w:val="001264CC"/>
    <w:rsid w:val="001267AF"/>
    <w:rsid w:val="001273E5"/>
    <w:rsid w:val="00131D42"/>
    <w:rsid w:val="00132133"/>
    <w:rsid w:val="0013507E"/>
    <w:rsid w:val="00135386"/>
    <w:rsid w:val="001448A0"/>
    <w:rsid w:val="00146660"/>
    <w:rsid w:val="001479C9"/>
    <w:rsid w:val="001501D3"/>
    <w:rsid w:val="00151D7B"/>
    <w:rsid w:val="00153F95"/>
    <w:rsid w:val="00156F33"/>
    <w:rsid w:val="001575EF"/>
    <w:rsid w:val="00161BA9"/>
    <w:rsid w:val="001633FB"/>
    <w:rsid w:val="00164EC0"/>
    <w:rsid w:val="0016525A"/>
    <w:rsid w:val="001658B8"/>
    <w:rsid w:val="001661B8"/>
    <w:rsid w:val="00166523"/>
    <w:rsid w:val="00166BEC"/>
    <w:rsid w:val="00167305"/>
    <w:rsid w:val="00167AB0"/>
    <w:rsid w:val="00172BD0"/>
    <w:rsid w:val="001733AE"/>
    <w:rsid w:val="00173D9C"/>
    <w:rsid w:val="00174594"/>
    <w:rsid w:val="00183A3E"/>
    <w:rsid w:val="00185977"/>
    <w:rsid w:val="00190D8E"/>
    <w:rsid w:val="00196276"/>
    <w:rsid w:val="00197811"/>
    <w:rsid w:val="001A0389"/>
    <w:rsid w:val="001A7E9C"/>
    <w:rsid w:val="001B1BD0"/>
    <w:rsid w:val="001B33AF"/>
    <w:rsid w:val="001B4B04"/>
    <w:rsid w:val="001B5971"/>
    <w:rsid w:val="001B5EDF"/>
    <w:rsid w:val="001C060B"/>
    <w:rsid w:val="001C6663"/>
    <w:rsid w:val="001C7446"/>
    <w:rsid w:val="001C7895"/>
    <w:rsid w:val="001D26DF"/>
    <w:rsid w:val="001D2FDC"/>
    <w:rsid w:val="001D4C43"/>
    <w:rsid w:val="001E07D9"/>
    <w:rsid w:val="001E0D88"/>
    <w:rsid w:val="001E149B"/>
    <w:rsid w:val="001E180A"/>
    <w:rsid w:val="001E4D1A"/>
    <w:rsid w:val="001F2A25"/>
    <w:rsid w:val="001F45D8"/>
    <w:rsid w:val="001F6792"/>
    <w:rsid w:val="0020097C"/>
    <w:rsid w:val="00203C08"/>
    <w:rsid w:val="0021154C"/>
    <w:rsid w:val="00211C35"/>
    <w:rsid w:val="00211E0B"/>
    <w:rsid w:val="00215B96"/>
    <w:rsid w:val="002203FA"/>
    <w:rsid w:val="00220B6B"/>
    <w:rsid w:val="0022159E"/>
    <w:rsid w:val="00223A85"/>
    <w:rsid w:val="00223A93"/>
    <w:rsid w:val="002309A7"/>
    <w:rsid w:val="00237785"/>
    <w:rsid w:val="00237CB5"/>
    <w:rsid w:val="00241466"/>
    <w:rsid w:val="00245DA8"/>
    <w:rsid w:val="00250E7E"/>
    <w:rsid w:val="00251212"/>
    <w:rsid w:val="00255390"/>
    <w:rsid w:val="002579F2"/>
    <w:rsid w:val="00263783"/>
    <w:rsid w:val="002709D8"/>
    <w:rsid w:val="002725CA"/>
    <w:rsid w:val="00274468"/>
    <w:rsid w:val="00280705"/>
    <w:rsid w:val="00280EB7"/>
    <w:rsid w:val="00284B2B"/>
    <w:rsid w:val="0028533E"/>
    <w:rsid w:val="0029181B"/>
    <w:rsid w:val="002930A9"/>
    <w:rsid w:val="002A3FFF"/>
    <w:rsid w:val="002A40BF"/>
    <w:rsid w:val="002A7B19"/>
    <w:rsid w:val="002B1476"/>
    <w:rsid w:val="002B1CDA"/>
    <w:rsid w:val="002B24F6"/>
    <w:rsid w:val="002C01FA"/>
    <w:rsid w:val="002C4B78"/>
    <w:rsid w:val="002D000F"/>
    <w:rsid w:val="002D04E5"/>
    <w:rsid w:val="002D26E0"/>
    <w:rsid w:val="002E1BEC"/>
    <w:rsid w:val="002E3FBE"/>
    <w:rsid w:val="002E719D"/>
    <w:rsid w:val="002F06D2"/>
    <w:rsid w:val="002F2778"/>
    <w:rsid w:val="002F32BE"/>
    <w:rsid w:val="002F3935"/>
    <w:rsid w:val="002F6010"/>
    <w:rsid w:val="00301596"/>
    <w:rsid w:val="00301F83"/>
    <w:rsid w:val="00307234"/>
    <w:rsid w:val="003107FA"/>
    <w:rsid w:val="00312C22"/>
    <w:rsid w:val="00314F2D"/>
    <w:rsid w:val="003171A0"/>
    <w:rsid w:val="003175D7"/>
    <w:rsid w:val="00317655"/>
    <w:rsid w:val="003228E0"/>
    <w:rsid w:val="003229D8"/>
    <w:rsid w:val="00331B33"/>
    <w:rsid w:val="00331CDB"/>
    <w:rsid w:val="00335146"/>
    <w:rsid w:val="00336D26"/>
    <w:rsid w:val="0034242A"/>
    <w:rsid w:val="00344425"/>
    <w:rsid w:val="00346EF7"/>
    <w:rsid w:val="00350511"/>
    <w:rsid w:val="003513B6"/>
    <w:rsid w:val="00357561"/>
    <w:rsid w:val="003643BB"/>
    <w:rsid w:val="00365DFB"/>
    <w:rsid w:val="00370E85"/>
    <w:rsid w:val="003813AF"/>
    <w:rsid w:val="0038168B"/>
    <w:rsid w:val="0038209D"/>
    <w:rsid w:val="00382B42"/>
    <w:rsid w:val="00382D7B"/>
    <w:rsid w:val="0038434B"/>
    <w:rsid w:val="00385205"/>
    <w:rsid w:val="0039277A"/>
    <w:rsid w:val="003971EE"/>
    <w:rsid w:val="003972E0"/>
    <w:rsid w:val="003A00EB"/>
    <w:rsid w:val="003A12C9"/>
    <w:rsid w:val="003A2266"/>
    <w:rsid w:val="003A2BEE"/>
    <w:rsid w:val="003A4687"/>
    <w:rsid w:val="003A4BE4"/>
    <w:rsid w:val="003A742E"/>
    <w:rsid w:val="003A7C4C"/>
    <w:rsid w:val="003B0932"/>
    <w:rsid w:val="003B1FF9"/>
    <w:rsid w:val="003C24C2"/>
    <w:rsid w:val="003C263E"/>
    <w:rsid w:val="003C2CC4"/>
    <w:rsid w:val="003C3D58"/>
    <w:rsid w:val="003C4110"/>
    <w:rsid w:val="003C4DC6"/>
    <w:rsid w:val="003C4F3F"/>
    <w:rsid w:val="003C562C"/>
    <w:rsid w:val="003D3D1E"/>
    <w:rsid w:val="003D4B23"/>
    <w:rsid w:val="003D53FC"/>
    <w:rsid w:val="003D6E40"/>
    <w:rsid w:val="003E0FA1"/>
    <w:rsid w:val="003E7507"/>
    <w:rsid w:val="003E783D"/>
    <w:rsid w:val="003F0A86"/>
    <w:rsid w:val="003F340E"/>
    <w:rsid w:val="0040577E"/>
    <w:rsid w:val="004109EE"/>
    <w:rsid w:val="0041192F"/>
    <w:rsid w:val="00420E6C"/>
    <w:rsid w:val="00422D1E"/>
    <w:rsid w:val="004244A4"/>
    <w:rsid w:val="004325CB"/>
    <w:rsid w:val="00437F3F"/>
    <w:rsid w:val="00440E74"/>
    <w:rsid w:val="00442F3B"/>
    <w:rsid w:val="00443689"/>
    <w:rsid w:val="00446DE4"/>
    <w:rsid w:val="00451426"/>
    <w:rsid w:val="00454036"/>
    <w:rsid w:val="004637C5"/>
    <w:rsid w:val="00464C5B"/>
    <w:rsid w:val="00464DD0"/>
    <w:rsid w:val="004659BA"/>
    <w:rsid w:val="004728FE"/>
    <w:rsid w:val="00473198"/>
    <w:rsid w:val="00476767"/>
    <w:rsid w:val="00480EE0"/>
    <w:rsid w:val="0048188C"/>
    <w:rsid w:val="00482F8C"/>
    <w:rsid w:val="00487547"/>
    <w:rsid w:val="00492E12"/>
    <w:rsid w:val="004A31F7"/>
    <w:rsid w:val="004B2C9D"/>
    <w:rsid w:val="004C3B1B"/>
    <w:rsid w:val="004C60F6"/>
    <w:rsid w:val="004C75F8"/>
    <w:rsid w:val="004D3979"/>
    <w:rsid w:val="004D784B"/>
    <w:rsid w:val="004E02A9"/>
    <w:rsid w:val="004E0B69"/>
    <w:rsid w:val="004E229D"/>
    <w:rsid w:val="004E69DD"/>
    <w:rsid w:val="004E6E83"/>
    <w:rsid w:val="004E7ED7"/>
    <w:rsid w:val="004F3BD9"/>
    <w:rsid w:val="004F4907"/>
    <w:rsid w:val="004F78A5"/>
    <w:rsid w:val="004F78FD"/>
    <w:rsid w:val="0050021B"/>
    <w:rsid w:val="005005B6"/>
    <w:rsid w:val="00500C75"/>
    <w:rsid w:val="0050161D"/>
    <w:rsid w:val="0050455F"/>
    <w:rsid w:val="00506705"/>
    <w:rsid w:val="00506AA5"/>
    <w:rsid w:val="005139A5"/>
    <w:rsid w:val="00515696"/>
    <w:rsid w:val="00517A3F"/>
    <w:rsid w:val="00522E4A"/>
    <w:rsid w:val="00522F48"/>
    <w:rsid w:val="005247CE"/>
    <w:rsid w:val="00525188"/>
    <w:rsid w:val="005256DD"/>
    <w:rsid w:val="00525BFA"/>
    <w:rsid w:val="00525EA7"/>
    <w:rsid w:val="00526F80"/>
    <w:rsid w:val="0052714C"/>
    <w:rsid w:val="00527910"/>
    <w:rsid w:val="00530C11"/>
    <w:rsid w:val="00533078"/>
    <w:rsid w:val="005420F2"/>
    <w:rsid w:val="00547AF6"/>
    <w:rsid w:val="0055132B"/>
    <w:rsid w:val="005520E2"/>
    <w:rsid w:val="005529AB"/>
    <w:rsid w:val="00554C84"/>
    <w:rsid w:val="005567B2"/>
    <w:rsid w:val="00563AFD"/>
    <w:rsid w:val="00563DB0"/>
    <w:rsid w:val="005652D9"/>
    <w:rsid w:val="00577310"/>
    <w:rsid w:val="00581D28"/>
    <w:rsid w:val="00583486"/>
    <w:rsid w:val="005838B6"/>
    <w:rsid w:val="0058730D"/>
    <w:rsid w:val="00590144"/>
    <w:rsid w:val="005A5537"/>
    <w:rsid w:val="005B0C7E"/>
    <w:rsid w:val="005B3DB3"/>
    <w:rsid w:val="005B7CC5"/>
    <w:rsid w:val="005C3CB3"/>
    <w:rsid w:val="005C6837"/>
    <w:rsid w:val="005D0D7A"/>
    <w:rsid w:val="005D6B63"/>
    <w:rsid w:val="005D785E"/>
    <w:rsid w:val="005E0746"/>
    <w:rsid w:val="005F09E4"/>
    <w:rsid w:val="005F21C9"/>
    <w:rsid w:val="005F2D04"/>
    <w:rsid w:val="005F351C"/>
    <w:rsid w:val="006008CC"/>
    <w:rsid w:val="00605455"/>
    <w:rsid w:val="00611FC4"/>
    <w:rsid w:val="00616455"/>
    <w:rsid w:val="006169EA"/>
    <w:rsid w:val="006176FB"/>
    <w:rsid w:val="00621DF1"/>
    <w:rsid w:val="0062576A"/>
    <w:rsid w:val="00626247"/>
    <w:rsid w:val="00631515"/>
    <w:rsid w:val="00632C80"/>
    <w:rsid w:val="0063419C"/>
    <w:rsid w:val="00637DE7"/>
    <w:rsid w:val="00640B26"/>
    <w:rsid w:val="00641510"/>
    <w:rsid w:val="006500BA"/>
    <w:rsid w:val="00652465"/>
    <w:rsid w:val="00662779"/>
    <w:rsid w:val="00662BC4"/>
    <w:rsid w:val="00671E1A"/>
    <w:rsid w:val="00672464"/>
    <w:rsid w:val="0067260D"/>
    <w:rsid w:val="00673AE7"/>
    <w:rsid w:val="00675A71"/>
    <w:rsid w:val="00684A13"/>
    <w:rsid w:val="006927BF"/>
    <w:rsid w:val="00696750"/>
    <w:rsid w:val="006A0431"/>
    <w:rsid w:val="006A4C48"/>
    <w:rsid w:val="006A7392"/>
    <w:rsid w:val="006B511D"/>
    <w:rsid w:val="006B5D8B"/>
    <w:rsid w:val="006B75C3"/>
    <w:rsid w:val="006B7A9B"/>
    <w:rsid w:val="006C0827"/>
    <w:rsid w:val="006C0D34"/>
    <w:rsid w:val="006C2A31"/>
    <w:rsid w:val="006C7E11"/>
    <w:rsid w:val="006D2786"/>
    <w:rsid w:val="006D4A53"/>
    <w:rsid w:val="006D61E3"/>
    <w:rsid w:val="006D76D5"/>
    <w:rsid w:val="006E564B"/>
    <w:rsid w:val="006E5EBF"/>
    <w:rsid w:val="006F5BE3"/>
    <w:rsid w:val="00710468"/>
    <w:rsid w:val="00714751"/>
    <w:rsid w:val="00715286"/>
    <w:rsid w:val="00716C0C"/>
    <w:rsid w:val="007224F2"/>
    <w:rsid w:val="007236D8"/>
    <w:rsid w:val="00725BC5"/>
    <w:rsid w:val="0072632A"/>
    <w:rsid w:val="00732983"/>
    <w:rsid w:val="00732BE4"/>
    <w:rsid w:val="007339AF"/>
    <w:rsid w:val="00733AAD"/>
    <w:rsid w:val="0073458B"/>
    <w:rsid w:val="007434C8"/>
    <w:rsid w:val="00752957"/>
    <w:rsid w:val="00753B94"/>
    <w:rsid w:val="007678DB"/>
    <w:rsid w:val="007732ED"/>
    <w:rsid w:val="00775EB4"/>
    <w:rsid w:val="0077722B"/>
    <w:rsid w:val="00781161"/>
    <w:rsid w:val="00781277"/>
    <w:rsid w:val="0078577C"/>
    <w:rsid w:val="00790791"/>
    <w:rsid w:val="00791290"/>
    <w:rsid w:val="0079763A"/>
    <w:rsid w:val="00797B67"/>
    <w:rsid w:val="007A144C"/>
    <w:rsid w:val="007B0D5C"/>
    <w:rsid w:val="007B2011"/>
    <w:rsid w:val="007B26FB"/>
    <w:rsid w:val="007B6BA5"/>
    <w:rsid w:val="007C147B"/>
    <w:rsid w:val="007C1650"/>
    <w:rsid w:val="007C3390"/>
    <w:rsid w:val="007C4F4B"/>
    <w:rsid w:val="007D0E77"/>
    <w:rsid w:val="007E1D1B"/>
    <w:rsid w:val="007E4798"/>
    <w:rsid w:val="007F0DCC"/>
    <w:rsid w:val="007F429D"/>
    <w:rsid w:val="007F6611"/>
    <w:rsid w:val="007F7510"/>
    <w:rsid w:val="00806E16"/>
    <w:rsid w:val="00810FD3"/>
    <w:rsid w:val="00812642"/>
    <w:rsid w:val="00812863"/>
    <w:rsid w:val="008175E9"/>
    <w:rsid w:val="008242D7"/>
    <w:rsid w:val="0082579D"/>
    <w:rsid w:val="00826B29"/>
    <w:rsid w:val="008370D9"/>
    <w:rsid w:val="00837C22"/>
    <w:rsid w:val="00837DC5"/>
    <w:rsid w:val="00841C01"/>
    <w:rsid w:val="008421CA"/>
    <w:rsid w:val="00844121"/>
    <w:rsid w:val="00844592"/>
    <w:rsid w:val="00845111"/>
    <w:rsid w:val="00850F1E"/>
    <w:rsid w:val="00864CD4"/>
    <w:rsid w:val="00867098"/>
    <w:rsid w:val="00871840"/>
    <w:rsid w:val="00871FD5"/>
    <w:rsid w:val="00875CAE"/>
    <w:rsid w:val="008769DA"/>
    <w:rsid w:val="008770CF"/>
    <w:rsid w:val="00880857"/>
    <w:rsid w:val="00882A06"/>
    <w:rsid w:val="008861A8"/>
    <w:rsid w:val="00886638"/>
    <w:rsid w:val="008950C8"/>
    <w:rsid w:val="008950EB"/>
    <w:rsid w:val="00895714"/>
    <w:rsid w:val="00896E65"/>
    <w:rsid w:val="008979B1"/>
    <w:rsid w:val="008A2A3F"/>
    <w:rsid w:val="008A6B25"/>
    <w:rsid w:val="008A6C4F"/>
    <w:rsid w:val="008A6F69"/>
    <w:rsid w:val="008B0C2A"/>
    <w:rsid w:val="008C294A"/>
    <w:rsid w:val="008C66B6"/>
    <w:rsid w:val="008C689E"/>
    <w:rsid w:val="008C724D"/>
    <w:rsid w:val="008D5461"/>
    <w:rsid w:val="008E0E46"/>
    <w:rsid w:val="008E2DA1"/>
    <w:rsid w:val="008F00F0"/>
    <w:rsid w:val="008F5210"/>
    <w:rsid w:val="00900213"/>
    <w:rsid w:val="00902323"/>
    <w:rsid w:val="0090604D"/>
    <w:rsid w:val="00906424"/>
    <w:rsid w:val="00915629"/>
    <w:rsid w:val="009161C2"/>
    <w:rsid w:val="00921574"/>
    <w:rsid w:val="0092293E"/>
    <w:rsid w:val="0093167E"/>
    <w:rsid w:val="00933CCF"/>
    <w:rsid w:val="0093637B"/>
    <w:rsid w:val="00941934"/>
    <w:rsid w:val="00942A76"/>
    <w:rsid w:val="00945A5D"/>
    <w:rsid w:val="00954713"/>
    <w:rsid w:val="009574AC"/>
    <w:rsid w:val="00963CBA"/>
    <w:rsid w:val="00964CF6"/>
    <w:rsid w:val="00965B64"/>
    <w:rsid w:val="00970BF3"/>
    <w:rsid w:val="009739EA"/>
    <w:rsid w:val="0097455F"/>
    <w:rsid w:val="009765A6"/>
    <w:rsid w:val="00977201"/>
    <w:rsid w:val="00984141"/>
    <w:rsid w:val="00990BC0"/>
    <w:rsid w:val="0099124E"/>
    <w:rsid w:val="00991261"/>
    <w:rsid w:val="0099147B"/>
    <w:rsid w:val="00996C7A"/>
    <w:rsid w:val="009A2418"/>
    <w:rsid w:val="009A35E9"/>
    <w:rsid w:val="009A7ED9"/>
    <w:rsid w:val="009B2C26"/>
    <w:rsid w:val="009B4259"/>
    <w:rsid w:val="009C073F"/>
    <w:rsid w:val="009C15CD"/>
    <w:rsid w:val="009C3671"/>
    <w:rsid w:val="009C3FB7"/>
    <w:rsid w:val="009C4A41"/>
    <w:rsid w:val="009C4A73"/>
    <w:rsid w:val="009D0135"/>
    <w:rsid w:val="009D0A05"/>
    <w:rsid w:val="009D4EC3"/>
    <w:rsid w:val="009D6CD4"/>
    <w:rsid w:val="009D7AC2"/>
    <w:rsid w:val="009D7E82"/>
    <w:rsid w:val="009E066E"/>
    <w:rsid w:val="009E07CF"/>
    <w:rsid w:val="009E40E2"/>
    <w:rsid w:val="009E73C0"/>
    <w:rsid w:val="009F03D0"/>
    <w:rsid w:val="009F0F06"/>
    <w:rsid w:val="009F5388"/>
    <w:rsid w:val="009F58EC"/>
    <w:rsid w:val="009F6061"/>
    <w:rsid w:val="00A006D8"/>
    <w:rsid w:val="00A0186B"/>
    <w:rsid w:val="00A028F5"/>
    <w:rsid w:val="00A07E4A"/>
    <w:rsid w:val="00A07FDC"/>
    <w:rsid w:val="00A12374"/>
    <w:rsid w:val="00A13709"/>
    <w:rsid w:val="00A1427D"/>
    <w:rsid w:val="00A215CB"/>
    <w:rsid w:val="00A21615"/>
    <w:rsid w:val="00A257AC"/>
    <w:rsid w:val="00A270F9"/>
    <w:rsid w:val="00A31B4D"/>
    <w:rsid w:val="00A34A7B"/>
    <w:rsid w:val="00A36402"/>
    <w:rsid w:val="00A36CB4"/>
    <w:rsid w:val="00A422C9"/>
    <w:rsid w:val="00A50704"/>
    <w:rsid w:val="00A54A20"/>
    <w:rsid w:val="00A566A3"/>
    <w:rsid w:val="00A5678D"/>
    <w:rsid w:val="00A620AD"/>
    <w:rsid w:val="00A64E40"/>
    <w:rsid w:val="00A65F3E"/>
    <w:rsid w:val="00A701BA"/>
    <w:rsid w:val="00A71494"/>
    <w:rsid w:val="00A72F22"/>
    <w:rsid w:val="00A748A6"/>
    <w:rsid w:val="00A75EC9"/>
    <w:rsid w:val="00A7763A"/>
    <w:rsid w:val="00A8774F"/>
    <w:rsid w:val="00A879A4"/>
    <w:rsid w:val="00A938A7"/>
    <w:rsid w:val="00A95034"/>
    <w:rsid w:val="00AA01BD"/>
    <w:rsid w:val="00AA3EE2"/>
    <w:rsid w:val="00AB1D8B"/>
    <w:rsid w:val="00AC0259"/>
    <w:rsid w:val="00AC252E"/>
    <w:rsid w:val="00AD3956"/>
    <w:rsid w:val="00AE04F5"/>
    <w:rsid w:val="00AE363E"/>
    <w:rsid w:val="00AE3687"/>
    <w:rsid w:val="00AE668D"/>
    <w:rsid w:val="00AE734C"/>
    <w:rsid w:val="00AF08F8"/>
    <w:rsid w:val="00AF3CC0"/>
    <w:rsid w:val="00AF430C"/>
    <w:rsid w:val="00AF6E8B"/>
    <w:rsid w:val="00B01B87"/>
    <w:rsid w:val="00B0766F"/>
    <w:rsid w:val="00B115EF"/>
    <w:rsid w:val="00B1331B"/>
    <w:rsid w:val="00B14C09"/>
    <w:rsid w:val="00B14E58"/>
    <w:rsid w:val="00B15336"/>
    <w:rsid w:val="00B16A7C"/>
    <w:rsid w:val="00B20BE3"/>
    <w:rsid w:val="00B20E14"/>
    <w:rsid w:val="00B20F1E"/>
    <w:rsid w:val="00B21229"/>
    <w:rsid w:val="00B2148F"/>
    <w:rsid w:val="00B21CA3"/>
    <w:rsid w:val="00B23DA5"/>
    <w:rsid w:val="00B2577A"/>
    <w:rsid w:val="00B30179"/>
    <w:rsid w:val="00B31449"/>
    <w:rsid w:val="00B3164C"/>
    <w:rsid w:val="00B3317B"/>
    <w:rsid w:val="00B3720E"/>
    <w:rsid w:val="00B4787C"/>
    <w:rsid w:val="00B52ED3"/>
    <w:rsid w:val="00B5614A"/>
    <w:rsid w:val="00B60569"/>
    <w:rsid w:val="00B6065C"/>
    <w:rsid w:val="00B62BBC"/>
    <w:rsid w:val="00B648E6"/>
    <w:rsid w:val="00B66EA7"/>
    <w:rsid w:val="00B72EA4"/>
    <w:rsid w:val="00B73630"/>
    <w:rsid w:val="00B751CE"/>
    <w:rsid w:val="00B77857"/>
    <w:rsid w:val="00B81271"/>
    <w:rsid w:val="00B81E12"/>
    <w:rsid w:val="00B83853"/>
    <w:rsid w:val="00B83BFD"/>
    <w:rsid w:val="00B93068"/>
    <w:rsid w:val="00B96225"/>
    <w:rsid w:val="00BA16EE"/>
    <w:rsid w:val="00BA17BA"/>
    <w:rsid w:val="00BA34BF"/>
    <w:rsid w:val="00BB1194"/>
    <w:rsid w:val="00BB18DF"/>
    <w:rsid w:val="00BB25F4"/>
    <w:rsid w:val="00BB2997"/>
    <w:rsid w:val="00BB32FE"/>
    <w:rsid w:val="00BB50F9"/>
    <w:rsid w:val="00BC74E9"/>
    <w:rsid w:val="00BD7A7A"/>
    <w:rsid w:val="00BE618E"/>
    <w:rsid w:val="00BE6635"/>
    <w:rsid w:val="00BE6FAA"/>
    <w:rsid w:val="00BF00A7"/>
    <w:rsid w:val="00BF081E"/>
    <w:rsid w:val="00BF5608"/>
    <w:rsid w:val="00BF7DE5"/>
    <w:rsid w:val="00C0220D"/>
    <w:rsid w:val="00C06711"/>
    <w:rsid w:val="00C12DF4"/>
    <w:rsid w:val="00C1333E"/>
    <w:rsid w:val="00C17512"/>
    <w:rsid w:val="00C22FD1"/>
    <w:rsid w:val="00C241F7"/>
    <w:rsid w:val="00C25535"/>
    <w:rsid w:val="00C25915"/>
    <w:rsid w:val="00C25CC0"/>
    <w:rsid w:val="00C31E0B"/>
    <w:rsid w:val="00C35224"/>
    <w:rsid w:val="00C35F37"/>
    <w:rsid w:val="00C3614C"/>
    <w:rsid w:val="00C40934"/>
    <w:rsid w:val="00C463DD"/>
    <w:rsid w:val="00C46E7E"/>
    <w:rsid w:val="00C50E67"/>
    <w:rsid w:val="00C5450D"/>
    <w:rsid w:val="00C548B0"/>
    <w:rsid w:val="00C558AB"/>
    <w:rsid w:val="00C62F76"/>
    <w:rsid w:val="00C70777"/>
    <w:rsid w:val="00C74214"/>
    <w:rsid w:val="00C745C3"/>
    <w:rsid w:val="00C75059"/>
    <w:rsid w:val="00C76218"/>
    <w:rsid w:val="00C77759"/>
    <w:rsid w:val="00C8062A"/>
    <w:rsid w:val="00C83C3D"/>
    <w:rsid w:val="00C8700E"/>
    <w:rsid w:val="00C90994"/>
    <w:rsid w:val="00C968FD"/>
    <w:rsid w:val="00CA49E0"/>
    <w:rsid w:val="00CA4DA6"/>
    <w:rsid w:val="00CA6E2C"/>
    <w:rsid w:val="00CA7612"/>
    <w:rsid w:val="00CB4347"/>
    <w:rsid w:val="00CC7D78"/>
    <w:rsid w:val="00CD3225"/>
    <w:rsid w:val="00CD6A39"/>
    <w:rsid w:val="00CE2A09"/>
    <w:rsid w:val="00CE38F5"/>
    <w:rsid w:val="00CE4A8F"/>
    <w:rsid w:val="00CE7152"/>
    <w:rsid w:val="00CF0DCD"/>
    <w:rsid w:val="00CF1243"/>
    <w:rsid w:val="00CF6551"/>
    <w:rsid w:val="00CF6B8B"/>
    <w:rsid w:val="00D02A89"/>
    <w:rsid w:val="00D036DE"/>
    <w:rsid w:val="00D2031B"/>
    <w:rsid w:val="00D20735"/>
    <w:rsid w:val="00D23CEA"/>
    <w:rsid w:val="00D25FE2"/>
    <w:rsid w:val="00D349FE"/>
    <w:rsid w:val="00D354BB"/>
    <w:rsid w:val="00D35A05"/>
    <w:rsid w:val="00D368D3"/>
    <w:rsid w:val="00D379D2"/>
    <w:rsid w:val="00D37D0E"/>
    <w:rsid w:val="00D43252"/>
    <w:rsid w:val="00D4597B"/>
    <w:rsid w:val="00D45BE1"/>
    <w:rsid w:val="00D46714"/>
    <w:rsid w:val="00D46FCA"/>
    <w:rsid w:val="00D70C1F"/>
    <w:rsid w:val="00D753D8"/>
    <w:rsid w:val="00D7566E"/>
    <w:rsid w:val="00D90601"/>
    <w:rsid w:val="00D95F72"/>
    <w:rsid w:val="00D96CC5"/>
    <w:rsid w:val="00D978C6"/>
    <w:rsid w:val="00DA2D88"/>
    <w:rsid w:val="00DA2ECB"/>
    <w:rsid w:val="00DA4E1A"/>
    <w:rsid w:val="00DA67AD"/>
    <w:rsid w:val="00DB217E"/>
    <w:rsid w:val="00DB6678"/>
    <w:rsid w:val="00DC035A"/>
    <w:rsid w:val="00DC2CA9"/>
    <w:rsid w:val="00DC4ADB"/>
    <w:rsid w:val="00DC7217"/>
    <w:rsid w:val="00DD0B4D"/>
    <w:rsid w:val="00DD174E"/>
    <w:rsid w:val="00DE245D"/>
    <w:rsid w:val="00DE257F"/>
    <w:rsid w:val="00DE36AB"/>
    <w:rsid w:val="00DE3B96"/>
    <w:rsid w:val="00DE50A9"/>
    <w:rsid w:val="00DE5283"/>
    <w:rsid w:val="00DF2B22"/>
    <w:rsid w:val="00DF3E9F"/>
    <w:rsid w:val="00DF70C7"/>
    <w:rsid w:val="00E01042"/>
    <w:rsid w:val="00E067B1"/>
    <w:rsid w:val="00E07E30"/>
    <w:rsid w:val="00E07F33"/>
    <w:rsid w:val="00E10691"/>
    <w:rsid w:val="00E10821"/>
    <w:rsid w:val="00E130AB"/>
    <w:rsid w:val="00E139FB"/>
    <w:rsid w:val="00E16C7A"/>
    <w:rsid w:val="00E203B0"/>
    <w:rsid w:val="00E218C1"/>
    <w:rsid w:val="00E21CAA"/>
    <w:rsid w:val="00E22114"/>
    <w:rsid w:val="00E23A3D"/>
    <w:rsid w:val="00E2607E"/>
    <w:rsid w:val="00E31231"/>
    <w:rsid w:val="00E32716"/>
    <w:rsid w:val="00E32DF9"/>
    <w:rsid w:val="00E3414B"/>
    <w:rsid w:val="00E41947"/>
    <w:rsid w:val="00E420FE"/>
    <w:rsid w:val="00E44F43"/>
    <w:rsid w:val="00E45453"/>
    <w:rsid w:val="00E45C0C"/>
    <w:rsid w:val="00E51397"/>
    <w:rsid w:val="00E5644E"/>
    <w:rsid w:val="00E60084"/>
    <w:rsid w:val="00E60F9D"/>
    <w:rsid w:val="00E7074A"/>
    <w:rsid w:val="00E7260F"/>
    <w:rsid w:val="00E759AB"/>
    <w:rsid w:val="00E81EC8"/>
    <w:rsid w:val="00E83CAD"/>
    <w:rsid w:val="00E8535A"/>
    <w:rsid w:val="00E859C3"/>
    <w:rsid w:val="00E876EE"/>
    <w:rsid w:val="00E96630"/>
    <w:rsid w:val="00EA2EC6"/>
    <w:rsid w:val="00EA3DCF"/>
    <w:rsid w:val="00EA4C6D"/>
    <w:rsid w:val="00EA6112"/>
    <w:rsid w:val="00EA772F"/>
    <w:rsid w:val="00EB172A"/>
    <w:rsid w:val="00EB5B5E"/>
    <w:rsid w:val="00EB6832"/>
    <w:rsid w:val="00EC098C"/>
    <w:rsid w:val="00EC2875"/>
    <w:rsid w:val="00EC3503"/>
    <w:rsid w:val="00EC6FF4"/>
    <w:rsid w:val="00ED13CD"/>
    <w:rsid w:val="00ED716D"/>
    <w:rsid w:val="00ED7A2A"/>
    <w:rsid w:val="00EF1D7F"/>
    <w:rsid w:val="00EF3D3E"/>
    <w:rsid w:val="00EF58E3"/>
    <w:rsid w:val="00EF5A9D"/>
    <w:rsid w:val="00EF6CF8"/>
    <w:rsid w:val="00F00097"/>
    <w:rsid w:val="00F0306B"/>
    <w:rsid w:val="00F068C9"/>
    <w:rsid w:val="00F22E84"/>
    <w:rsid w:val="00F246C2"/>
    <w:rsid w:val="00F27AEA"/>
    <w:rsid w:val="00F3004C"/>
    <w:rsid w:val="00F302E5"/>
    <w:rsid w:val="00F321C9"/>
    <w:rsid w:val="00F32839"/>
    <w:rsid w:val="00F32B26"/>
    <w:rsid w:val="00F3354D"/>
    <w:rsid w:val="00F36017"/>
    <w:rsid w:val="00F40AD8"/>
    <w:rsid w:val="00F40E75"/>
    <w:rsid w:val="00F42B0E"/>
    <w:rsid w:val="00F530A9"/>
    <w:rsid w:val="00F543A2"/>
    <w:rsid w:val="00F54674"/>
    <w:rsid w:val="00F56E05"/>
    <w:rsid w:val="00F57CFD"/>
    <w:rsid w:val="00F60F39"/>
    <w:rsid w:val="00F67ACC"/>
    <w:rsid w:val="00F70231"/>
    <w:rsid w:val="00F74923"/>
    <w:rsid w:val="00F860FD"/>
    <w:rsid w:val="00F92AD6"/>
    <w:rsid w:val="00F95187"/>
    <w:rsid w:val="00F97295"/>
    <w:rsid w:val="00FC00D5"/>
    <w:rsid w:val="00FC0639"/>
    <w:rsid w:val="00FC3076"/>
    <w:rsid w:val="00FC4603"/>
    <w:rsid w:val="00FC4DAE"/>
    <w:rsid w:val="00FC564B"/>
    <w:rsid w:val="00FC5D65"/>
    <w:rsid w:val="00FC68B7"/>
    <w:rsid w:val="00FC6981"/>
    <w:rsid w:val="00FD271E"/>
    <w:rsid w:val="00FD4E21"/>
    <w:rsid w:val="00FD6B2B"/>
    <w:rsid w:val="00FE0D18"/>
    <w:rsid w:val="00FE110C"/>
    <w:rsid w:val="00FE3823"/>
    <w:rsid w:val="00FF03BB"/>
    <w:rsid w:val="00FF0D02"/>
    <w:rsid w:val="35C5DA7E"/>
    <w:rsid w:val="65A6F9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B1026"/>
  <w15:chartTrackingRefBased/>
  <w15:docId w15:val="{1940416E-ADB3-4351-9882-20A55AB1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068"/>
    <w:pPr>
      <w:suppressAutoHyphens/>
      <w:spacing w:line="240" w:lineRule="atLeast"/>
    </w:pPr>
    <w:rPr>
      <w:lang w:eastAsia="en-US"/>
    </w:rPr>
  </w:style>
  <w:style w:type="paragraph" w:styleId="Heading1">
    <w:name w:val="heading 1"/>
    <w:aliases w:val="Table_G"/>
    <w:basedOn w:val="SingleTxtG"/>
    <w:next w:val="SingleTxtG"/>
    <w:qFormat/>
    <w:rsid w:val="006C7E11"/>
    <w:pPr>
      <w:spacing w:after="0" w:line="240" w:lineRule="auto"/>
      <w:ind w:right="0"/>
      <w:jc w:val="left"/>
      <w:outlineLvl w:val="0"/>
    </w:pPr>
  </w:style>
  <w:style w:type="paragraph" w:styleId="Heading2">
    <w:name w:val="heading 2"/>
    <w:basedOn w:val="Normal"/>
    <w:next w:val="Normal"/>
    <w:qFormat/>
    <w:rsid w:val="006C7E11"/>
    <w:pPr>
      <w:spacing w:line="240" w:lineRule="auto"/>
      <w:outlineLvl w:val="1"/>
    </w:pPr>
  </w:style>
  <w:style w:type="paragraph" w:styleId="Heading3">
    <w:name w:val="heading 3"/>
    <w:basedOn w:val="Normal"/>
    <w:next w:val="Normal"/>
    <w:qFormat/>
    <w:rsid w:val="006C7E11"/>
    <w:pPr>
      <w:spacing w:line="240" w:lineRule="auto"/>
      <w:outlineLvl w:val="2"/>
    </w:pPr>
  </w:style>
  <w:style w:type="paragraph" w:styleId="Heading4">
    <w:name w:val="heading 4"/>
    <w:basedOn w:val="Normal"/>
    <w:next w:val="Normal"/>
    <w:qFormat/>
    <w:rsid w:val="006C7E11"/>
    <w:pPr>
      <w:spacing w:line="240" w:lineRule="auto"/>
      <w:outlineLvl w:val="3"/>
    </w:pPr>
  </w:style>
  <w:style w:type="paragraph" w:styleId="Heading5">
    <w:name w:val="heading 5"/>
    <w:basedOn w:val="Normal"/>
    <w:next w:val="Normal"/>
    <w:qFormat/>
    <w:rsid w:val="006C7E11"/>
    <w:pPr>
      <w:spacing w:line="240" w:lineRule="auto"/>
      <w:outlineLvl w:val="4"/>
    </w:pPr>
  </w:style>
  <w:style w:type="paragraph" w:styleId="Heading6">
    <w:name w:val="heading 6"/>
    <w:basedOn w:val="Normal"/>
    <w:next w:val="Normal"/>
    <w:qFormat/>
    <w:rsid w:val="006C7E11"/>
    <w:pPr>
      <w:spacing w:line="240" w:lineRule="auto"/>
      <w:outlineLvl w:val="5"/>
    </w:pPr>
  </w:style>
  <w:style w:type="paragraph" w:styleId="Heading7">
    <w:name w:val="heading 7"/>
    <w:basedOn w:val="Normal"/>
    <w:next w:val="Normal"/>
    <w:qFormat/>
    <w:rsid w:val="006C7E11"/>
    <w:pPr>
      <w:spacing w:line="240" w:lineRule="auto"/>
      <w:outlineLvl w:val="6"/>
    </w:pPr>
  </w:style>
  <w:style w:type="paragraph" w:styleId="Heading8">
    <w:name w:val="heading 8"/>
    <w:basedOn w:val="Normal"/>
    <w:next w:val="Normal"/>
    <w:qFormat/>
    <w:rsid w:val="006C7E11"/>
    <w:pPr>
      <w:spacing w:line="240" w:lineRule="auto"/>
      <w:outlineLvl w:val="7"/>
    </w:pPr>
  </w:style>
  <w:style w:type="paragraph" w:styleId="Heading9">
    <w:name w:val="heading 9"/>
    <w:basedOn w:val="Normal"/>
    <w:next w:val="Normal"/>
    <w:qFormat/>
    <w:rsid w:val="006C7E11"/>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6C7E1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6C7E11"/>
    <w:pPr>
      <w:keepNext/>
      <w:keepLines/>
      <w:tabs>
        <w:tab w:val="right" w:pos="851"/>
      </w:tabs>
      <w:spacing w:before="360" w:after="240" w:line="300" w:lineRule="exact"/>
      <w:ind w:left="1134" w:right="1134" w:hanging="1134"/>
    </w:pPr>
    <w:rPr>
      <w:b/>
      <w:sz w:val="28"/>
    </w:rPr>
  </w:style>
  <w:style w:type="character" w:customStyle="1" w:styleId="FootnoteTextChar">
    <w:name w:val="Footnote Text Char"/>
    <w:aliases w:val="5_G Char,Char Char1,Footnote Text Char2 Char1,Footnote Text Char1 Char Char2,Footnote Text Char Char Char Char1,Footnote Text Char Char1 Char1,Footnote Text Char1 Char2,Footnote Text Char Char Char2,Footnote Text Char1 Char Char Char"/>
    <w:link w:val="FootnoteText"/>
    <w:rsid w:val="00E759AB"/>
    <w:rPr>
      <w:sz w:val="18"/>
      <w:lang w:val="en-GB" w:eastAsia="en-US" w:bidi="ar-SA"/>
    </w:rPr>
  </w:style>
  <w:style w:type="paragraph" w:customStyle="1" w:styleId="SingleTxtG">
    <w:name w:val="_ Single Txt_G"/>
    <w:basedOn w:val="Normal"/>
    <w:link w:val="SingleTxtGCar"/>
    <w:uiPriority w:val="99"/>
    <w:qFormat/>
    <w:rsid w:val="006C7E11"/>
    <w:pPr>
      <w:spacing w:after="120"/>
      <w:ind w:left="1134" w:right="1134"/>
      <w:jc w:val="both"/>
    </w:pPr>
  </w:style>
  <w:style w:type="character" w:styleId="PageNumber">
    <w:name w:val="page number"/>
    <w:aliases w:val="7_G"/>
    <w:rsid w:val="006C7E1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6C7E11"/>
    <w:pPr>
      <w:keepNext/>
      <w:keepLines/>
      <w:spacing w:before="240" w:after="240" w:line="420" w:lineRule="exact"/>
      <w:ind w:left="1134" w:right="1134"/>
    </w:pPr>
    <w:rPr>
      <w:b/>
      <w:sz w:val="40"/>
    </w:rPr>
  </w:style>
  <w:style w:type="paragraph" w:customStyle="1" w:styleId="SLG">
    <w:name w:val="__S_L_G"/>
    <w:basedOn w:val="Normal"/>
    <w:next w:val="Normal"/>
    <w:rsid w:val="006C7E11"/>
    <w:pPr>
      <w:keepNext/>
      <w:keepLines/>
      <w:spacing w:before="240" w:after="240" w:line="580" w:lineRule="exact"/>
      <w:ind w:left="1134" w:right="1134"/>
    </w:pPr>
    <w:rPr>
      <w:b/>
      <w:sz w:val="56"/>
    </w:rPr>
  </w:style>
  <w:style w:type="paragraph" w:customStyle="1" w:styleId="SSG">
    <w:name w:val="__S_S_G"/>
    <w:basedOn w:val="Normal"/>
    <w:next w:val="Normal"/>
    <w:rsid w:val="006C7E11"/>
    <w:pPr>
      <w:keepNext/>
      <w:keepLines/>
      <w:spacing w:before="240" w:after="240" w:line="300" w:lineRule="exact"/>
      <w:ind w:left="1134" w:right="1134"/>
    </w:pPr>
    <w:rPr>
      <w:b/>
      <w:sz w:val="28"/>
    </w:rPr>
  </w:style>
  <w:style w:type="character" w:styleId="EndnoteReference">
    <w:name w:val="endnote reference"/>
    <w:aliases w:val="1_G"/>
    <w:basedOn w:val="FootnoteReference"/>
    <w:rsid w:val="006C7E11"/>
    <w:rPr>
      <w:rFonts w:ascii="Times New Roman" w:hAnsi="Times New Roman"/>
      <w:sz w:val="18"/>
      <w:vertAlign w:val="superscript"/>
    </w:rPr>
  </w:style>
  <w:style w:type="character" w:styleId="FootnoteReference">
    <w:name w:val="footnote reference"/>
    <w:aliases w:val="4_G,Footnote Reference/"/>
    <w:qFormat/>
    <w:rsid w:val="006C7E11"/>
    <w:rPr>
      <w:rFonts w:ascii="Times New Roman" w:hAnsi="Times New Roman"/>
      <w:sz w:val="18"/>
      <w:vertAlign w:val="superscript"/>
    </w:rPr>
  </w:style>
  <w:style w:type="paragraph" w:styleId="FootnoteText">
    <w:name w:val="footnote text"/>
    <w:aliases w:val="5_G,Char,Footnote Text Char2,Footnote Text Char1 Char,Footnote Text Char Char Char,Footnote Text Char Char1,Footnote Text Char1,Footnote Text Char Char,Footnote Text Char1 Char Char"/>
    <w:basedOn w:val="Normal"/>
    <w:link w:val="FootnoteTextChar"/>
    <w:qFormat/>
    <w:rsid w:val="006C7E11"/>
    <w:pPr>
      <w:tabs>
        <w:tab w:val="right" w:pos="1021"/>
      </w:tabs>
      <w:spacing w:line="220" w:lineRule="exact"/>
      <w:ind w:left="1134" w:right="1134" w:hanging="1134"/>
    </w:pPr>
    <w:rPr>
      <w:sz w:val="18"/>
    </w:rPr>
  </w:style>
  <w:style w:type="paragraph" w:customStyle="1" w:styleId="XLargeG">
    <w:name w:val="__XLarge_G"/>
    <w:basedOn w:val="Normal"/>
    <w:next w:val="Normal"/>
    <w:link w:val="XLargeGChar"/>
    <w:rsid w:val="006C7E11"/>
    <w:pPr>
      <w:keepNext/>
      <w:keepLines/>
      <w:spacing w:before="240" w:after="240" w:line="420" w:lineRule="exact"/>
      <w:ind w:left="1134" w:right="1134"/>
    </w:pPr>
    <w:rPr>
      <w:b/>
      <w:sz w:val="40"/>
    </w:rPr>
  </w:style>
  <w:style w:type="paragraph" w:customStyle="1" w:styleId="Bullet1G">
    <w:name w:val="_Bullet 1_G"/>
    <w:basedOn w:val="Normal"/>
    <w:rsid w:val="006C7E11"/>
    <w:pPr>
      <w:numPr>
        <w:numId w:val="14"/>
      </w:numPr>
      <w:spacing w:after="120"/>
      <w:ind w:right="1134"/>
      <w:jc w:val="both"/>
    </w:pPr>
  </w:style>
  <w:style w:type="paragraph" w:styleId="EndnoteText">
    <w:name w:val="endnote text"/>
    <w:aliases w:val="2_G"/>
    <w:basedOn w:val="FootnoteText"/>
    <w:rsid w:val="006C7E11"/>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6C7E11"/>
    <w:pPr>
      <w:numPr>
        <w:numId w:val="15"/>
      </w:numPr>
      <w:spacing w:after="120"/>
      <w:ind w:right="1134"/>
      <w:jc w:val="both"/>
    </w:pPr>
  </w:style>
  <w:style w:type="paragraph" w:customStyle="1" w:styleId="H1G">
    <w:name w:val="_ H_1_G"/>
    <w:basedOn w:val="Normal"/>
    <w:next w:val="Normal"/>
    <w:link w:val="H1GChar"/>
    <w:rsid w:val="006C7E1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6C7E1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6C7E1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6C7E11"/>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6C7E11"/>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6C7E11"/>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C7E1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6C7E11"/>
    <w:pPr>
      <w:spacing w:line="240" w:lineRule="auto"/>
    </w:pPr>
    <w:rPr>
      <w:sz w:val="16"/>
    </w:rPr>
  </w:style>
  <w:style w:type="paragraph" w:styleId="Header">
    <w:name w:val="header"/>
    <w:aliases w:val="6_G"/>
    <w:basedOn w:val="Normal"/>
    <w:link w:val="HeaderChar"/>
    <w:uiPriority w:val="99"/>
    <w:rsid w:val="006C7E11"/>
    <w:pPr>
      <w:pBdr>
        <w:bottom w:val="single" w:sz="4" w:space="4" w:color="auto"/>
      </w:pBdr>
      <w:spacing w:line="240" w:lineRule="auto"/>
    </w:pPr>
    <w:rPr>
      <w:b/>
      <w:sz w:val="18"/>
    </w:rPr>
  </w:style>
  <w:style w:type="paragraph" w:customStyle="1" w:styleId="H1">
    <w:name w:val="_ H_1"/>
    <w:basedOn w:val="Normal"/>
    <w:next w:val="Normal"/>
    <w:rsid w:val="001A0389"/>
    <w:pPr>
      <w:keepNext/>
      <w:keepLines/>
      <w:spacing w:line="270" w:lineRule="exact"/>
      <w:outlineLvl w:val="0"/>
    </w:pPr>
    <w:rPr>
      <w:b/>
      <w:spacing w:val="4"/>
      <w:w w:val="103"/>
      <w:kern w:val="14"/>
      <w:sz w:val="24"/>
    </w:rPr>
  </w:style>
  <w:style w:type="paragraph" w:styleId="BalloonText">
    <w:name w:val="Balloon Text"/>
    <w:basedOn w:val="Normal"/>
    <w:semiHidden/>
    <w:rsid w:val="001A0389"/>
    <w:rPr>
      <w:rFonts w:ascii="Tahoma" w:hAnsi="Tahoma" w:cs="Tahoma"/>
      <w:sz w:val="16"/>
      <w:szCs w:val="16"/>
    </w:rPr>
  </w:style>
  <w:style w:type="paragraph" w:customStyle="1" w:styleId="SingleTxt">
    <w:name w:val="__Single Txt"/>
    <w:basedOn w:val="Normal"/>
    <w:rsid w:val="008C66B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character" w:customStyle="1" w:styleId="CharChar">
    <w:name w:val="Char Char"/>
    <w:aliases w:val="Footnote Text Char2 Char,Footnote Text Char1 Char Char1,Footnote Text Char Char Char Char,Footnote Text Char Char1 Char,Footnote Text Char1 Char1,Footnote Text Char Char Char1,Footnote Text Char1 Char Char Char Char"/>
    <w:semiHidden/>
    <w:locked/>
    <w:rsid w:val="008C66B6"/>
    <w:rPr>
      <w:sz w:val="18"/>
      <w:lang w:val="en-GB" w:eastAsia="en-US" w:bidi="ar-SA"/>
    </w:rPr>
  </w:style>
  <w:style w:type="character" w:customStyle="1" w:styleId="SingleTxtGCar">
    <w:name w:val="_ Single Txt_G Car"/>
    <w:link w:val="SingleTxtG"/>
    <w:uiPriority w:val="99"/>
    <w:rsid w:val="008C66B6"/>
    <w:rPr>
      <w:lang w:val="en-GB" w:eastAsia="en-US" w:bidi="ar-SA"/>
    </w:rPr>
  </w:style>
  <w:style w:type="paragraph" w:customStyle="1" w:styleId="H23">
    <w:name w:val="_ H_2/3"/>
    <w:basedOn w:val="H1"/>
    <w:next w:val="SingleTxt"/>
    <w:rsid w:val="00E859C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spacing w:val="2"/>
      <w:sz w:val="20"/>
    </w:rPr>
  </w:style>
  <w:style w:type="character" w:customStyle="1" w:styleId="XLargeGChar">
    <w:name w:val="__XLarge_G Char"/>
    <w:link w:val="XLargeG"/>
    <w:rsid w:val="00301F83"/>
    <w:rPr>
      <w:b/>
      <w:sz w:val="40"/>
      <w:lang w:val="en-GB" w:eastAsia="en-US" w:bidi="ar-SA"/>
    </w:rPr>
  </w:style>
  <w:style w:type="character" w:customStyle="1" w:styleId="HChGChar">
    <w:name w:val="_ H _Ch_G Char"/>
    <w:link w:val="HChG"/>
    <w:rsid w:val="00DE5283"/>
    <w:rPr>
      <w:b/>
      <w:sz w:val="28"/>
      <w:lang w:eastAsia="en-US"/>
    </w:rPr>
  </w:style>
  <w:style w:type="character" w:customStyle="1" w:styleId="SingleTxtGChar">
    <w:name w:val="_ Single Txt_G Char"/>
    <w:uiPriority w:val="99"/>
    <w:qFormat/>
    <w:rsid w:val="00DE5283"/>
    <w:rPr>
      <w:lang w:val="en-GB" w:eastAsia="en-US" w:bidi="ar-SA"/>
    </w:rPr>
  </w:style>
  <w:style w:type="character" w:customStyle="1" w:styleId="st">
    <w:name w:val="st"/>
    <w:rsid w:val="00151D7B"/>
  </w:style>
  <w:style w:type="character" w:customStyle="1" w:styleId="FooterChar">
    <w:name w:val="Footer Char"/>
    <w:aliases w:val="3_G Char"/>
    <w:link w:val="Footer"/>
    <w:uiPriority w:val="99"/>
    <w:rsid w:val="00E81EC8"/>
    <w:rPr>
      <w:sz w:val="16"/>
      <w:lang w:eastAsia="en-US"/>
    </w:rPr>
  </w:style>
  <w:style w:type="character" w:customStyle="1" w:styleId="HeaderChar">
    <w:name w:val="Header Char"/>
    <w:aliases w:val="6_G Char"/>
    <w:link w:val="Header"/>
    <w:uiPriority w:val="99"/>
    <w:rsid w:val="000722AA"/>
    <w:rPr>
      <w:b/>
      <w:sz w:val="18"/>
      <w:lang w:eastAsia="en-US"/>
    </w:rPr>
  </w:style>
  <w:style w:type="paragraph" w:styleId="Revision">
    <w:name w:val="Revision"/>
    <w:hidden/>
    <w:uiPriority w:val="99"/>
    <w:semiHidden/>
    <w:rsid w:val="00880857"/>
    <w:rPr>
      <w:lang w:eastAsia="en-US"/>
    </w:rPr>
  </w:style>
  <w:style w:type="paragraph" w:styleId="CommentSubject">
    <w:name w:val="annotation subject"/>
    <w:basedOn w:val="CommentText"/>
    <w:next w:val="CommentText"/>
    <w:link w:val="CommentSubjectChar"/>
    <w:rsid w:val="00C241F7"/>
    <w:rPr>
      <w:b/>
      <w:bCs/>
    </w:rPr>
  </w:style>
  <w:style w:type="character" w:customStyle="1" w:styleId="CommentTextChar">
    <w:name w:val="Comment Text Char"/>
    <w:link w:val="CommentText"/>
    <w:semiHidden/>
    <w:rsid w:val="00C241F7"/>
    <w:rPr>
      <w:lang w:eastAsia="en-US"/>
    </w:rPr>
  </w:style>
  <w:style w:type="character" w:customStyle="1" w:styleId="CommentSubjectChar">
    <w:name w:val="Comment Subject Char"/>
    <w:link w:val="CommentSubject"/>
    <w:rsid w:val="00C241F7"/>
    <w:rPr>
      <w:b/>
      <w:bCs/>
      <w:lang w:eastAsia="en-US"/>
    </w:rPr>
  </w:style>
  <w:style w:type="paragraph" w:customStyle="1" w:styleId="TitleH1">
    <w:name w:val="Title_H1"/>
    <w:basedOn w:val="Normal"/>
    <w:next w:val="SingleTxt"/>
    <w:qFormat/>
    <w:rsid w:val="00977201"/>
    <w:pPr>
      <w:keepNext/>
      <w:keepLines/>
      <w:spacing w:line="270" w:lineRule="exact"/>
      <w:ind w:left="1267" w:right="1267" w:hanging="1267"/>
      <w:outlineLvl w:val="0"/>
    </w:pPr>
    <w:rPr>
      <w:rFonts w:eastAsia="Calibri"/>
      <w:b/>
      <w:spacing w:val="4"/>
      <w:w w:val="103"/>
      <w:kern w:val="14"/>
      <w:sz w:val="24"/>
    </w:rPr>
  </w:style>
  <w:style w:type="character" w:customStyle="1" w:styleId="H1GChar">
    <w:name w:val="_ H_1_G Char"/>
    <w:link w:val="H1G"/>
    <w:locked/>
    <w:rsid w:val="00B5614A"/>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41431">
      <w:bodyDiv w:val="1"/>
      <w:marLeft w:val="0"/>
      <w:marRight w:val="0"/>
      <w:marTop w:val="0"/>
      <w:marBottom w:val="0"/>
      <w:divBdr>
        <w:top w:val="none" w:sz="0" w:space="0" w:color="auto"/>
        <w:left w:val="none" w:sz="0" w:space="0" w:color="auto"/>
        <w:bottom w:val="none" w:sz="0" w:space="0" w:color="auto"/>
        <w:right w:val="none" w:sz="0" w:space="0" w:color="auto"/>
      </w:divBdr>
      <w:divsChild>
        <w:div w:id="2125077269">
          <w:marLeft w:val="0"/>
          <w:marRight w:val="0"/>
          <w:marTop w:val="0"/>
          <w:marBottom w:val="0"/>
          <w:divBdr>
            <w:top w:val="none" w:sz="0" w:space="0" w:color="auto"/>
            <w:left w:val="none" w:sz="0" w:space="0" w:color="auto"/>
            <w:bottom w:val="none" w:sz="0" w:space="0" w:color="auto"/>
            <w:right w:val="none" w:sz="0" w:space="0" w:color="auto"/>
          </w:divBdr>
        </w:div>
        <w:div w:id="28578221">
          <w:marLeft w:val="0"/>
          <w:marRight w:val="0"/>
          <w:marTop w:val="0"/>
          <w:marBottom w:val="0"/>
          <w:divBdr>
            <w:top w:val="none" w:sz="0" w:space="0" w:color="auto"/>
            <w:left w:val="none" w:sz="0" w:space="0" w:color="auto"/>
            <w:bottom w:val="none" w:sz="0" w:space="0" w:color="auto"/>
            <w:right w:val="none" w:sz="0" w:space="0" w:color="auto"/>
          </w:divBdr>
        </w:div>
        <w:div w:id="741948718">
          <w:marLeft w:val="0"/>
          <w:marRight w:val="0"/>
          <w:marTop w:val="0"/>
          <w:marBottom w:val="0"/>
          <w:divBdr>
            <w:top w:val="none" w:sz="0" w:space="0" w:color="auto"/>
            <w:left w:val="none" w:sz="0" w:space="0" w:color="auto"/>
            <w:bottom w:val="none" w:sz="0" w:space="0" w:color="auto"/>
            <w:right w:val="none" w:sz="0" w:space="0" w:color="auto"/>
          </w:divBdr>
        </w:div>
        <w:div w:id="461580117">
          <w:marLeft w:val="0"/>
          <w:marRight w:val="0"/>
          <w:marTop w:val="0"/>
          <w:marBottom w:val="0"/>
          <w:divBdr>
            <w:top w:val="none" w:sz="0" w:space="0" w:color="auto"/>
            <w:left w:val="none" w:sz="0" w:space="0" w:color="auto"/>
            <w:bottom w:val="none" w:sz="0" w:space="0" w:color="auto"/>
            <w:right w:val="none" w:sz="0" w:space="0" w:color="auto"/>
          </w:divBdr>
        </w:div>
        <w:div w:id="1918634257">
          <w:marLeft w:val="0"/>
          <w:marRight w:val="0"/>
          <w:marTop w:val="0"/>
          <w:marBottom w:val="0"/>
          <w:divBdr>
            <w:top w:val="none" w:sz="0" w:space="0" w:color="auto"/>
            <w:left w:val="none" w:sz="0" w:space="0" w:color="auto"/>
            <w:bottom w:val="none" w:sz="0" w:space="0" w:color="auto"/>
            <w:right w:val="none" w:sz="0" w:space="0" w:color="auto"/>
          </w:divBdr>
        </w:div>
        <w:div w:id="1831018135">
          <w:marLeft w:val="0"/>
          <w:marRight w:val="0"/>
          <w:marTop w:val="0"/>
          <w:marBottom w:val="0"/>
          <w:divBdr>
            <w:top w:val="none" w:sz="0" w:space="0" w:color="auto"/>
            <w:left w:val="none" w:sz="0" w:space="0" w:color="auto"/>
            <w:bottom w:val="none" w:sz="0" w:space="0" w:color="auto"/>
            <w:right w:val="none" w:sz="0" w:space="0" w:color="auto"/>
          </w:divBdr>
        </w:div>
        <w:div w:id="236979162">
          <w:marLeft w:val="0"/>
          <w:marRight w:val="0"/>
          <w:marTop w:val="0"/>
          <w:marBottom w:val="0"/>
          <w:divBdr>
            <w:top w:val="none" w:sz="0" w:space="0" w:color="auto"/>
            <w:left w:val="none" w:sz="0" w:space="0" w:color="auto"/>
            <w:bottom w:val="none" w:sz="0" w:space="0" w:color="auto"/>
            <w:right w:val="none" w:sz="0" w:space="0" w:color="auto"/>
          </w:divBdr>
        </w:div>
      </w:divsChild>
    </w:div>
    <w:div w:id="156344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undocs.org/en/A/RES/70/1" TargetMode="External"/><Relationship Id="rId42" Type="http://schemas.openxmlformats.org/officeDocument/2006/relationships/footer" Target="footer1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2.xml"/><Relationship Id="rId40"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yperlink" Target="https://undocs.org/en/A/RES/70/1"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hyperlink" Target="https://undocs.org/en/A/RES/57/253"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ece.org/ghs-implement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Laurence Berthet</DisplayName>
        <AccountId>44</AccountId>
        <AccountType/>
      </UserInfo>
      <UserInfo>
        <DisplayName>Romain Hubert</DisplayName>
        <AccountId>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FC489-BF77-468E-B69A-79454C7EC38B}">
  <ds:schemaRefs>
    <ds:schemaRef ds:uri="http://schemas.openxmlformats.org/officeDocument/2006/bibliography"/>
  </ds:schemaRefs>
</ds:datastoreItem>
</file>

<file path=customXml/itemProps2.xml><?xml version="1.0" encoding="utf-8"?>
<ds:datastoreItem xmlns:ds="http://schemas.openxmlformats.org/officeDocument/2006/customXml" ds:itemID="{DEE82218-7E74-483A-92E8-33F73945A380}">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3.xml><?xml version="1.0" encoding="utf-8"?>
<ds:datastoreItem xmlns:ds="http://schemas.openxmlformats.org/officeDocument/2006/customXml" ds:itemID="{5D17EDBB-23BC-4FDB-84CE-689BCF528A0A}">
  <ds:schemaRefs>
    <ds:schemaRef ds:uri="http://schemas.microsoft.com/sharepoint/v3/contenttype/forms"/>
  </ds:schemaRefs>
</ds:datastoreItem>
</file>

<file path=customXml/itemProps4.xml><?xml version="1.0" encoding="utf-8"?>
<ds:datastoreItem xmlns:ds="http://schemas.openxmlformats.org/officeDocument/2006/customXml" ds:itemID="{4FE732B5-65C3-40B8-B850-37CC709E5419}">
  <ds:schemaRefs>
    <ds:schemaRef ds:uri="http://schemas.microsoft.com/office/2006/metadata/longProperties"/>
  </ds:schemaRefs>
</ds:datastoreItem>
</file>

<file path=customXml/itemProps5.xml><?xml version="1.0" encoding="utf-8"?>
<ds:datastoreItem xmlns:ds="http://schemas.openxmlformats.org/officeDocument/2006/customXml" ds:itemID="{83E51E99-F32B-46FF-990B-3804C90E6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3955</Words>
  <Characters>22545</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26448</CharactersWithSpaces>
  <SharedDoc>false</SharedDoc>
  <HLinks>
    <vt:vector size="36" baseType="variant">
      <vt:variant>
        <vt:i4>7471200</vt:i4>
      </vt:variant>
      <vt:variant>
        <vt:i4>3</vt:i4>
      </vt:variant>
      <vt:variant>
        <vt:i4>0</vt:i4>
      </vt:variant>
      <vt:variant>
        <vt:i4>5</vt:i4>
      </vt:variant>
      <vt:variant>
        <vt:lpwstr>https://undocs.org/en/A/RES/57/253</vt:lpwstr>
      </vt:variant>
      <vt:variant>
        <vt:lpwstr/>
      </vt:variant>
      <vt:variant>
        <vt:i4>7471207</vt:i4>
      </vt:variant>
      <vt:variant>
        <vt:i4>0</vt:i4>
      </vt:variant>
      <vt:variant>
        <vt:i4>0</vt:i4>
      </vt:variant>
      <vt:variant>
        <vt:i4>5</vt:i4>
      </vt:variant>
      <vt:variant>
        <vt:lpwstr>https://undocs.org/en/E/RES/2017/13</vt:lpwstr>
      </vt:variant>
      <vt:variant>
        <vt:lpwstr/>
      </vt:variant>
      <vt:variant>
        <vt:i4>7602234</vt:i4>
      </vt:variant>
      <vt:variant>
        <vt:i4>9</vt:i4>
      </vt:variant>
      <vt:variant>
        <vt:i4>0</vt:i4>
      </vt:variant>
      <vt:variant>
        <vt:i4>5</vt:i4>
      </vt:variant>
      <vt:variant>
        <vt:lpwstr>https://undocs.org/en/ST/SG/AC.10/46/Add.3</vt:lpwstr>
      </vt:variant>
      <vt:variant>
        <vt:lpwstr/>
      </vt:variant>
      <vt:variant>
        <vt:i4>7667770</vt:i4>
      </vt:variant>
      <vt:variant>
        <vt:i4>6</vt:i4>
      </vt:variant>
      <vt:variant>
        <vt:i4>0</vt:i4>
      </vt:variant>
      <vt:variant>
        <vt:i4>5</vt:i4>
      </vt:variant>
      <vt:variant>
        <vt:lpwstr>https://undocs.org/en/ST/SG/AC.10/46/Add.2</vt:lpwstr>
      </vt:variant>
      <vt:variant>
        <vt:lpwstr/>
      </vt:variant>
      <vt:variant>
        <vt:i4>7733306</vt:i4>
      </vt:variant>
      <vt:variant>
        <vt:i4>3</vt:i4>
      </vt:variant>
      <vt:variant>
        <vt:i4>0</vt:i4>
      </vt:variant>
      <vt:variant>
        <vt:i4>5</vt:i4>
      </vt:variant>
      <vt:variant>
        <vt:lpwstr>https://undocs.org/en/ST/SG/AC.10/46/Add.1</vt:lpwstr>
      </vt:variant>
      <vt:variant>
        <vt:lpwstr/>
      </vt:variant>
      <vt:variant>
        <vt:i4>3211366</vt:i4>
      </vt:variant>
      <vt:variant>
        <vt:i4>0</vt:i4>
      </vt:variant>
      <vt:variant>
        <vt:i4>0</vt:i4>
      </vt:variant>
      <vt:variant>
        <vt:i4>5</vt:i4>
      </vt:variant>
      <vt:variant>
        <vt:lpwstr>https://undocs.org/en/E/2019/63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Garcia_Couto</dc:creator>
  <cp:keywords/>
  <cp:lastModifiedBy>Laurence Berthet</cp:lastModifiedBy>
  <cp:revision>54</cp:revision>
  <cp:lastPrinted>2021-01-17T11:03:00Z</cp:lastPrinted>
  <dcterms:created xsi:type="dcterms:W3CDTF">2023-01-09T15:05:00Z</dcterms:created>
  <dcterms:modified xsi:type="dcterms:W3CDTF">2023-01-10T11:25:00Z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Laurence BERTHET</vt:lpwstr>
  </property>
  <property fmtid="{D5CDD505-2E9C-101B-9397-08002B2CF9AE}" pid="3" name="Order">
    <vt:lpwstr>7346200.00000000</vt:lpwstr>
  </property>
  <property fmtid="{D5CDD505-2E9C-101B-9397-08002B2CF9AE}" pid="4" name="display_urn:schemas-microsoft-com:office:office#Author">
    <vt:lpwstr>Laurence BERTHET</vt:lpwstr>
  </property>
  <property fmtid="{D5CDD505-2E9C-101B-9397-08002B2CF9AE}" pid="5" name="ContentTypeId">
    <vt:lpwstr>0x0101003B8422D08C252547BB1CFA7F78E2CB83</vt:lpwstr>
  </property>
  <property fmtid="{D5CDD505-2E9C-101B-9397-08002B2CF9AE}" pid="6" name="Office_x0020_of_x0020_Origin">
    <vt:lpwstr/>
  </property>
  <property fmtid="{D5CDD505-2E9C-101B-9397-08002B2CF9AE}" pid="7" name="MediaServiceImageTags">
    <vt:lpwstr/>
  </property>
  <property fmtid="{D5CDD505-2E9C-101B-9397-08002B2CF9AE}" pid="8" name="gba66df640194346a5267c50f24d4797">
    <vt:lpwstr/>
  </property>
  <property fmtid="{D5CDD505-2E9C-101B-9397-08002B2CF9AE}" pid="9" name="Office of Origin">
    <vt:lpwstr/>
  </property>
</Properties>
</file>