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BE5C" w14:textId="20F30930" w:rsidR="00BF1242" w:rsidRPr="0005145D" w:rsidRDefault="0006784B" w:rsidP="00B8730B">
      <w:pPr>
        <w:tabs>
          <w:tab w:val="right" w:pos="9639"/>
        </w:tabs>
        <w:spacing w:after="0"/>
        <w:rPr>
          <w:rFonts w:ascii="Times New Roman" w:hAnsi="Times New Roman" w:cs="Times New Roman"/>
          <w:b/>
          <w:bCs/>
        </w:rPr>
      </w:pPr>
      <w:r w:rsidRPr="0005145D">
        <w:rPr>
          <w:rFonts w:ascii="Times New Roman" w:hAnsi="Times New Roman" w:cs="Times New Roman"/>
        </w:rPr>
        <w:t>Transmitted by the Chair of IWG MU</w:t>
      </w:r>
      <w:r w:rsidR="00B8730B">
        <w:rPr>
          <w:rFonts w:ascii="Times New Roman" w:hAnsi="Times New Roman" w:cs="Times New Roman"/>
        </w:rPr>
        <w:tab/>
      </w:r>
      <w:r w:rsidRPr="0005145D">
        <w:rPr>
          <w:rFonts w:ascii="Times New Roman" w:hAnsi="Times New Roman" w:cs="Times New Roman"/>
        </w:rPr>
        <w:t xml:space="preserve">Informal </w:t>
      </w:r>
      <w:r w:rsidR="001C7D1E" w:rsidRPr="0005145D">
        <w:rPr>
          <w:rFonts w:ascii="Times New Roman" w:hAnsi="Times New Roman" w:cs="Times New Roman"/>
        </w:rPr>
        <w:t>d</w:t>
      </w:r>
      <w:r w:rsidRPr="0005145D">
        <w:rPr>
          <w:rFonts w:ascii="Times New Roman" w:hAnsi="Times New Roman" w:cs="Times New Roman"/>
        </w:rPr>
        <w:t xml:space="preserve">ocument </w:t>
      </w:r>
      <w:r w:rsidRPr="0005145D">
        <w:rPr>
          <w:rFonts w:ascii="Times New Roman" w:hAnsi="Times New Roman" w:cs="Times New Roman"/>
          <w:b/>
          <w:bCs/>
        </w:rPr>
        <w:t>GRBP-7</w:t>
      </w:r>
      <w:r w:rsidR="00252DBA" w:rsidRPr="0005145D">
        <w:rPr>
          <w:rFonts w:ascii="Times New Roman" w:hAnsi="Times New Roman" w:cs="Times New Roman"/>
          <w:b/>
          <w:bCs/>
        </w:rPr>
        <w:t>7</w:t>
      </w:r>
      <w:r w:rsidRPr="0005145D">
        <w:rPr>
          <w:rFonts w:ascii="Times New Roman" w:hAnsi="Times New Roman" w:cs="Times New Roman"/>
          <w:b/>
          <w:bCs/>
        </w:rPr>
        <w:t>-</w:t>
      </w:r>
      <w:r w:rsidR="00843CA4">
        <w:rPr>
          <w:rFonts w:ascii="Times New Roman" w:hAnsi="Times New Roman" w:cs="Times New Roman"/>
          <w:b/>
          <w:bCs/>
        </w:rPr>
        <w:t>08</w:t>
      </w:r>
    </w:p>
    <w:p w14:paraId="28D2DF43" w14:textId="53736189" w:rsidR="0006784B" w:rsidRPr="0005145D" w:rsidRDefault="00B8730B" w:rsidP="00B8730B">
      <w:pPr>
        <w:tabs>
          <w:tab w:val="right" w:pos="9639"/>
        </w:tabs>
        <w:spacing w:after="0"/>
        <w:rPr>
          <w:rFonts w:ascii="Times New Roman" w:hAnsi="Times New Roman" w:cs="Times New Roman"/>
        </w:rPr>
      </w:pPr>
      <w:r>
        <w:rPr>
          <w:rFonts w:ascii="Times New Roman" w:hAnsi="Times New Roman" w:cs="Times New Roman"/>
        </w:rPr>
        <w:tab/>
      </w:r>
      <w:r w:rsidR="0006784B" w:rsidRPr="0005145D">
        <w:rPr>
          <w:rFonts w:ascii="Times New Roman" w:hAnsi="Times New Roman" w:cs="Times New Roman"/>
        </w:rPr>
        <w:t>7</w:t>
      </w:r>
      <w:r w:rsidR="00252DBA" w:rsidRPr="0005145D">
        <w:rPr>
          <w:rFonts w:ascii="Times New Roman" w:hAnsi="Times New Roman" w:cs="Times New Roman"/>
        </w:rPr>
        <w:t>7</w:t>
      </w:r>
      <w:r w:rsidR="0006784B" w:rsidRPr="0005145D">
        <w:rPr>
          <w:rFonts w:ascii="Times New Roman" w:hAnsi="Times New Roman" w:cs="Times New Roman"/>
          <w:vertAlign w:val="superscript"/>
        </w:rPr>
        <w:t>th</w:t>
      </w:r>
      <w:r w:rsidR="0006784B" w:rsidRPr="0005145D">
        <w:rPr>
          <w:rFonts w:ascii="Times New Roman" w:hAnsi="Times New Roman" w:cs="Times New Roman"/>
        </w:rPr>
        <w:t xml:space="preserve"> GRBP,</w:t>
      </w:r>
      <w:r w:rsidR="00E8257B" w:rsidRPr="0005145D">
        <w:rPr>
          <w:rFonts w:ascii="Times New Roman" w:hAnsi="Times New Roman" w:cs="Times New Roman"/>
        </w:rPr>
        <w:t xml:space="preserve"> 7</w:t>
      </w:r>
      <w:r w:rsidR="0006784B" w:rsidRPr="0005145D">
        <w:rPr>
          <w:rFonts w:ascii="Times New Roman" w:hAnsi="Times New Roman" w:cs="Times New Roman"/>
        </w:rPr>
        <w:t>-</w:t>
      </w:r>
      <w:r w:rsidR="00E8257B" w:rsidRPr="0005145D">
        <w:rPr>
          <w:rFonts w:ascii="Times New Roman" w:hAnsi="Times New Roman" w:cs="Times New Roman"/>
        </w:rPr>
        <w:t>10</w:t>
      </w:r>
      <w:r w:rsidR="0006784B" w:rsidRPr="0005145D">
        <w:rPr>
          <w:rFonts w:ascii="Times New Roman" w:hAnsi="Times New Roman" w:cs="Times New Roman"/>
        </w:rPr>
        <w:t xml:space="preserve"> </w:t>
      </w:r>
      <w:r w:rsidR="00E8257B" w:rsidRPr="0005145D">
        <w:rPr>
          <w:rFonts w:ascii="Times New Roman" w:hAnsi="Times New Roman" w:cs="Times New Roman"/>
        </w:rPr>
        <w:t>February</w:t>
      </w:r>
      <w:r w:rsidR="0006784B" w:rsidRPr="0005145D">
        <w:rPr>
          <w:rFonts w:ascii="Times New Roman" w:hAnsi="Times New Roman" w:cs="Times New Roman"/>
        </w:rPr>
        <w:t xml:space="preserve"> 202</w:t>
      </w:r>
      <w:r w:rsidR="00E8257B" w:rsidRPr="0005145D">
        <w:rPr>
          <w:rFonts w:ascii="Times New Roman" w:hAnsi="Times New Roman" w:cs="Times New Roman"/>
        </w:rPr>
        <w:t>3</w:t>
      </w:r>
    </w:p>
    <w:p w14:paraId="430CD4CE" w14:textId="0C71A0DC" w:rsidR="0006784B" w:rsidRPr="0005145D" w:rsidRDefault="00B8730B" w:rsidP="00B8730B">
      <w:pPr>
        <w:tabs>
          <w:tab w:val="right" w:pos="9639"/>
        </w:tabs>
        <w:spacing w:after="0"/>
        <w:rPr>
          <w:rFonts w:ascii="Times New Roman" w:hAnsi="Times New Roman" w:cs="Times New Roman"/>
        </w:rPr>
      </w:pPr>
      <w:r>
        <w:rPr>
          <w:rFonts w:ascii="Times New Roman" w:hAnsi="Times New Roman" w:cs="Times New Roman"/>
        </w:rPr>
        <w:tab/>
      </w:r>
      <w:r w:rsidR="0006784B" w:rsidRPr="0005145D">
        <w:rPr>
          <w:rFonts w:ascii="Times New Roman" w:hAnsi="Times New Roman" w:cs="Times New Roman"/>
        </w:rPr>
        <w:t xml:space="preserve">Agenda item </w:t>
      </w:r>
      <w:r w:rsidR="005C3E35" w:rsidRPr="0005145D">
        <w:rPr>
          <w:rFonts w:ascii="Times New Roman" w:hAnsi="Times New Roman" w:cs="Times New Roman"/>
        </w:rPr>
        <w:t>3</w:t>
      </w:r>
    </w:p>
    <w:p w14:paraId="4D5A1317" w14:textId="139B3106" w:rsidR="0006784B" w:rsidRPr="0005145D" w:rsidRDefault="0006784B">
      <w:pPr>
        <w:rPr>
          <w:rFonts w:ascii="Times New Roman" w:hAnsi="Times New Roman" w:cs="Times New Roman"/>
        </w:rPr>
      </w:pPr>
    </w:p>
    <w:p w14:paraId="43B47A96" w14:textId="7DCFAA4D" w:rsidR="0006784B" w:rsidRPr="0005145D" w:rsidRDefault="0006784B">
      <w:pPr>
        <w:rPr>
          <w:rFonts w:ascii="Times New Roman" w:hAnsi="Times New Roman" w:cs="Times New Roman"/>
        </w:rPr>
      </w:pPr>
    </w:p>
    <w:p w14:paraId="6FD6F693" w14:textId="3D989707" w:rsidR="000B4D8C" w:rsidRPr="0005145D" w:rsidRDefault="000B4D8C" w:rsidP="002B7560">
      <w:pPr>
        <w:keepNext/>
        <w:keepLines/>
        <w:tabs>
          <w:tab w:val="right" w:pos="1134"/>
        </w:tabs>
        <w:spacing w:before="360" w:after="240" w:line="300" w:lineRule="exact"/>
        <w:ind w:left="1134" w:right="1135"/>
        <w:rPr>
          <w:rFonts w:ascii="Times New Roman" w:hAnsi="Times New Roman" w:cs="Times New Roman"/>
          <w:b/>
          <w:sz w:val="28"/>
        </w:rPr>
      </w:pPr>
      <w:r w:rsidRPr="0005145D">
        <w:rPr>
          <w:rFonts w:ascii="Times New Roman" w:hAnsi="Times New Roman" w:cs="Times New Roman"/>
          <w:b/>
          <w:sz w:val="28"/>
        </w:rPr>
        <w:t xml:space="preserve">Proposal for a </w:t>
      </w:r>
      <w:r w:rsidR="008A4548">
        <w:rPr>
          <w:rFonts w:ascii="Times New Roman" w:hAnsi="Times New Roman" w:cs="Times New Roman"/>
          <w:b/>
          <w:sz w:val="28"/>
        </w:rPr>
        <w:t>Revision 2</w:t>
      </w:r>
      <w:r w:rsidR="00CC18AD" w:rsidRPr="0005145D">
        <w:rPr>
          <w:rFonts w:ascii="Times New Roman" w:hAnsi="Times New Roman" w:cs="Times New Roman"/>
          <w:b/>
          <w:sz w:val="28"/>
        </w:rPr>
        <w:t xml:space="preserve"> </w:t>
      </w:r>
      <w:r w:rsidRPr="0005145D">
        <w:rPr>
          <w:rFonts w:ascii="Times New Roman" w:hAnsi="Times New Roman" w:cs="Times New Roman"/>
          <w:b/>
          <w:sz w:val="28"/>
        </w:rPr>
        <w:t xml:space="preserve">to the Document for Reference: </w:t>
      </w:r>
      <w:r w:rsidRPr="0005145D">
        <w:rPr>
          <w:rFonts w:ascii="Times New Roman" w:hAnsi="Times New Roman" w:cs="Times New Roman"/>
          <w:b/>
          <w:sz w:val="28"/>
        </w:rPr>
        <w:br/>
        <w:t>A general approach how to handle measurement uncertainty</w:t>
      </w:r>
      <w:r w:rsidRPr="0005145D">
        <w:rPr>
          <w:rFonts w:ascii="Times New Roman" w:hAnsi="Times New Roman" w:cs="Times New Roman"/>
          <w:b/>
          <w:sz w:val="28"/>
        </w:rPr>
        <w:br/>
        <w:t>(</w:t>
      </w:r>
      <w:r w:rsidR="00241EF9" w:rsidRPr="0005145D">
        <w:rPr>
          <w:rFonts w:ascii="Times New Roman" w:hAnsi="Times New Roman" w:cs="Times New Roman"/>
          <w:b/>
          <w:sz w:val="28"/>
        </w:rPr>
        <w:t>ECE/TRANS/WP.29/GRBP/2022/9/Rev.1</w:t>
      </w:r>
      <w:r w:rsidRPr="0005145D">
        <w:rPr>
          <w:rFonts w:ascii="Times New Roman" w:hAnsi="Times New Roman" w:cs="Times New Roman"/>
          <w:b/>
          <w:sz w:val="28"/>
        </w:rPr>
        <w:t>)</w:t>
      </w:r>
    </w:p>
    <w:p w14:paraId="7BF8ECFC" w14:textId="51AFEA97" w:rsidR="00827FDE" w:rsidRPr="0005145D" w:rsidRDefault="00827FDE" w:rsidP="002B7560">
      <w:pPr>
        <w:keepNext/>
        <w:keepLines/>
        <w:tabs>
          <w:tab w:val="right" w:pos="1134"/>
        </w:tabs>
        <w:spacing w:before="360" w:after="240" w:line="300" w:lineRule="exact"/>
        <w:ind w:left="1134" w:right="1135"/>
        <w:rPr>
          <w:rFonts w:ascii="Times New Roman" w:hAnsi="Times New Roman" w:cs="Times New Roman"/>
          <w:b/>
          <w:sz w:val="24"/>
          <w:szCs w:val="24"/>
        </w:rPr>
      </w:pPr>
      <w:r w:rsidRPr="0005145D">
        <w:rPr>
          <w:rFonts w:ascii="Times New Roman" w:eastAsia="Times New Roman" w:hAnsi="Times New Roman" w:cs="Times New Roman"/>
          <w:b/>
          <w:sz w:val="24"/>
          <w:szCs w:val="20"/>
        </w:rPr>
        <w:t>Submitted by the Informal Working Group on Measurement Uncertainties</w:t>
      </w:r>
      <w:r w:rsidRPr="0005145D">
        <w:rPr>
          <w:rFonts w:ascii="Times New Roman" w:eastAsia="Times New Roman" w:hAnsi="Times New Roman" w:cs="Times New Roman"/>
          <w:b/>
          <w:sz w:val="24"/>
          <w:szCs w:val="20"/>
        </w:rPr>
        <w:footnoteReference w:customMarkFollows="1" w:id="1"/>
        <w:t>*</w:t>
      </w:r>
    </w:p>
    <w:p w14:paraId="24BE6754" w14:textId="32B6EF29" w:rsidR="000B4D8C" w:rsidRPr="0005145D" w:rsidRDefault="000B4D8C" w:rsidP="00C74C45">
      <w:pPr>
        <w:pStyle w:val="Default"/>
        <w:ind w:left="1134" w:right="1135"/>
        <w:jc w:val="both"/>
        <w:rPr>
          <w:sz w:val="20"/>
          <w:szCs w:val="20"/>
          <w:lang w:val="en-US"/>
        </w:rPr>
      </w:pPr>
      <w:r w:rsidRPr="0005145D">
        <w:rPr>
          <w:sz w:val="20"/>
          <w:szCs w:val="20"/>
          <w:lang w:val="en-US"/>
        </w:rPr>
        <w:t xml:space="preserve">The text below has been prepared by the Chair of the Informal Working </w:t>
      </w:r>
      <w:r w:rsidR="007522CE" w:rsidRPr="0005145D">
        <w:rPr>
          <w:sz w:val="20"/>
          <w:szCs w:val="20"/>
          <w:lang w:val="en-US"/>
        </w:rPr>
        <w:t xml:space="preserve">Group </w:t>
      </w:r>
      <w:r w:rsidRPr="0005145D">
        <w:rPr>
          <w:sz w:val="20"/>
          <w:szCs w:val="20"/>
          <w:lang w:val="en-US"/>
        </w:rPr>
        <w:t>on Measurement Uncertainties (IW</w:t>
      </w:r>
      <w:r w:rsidR="00E8257B" w:rsidRPr="0005145D">
        <w:rPr>
          <w:sz w:val="20"/>
          <w:szCs w:val="20"/>
          <w:lang w:val="en-US"/>
        </w:rPr>
        <w:t>G</w:t>
      </w:r>
      <w:r w:rsidRPr="0005145D">
        <w:rPr>
          <w:sz w:val="20"/>
          <w:szCs w:val="20"/>
          <w:lang w:val="en-US"/>
        </w:rPr>
        <w:t xml:space="preserve"> MU) </w:t>
      </w:r>
      <w:r w:rsidR="0033795D" w:rsidRPr="0005145D">
        <w:rPr>
          <w:sz w:val="20"/>
          <w:szCs w:val="20"/>
          <w:lang w:val="en-US"/>
        </w:rPr>
        <w:t>to</w:t>
      </w:r>
      <w:r w:rsidRPr="0005145D">
        <w:rPr>
          <w:sz w:val="20"/>
          <w:szCs w:val="20"/>
          <w:lang w:val="en-US"/>
        </w:rPr>
        <w:t xml:space="preserve"> introduce a general guideline. The modifications to the existing text </w:t>
      </w:r>
      <w:r w:rsidR="00CE28DE" w:rsidRPr="0005145D">
        <w:rPr>
          <w:sz w:val="20"/>
          <w:szCs w:val="20"/>
          <w:lang w:val="en-US"/>
        </w:rPr>
        <w:t xml:space="preserve">of the </w:t>
      </w:r>
      <w:r w:rsidR="00633ED4" w:rsidRPr="0005145D">
        <w:rPr>
          <w:sz w:val="20"/>
          <w:szCs w:val="20"/>
          <w:lang w:val="en-US"/>
        </w:rPr>
        <w:t>Document for Reference</w:t>
      </w:r>
      <w:r w:rsidR="00CE28DE" w:rsidRPr="0005145D">
        <w:rPr>
          <w:sz w:val="20"/>
          <w:szCs w:val="20"/>
          <w:lang w:val="en-US"/>
        </w:rPr>
        <w:t xml:space="preserve"> are marked in </w:t>
      </w:r>
      <w:r w:rsidR="00CE28DE" w:rsidRPr="0005145D">
        <w:rPr>
          <w:b/>
          <w:bCs/>
          <w:sz w:val="20"/>
          <w:szCs w:val="20"/>
          <w:lang w:val="en-US"/>
        </w:rPr>
        <w:t>bold</w:t>
      </w:r>
      <w:r w:rsidR="00CE28DE" w:rsidRPr="0005145D">
        <w:rPr>
          <w:sz w:val="20"/>
          <w:szCs w:val="20"/>
          <w:lang w:val="en-US"/>
        </w:rPr>
        <w:t xml:space="preserve"> for new or</w:t>
      </w:r>
      <w:r w:rsidRPr="0005145D">
        <w:rPr>
          <w:sz w:val="20"/>
          <w:szCs w:val="20"/>
          <w:lang w:val="en-US"/>
        </w:rPr>
        <w:t xml:space="preserve"> </w:t>
      </w:r>
      <w:r w:rsidRPr="0005145D">
        <w:rPr>
          <w:strike/>
          <w:sz w:val="20"/>
          <w:szCs w:val="20"/>
          <w:lang w:val="en-US"/>
        </w:rPr>
        <w:t>strikethrough</w:t>
      </w:r>
      <w:r w:rsidRPr="0005145D">
        <w:rPr>
          <w:sz w:val="20"/>
          <w:szCs w:val="20"/>
          <w:lang w:val="en-US"/>
        </w:rPr>
        <w:t xml:space="preserve"> for deleted characters. </w:t>
      </w:r>
    </w:p>
    <w:p w14:paraId="22C535B3" w14:textId="27359A30" w:rsidR="006C6721" w:rsidRPr="0005145D" w:rsidRDefault="006C6721">
      <w:pPr>
        <w:rPr>
          <w:rFonts w:ascii="Times New Roman" w:hAnsi="Times New Roman" w:cs="Times New Roman"/>
        </w:rPr>
      </w:pPr>
      <w:r w:rsidRPr="0005145D">
        <w:rPr>
          <w:rFonts w:ascii="Times New Roman" w:hAnsi="Times New Roman" w:cs="Times New Roman"/>
        </w:rPr>
        <w:br w:type="page"/>
      </w:r>
    </w:p>
    <w:p w14:paraId="62A006D5" w14:textId="77777777" w:rsidR="000B4D8C" w:rsidRPr="0005145D" w:rsidRDefault="000B4D8C" w:rsidP="00771FCC">
      <w:pPr>
        <w:keepNext/>
        <w:keepLines/>
        <w:numPr>
          <w:ilvl w:val="0"/>
          <w:numId w:val="1"/>
        </w:numPr>
        <w:tabs>
          <w:tab w:val="right" w:pos="1560"/>
        </w:tabs>
        <w:suppressAutoHyphens/>
        <w:spacing w:before="360" w:after="240" w:line="300" w:lineRule="exact"/>
        <w:ind w:left="1134" w:right="1134"/>
        <w:rPr>
          <w:rFonts w:ascii="Times New Roman" w:hAnsi="Times New Roman" w:cs="Times New Roman"/>
          <w:b/>
          <w:bCs/>
          <w:sz w:val="28"/>
          <w:szCs w:val="28"/>
        </w:rPr>
      </w:pPr>
      <w:r w:rsidRPr="0005145D">
        <w:rPr>
          <w:rFonts w:ascii="Times New Roman" w:hAnsi="Times New Roman" w:cs="Times New Roman"/>
          <w:b/>
          <w:bCs/>
          <w:sz w:val="28"/>
          <w:szCs w:val="28"/>
        </w:rPr>
        <w:lastRenderedPageBreak/>
        <w:t>Proposal</w:t>
      </w:r>
    </w:p>
    <w:p w14:paraId="51DB5932" w14:textId="02AFBDEF" w:rsidR="00484028" w:rsidRPr="0005145D" w:rsidRDefault="00484028" w:rsidP="00A66D46">
      <w:pPr>
        <w:ind w:left="1134"/>
        <w:rPr>
          <w:rFonts w:ascii="Times New Roman" w:hAnsi="Times New Roman" w:cs="Times New Roman"/>
          <w:i/>
          <w:iCs/>
          <w:sz w:val="20"/>
          <w:szCs w:val="20"/>
        </w:rPr>
      </w:pPr>
      <w:r w:rsidRPr="0005145D">
        <w:rPr>
          <w:rFonts w:ascii="Times New Roman" w:hAnsi="Times New Roman" w:cs="Times New Roman"/>
          <w:i/>
          <w:iCs/>
          <w:sz w:val="20"/>
          <w:szCs w:val="20"/>
        </w:rPr>
        <w:t>Paragraph 1</w:t>
      </w:r>
      <w:r w:rsidR="0009050B" w:rsidRPr="0005145D">
        <w:rPr>
          <w:rFonts w:ascii="Times New Roman" w:hAnsi="Times New Roman" w:cs="Times New Roman"/>
          <w:sz w:val="20"/>
          <w:szCs w:val="20"/>
        </w:rPr>
        <w:t>,</w:t>
      </w:r>
      <w:r w:rsidRPr="0005145D">
        <w:rPr>
          <w:rFonts w:ascii="Times New Roman" w:hAnsi="Times New Roman" w:cs="Times New Roman"/>
          <w:sz w:val="20"/>
          <w:szCs w:val="20"/>
        </w:rPr>
        <w:t xml:space="preserve"> </w:t>
      </w:r>
      <w:r w:rsidR="0009050B" w:rsidRPr="0005145D">
        <w:rPr>
          <w:rFonts w:ascii="Times New Roman" w:hAnsi="Times New Roman" w:cs="Times New Roman"/>
          <w:sz w:val="20"/>
          <w:szCs w:val="20"/>
        </w:rPr>
        <w:t>a</w:t>
      </w:r>
      <w:r w:rsidRPr="0005145D">
        <w:rPr>
          <w:rFonts w:ascii="Times New Roman" w:hAnsi="Times New Roman" w:cs="Times New Roman"/>
          <w:sz w:val="20"/>
          <w:szCs w:val="20"/>
        </w:rPr>
        <w:t>mend to read:</w:t>
      </w:r>
    </w:p>
    <w:p w14:paraId="3E33DDAF" w14:textId="48BD2349" w:rsidR="00B5104C" w:rsidRPr="00322E03" w:rsidRDefault="00484028" w:rsidP="00B5104C">
      <w:pPr>
        <w:keepLines/>
        <w:spacing w:after="120"/>
        <w:ind w:left="1134"/>
        <w:jc w:val="both"/>
        <w:rPr>
          <w:rFonts w:ascii="Times New Roman" w:hAnsi="Times New Roman" w:cs="Times New Roman"/>
          <w:bCs/>
          <w:sz w:val="20"/>
          <w:szCs w:val="20"/>
          <w:lang w:val="fr-FR"/>
        </w:rPr>
      </w:pPr>
      <w:r w:rsidRPr="00322E03">
        <w:rPr>
          <w:rFonts w:ascii="Times New Roman" w:hAnsi="Times New Roman" w:cs="Times New Roman"/>
          <w:bCs/>
          <w:sz w:val="20"/>
          <w:szCs w:val="20"/>
          <w:lang w:val="fr-FR"/>
        </w:rPr>
        <w:t xml:space="preserve"> </w:t>
      </w:r>
      <w:r w:rsidR="000A2D4C" w:rsidRPr="00322E03">
        <w:rPr>
          <w:rFonts w:ascii="Times New Roman" w:hAnsi="Times New Roman" w:cs="Times New Roman"/>
          <w:bCs/>
          <w:sz w:val="20"/>
          <w:szCs w:val="20"/>
          <w:lang w:val="fr-FR"/>
        </w:rPr>
        <w:t>“…</w:t>
      </w:r>
      <w:proofErr w:type="spellStart"/>
      <w:r w:rsidRPr="00322E03">
        <w:rPr>
          <w:rFonts w:ascii="Times New Roman" w:hAnsi="Times New Roman" w:cs="Times New Roman"/>
          <w:bCs/>
          <w:sz w:val="20"/>
          <w:szCs w:val="20"/>
          <w:lang w:val="fr-FR"/>
        </w:rPr>
        <w:t>European</w:t>
      </w:r>
      <w:proofErr w:type="spellEnd"/>
      <w:r w:rsidRPr="00322E03">
        <w:rPr>
          <w:rFonts w:ascii="Times New Roman" w:hAnsi="Times New Roman" w:cs="Times New Roman"/>
          <w:bCs/>
          <w:sz w:val="20"/>
          <w:szCs w:val="20"/>
          <w:lang w:val="fr-FR"/>
        </w:rPr>
        <w:t xml:space="preserve"> Union (EU) </w:t>
      </w:r>
      <w:proofErr w:type="spellStart"/>
      <w:r w:rsidRPr="00322E03">
        <w:rPr>
          <w:rFonts w:ascii="Times New Roman" w:hAnsi="Times New Roman" w:cs="Times New Roman"/>
          <w:bCs/>
          <w:sz w:val="20"/>
          <w:szCs w:val="20"/>
          <w:lang w:val="fr-FR"/>
        </w:rPr>
        <w:t>Regulation</w:t>
      </w:r>
      <w:proofErr w:type="spellEnd"/>
      <w:r w:rsidRPr="00322E03">
        <w:rPr>
          <w:rFonts w:ascii="Times New Roman" w:hAnsi="Times New Roman" w:cs="Times New Roman"/>
          <w:bCs/>
          <w:sz w:val="20"/>
          <w:szCs w:val="20"/>
          <w:lang w:val="fr-FR"/>
        </w:rPr>
        <w:t xml:space="preserve"> 2018/</w:t>
      </w:r>
      <w:proofErr w:type="gramStart"/>
      <w:r w:rsidRPr="00322E03">
        <w:rPr>
          <w:rFonts w:ascii="Times New Roman" w:hAnsi="Times New Roman" w:cs="Times New Roman"/>
          <w:bCs/>
          <w:sz w:val="20"/>
          <w:szCs w:val="20"/>
          <w:lang w:val="fr-FR"/>
        </w:rPr>
        <w:t>858</w:t>
      </w:r>
      <w:r w:rsidRPr="00322E03">
        <w:rPr>
          <w:rFonts w:ascii="Times New Roman" w:hAnsi="Times New Roman" w:cs="Times New Roman"/>
          <w:bCs/>
          <w:strike/>
          <w:sz w:val="20"/>
          <w:szCs w:val="20"/>
          <w:lang w:val="fr-FR"/>
        </w:rPr>
        <w:t>1</w:t>
      </w:r>
      <w:r w:rsidRPr="00322E03">
        <w:rPr>
          <w:rFonts w:ascii="Times New Roman" w:hAnsi="Times New Roman" w:cs="Times New Roman"/>
          <w:bCs/>
          <w:sz w:val="20"/>
          <w:szCs w:val="20"/>
          <w:lang w:val="fr-FR"/>
        </w:rPr>
        <w:t xml:space="preserve">  (</w:t>
      </w:r>
      <w:proofErr w:type="spellStart"/>
      <w:proofErr w:type="gramEnd"/>
      <w:r w:rsidRPr="00322E03">
        <w:rPr>
          <w:rFonts w:ascii="Times New Roman" w:hAnsi="Times New Roman" w:cs="Times New Roman"/>
          <w:bCs/>
          <w:sz w:val="20"/>
          <w:szCs w:val="20"/>
          <w:lang w:val="fr-FR"/>
        </w:rPr>
        <w:t>Marke</w:t>
      </w:r>
      <w:r w:rsidRPr="00322E03">
        <w:rPr>
          <w:rFonts w:ascii="Times New Roman" w:hAnsi="Times New Roman" w:cs="Times New Roman"/>
          <w:bCs/>
          <w:strike/>
          <w:sz w:val="20"/>
          <w:szCs w:val="20"/>
          <w:lang w:val="fr-FR"/>
        </w:rPr>
        <w:t>d</w:t>
      </w:r>
      <w:r w:rsidR="007522CE" w:rsidRPr="00322E03">
        <w:rPr>
          <w:rFonts w:ascii="Times New Roman" w:hAnsi="Times New Roman" w:cs="Times New Roman"/>
          <w:b/>
          <w:sz w:val="20"/>
          <w:szCs w:val="20"/>
          <w:lang w:val="fr-FR"/>
        </w:rPr>
        <w:t>t</w:t>
      </w:r>
      <w:proofErr w:type="spellEnd"/>
      <w:r w:rsidRPr="00322E03">
        <w:rPr>
          <w:rFonts w:ascii="Times New Roman" w:hAnsi="Times New Roman" w:cs="Times New Roman"/>
          <w:bCs/>
          <w:sz w:val="20"/>
          <w:szCs w:val="20"/>
          <w:lang w:val="fr-FR"/>
        </w:rPr>
        <w:t xml:space="preserve"> Surveillance)</w:t>
      </w:r>
      <w:r w:rsidR="00B5104C" w:rsidRPr="00322E03">
        <w:rPr>
          <w:rFonts w:ascii="Times New Roman" w:hAnsi="Times New Roman" w:cs="Times New Roman"/>
          <w:bCs/>
          <w:sz w:val="20"/>
          <w:szCs w:val="20"/>
          <w:lang w:val="fr-FR"/>
        </w:rPr>
        <w:t xml:space="preserve"> …“</w:t>
      </w:r>
    </w:p>
    <w:p w14:paraId="0430C075" w14:textId="77777777" w:rsidR="008D0E28" w:rsidRPr="00322E03" w:rsidRDefault="008D0E28" w:rsidP="00B5104C">
      <w:pPr>
        <w:keepLines/>
        <w:spacing w:after="120"/>
        <w:ind w:left="1134"/>
        <w:jc w:val="both"/>
        <w:rPr>
          <w:rFonts w:ascii="Times New Roman" w:hAnsi="Times New Roman" w:cs="Times New Roman"/>
          <w:i/>
          <w:iCs/>
          <w:sz w:val="20"/>
          <w:szCs w:val="20"/>
          <w:lang w:val="fr-FR"/>
        </w:rPr>
      </w:pPr>
    </w:p>
    <w:p w14:paraId="4DE8600F" w14:textId="46B0B586" w:rsidR="001C7D1E" w:rsidRPr="0005145D" w:rsidRDefault="009707AF" w:rsidP="00B5104C">
      <w:pPr>
        <w:keepLines/>
        <w:spacing w:after="120"/>
        <w:ind w:left="1134"/>
        <w:jc w:val="both"/>
        <w:rPr>
          <w:rFonts w:ascii="Times New Roman" w:hAnsi="Times New Roman" w:cs="Times New Roman"/>
          <w:i/>
          <w:iCs/>
          <w:sz w:val="20"/>
          <w:szCs w:val="20"/>
        </w:rPr>
      </w:pPr>
      <w:r w:rsidRPr="0005145D">
        <w:rPr>
          <w:rFonts w:ascii="Times New Roman" w:hAnsi="Times New Roman" w:cs="Times New Roman"/>
          <w:i/>
          <w:iCs/>
          <w:sz w:val="20"/>
          <w:szCs w:val="20"/>
        </w:rPr>
        <w:t>Paragraph 7</w:t>
      </w:r>
      <w:r w:rsidR="00754994" w:rsidRPr="0005145D">
        <w:rPr>
          <w:rFonts w:ascii="Times New Roman" w:hAnsi="Times New Roman" w:cs="Times New Roman"/>
          <w:i/>
          <w:iCs/>
          <w:sz w:val="20"/>
          <w:szCs w:val="20"/>
        </w:rPr>
        <w:t>,</w:t>
      </w:r>
      <w:r w:rsidR="00754994" w:rsidRPr="0005145D">
        <w:rPr>
          <w:rFonts w:ascii="Times New Roman" w:hAnsi="Times New Roman" w:cs="Times New Roman"/>
          <w:sz w:val="20"/>
          <w:szCs w:val="20"/>
        </w:rPr>
        <w:t xml:space="preserve"> a</w:t>
      </w:r>
      <w:r w:rsidR="007522CE" w:rsidRPr="0005145D">
        <w:rPr>
          <w:rFonts w:ascii="Times New Roman" w:hAnsi="Times New Roman" w:cs="Times New Roman"/>
          <w:sz w:val="20"/>
          <w:szCs w:val="20"/>
        </w:rPr>
        <w:t>mend to read:</w:t>
      </w:r>
    </w:p>
    <w:p w14:paraId="5F0121BE" w14:textId="2F40A592" w:rsidR="003F1F19" w:rsidRPr="0005145D" w:rsidRDefault="00754994" w:rsidP="003F1F19">
      <w:pPr>
        <w:keepLines/>
        <w:spacing w:after="120"/>
        <w:ind w:left="1134"/>
        <w:jc w:val="both"/>
        <w:rPr>
          <w:rFonts w:ascii="Times New Roman" w:hAnsi="Times New Roman" w:cs="Times New Roman"/>
          <w:b/>
          <w:sz w:val="20"/>
          <w:szCs w:val="20"/>
        </w:rPr>
      </w:pPr>
      <w:r w:rsidRPr="0005145D">
        <w:rPr>
          <w:rFonts w:ascii="Times New Roman" w:hAnsi="Times New Roman" w:cs="Times New Roman"/>
          <w:bCs/>
          <w:sz w:val="20"/>
          <w:szCs w:val="20"/>
        </w:rPr>
        <w:t>“</w:t>
      </w:r>
      <w:r w:rsidR="0005145D" w:rsidRPr="0005145D">
        <w:rPr>
          <w:rFonts w:ascii="Times New Roman" w:hAnsi="Times New Roman" w:cs="Times New Roman"/>
          <w:bCs/>
          <w:sz w:val="20"/>
          <w:szCs w:val="20"/>
        </w:rPr>
        <w:t>…</w:t>
      </w:r>
      <w:r w:rsidR="003F1F19" w:rsidRPr="0005145D">
        <w:rPr>
          <w:rFonts w:ascii="Times New Roman" w:hAnsi="Times New Roman" w:cs="Times New Roman"/>
          <w:bCs/>
          <w:sz w:val="20"/>
          <w:szCs w:val="20"/>
        </w:rPr>
        <w:t xml:space="preserve">In table 7.1 below, the impact of the different quantities on these indicators has been estimated for the Run-to-run, Day-to-day, Site-to-site and Vehicle-to-vehicle situations. </w:t>
      </w:r>
      <w:r w:rsidR="003F1F19" w:rsidRPr="0005145D">
        <w:rPr>
          <w:rFonts w:ascii="Times New Roman" w:hAnsi="Times New Roman" w:cs="Times New Roman"/>
          <w:b/>
          <w:sz w:val="20"/>
          <w:szCs w:val="20"/>
        </w:rPr>
        <w:t>This table is for M</w:t>
      </w:r>
      <w:r w:rsidR="003F1F19" w:rsidRPr="0005145D">
        <w:rPr>
          <w:rFonts w:ascii="Times New Roman" w:hAnsi="Times New Roman" w:cs="Times New Roman"/>
          <w:b/>
          <w:sz w:val="20"/>
          <w:szCs w:val="20"/>
          <w:vertAlign w:val="subscript"/>
        </w:rPr>
        <w:t>1</w:t>
      </w:r>
      <w:r w:rsidR="003F1F19" w:rsidRPr="0005145D">
        <w:rPr>
          <w:rFonts w:ascii="Times New Roman" w:hAnsi="Times New Roman" w:cs="Times New Roman"/>
          <w:b/>
          <w:sz w:val="20"/>
          <w:szCs w:val="20"/>
        </w:rPr>
        <w:t>, N</w:t>
      </w:r>
      <w:r w:rsidR="003F1F19" w:rsidRPr="0005145D">
        <w:rPr>
          <w:rFonts w:ascii="Times New Roman" w:hAnsi="Times New Roman" w:cs="Times New Roman"/>
          <w:b/>
          <w:sz w:val="20"/>
          <w:szCs w:val="20"/>
          <w:vertAlign w:val="subscript"/>
        </w:rPr>
        <w:t>1</w:t>
      </w:r>
      <w:r w:rsidR="003F1F19" w:rsidRPr="0005145D">
        <w:rPr>
          <w:rFonts w:ascii="Times New Roman" w:hAnsi="Times New Roman" w:cs="Times New Roman"/>
          <w:b/>
          <w:sz w:val="20"/>
          <w:szCs w:val="20"/>
        </w:rPr>
        <w:t xml:space="preserve"> and M</w:t>
      </w:r>
      <w:r w:rsidR="003F1F19" w:rsidRPr="0005145D">
        <w:rPr>
          <w:rFonts w:ascii="Times New Roman" w:hAnsi="Times New Roman" w:cs="Times New Roman"/>
          <w:b/>
          <w:sz w:val="20"/>
          <w:szCs w:val="20"/>
          <w:vertAlign w:val="subscript"/>
        </w:rPr>
        <w:t>2</w:t>
      </w:r>
      <w:r w:rsidR="003F1F19" w:rsidRPr="0005145D">
        <w:rPr>
          <w:rFonts w:ascii="Times New Roman" w:hAnsi="Times New Roman" w:cs="Times New Roman"/>
          <w:b/>
          <w:sz w:val="20"/>
          <w:szCs w:val="20"/>
        </w:rPr>
        <w:t xml:space="preserve"> vehicles less than 3500 kg. A similar table for M</w:t>
      </w:r>
      <w:r w:rsidR="003F1F19" w:rsidRPr="0005145D">
        <w:rPr>
          <w:rFonts w:ascii="Times New Roman" w:hAnsi="Times New Roman" w:cs="Times New Roman"/>
          <w:b/>
          <w:sz w:val="20"/>
          <w:szCs w:val="20"/>
          <w:vertAlign w:val="subscript"/>
        </w:rPr>
        <w:t>2</w:t>
      </w:r>
      <w:r w:rsidR="003F1F19" w:rsidRPr="0005145D">
        <w:rPr>
          <w:rFonts w:ascii="Times New Roman" w:hAnsi="Times New Roman" w:cs="Times New Roman"/>
          <w:b/>
          <w:sz w:val="20"/>
          <w:szCs w:val="20"/>
        </w:rPr>
        <w:t xml:space="preserve"> more than 3500 kg, N</w:t>
      </w:r>
      <w:r w:rsidR="003F1F19" w:rsidRPr="0005145D">
        <w:rPr>
          <w:rFonts w:ascii="Times New Roman" w:hAnsi="Times New Roman" w:cs="Times New Roman"/>
          <w:b/>
          <w:sz w:val="20"/>
          <w:szCs w:val="20"/>
          <w:vertAlign w:val="subscript"/>
        </w:rPr>
        <w:t>2</w:t>
      </w:r>
      <w:r w:rsidR="003F1F19" w:rsidRPr="0005145D">
        <w:rPr>
          <w:rFonts w:ascii="Times New Roman" w:hAnsi="Times New Roman" w:cs="Times New Roman"/>
          <w:b/>
          <w:sz w:val="20"/>
          <w:szCs w:val="20"/>
        </w:rPr>
        <w:t>, M</w:t>
      </w:r>
      <w:r w:rsidR="003F1F19" w:rsidRPr="0005145D">
        <w:rPr>
          <w:rFonts w:ascii="Times New Roman" w:hAnsi="Times New Roman" w:cs="Times New Roman"/>
          <w:b/>
          <w:sz w:val="20"/>
          <w:szCs w:val="20"/>
          <w:vertAlign w:val="subscript"/>
        </w:rPr>
        <w:t>3</w:t>
      </w:r>
      <w:r w:rsidR="003F1F19" w:rsidRPr="0005145D">
        <w:rPr>
          <w:rFonts w:ascii="Times New Roman" w:hAnsi="Times New Roman" w:cs="Times New Roman"/>
          <w:b/>
          <w:sz w:val="20"/>
          <w:szCs w:val="20"/>
        </w:rPr>
        <w:t xml:space="preserve"> and N</w:t>
      </w:r>
      <w:r w:rsidR="003F1F19" w:rsidRPr="0005145D">
        <w:rPr>
          <w:rFonts w:ascii="Times New Roman" w:hAnsi="Times New Roman" w:cs="Times New Roman"/>
          <w:b/>
          <w:sz w:val="20"/>
          <w:szCs w:val="20"/>
          <w:vertAlign w:val="subscript"/>
        </w:rPr>
        <w:t>3</w:t>
      </w:r>
      <w:r w:rsidR="003F1F19" w:rsidRPr="0005145D">
        <w:rPr>
          <w:rFonts w:ascii="Times New Roman" w:hAnsi="Times New Roman" w:cs="Times New Roman"/>
          <w:b/>
          <w:sz w:val="20"/>
          <w:szCs w:val="20"/>
        </w:rPr>
        <w:t xml:space="preserve"> vehicles is shown in table 7.2 </w:t>
      </w:r>
    </w:p>
    <w:p w14:paraId="56FF759E" w14:textId="066CC77B" w:rsidR="003F1F19" w:rsidRPr="0005145D" w:rsidRDefault="00C4333E" w:rsidP="003F1F19">
      <w:pPr>
        <w:keepLines/>
        <w:spacing w:after="120"/>
        <w:ind w:left="1134"/>
        <w:jc w:val="both"/>
        <w:rPr>
          <w:rFonts w:ascii="Times New Roman" w:hAnsi="Times New Roman" w:cs="Times New Roman"/>
          <w:bCs/>
          <w:sz w:val="20"/>
          <w:szCs w:val="20"/>
        </w:rPr>
      </w:pPr>
      <w:r w:rsidRPr="0005145D">
        <w:rPr>
          <w:rFonts w:ascii="Times New Roman" w:hAnsi="Times New Roman" w:cs="Times New Roman"/>
          <w:bCs/>
          <w:sz w:val="20"/>
          <w:szCs w:val="20"/>
        </w:rPr>
        <w:t xml:space="preserve">Some of the different impacts are based on calculations from tolerances in the regulations, while others are based on experiences. Based on the probability distribution, the variance and the standard deviation is calculated. </w:t>
      </w:r>
      <w:r w:rsidR="00020C2D" w:rsidRPr="0005145D">
        <w:rPr>
          <w:rFonts w:ascii="Times New Roman" w:hAnsi="Times New Roman" w:cs="Times New Roman"/>
          <w:bCs/>
          <w:sz w:val="20"/>
          <w:szCs w:val="20"/>
        </w:rPr>
        <w:t xml:space="preserve">For each of the quantities, their contribution (in %) has been calculated and </w:t>
      </w:r>
      <w:r w:rsidR="00020C2D" w:rsidRPr="0005145D">
        <w:rPr>
          <w:rFonts w:ascii="Times New Roman" w:hAnsi="Times New Roman" w:cs="Times New Roman"/>
          <w:bCs/>
          <w:strike/>
          <w:sz w:val="20"/>
          <w:szCs w:val="20"/>
        </w:rPr>
        <w:t xml:space="preserve">the </w:t>
      </w:r>
      <w:proofErr w:type="spellStart"/>
      <w:r w:rsidR="00020C2D" w:rsidRPr="0005145D">
        <w:rPr>
          <w:rFonts w:ascii="Times New Roman" w:hAnsi="Times New Roman" w:cs="Times New Roman"/>
          <w:bCs/>
          <w:strike/>
          <w:sz w:val="20"/>
          <w:szCs w:val="20"/>
        </w:rPr>
        <w:t>colour</w:t>
      </w:r>
      <w:proofErr w:type="spellEnd"/>
      <w:r w:rsidR="00020C2D" w:rsidRPr="0005145D">
        <w:rPr>
          <w:rFonts w:ascii="Times New Roman" w:hAnsi="Times New Roman" w:cs="Times New Roman"/>
          <w:bCs/>
          <w:strike/>
          <w:sz w:val="20"/>
          <w:szCs w:val="20"/>
        </w:rPr>
        <w:t xml:space="preserve"> scheme</w:t>
      </w:r>
      <w:r w:rsidR="00020C2D" w:rsidRPr="0005145D">
        <w:rPr>
          <w:rFonts w:ascii="Times New Roman" w:hAnsi="Times New Roman" w:cs="Times New Roman"/>
          <w:bCs/>
          <w:sz w:val="20"/>
          <w:szCs w:val="20"/>
        </w:rPr>
        <w:t xml:space="preserve"> makes it easy to understand the influence of the quantity to the total uncertainty.</w:t>
      </w:r>
      <w:r w:rsidR="00EE32BB" w:rsidRPr="0005145D">
        <w:rPr>
          <w:rFonts w:ascii="Times New Roman" w:hAnsi="Times New Roman" w:cs="Times New Roman"/>
          <w:bCs/>
          <w:sz w:val="20"/>
          <w:szCs w:val="20"/>
        </w:rPr>
        <w:t xml:space="preserve"> Some of these quantities can be compensated for, like the influence of temperature and test track variations, while other is of random type, like instrumentation accuracy and cannot be compensated.</w:t>
      </w:r>
    </w:p>
    <w:p w14:paraId="05048366" w14:textId="7D7C2F67" w:rsidR="00020C2D" w:rsidRPr="0005145D" w:rsidRDefault="00020C2D" w:rsidP="00020C2D">
      <w:pPr>
        <w:keepLines/>
        <w:spacing w:after="120"/>
        <w:ind w:left="1134"/>
        <w:jc w:val="both"/>
        <w:rPr>
          <w:rFonts w:ascii="Times New Roman" w:hAnsi="Times New Roman" w:cs="Times New Roman"/>
          <w:b/>
          <w:sz w:val="20"/>
          <w:szCs w:val="20"/>
        </w:rPr>
      </w:pPr>
      <w:r w:rsidRPr="0005145D">
        <w:rPr>
          <w:rFonts w:ascii="Times New Roman" w:hAnsi="Times New Roman" w:cs="Times New Roman"/>
          <w:bCs/>
          <w:sz w:val="20"/>
          <w:szCs w:val="20"/>
        </w:rPr>
        <w:t xml:space="preserve">In the example shown below, the estimated total expanded uncertainty has been calculated to </w:t>
      </w:r>
      <w:r w:rsidRPr="0005145D">
        <w:rPr>
          <w:rFonts w:ascii="Times New Roman" w:hAnsi="Times New Roman" w:cs="Times New Roman"/>
          <w:b/>
          <w:sz w:val="20"/>
          <w:szCs w:val="20"/>
        </w:rPr>
        <w:t>±</w:t>
      </w:r>
      <w:r w:rsidRPr="0005145D">
        <w:rPr>
          <w:rFonts w:ascii="Times New Roman" w:hAnsi="Times New Roman" w:cs="Times New Roman"/>
          <w:b/>
          <w:strike/>
          <w:sz w:val="20"/>
          <w:szCs w:val="20"/>
        </w:rPr>
        <w:t xml:space="preserve"> </w:t>
      </w:r>
      <w:r w:rsidRPr="0005145D">
        <w:rPr>
          <w:rFonts w:ascii="Times New Roman" w:hAnsi="Times New Roman" w:cs="Times New Roman"/>
          <w:bCs/>
          <w:sz w:val="20"/>
          <w:szCs w:val="20"/>
        </w:rPr>
        <w:t>3</w:t>
      </w:r>
      <w:r w:rsidR="00925554" w:rsidRPr="0005145D">
        <w:rPr>
          <w:rFonts w:ascii="Times New Roman" w:hAnsi="Times New Roman" w:cs="Times New Roman"/>
          <w:bCs/>
          <w:strike/>
          <w:sz w:val="20"/>
          <w:szCs w:val="20"/>
        </w:rPr>
        <w:t>.</w:t>
      </w:r>
      <w:r w:rsidRPr="0005145D">
        <w:rPr>
          <w:rFonts w:ascii="Times New Roman" w:hAnsi="Times New Roman" w:cs="Times New Roman"/>
          <w:b/>
          <w:sz w:val="20"/>
          <w:szCs w:val="20"/>
        </w:rPr>
        <w:t>,</w:t>
      </w:r>
      <w:r w:rsidRPr="0005145D">
        <w:rPr>
          <w:rFonts w:ascii="Times New Roman" w:hAnsi="Times New Roman" w:cs="Times New Roman"/>
          <w:bCs/>
          <w:sz w:val="20"/>
          <w:szCs w:val="20"/>
        </w:rPr>
        <w:t xml:space="preserve">46 dB (for a coverage factor of k = 2 (95 per cent level of confidence) according to table 7.1 </w:t>
      </w:r>
      <w:r w:rsidRPr="0005145D">
        <w:rPr>
          <w:rFonts w:ascii="Times New Roman" w:hAnsi="Times New Roman" w:cs="Times New Roman"/>
          <w:b/>
          <w:sz w:val="20"/>
          <w:szCs w:val="20"/>
        </w:rPr>
        <w:t xml:space="preserve">and ± </w:t>
      </w:r>
      <w:r w:rsidR="00CD7268">
        <w:rPr>
          <w:rFonts w:ascii="Times New Roman" w:hAnsi="Times New Roman" w:cs="Times New Roman"/>
          <w:b/>
          <w:sz w:val="20"/>
          <w:szCs w:val="20"/>
        </w:rPr>
        <w:t>2</w:t>
      </w:r>
      <w:r w:rsidRPr="0005145D">
        <w:rPr>
          <w:rFonts w:ascii="Times New Roman" w:hAnsi="Times New Roman" w:cs="Times New Roman"/>
          <w:b/>
          <w:sz w:val="20"/>
          <w:szCs w:val="20"/>
        </w:rPr>
        <w:t>,0</w:t>
      </w:r>
      <w:r w:rsidR="00CD7268">
        <w:rPr>
          <w:rFonts w:ascii="Times New Roman" w:hAnsi="Times New Roman" w:cs="Times New Roman"/>
          <w:b/>
          <w:sz w:val="20"/>
          <w:szCs w:val="20"/>
        </w:rPr>
        <w:t>4</w:t>
      </w:r>
      <w:r w:rsidRPr="0005145D">
        <w:rPr>
          <w:rFonts w:ascii="Times New Roman" w:hAnsi="Times New Roman" w:cs="Times New Roman"/>
          <w:b/>
          <w:sz w:val="20"/>
          <w:szCs w:val="20"/>
        </w:rPr>
        <w:t xml:space="preserve"> dB according to table 7.2.</w:t>
      </w:r>
      <w:r w:rsidR="00B5104C" w:rsidRPr="0005145D">
        <w:rPr>
          <w:rFonts w:ascii="Times New Roman" w:hAnsi="Times New Roman" w:cs="Times New Roman"/>
          <w:bCs/>
          <w:sz w:val="20"/>
          <w:szCs w:val="20"/>
        </w:rPr>
        <w:t>”</w:t>
      </w:r>
    </w:p>
    <w:p w14:paraId="79080896" w14:textId="77777777" w:rsidR="008D0E28" w:rsidRDefault="008D0E28" w:rsidP="00E03DC5">
      <w:pPr>
        <w:ind w:left="1134"/>
        <w:rPr>
          <w:rFonts w:ascii="Times New Roman" w:hAnsi="Times New Roman" w:cs="Times New Roman"/>
          <w:i/>
          <w:iCs/>
          <w:sz w:val="20"/>
          <w:szCs w:val="20"/>
        </w:rPr>
      </w:pPr>
    </w:p>
    <w:p w14:paraId="5EC6E68F" w14:textId="77777777" w:rsidR="002675DF" w:rsidRDefault="002675DF">
      <w:pPr>
        <w:rPr>
          <w:rFonts w:ascii="Times New Roman" w:hAnsi="Times New Roman" w:cs="Times New Roman"/>
          <w:i/>
          <w:iCs/>
          <w:sz w:val="20"/>
          <w:szCs w:val="20"/>
        </w:rPr>
      </w:pPr>
      <w:r>
        <w:rPr>
          <w:rFonts w:ascii="Times New Roman" w:hAnsi="Times New Roman" w:cs="Times New Roman"/>
          <w:i/>
          <w:iCs/>
          <w:sz w:val="20"/>
          <w:szCs w:val="20"/>
        </w:rPr>
        <w:br w:type="page"/>
      </w:r>
    </w:p>
    <w:p w14:paraId="1D55FC94" w14:textId="422BD5B5" w:rsidR="001C2C44" w:rsidRPr="002675DF" w:rsidRDefault="00E03DC5" w:rsidP="002675DF">
      <w:pPr>
        <w:ind w:left="1134"/>
        <w:rPr>
          <w:rFonts w:ascii="Times New Roman" w:hAnsi="Times New Roman" w:cs="Times New Roman"/>
          <w:i/>
          <w:iCs/>
          <w:sz w:val="20"/>
          <w:szCs w:val="20"/>
        </w:rPr>
      </w:pPr>
      <w:r w:rsidRPr="0005145D">
        <w:rPr>
          <w:rFonts w:ascii="Times New Roman" w:hAnsi="Times New Roman" w:cs="Times New Roman"/>
          <w:i/>
          <w:iCs/>
          <w:sz w:val="20"/>
          <w:szCs w:val="20"/>
        </w:rPr>
        <w:lastRenderedPageBreak/>
        <w:t xml:space="preserve">Paragraph 7, table 7.1, </w:t>
      </w:r>
      <w:r w:rsidRPr="0005145D">
        <w:rPr>
          <w:rFonts w:ascii="Times New Roman" w:hAnsi="Times New Roman" w:cs="Times New Roman"/>
          <w:sz w:val="20"/>
          <w:szCs w:val="20"/>
        </w:rPr>
        <w:t>amend to read:</w:t>
      </w:r>
    </w:p>
    <w:p w14:paraId="0D7EAF9C" w14:textId="3AF8A472" w:rsidR="000F37D1" w:rsidRPr="000F37D1" w:rsidRDefault="00855337" w:rsidP="000F37D1">
      <w:pPr>
        <w:suppressAutoHyphens/>
        <w:spacing w:after="0" w:line="240" w:lineRule="auto"/>
        <w:ind w:left="1134"/>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F37D1" w:rsidRPr="000F37D1">
        <w:rPr>
          <w:rFonts w:ascii="Times New Roman" w:eastAsia="Times New Roman" w:hAnsi="Times New Roman" w:cs="Times New Roman"/>
          <w:bCs/>
          <w:sz w:val="20"/>
          <w:szCs w:val="20"/>
        </w:rPr>
        <w:t>Table 7.1</w:t>
      </w:r>
      <w:r w:rsidR="000F37D1" w:rsidRPr="000F37D1">
        <w:rPr>
          <w:rFonts w:ascii="Times New Roman" w:eastAsia="Times New Roman" w:hAnsi="Times New Roman" w:cs="Times New Roman"/>
          <w:bCs/>
          <w:sz w:val="18"/>
          <w:szCs w:val="20"/>
          <w:vertAlign w:val="superscript"/>
        </w:rPr>
        <w:footnoteReference w:customMarkFollows="1" w:id="2"/>
        <w:t>**</w:t>
      </w:r>
    </w:p>
    <w:p w14:paraId="5023A43A" w14:textId="6FC98FC3" w:rsidR="000F37D1" w:rsidRPr="000F37D1" w:rsidRDefault="000F37D1" w:rsidP="000F37D1">
      <w:pPr>
        <w:suppressAutoHyphens/>
        <w:spacing w:after="0" w:line="240" w:lineRule="atLeast"/>
        <w:ind w:left="1134"/>
        <w:outlineLvl w:val="0"/>
        <w:rPr>
          <w:rFonts w:ascii="Times New Roman" w:eastAsia="Times New Roman" w:hAnsi="Times New Roman" w:cs="Times New Roman"/>
          <w:bCs/>
          <w:sz w:val="20"/>
          <w:szCs w:val="20"/>
        </w:rPr>
      </w:pPr>
      <w:r w:rsidRPr="000F37D1">
        <w:rPr>
          <w:rFonts w:ascii="Times New Roman" w:eastAsia="Times New Roman" w:hAnsi="Times New Roman" w:cs="Times New Roman"/>
          <w:bCs/>
          <w:sz w:val="20"/>
          <w:szCs w:val="20"/>
        </w:rPr>
        <w:t>Example of calculation of uncertainties for UN Regulation No. 51:</w:t>
      </w:r>
    </w:p>
    <w:p w14:paraId="02601386" w14:textId="77777777" w:rsidR="000F37D1" w:rsidRPr="000F37D1" w:rsidRDefault="000F37D1" w:rsidP="000F37D1">
      <w:pPr>
        <w:suppressAutoHyphens/>
        <w:spacing w:after="120" w:line="240" w:lineRule="atLeast"/>
        <w:ind w:left="1134"/>
        <w:outlineLvl w:val="0"/>
        <w:rPr>
          <w:rFonts w:ascii="Times New Roman" w:eastAsia="Times New Roman" w:hAnsi="Times New Roman" w:cs="Times New Roman"/>
          <w:bCs/>
          <w:sz w:val="20"/>
          <w:szCs w:val="20"/>
          <w:vertAlign w:val="superscript"/>
        </w:rPr>
      </w:pPr>
      <w:r w:rsidRPr="000F37D1">
        <w:rPr>
          <w:rFonts w:ascii="Times New Roman" w:eastAsia="Times New Roman" w:hAnsi="Times New Roman" w:cs="Times New Roman"/>
          <w:bCs/>
          <w:sz w:val="20"/>
          <w:szCs w:val="20"/>
        </w:rPr>
        <w:t>Measurement uncertainty table for M</w:t>
      </w:r>
      <w:r w:rsidRPr="000F37D1">
        <w:rPr>
          <w:rFonts w:ascii="Times New Roman" w:eastAsia="Times New Roman" w:hAnsi="Times New Roman" w:cs="Times New Roman"/>
          <w:bCs/>
          <w:sz w:val="20"/>
          <w:szCs w:val="20"/>
          <w:vertAlign w:val="subscript"/>
        </w:rPr>
        <w:t xml:space="preserve">1, </w:t>
      </w:r>
      <w:r w:rsidRPr="000F37D1">
        <w:rPr>
          <w:rFonts w:ascii="Times New Roman" w:eastAsia="Times New Roman" w:hAnsi="Times New Roman" w:cs="Times New Roman"/>
          <w:bCs/>
          <w:sz w:val="20"/>
          <w:szCs w:val="20"/>
        </w:rPr>
        <w:t>N</w:t>
      </w:r>
      <w:r w:rsidRPr="000F37D1">
        <w:rPr>
          <w:rFonts w:ascii="Times New Roman" w:eastAsia="Times New Roman" w:hAnsi="Times New Roman" w:cs="Times New Roman"/>
          <w:bCs/>
          <w:sz w:val="20"/>
          <w:szCs w:val="20"/>
          <w:vertAlign w:val="subscript"/>
        </w:rPr>
        <w:t>1</w:t>
      </w:r>
      <w:r w:rsidRPr="000F37D1">
        <w:rPr>
          <w:rFonts w:ascii="Times New Roman" w:eastAsia="Times New Roman" w:hAnsi="Times New Roman" w:cs="Times New Roman"/>
          <w:bCs/>
          <w:sz w:val="20"/>
          <w:szCs w:val="20"/>
        </w:rPr>
        <w:t xml:space="preserve"> and M</w:t>
      </w:r>
      <w:r w:rsidRPr="000F37D1">
        <w:rPr>
          <w:rFonts w:ascii="Times New Roman" w:eastAsia="Times New Roman" w:hAnsi="Times New Roman" w:cs="Times New Roman"/>
          <w:bCs/>
          <w:sz w:val="20"/>
          <w:szCs w:val="20"/>
          <w:vertAlign w:val="subscript"/>
        </w:rPr>
        <w:t>2</w:t>
      </w:r>
      <w:r w:rsidRPr="000F37D1">
        <w:rPr>
          <w:rFonts w:ascii="Times New Roman" w:eastAsia="Times New Roman" w:hAnsi="Times New Roman" w:cs="Times New Roman"/>
          <w:bCs/>
          <w:sz w:val="20"/>
          <w:szCs w:val="20"/>
        </w:rPr>
        <w:t xml:space="preserve"> vehicles less than 3500 kg</w:t>
      </w:r>
      <w:r w:rsidRPr="000F37D1">
        <w:rPr>
          <w:rFonts w:ascii="Times New Roman" w:eastAsia="Times New Roman" w:hAnsi="Times New Roman" w:cs="Times New Roman"/>
          <w:bCs/>
          <w:sz w:val="20"/>
          <w:szCs w:val="20"/>
          <w:vertAlign w:val="superscript"/>
        </w:rPr>
        <w:t>7</w:t>
      </w: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497AFC" w:rsidRPr="00524D52" w14:paraId="44D062EF" w14:textId="77777777" w:rsidTr="003E6DA9">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65B75748"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59C64D6" w14:textId="77777777" w:rsidR="00497AFC" w:rsidRPr="00524D52" w:rsidRDefault="00497AFC" w:rsidP="00762C13">
            <w:pPr>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1BD52D00"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5C2C28DF"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Impact on </w:t>
            </w:r>
            <w:proofErr w:type="spellStart"/>
            <w:r w:rsidRPr="00524D52">
              <w:rPr>
                <w:rFonts w:asciiTheme="majorBidi" w:hAnsiTheme="majorBidi" w:cstheme="majorBidi"/>
                <w:b/>
                <w:bCs/>
                <w:i/>
                <w:iCs/>
                <w:sz w:val="16"/>
                <w:szCs w:val="16"/>
                <w:lang w:eastAsia="de-DE"/>
              </w:rPr>
              <w:t>L</w:t>
            </w:r>
            <w:r w:rsidRPr="00524D52">
              <w:rPr>
                <w:rFonts w:asciiTheme="majorBidi" w:hAnsiTheme="majorBidi" w:cstheme="majorBidi"/>
                <w:b/>
                <w:bCs/>
                <w:i/>
                <w:iCs/>
                <w:sz w:val="16"/>
                <w:szCs w:val="16"/>
                <w:vertAlign w:val="subscript"/>
                <w:lang w:eastAsia="de-DE"/>
              </w:rPr>
              <w:t>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528E4FB"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Probability </w:t>
            </w:r>
            <w:r w:rsidRPr="00524D52">
              <w:rPr>
                <w:rFonts w:asciiTheme="majorBidi" w:hAnsiTheme="majorBidi" w:cstheme="majorBidi"/>
                <w:b/>
                <w:bCs/>
                <w:i/>
                <w:iCs/>
                <w:sz w:val="16"/>
                <w:szCs w:val="16"/>
                <w:lang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2CE52F3A"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F5186D4"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5AE6D27"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2F9E27A4" w14:textId="77777777" w:rsidR="00497AFC" w:rsidRPr="00524D52" w:rsidRDefault="00497AFC" w:rsidP="00762C13">
            <w:pPr>
              <w:spacing w:line="240" w:lineRule="auto"/>
              <w:ind w:left="-67" w:right="-72"/>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Comb. stand. </w:t>
            </w:r>
            <w:r>
              <w:rPr>
                <w:rFonts w:asciiTheme="majorBidi" w:hAnsiTheme="majorBidi" w:cstheme="majorBidi"/>
                <w:b/>
                <w:bCs/>
                <w:i/>
                <w:iCs/>
                <w:sz w:val="16"/>
                <w:szCs w:val="16"/>
                <w:lang w:eastAsia="de-DE"/>
              </w:rPr>
              <w:br/>
            </w:r>
            <w:r w:rsidRPr="00524D52">
              <w:rPr>
                <w:rFonts w:asciiTheme="majorBidi" w:hAnsiTheme="majorBidi" w:cstheme="majorBidi"/>
                <w:b/>
                <w:bCs/>
                <w:i/>
                <w:iCs/>
                <w:sz w:val="16"/>
                <w:szCs w:val="16"/>
                <w:lang w:eastAsia="de-DE"/>
              </w:rPr>
              <w:t>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1639A70"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4528AF0D"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r>
              <w:rPr>
                <w:rFonts w:asciiTheme="majorBidi" w:hAnsiTheme="majorBidi" w:cstheme="majorBidi"/>
                <w:b/>
                <w:bCs/>
                <w:i/>
                <w:iCs/>
                <w:sz w:val="16"/>
                <w:szCs w:val="16"/>
                <w:lang w:eastAsia="de-DE"/>
              </w:rPr>
              <w:t xml:space="preserve"> Expanded </w:t>
            </w:r>
            <w:r w:rsidRPr="00524D52">
              <w:rPr>
                <w:rFonts w:asciiTheme="majorBidi" w:hAnsiTheme="majorBidi" w:cstheme="majorBidi"/>
                <w:b/>
                <w:bCs/>
                <w:i/>
                <w:iCs/>
                <w:sz w:val="16"/>
                <w:szCs w:val="16"/>
                <w:lang w:eastAsia="de-DE"/>
              </w:rPr>
              <w:t>uncertainty</w:t>
            </w:r>
            <w:r>
              <w:rPr>
                <w:rFonts w:asciiTheme="majorBidi" w:hAnsiTheme="majorBidi" w:cstheme="majorBidi"/>
                <w:b/>
                <w:bCs/>
                <w:i/>
                <w:iCs/>
                <w:sz w:val="16"/>
                <w:szCs w:val="16"/>
                <w:lang w:eastAsia="de-DE"/>
              </w:rPr>
              <w:t xml:space="preserve"> 95%</w:t>
            </w:r>
          </w:p>
        </w:tc>
      </w:tr>
      <w:tr w:rsidR="00497AFC" w:rsidRPr="00524D52" w14:paraId="17BC1AC0" w14:textId="77777777" w:rsidTr="003E6DA9">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0970432B"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2CD8204"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101B28A"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proofErr w:type="spellStart"/>
            <w:r w:rsidRPr="00524D52">
              <w:rPr>
                <w:rFonts w:asciiTheme="majorBidi" w:hAnsiTheme="majorBidi" w:cstheme="majorBidi"/>
                <w:b/>
                <w:bCs/>
                <w:i/>
                <w:iCs/>
                <w:sz w:val="16"/>
                <w:szCs w:val="16"/>
                <w:lang w:eastAsia="de-DE"/>
              </w:rPr>
              <w:t>L</w:t>
            </w:r>
            <w:r w:rsidRPr="00524D52">
              <w:rPr>
                <w:rFonts w:asciiTheme="majorBidi" w:hAnsiTheme="majorBidi" w:cstheme="majorBidi"/>
                <w:b/>
                <w:bCs/>
                <w:i/>
                <w:iCs/>
                <w:sz w:val="16"/>
                <w:szCs w:val="16"/>
                <w:vertAlign w:val="subscript"/>
                <w:lang w:eastAsia="de-DE"/>
              </w:rPr>
              <w:t>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092B1EDE" w14:textId="77777777" w:rsidR="00497AFC" w:rsidRPr="00524D52" w:rsidRDefault="00497AFC" w:rsidP="00762C13">
            <w:pPr>
              <w:spacing w:line="240" w:lineRule="auto"/>
              <w:ind w:left="113" w:right="113"/>
              <w:jc w:val="center"/>
              <w:rPr>
                <w:rFonts w:asciiTheme="majorBidi" w:hAnsiTheme="majorBidi" w:cstheme="majorBidi"/>
                <w:b/>
                <w:bCs/>
                <w:i/>
                <w:iCs/>
                <w:sz w:val="16"/>
                <w:szCs w:val="16"/>
                <w:lang w:eastAsia="de-DE"/>
              </w:rPr>
            </w:pPr>
            <w:proofErr w:type="spellStart"/>
            <w:r w:rsidRPr="00524D52">
              <w:rPr>
                <w:rFonts w:asciiTheme="majorBidi" w:hAnsiTheme="majorBidi" w:cstheme="majorBidi"/>
                <w:b/>
                <w:bCs/>
                <w:i/>
                <w:iCs/>
                <w:sz w:val="16"/>
                <w:szCs w:val="16"/>
                <w:lang w:eastAsia="de-DE"/>
              </w:rPr>
              <w:t>L</w:t>
            </w:r>
            <w:r w:rsidRPr="00524D52">
              <w:rPr>
                <w:rFonts w:asciiTheme="majorBidi" w:hAnsiTheme="majorBidi" w:cstheme="majorBidi"/>
                <w:b/>
                <w:bCs/>
                <w:i/>
                <w:iCs/>
                <w:sz w:val="16"/>
                <w:szCs w:val="16"/>
                <w:vertAlign w:val="subscript"/>
                <w:lang w:eastAsia="de-DE"/>
              </w:rPr>
              <w:t>crs</w:t>
            </w:r>
            <w:proofErr w:type="spellEnd"/>
          </w:p>
        </w:tc>
        <w:tc>
          <w:tcPr>
            <w:tcW w:w="425" w:type="dxa"/>
            <w:vMerge/>
            <w:tcBorders>
              <w:top w:val="single" w:sz="4" w:space="0" w:color="auto"/>
              <w:left w:val="nil"/>
              <w:bottom w:val="single" w:sz="12" w:space="0" w:color="auto"/>
              <w:right w:val="nil"/>
            </w:tcBorders>
            <w:vAlign w:val="center"/>
            <w:hideMark/>
          </w:tcPr>
          <w:p w14:paraId="564BF01B"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A472442"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567" w:type="dxa"/>
            <w:vMerge/>
            <w:tcBorders>
              <w:top w:val="single" w:sz="4" w:space="0" w:color="auto"/>
              <w:left w:val="nil"/>
              <w:bottom w:val="single" w:sz="12" w:space="0" w:color="auto"/>
              <w:right w:val="single" w:sz="4" w:space="0" w:color="auto"/>
            </w:tcBorders>
            <w:vAlign w:val="center"/>
            <w:hideMark/>
          </w:tcPr>
          <w:p w14:paraId="5646D9C2"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71CC2E3"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56D6F62"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256D23F"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07CCBE51" w14:textId="77777777" w:rsidR="00497AFC" w:rsidRPr="00524D52" w:rsidRDefault="00497AFC" w:rsidP="00762C13">
            <w:pPr>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Type </w:t>
            </w:r>
            <w:r w:rsidRPr="00524D52">
              <w:rPr>
                <w:rFonts w:asciiTheme="majorBidi" w:hAnsiTheme="majorBidi" w:cstheme="majorBidi"/>
                <w:b/>
                <w:bCs/>
                <w:i/>
                <w:iCs/>
                <w:sz w:val="16"/>
                <w:szCs w:val="16"/>
                <w:lang w:eastAsia="de-DE"/>
              </w:rPr>
              <w:br/>
            </w:r>
            <w:proofErr w:type="spellStart"/>
            <w:r w:rsidRPr="00524D52">
              <w:rPr>
                <w:rFonts w:asciiTheme="majorBidi" w:hAnsiTheme="majorBidi" w:cstheme="majorBidi"/>
                <w:b/>
                <w:bCs/>
                <w:i/>
                <w:iCs/>
                <w:sz w:val="16"/>
                <w:szCs w:val="16"/>
                <w:lang w:eastAsia="de-DE"/>
              </w:rPr>
              <w:t>Appro-val</w:t>
            </w:r>
            <w:proofErr w:type="spellEnd"/>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54ADCD9D" w14:textId="77777777" w:rsidR="00497AFC" w:rsidRPr="00524D52" w:rsidRDefault="00497AFC" w:rsidP="00762C13">
            <w:pPr>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2AB5F5F9" w14:textId="77777777" w:rsidR="00497AFC" w:rsidRPr="00524D52" w:rsidRDefault="00497AFC" w:rsidP="00762C13">
            <w:pPr>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Field </w:t>
            </w:r>
            <w:r w:rsidRPr="00524D52">
              <w:rPr>
                <w:rFonts w:asciiTheme="majorBidi" w:hAnsiTheme="majorBidi" w:cstheme="majorBidi"/>
                <w:b/>
                <w:bCs/>
                <w:i/>
                <w:iCs/>
                <w:sz w:val="16"/>
                <w:szCs w:val="16"/>
                <w:lang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1AA278D" w14:textId="77777777" w:rsidR="00497AFC" w:rsidRPr="00524D52" w:rsidRDefault="00497AFC" w:rsidP="00762C13">
            <w:pPr>
              <w:spacing w:line="240" w:lineRule="auto"/>
              <w:jc w:val="center"/>
              <w:rPr>
                <w:rFonts w:asciiTheme="majorBidi" w:hAnsiTheme="majorBidi" w:cstheme="majorBidi"/>
                <w:b/>
                <w:bCs/>
                <w:i/>
                <w:iCs/>
                <w:sz w:val="16"/>
                <w:szCs w:val="16"/>
                <w:lang w:eastAsia="de-DE"/>
              </w:rPr>
            </w:pPr>
          </w:p>
        </w:tc>
      </w:tr>
      <w:tr w:rsidR="00497AFC" w:rsidRPr="00524D52" w14:paraId="5EDC03CC" w14:textId="77777777" w:rsidTr="003C0395">
        <w:trPr>
          <w:trHeight w:hRule="exact" w:val="227"/>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265AF904" w14:textId="77777777" w:rsidR="00497AFC" w:rsidRPr="00524D52" w:rsidRDefault="00497AFC" w:rsidP="00762C13">
            <w:pPr>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B0FC9F3"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7C32B4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560C90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3D0D7AF2"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4932687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2DDF3D5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0,15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6840A90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13A0CEB4"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B26977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28DCCC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4F4F31D"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41F61B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02F3D26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1,1</w:t>
            </w:r>
          </w:p>
        </w:tc>
      </w:tr>
      <w:tr w:rsidR="00497AFC" w:rsidRPr="00524D52" w14:paraId="23CE90CF"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8A9A67"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2447A"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Driver #1: </w:t>
            </w:r>
            <w:r w:rsidRPr="00524D52">
              <w:rPr>
                <w:rFonts w:asciiTheme="majorBidi" w:hAnsiTheme="majorBidi" w:cstheme="majorBidi"/>
                <w:sz w:val="16"/>
                <w:szCs w:val="16"/>
                <w:lang w:eastAsia="de-DE"/>
              </w:rPr>
              <w:br/>
              <w:t xml:space="preserve">Deviation from </w:t>
            </w:r>
            <w:proofErr w:type="spellStart"/>
            <w:r w:rsidRPr="00524D52">
              <w:rPr>
                <w:rFonts w:asciiTheme="majorBidi" w:hAnsiTheme="majorBidi" w:cstheme="majorBidi"/>
                <w:sz w:val="16"/>
                <w:szCs w:val="16"/>
                <w:lang w:eastAsia="de-DE"/>
              </w:rPr>
              <w:t>centred</w:t>
            </w:r>
            <w:proofErr w:type="spellEnd"/>
            <w:r w:rsidRPr="00524D52">
              <w:rPr>
                <w:rFonts w:asciiTheme="majorBidi" w:hAnsiTheme="majorBidi" w:cstheme="majorBidi"/>
                <w:sz w:val="16"/>
                <w:szCs w:val="16"/>
                <w:lang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19B4B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37AE3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247CD5"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D5B7F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FF6E9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42C4B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807D5D"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56221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465B260"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7902A9"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67FBEA"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153816C7"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256F7CAD" w14:textId="77777777" w:rsidTr="003C0395">
        <w:trPr>
          <w:trHeight w:hRule="exac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69617BC"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96C87"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6539BA"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6487B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6B8182D"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84713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F8BA1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075C57"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6E75F6"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0B017B1"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E89930D"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DB4AF1"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D6C4A3"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034266D4"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5459D770"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10ED264"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AA1321"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Driver #3: </w:t>
            </w:r>
            <w:r w:rsidRPr="00524D52">
              <w:rPr>
                <w:rFonts w:asciiTheme="majorBidi" w:hAnsiTheme="majorBidi" w:cstheme="majorBidi"/>
                <w:sz w:val="16"/>
                <w:szCs w:val="16"/>
                <w:lang w:eastAsia="de-DE"/>
              </w:rPr>
              <w:b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ACB9C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6094A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C33F129"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B77C9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33D718"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CF819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AA8D51"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FC16A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FD96F3"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94CE68"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BF355D"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6D6EF27F"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40EF2081"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5AAD3B5"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88F6F"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Driver #4: </w:t>
            </w:r>
            <w:r w:rsidRPr="00524D52">
              <w:rPr>
                <w:rFonts w:asciiTheme="majorBidi" w:hAnsiTheme="majorBidi" w:cstheme="majorBidi"/>
                <w:sz w:val="16"/>
                <w:szCs w:val="16"/>
                <w:lang w:eastAsia="de-DE"/>
              </w:rPr>
              <w:b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3768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16234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9536023"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9BEB4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9E739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C61FE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C3DBC1"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D2635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39CD8F"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8FAF67"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48F510"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58EE16D7"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38C2DB08" w14:textId="77777777" w:rsidTr="003C0395">
        <w:trPr>
          <w:trHeight w:hRule="exac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0BECC02"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A525B8"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4D824"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049DD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327325E"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C41904"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00724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2C5CF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F652E8"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D76174"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C26A71"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7A5FF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BF9A29"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0F89E92B"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4E63F677" w14:textId="77777777" w:rsidTr="003C0395">
        <w:trPr>
          <w:trHeight w:hRule="exact" w:val="56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6599587"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A2ACB"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Variation on operating temperature of engine (WOT) and tyres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D883EA"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497D8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6607B02"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5BB79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9F211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C4D47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8175E67"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8D5D5A"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43078E"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85C5D3"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03176E"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77A6A063"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068011C3" w14:textId="77777777" w:rsidTr="003C0395">
        <w:trPr>
          <w:trHeight w:hRule="exact" w:val="39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F320D9" w14:textId="77777777" w:rsidR="00497AFC" w:rsidRPr="00524D52" w:rsidRDefault="00497AFC" w:rsidP="00762C13">
            <w:pPr>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Day to 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01B11"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Barometric pressure </w:t>
            </w:r>
            <w:r w:rsidRPr="00524D52">
              <w:rPr>
                <w:rFonts w:asciiTheme="majorBidi" w:hAnsiTheme="majorBidi" w:cstheme="majorBidi"/>
                <w:sz w:val="16"/>
                <w:szCs w:val="16"/>
                <w:lang w:eastAsia="de-DE"/>
              </w:rPr>
              <w:br/>
              <w:t xml:space="preserve">(Weather +/- 30 </w:t>
            </w:r>
            <w:proofErr w:type="spellStart"/>
            <w:r w:rsidRPr="00524D52">
              <w:rPr>
                <w:rFonts w:asciiTheme="majorBidi" w:hAnsiTheme="majorBidi" w:cstheme="majorBidi"/>
                <w:sz w:val="16"/>
                <w:szCs w:val="16"/>
                <w:lang w:eastAsia="de-DE"/>
              </w:rPr>
              <w:t>hPa</w:t>
            </w:r>
            <w:proofErr w:type="spellEnd"/>
            <w:r w:rsidRPr="00524D52">
              <w:rPr>
                <w:rFonts w:asciiTheme="majorBidi" w:hAnsiTheme="majorBidi" w:cstheme="majorBidi"/>
                <w:sz w:val="16"/>
                <w:szCs w:val="16"/>
                <w:lang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5B4D4A"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B1023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9AF2598"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41E65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2FC684"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DFA77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28878D"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507B7"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A2A4"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xml:space="preserve">0,92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D3908"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BE60"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xml:space="preserve">0,92  </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D9133E1"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1,8</w:t>
            </w:r>
          </w:p>
        </w:tc>
      </w:tr>
      <w:tr w:rsidR="00497AFC" w:rsidRPr="00524D52" w14:paraId="16B4BC50"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A362334"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F17908"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Air temperature effect on tyre noise </w:t>
            </w:r>
            <w:r w:rsidRPr="00524D52">
              <w:rPr>
                <w:rFonts w:asciiTheme="majorBidi" w:hAnsiTheme="majorBidi" w:cstheme="majorBidi"/>
                <w:sz w:val="16"/>
                <w:szCs w:val="16"/>
                <w:lang w:eastAsia="de-DE"/>
              </w:rPr>
              <w:b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BCD43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251CB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CA715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6A010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B71448"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91EFB6"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A605FE"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4091E7"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2A205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275FC7"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923BA5"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4607076D" w14:textId="77777777" w:rsidR="00497AFC" w:rsidRPr="00524D52" w:rsidRDefault="00497AFC" w:rsidP="00762C13">
            <w:pPr>
              <w:spacing w:line="240" w:lineRule="auto"/>
              <w:jc w:val="center"/>
              <w:rPr>
                <w:rFonts w:asciiTheme="majorBidi" w:hAnsiTheme="majorBidi" w:cstheme="majorBidi"/>
                <w:color w:val="C00000"/>
                <w:sz w:val="16"/>
                <w:szCs w:val="16"/>
                <w:lang w:eastAsia="de-DE"/>
              </w:rPr>
            </w:pPr>
          </w:p>
        </w:tc>
      </w:tr>
      <w:tr w:rsidR="00497AFC" w:rsidRPr="00524D52" w14:paraId="7E4335E2"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EA90921"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CFF614"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2034D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989C5D"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5B3575A"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2B010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D3EBA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04F5C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56D53F"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3FC400"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4F2657"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7EB87D"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47867EF"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6A37EB1A" w14:textId="77777777" w:rsidR="00497AFC" w:rsidRPr="00524D52" w:rsidRDefault="00497AFC" w:rsidP="00762C13">
            <w:pPr>
              <w:spacing w:line="240" w:lineRule="auto"/>
              <w:jc w:val="center"/>
              <w:rPr>
                <w:rFonts w:asciiTheme="majorBidi" w:hAnsiTheme="majorBidi" w:cstheme="majorBidi"/>
                <w:color w:val="C00000"/>
                <w:sz w:val="16"/>
                <w:szCs w:val="16"/>
                <w:lang w:eastAsia="de-DE"/>
              </w:rPr>
            </w:pPr>
          </w:p>
        </w:tc>
      </w:tr>
      <w:tr w:rsidR="00497AFC" w:rsidRPr="00524D52" w14:paraId="7E033DC4"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3771F73"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FE84D3"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3A6AD8"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21B24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1C1A836"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5EE59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9B117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F92DCA"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95E5D19"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4266333"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B84A3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C03B34F"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02D8A8"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493E81B8" w14:textId="77777777" w:rsidR="00497AFC" w:rsidRPr="00524D52" w:rsidRDefault="00497AFC" w:rsidP="00762C13">
            <w:pPr>
              <w:spacing w:line="240" w:lineRule="auto"/>
              <w:jc w:val="center"/>
              <w:rPr>
                <w:rFonts w:asciiTheme="majorBidi" w:hAnsiTheme="majorBidi" w:cstheme="majorBidi"/>
                <w:color w:val="C00000"/>
                <w:sz w:val="16"/>
                <w:szCs w:val="16"/>
                <w:lang w:eastAsia="de-DE"/>
              </w:rPr>
            </w:pPr>
          </w:p>
        </w:tc>
      </w:tr>
      <w:tr w:rsidR="00497AFC" w:rsidRPr="00524D52" w14:paraId="41FB7003" w14:textId="77777777" w:rsidTr="003C0395">
        <w:trPr>
          <w:trHeight w:hRule="exac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D6584CF"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A4D5BD"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A873A6"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6985C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03E7219"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ABE92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1C15E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80D82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F1CBA1"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1DA970"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FA389B"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5A6328"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9ACEFF"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3A03E1D5" w14:textId="77777777" w:rsidR="00497AFC" w:rsidRPr="00524D52" w:rsidRDefault="00497AFC" w:rsidP="00762C13">
            <w:pPr>
              <w:spacing w:line="240" w:lineRule="auto"/>
              <w:jc w:val="center"/>
              <w:rPr>
                <w:rFonts w:asciiTheme="majorBidi" w:hAnsiTheme="majorBidi" w:cstheme="majorBidi"/>
                <w:color w:val="C00000"/>
                <w:sz w:val="16"/>
                <w:szCs w:val="16"/>
                <w:lang w:eastAsia="de-DE"/>
              </w:rPr>
            </w:pPr>
          </w:p>
        </w:tc>
      </w:tr>
      <w:tr w:rsidR="00497AFC" w:rsidRPr="00524D52" w14:paraId="1C6C0700" w14:textId="77777777" w:rsidTr="003C0395">
        <w:trPr>
          <w:trHeight w:hRule="exact" w:val="2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604EF71"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629F69"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8A656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61B7C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D32096"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95DA2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DFFFB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60C8C6"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03127E"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E95F50"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FA5D80"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E1BE6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9518900"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68017ED8" w14:textId="77777777" w:rsidR="00497AFC" w:rsidRPr="00524D52" w:rsidRDefault="00497AFC" w:rsidP="00762C13">
            <w:pPr>
              <w:spacing w:line="240" w:lineRule="auto"/>
              <w:jc w:val="center"/>
              <w:rPr>
                <w:rFonts w:asciiTheme="majorBidi" w:hAnsiTheme="majorBidi" w:cstheme="majorBidi"/>
                <w:color w:val="C00000"/>
                <w:sz w:val="16"/>
                <w:szCs w:val="16"/>
                <w:lang w:eastAsia="de-DE"/>
              </w:rPr>
            </w:pPr>
          </w:p>
        </w:tc>
      </w:tr>
      <w:tr w:rsidR="00497AFC" w:rsidRPr="00524D52" w14:paraId="468E23D2" w14:textId="77777777" w:rsidTr="003C0395">
        <w:trPr>
          <w:trHeight w:hRule="exact" w:val="397"/>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555F5E" w14:textId="77777777" w:rsidR="00497AFC" w:rsidRPr="00524D52" w:rsidRDefault="00497AFC" w:rsidP="00762C13">
            <w:pPr>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Site to Site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388738"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Altitude (Location of Track) </w:t>
            </w:r>
            <w:r w:rsidRPr="00524D52">
              <w:rPr>
                <w:rFonts w:asciiTheme="majorBidi" w:hAnsiTheme="majorBidi" w:cstheme="majorBidi"/>
                <w:sz w:val="16"/>
                <w:szCs w:val="16"/>
                <w:lang w:eastAsia="de-DE"/>
              </w:rPr>
              <w:br/>
              <w:t xml:space="preserve">-100 </w:t>
            </w:r>
            <w:proofErr w:type="spellStart"/>
            <w:r w:rsidRPr="00524D52">
              <w:rPr>
                <w:rFonts w:asciiTheme="majorBidi" w:hAnsiTheme="majorBidi" w:cstheme="majorBidi"/>
                <w:sz w:val="16"/>
                <w:szCs w:val="16"/>
                <w:lang w:eastAsia="de-DE"/>
              </w:rPr>
              <w:t>hPa</w:t>
            </w:r>
            <w:proofErr w:type="spellEnd"/>
            <w:r w:rsidRPr="00524D52">
              <w:rPr>
                <w:rFonts w:asciiTheme="majorBidi" w:hAnsiTheme="majorBidi" w:cstheme="majorBidi"/>
                <w:sz w:val="16"/>
                <w:szCs w:val="16"/>
                <w:lang w:eastAsia="de-DE"/>
              </w:rPr>
              <w:t>/1000</w:t>
            </w:r>
            <w:proofErr w:type="gramStart"/>
            <w:r w:rsidRPr="00524D52">
              <w:rPr>
                <w:rFonts w:asciiTheme="majorBidi" w:hAnsiTheme="majorBidi" w:cstheme="majorBidi"/>
                <w:sz w:val="16"/>
                <w:szCs w:val="16"/>
                <w:lang w:eastAsia="de-DE"/>
              </w:rPr>
              <w:t>m  (</w:t>
            </w:r>
            <w:proofErr w:type="gramEnd"/>
            <w:r w:rsidRPr="00524D52">
              <w:rPr>
                <w:rFonts w:asciiTheme="majorBidi" w:hAnsiTheme="majorBidi" w:cstheme="majorBidi"/>
                <w:sz w:val="16"/>
                <w:szCs w:val="16"/>
                <w:lang w:eastAsia="de-DE"/>
              </w:rPr>
              <w:t xml:space="preserve">fr.1015 to 915 </w:t>
            </w:r>
            <w:proofErr w:type="spellStart"/>
            <w:r w:rsidRPr="00524D52">
              <w:rPr>
                <w:rFonts w:asciiTheme="majorBidi" w:hAnsiTheme="majorBidi" w:cstheme="majorBidi"/>
                <w:sz w:val="16"/>
                <w:szCs w:val="16"/>
                <w:lang w:eastAsia="de-DE"/>
              </w:rPr>
              <w:t>hPa</w:t>
            </w:r>
            <w:proofErr w:type="spellEnd"/>
            <w:r w:rsidRPr="00524D52">
              <w:rPr>
                <w:rFonts w:asciiTheme="majorBidi" w:hAnsiTheme="majorBidi" w:cstheme="majorBidi"/>
                <w:sz w:val="16"/>
                <w:szCs w:val="16"/>
                <w:lang w:eastAsia="de-DE"/>
              </w:rPr>
              <w: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A842B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152CD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167232E"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BD701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819D56"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7DBF9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2AD08E"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F97E1"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xml:space="preserve">1,24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405E"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C47BE"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xml:space="preserve">0,62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90596"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1,24</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4AE822DC"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2,5</w:t>
            </w:r>
          </w:p>
        </w:tc>
      </w:tr>
      <w:tr w:rsidR="00497AFC" w:rsidRPr="00524D52" w14:paraId="3B537F2D" w14:textId="77777777" w:rsidTr="003C0395">
        <w:trPr>
          <w:trHeight w:hRule="exact" w:val="227"/>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600F738" w14:textId="77777777" w:rsidR="00497AFC" w:rsidRPr="00524D52" w:rsidRDefault="00497AFC" w:rsidP="00762C13">
            <w:pPr>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90791"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4438E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850E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E55B830"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8801B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B5F7F6"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F65A3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1F0564F"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2BFC79"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819DC1"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8DA8E3"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94FA0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64480E25"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165BBBD3" w14:textId="77777777" w:rsidTr="003C0395">
        <w:trPr>
          <w:trHeight w:hRule="exact" w:val="227"/>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D42C41B" w14:textId="77777777" w:rsidR="00497AFC" w:rsidRPr="00524D52" w:rsidRDefault="00497AFC" w:rsidP="00762C13">
            <w:pPr>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6A02B8"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F72E8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C1ABA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FE38DCB"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C39A4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03A25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76BA3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D1CF8E"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1447B1"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0F0141"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AFFE0C"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B1C743"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553611F5"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0F8FB533" w14:textId="77777777" w:rsidTr="003C0395">
        <w:trPr>
          <w:trHeight w:hRule="exact" w:val="227"/>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8413CA2" w14:textId="77777777" w:rsidR="00497AFC" w:rsidRPr="00524D52" w:rsidRDefault="00497AFC" w:rsidP="00762C13">
            <w:pPr>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BFE86B"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443B58"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A57D1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DBC4780"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0FCE3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680B1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7D969D"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080682"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EEA4A3"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2EBAFC"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C8311C"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10D7A9"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6A2E5C16"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594A8349"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7272D03" w14:textId="77777777" w:rsidR="00497AFC" w:rsidRPr="00524D52" w:rsidRDefault="00497AFC" w:rsidP="00762C13">
            <w:pPr>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68A81"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2C5C78"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E426C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4AFBF09"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409F1A"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24725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42B7BD"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A8FA27B"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5913D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5AD9B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5E8383"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E8308D"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799B63A4"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575F9C1E" w14:textId="77777777" w:rsidTr="003C0395">
        <w:trPr>
          <w:trHeight w:hRule="exact" w:val="397"/>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1A9B7957" w14:textId="77777777" w:rsidR="00497AFC" w:rsidRPr="00524D52" w:rsidRDefault="00497AFC" w:rsidP="00762C13">
            <w:pPr>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8AAEB5"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5D471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7E4348"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FE804E3"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0495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D95B87"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991F3D"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502ECB"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1FEE18"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EFE127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4165F7B" w14:textId="77777777" w:rsidR="00497AFC" w:rsidRPr="00524D52" w:rsidRDefault="00497AFC" w:rsidP="00762C13">
            <w:pPr>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59B0C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40DF7385" w14:textId="77777777" w:rsidR="00497AFC" w:rsidRPr="00524D52" w:rsidRDefault="00497AFC" w:rsidP="00762C13">
            <w:pPr>
              <w:spacing w:line="240" w:lineRule="auto"/>
              <w:jc w:val="center"/>
              <w:rPr>
                <w:rFonts w:asciiTheme="majorBidi" w:hAnsiTheme="majorBidi" w:cstheme="majorBidi"/>
                <w:sz w:val="16"/>
                <w:szCs w:val="16"/>
                <w:lang w:eastAsia="de-DE"/>
              </w:rPr>
            </w:pPr>
          </w:p>
        </w:tc>
      </w:tr>
      <w:tr w:rsidR="00497AFC" w:rsidRPr="00524D52" w14:paraId="7616314F" w14:textId="77777777" w:rsidTr="003C0395">
        <w:trPr>
          <w:trHeight w:hRule="exact" w:val="567"/>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9F50CD5" w14:textId="77777777" w:rsidR="00497AFC" w:rsidRPr="00524D52" w:rsidRDefault="00497AFC" w:rsidP="00762C13">
            <w:pPr>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FA0A5E"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C7A76"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A2D13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04013D9"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465DD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8C1F6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9CD79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082974"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D2B204D"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xml:space="preserve">0,57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A833004"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5D60803"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 xml:space="preserve">0,57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EFE069F"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0,57</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0250F00F" w14:textId="77777777" w:rsidR="00497AFC" w:rsidRPr="00FB11D5" w:rsidRDefault="00497AFC" w:rsidP="00762C13">
            <w:pPr>
              <w:spacing w:line="240" w:lineRule="auto"/>
              <w:jc w:val="center"/>
              <w:rPr>
                <w:rFonts w:asciiTheme="majorBidi" w:hAnsiTheme="majorBidi" w:cstheme="majorBidi"/>
                <w:b/>
                <w:bCs/>
                <w:sz w:val="16"/>
                <w:szCs w:val="16"/>
                <w:lang w:eastAsia="de-DE"/>
              </w:rPr>
            </w:pPr>
            <w:r w:rsidRPr="00FB11D5">
              <w:rPr>
                <w:rFonts w:asciiTheme="majorBidi" w:hAnsiTheme="majorBidi" w:cstheme="majorBidi"/>
                <w:b/>
                <w:bCs/>
                <w:sz w:val="16"/>
                <w:szCs w:val="16"/>
                <w:lang w:eastAsia="de-DE"/>
              </w:rPr>
              <w:t>1,1</w:t>
            </w:r>
          </w:p>
        </w:tc>
      </w:tr>
      <w:tr w:rsidR="00497AFC" w:rsidRPr="00524D52" w14:paraId="56BF6DE3" w14:textId="77777777" w:rsidTr="003C0395">
        <w:trPr>
          <w:trHeight w:hRule="exact" w:val="227"/>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4C6E96F1"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A1740A"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ED9154"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ED1A5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01902E8"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913CB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D25E4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773C3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4E81FF"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CDDCFF5"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47FA5F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00E1ABE"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824BF17"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34C3CDEB" w14:textId="77777777" w:rsidR="00497AFC" w:rsidRPr="00524D52" w:rsidRDefault="00497AFC" w:rsidP="00762C13">
            <w:pPr>
              <w:spacing w:line="240" w:lineRule="auto"/>
              <w:rPr>
                <w:rFonts w:asciiTheme="majorBidi" w:hAnsiTheme="majorBidi" w:cstheme="majorBidi"/>
                <w:sz w:val="16"/>
                <w:szCs w:val="16"/>
                <w:lang w:eastAsia="de-DE"/>
              </w:rPr>
            </w:pPr>
          </w:p>
        </w:tc>
      </w:tr>
      <w:tr w:rsidR="00497AFC" w:rsidRPr="00524D52" w14:paraId="7208EB65" w14:textId="77777777" w:rsidTr="003C0395">
        <w:trPr>
          <w:trHeight w:hRule="exact" w:val="397"/>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8E77C2E"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3393949A"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Variation on Tyre Size and Brand </w:t>
            </w:r>
            <w:r w:rsidRPr="00524D52">
              <w:rPr>
                <w:rFonts w:asciiTheme="majorBidi" w:hAnsiTheme="majorBidi" w:cstheme="majorBidi"/>
                <w:sz w:val="16"/>
                <w:szCs w:val="16"/>
                <w:lang w:eastAsia="de-DE"/>
              </w:rPr>
              <w:b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FB8B20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2B91DD4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15E3C65D"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3DAD2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7F27D8E6"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36B8F0C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FAF569"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9A5B08A"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472471F"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F1F3174"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AB8E3AB"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7202D742" w14:textId="77777777" w:rsidR="00497AFC" w:rsidRPr="00524D52" w:rsidRDefault="00497AFC" w:rsidP="00762C13">
            <w:pPr>
              <w:spacing w:line="240" w:lineRule="auto"/>
              <w:rPr>
                <w:rFonts w:asciiTheme="majorBidi" w:hAnsiTheme="majorBidi" w:cstheme="majorBidi"/>
                <w:sz w:val="16"/>
                <w:szCs w:val="16"/>
                <w:lang w:eastAsia="de-DE"/>
              </w:rPr>
            </w:pPr>
          </w:p>
        </w:tc>
      </w:tr>
      <w:tr w:rsidR="00497AFC" w:rsidRPr="00524D52" w14:paraId="1F0C0C9C" w14:textId="77777777" w:rsidTr="003C0395">
        <w:trPr>
          <w:trHeight w:hRule="exact" w:val="397"/>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B3B7B99"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14018ACE"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A36BBB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40CCC5E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0AD222DE"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90453D"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4BBCFD8A"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2C5782C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1F35A"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121875B"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E5288B8"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F53F2CE"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2969B41"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16CF0553" w14:textId="77777777" w:rsidR="00497AFC" w:rsidRPr="00524D52" w:rsidRDefault="00497AFC" w:rsidP="00762C13">
            <w:pPr>
              <w:spacing w:line="240" w:lineRule="auto"/>
              <w:rPr>
                <w:rFonts w:asciiTheme="majorBidi" w:hAnsiTheme="majorBidi" w:cstheme="majorBidi"/>
                <w:sz w:val="16"/>
                <w:szCs w:val="16"/>
                <w:lang w:eastAsia="de-DE"/>
              </w:rPr>
            </w:pPr>
          </w:p>
        </w:tc>
      </w:tr>
      <w:tr w:rsidR="00497AFC" w:rsidRPr="00524D52" w14:paraId="44683043" w14:textId="77777777" w:rsidTr="003C0395">
        <w:trPr>
          <w:trHeight w:hRule="exact" w:val="397"/>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C4C6CC7"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0AF5D94D"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Battery state of charge for HEVs </w:t>
            </w:r>
            <w:r w:rsidRPr="00524D52">
              <w:rPr>
                <w:rFonts w:asciiTheme="majorBidi" w:hAnsiTheme="majorBidi" w:cstheme="majorBidi"/>
                <w:sz w:val="16"/>
                <w:szCs w:val="16"/>
                <w:lang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49E0BA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0E310339"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09554C1F"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855ED6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03811503"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0A0FB4FD"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9EF76C"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886B5D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2FAB725"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750EF92"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7036186"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77C10EF8" w14:textId="77777777" w:rsidR="00497AFC" w:rsidRPr="00524D52" w:rsidRDefault="00497AFC" w:rsidP="00762C13">
            <w:pPr>
              <w:spacing w:line="240" w:lineRule="auto"/>
              <w:rPr>
                <w:rFonts w:asciiTheme="majorBidi" w:hAnsiTheme="majorBidi" w:cstheme="majorBidi"/>
                <w:sz w:val="16"/>
                <w:szCs w:val="16"/>
                <w:lang w:eastAsia="de-DE"/>
              </w:rPr>
            </w:pPr>
          </w:p>
        </w:tc>
      </w:tr>
      <w:tr w:rsidR="00497AFC" w:rsidRPr="00524D52" w14:paraId="74CC97F3" w14:textId="77777777" w:rsidTr="00B63974">
        <w:trPr>
          <w:trHeight w:hRule="exact" w:val="397"/>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C105108"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49017FD0"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9913B9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33A7A7FC"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41E434C1"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AC8B18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304F1A4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65AEE87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19B1B8"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EC39D10"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16D31A7"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5169F0B"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FE05EDB"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5DA3ED1F" w14:textId="77777777" w:rsidR="00497AFC" w:rsidRPr="00524D52" w:rsidRDefault="00497AFC" w:rsidP="00762C13">
            <w:pPr>
              <w:spacing w:line="240" w:lineRule="auto"/>
              <w:rPr>
                <w:rFonts w:asciiTheme="majorBidi" w:hAnsiTheme="majorBidi" w:cstheme="majorBidi"/>
                <w:sz w:val="16"/>
                <w:szCs w:val="16"/>
                <w:lang w:eastAsia="de-DE"/>
              </w:rPr>
            </w:pPr>
          </w:p>
        </w:tc>
      </w:tr>
      <w:tr w:rsidR="00497AFC" w:rsidRPr="00524D52" w14:paraId="5C6FE321" w14:textId="77777777" w:rsidTr="00B63974">
        <w:trPr>
          <w:trHeight w:hRule="exact" w:val="227"/>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67EE2F60" w14:textId="77777777" w:rsidR="00497AFC" w:rsidRPr="00524D52" w:rsidRDefault="00497AFC" w:rsidP="00762C13">
            <w:pPr>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79C5782" w14:textId="77777777" w:rsidR="00497AFC" w:rsidRPr="00524D52" w:rsidRDefault="00497AFC" w:rsidP="00762C13">
            <w:pPr>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03D5E3B5"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8D4330"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29575744"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6BB827B"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328953B2"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595C912E" w14:textId="77777777" w:rsidR="00497AFC" w:rsidRPr="00524D52" w:rsidRDefault="00497AFC" w:rsidP="00762C13">
            <w:pPr>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4F3A706B" w14:textId="77777777" w:rsidR="00497AFC" w:rsidRPr="00524D52" w:rsidRDefault="00497AFC" w:rsidP="00762C13">
            <w:pPr>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FF7A97E"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B2DFA7A"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DEEDA89"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4286CB" w14:textId="77777777" w:rsidR="00497AFC" w:rsidRPr="00524D52" w:rsidRDefault="00497AFC" w:rsidP="00762C13">
            <w:pPr>
              <w:spacing w:line="240" w:lineRule="auto"/>
              <w:rPr>
                <w:rFonts w:asciiTheme="majorBidi" w:hAnsiTheme="majorBidi" w:cstheme="majorBidi"/>
                <w:sz w:val="16"/>
                <w:szCs w:val="16"/>
                <w:lang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vAlign w:val="center"/>
          </w:tcPr>
          <w:p w14:paraId="663A0F75" w14:textId="77777777" w:rsidR="00497AFC" w:rsidRPr="00524D52" w:rsidRDefault="00497AFC" w:rsidP="00762C13">
            <w:pPr>
              <w:spacing w:line="240" w:lineRule="auto"/>
              <w:rPr>
                <w:rFonts w:asciiTheme="majorBidi" w:hAnsiTheme="majorBidi" w:cstheme="majorBidi"/>
                <w:sz w:val="16"/>
                <w:szCs w:val="16"/>
                <w:lang w:eastAsia="de-DE"/>
              </w:rPr>
            </w:pPr>
          </w:p>
        </w:tc>
      </w:tr>
    </w:tbl>
    <w:tbl>
      <w:tblPr>
        <w:tblStyle w:val="TableGrid1"/>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E71C4C" w:rsidRPr="006241BB" w14:paraId="3E30DD0F" w14:textId="77777777" w:rsidTr="00D93AAB">
        <w:trPr>
          <w:trHeight w:hRule="exact" w:val="113"/>
        </w:trPr>
        <w:tc>
          <w:tcPr>
            <w:tcW w:w="1985" w:type="dxa"/>
            <w:tcBorders>
              <w:top w:val="nil"/>
              <w:left w:val="nil"/>
              <w:bottom w:val="nil"/>
              <w:right w:val="nil"/>
            </w:tcBorders>
            <w:vAlign w:val="bottom"/>
          </w:tcPr>
          <w:p w14:paraId="477CB0F3" w14:textId="77777777" w:rsidR="00E71C4C" w:rsidRPr="006241BB" w:rsidRDefault="00E71C4C" w:rsidP="00762C13">
            <w:pPr>
              <w:spacing w:line="240" w:lineRule="auto"/>
              <w:jc w:val="center"/>
              <w:rPr>
                <w:bCs/>
                <w:sz w:val="16"/>
                <w:szCs w:val="16"/>
              </w:rPr>
            </w:pPr>
          </w:p>
        </w:tc>
        <w:tc>
          <w:tcPr>
            <w:tcW w:w="1010" w:type="dxa"/>
            <w:tcBorders>
              <w:top w:val="nil"/>
              <w:left w:val="nil"/>
              <w:bottom w:val="nil"/>
              <w:right w:val="nil"/>
            </w:tcBorders>
            <w:vAlign w:val="center"/>
          </w:tcPr>
          <w:p w14:paraId="159D3B64" w14:textId="77777777" w:rsidR="00E71C4C" w:rsidRPr="006241BB" w:rsidRDefault="00E71C4C" w:rsidP="00762C13">
            <w:pPr>
              <w:spacing w:line="240" w:lineRule="auto"/>
              <w:jc w:val="center"/>
              <w:rPr>
                <w:bCs/>
                <w:sz w:val="16"/>
                <w:szCs w:val="16"/>
              </w:rPr>
            </w:pPr>
          </w:p>
        </w:tc>
        <w:tc>
          <w:tcPr>
            <w:tcW w:w="1399" w:type="dxa"/>
            <w:tcBorders>
              <w:top w:val="single" w:sz="4" w:space="0" w:color="auto"/>
              <w:left w:val="nil"/>
              <w:right w:val="nil"/>
            </w:tcBorders>
            <w:vAlign w:val="center"/>
          </w:tcPr>
          <w:p w14:paraId="4BFC1F07" w14:textId="77777777" w:rsidR="00E71C4C" w:rsidRPr="00E71C4C" w:rsidRDefault="00E71C4C" w:rsidP="00762C13">
            <w:pPr>
              <w:spacing w:line="240" w:lineRule="auto"/>
              <w:jc w:val="center"/>
              <w:rPr>
                <w:b/>
                <w:sz w:val="12"/>
                <w:szCs w:val="12"/>
              </w:rPr>
            </w:pPr>
          </w:p>
        </w:tc>
        <w:tc>
          <w:tcPr>
            <w:tcW w:w="1843" w:type="dxa"/>
            <w:tcBorders>
              <w:top w:val="single" w:sz="4" w:space="0" w:color="auto"/>
              <w:left w:val="nil"/>
              <w:right w:val="nil"/>
            </w:tcBorders>
            <w:vAlign w:val="center"/>
          </w:tcPr>
          <w:p w14:paraId="223F361F" w14:textId="77777777" w:rsidR="00E71C4C" w:rsidRPr="00E71C4C" w:rsidRDefault="00E71C4C" w:rsidP="00762C13">
            <w:pPr>
              <w:spacing w:line="240" w:lineRule="auto"/>
              <w:jc w:val="center"/>
              <w:rPr>
                <w:b/>
                <w:sz w:val="12"/>
                <w:szCs w:val="12"/>
              </w:rPr>
            </w:pPr>
          </w:p>
        </w:tc>
        <w:tc>
          <w:tcPr>
            <w:tcW w:w="700" w:type="dxa"/>
            <w:tcBorders>
              <w:top w:val="nil"/>
              <w:left w:val="nil"/>
              <w:bottom w:val="nil"/>
              <w:right w:val="nil"/>
            </w:tcBorders>
            <w:vAlign w:val="center"/>
          </w:tcPr>
          <w:p w14:paraId="6E0C1049" w14:textId="77777777" w:rsidR="00E71C4C" w:rsidRPr="00E71C4C" w:rsidRDefault="00E71C4C" w:rsidP="00762C13">
            <w:pPr>
              <w:spacing w:line="240" w:lineRule="auto"/>
              <w:jc w:val="center"/>
              <w:rPr>
                <w:bCs/>
                <w:sz w:val="12"/>
                <w:szCs w:val="12"/>
              </w:rPr>
            </w:pPr>
          </w:p>
        </w:tc>
        <w:tc>
          <w:tcPr>
            <w:tcW w:w="2844" w:type="dxa"/>
            <w:gridSpan w:val="3"/>
            <w:tcBorders>
              <w:top w:val="single" w:sz="4" w:space="0" w:color="auto"/>
              <w:left w:val="nil"/>
              <w:right w:val="nil"/>
            </w:tcBorders>
            <w:vAlign w:val="center"/>
          </w:tcPr>
          <w:p w14:paraId="5FD9B63B" w14:textId="77777777" w:rsidR="00E71C4C" w:rsidRPr="00E71C4C" w:rsidRDefault="00E71C4C" w:rsidP="00762C13">
            <w:pPr>
              <w:spacing w:line="240" w:lineRule="auto"/>
              <w:jc w:val="center"/>
              <w:rPr>
                <w:b/>
                <w:sz w:val="12"/>
                <w:szCs w:val="12"/>
              </w:rPr>
            </w:pPr>
          </w:p>
        </w:tc>
      </w:tr>
      <w:tr w:rsidR="001E3179" w:rsidRPr="006241BB" w14:paraId="4A6131D6" w14:textId="77777777" w:rsidTr="00855337">
        <w:trPr>
          <w:trHeight w:hRule="exact" w:val="255"/>
        </w:trPr>
        <w:tc>
          <w:tcPr>
            <w:tcW w:w="1985" w:type="dxa"/>
            <w:tcBorders>
              <w:top w:val="nil"/>
              <w:left w:val="nil"/>
              <w:bottom w:val="nil"/>
              <w:right w:val="nil"/>
            </w:tcBorders>
            <w:vAlign w:val="bottom"/>
          </w:tcPr>
          <w:p w14:paraId="398B768A" w14:textId="77777777" w:rsidR="001E3179" w:rsidRPr="006241BB" w:rsidRDefault="001E3179" w:rsidP="00762C13">
            <w:pPr>
              <w:spacing w:line="240" w:lineRule="auto"/>
              <w:jc w:val="center"/>
              <w:rPr>
                <w:bCs/>
                <w:sz w:val="16"/>
                <w:szCs w:val="16"/>
              </w:rPr>
            </w:pPr>
          </w:p>
        </w:tc>
        <w:tc>
          <w:tcPr>
            <w:tcW w:w="1010" w:type="dxa"/>
            <w:tcBorders>
              <w:top w:val="nil"/>
              <w:left w:val="nil"/>
              <w:bottom w:val="nil"/>
              <w:right w:val="single" w:sz="4" w:space="0" w:color="auto"/>
            </w:tcBorders>
            <w:vAlign w:val="center"/>
          </w:tcPr>
          <w:p w14:paraId="364F6FB7" w14:textId="77777777" w:rsidR="001E3179" w:rsidRPr="006241BB" w:rsidRDefault="001E3179" w:rsidP="00762C13">
            <w:pPr>
              <w:spacing w:line="240" w:lineRule="auto"/>
              <w:jc w:val="center"/>
              <w:rPr>
                <w:bCs/>
                <w:sz w:val="16"/>
                <w:szCs w:val="16"/>
              </w:rPr>
            </w:pPr>
          </w:p>
        </w:tc>
        <w:tc>
          <w:tcPr>
            <w:tcW w:w="1399" w:type="dxa"/>
            <w:vMerge w:val="restart"/>
            <w:tcBorders>
              <w:top w:val="single" w:sz="4" w:space="0" w:color="auto"/>
              <w:left w:val="single" w:sz="4" w:space="0" w:color="auto"/>
            </w:tcBorders>
            <w:vAlign w:val="center"/>
          </w:tcPr>
          <w:p w14:paraId="207D8252" w14:textId="6343E888" w:rsidR="001E3179" w:rsidRPr="006241BB" w:rsidRDefault="001E3179" w:rsidP="00762C13">
            <w:pPr>
              <w:spacing w:line="240" w:lineRule="auto"/>
              <w:jc w:val="center"/>
              <w:rPr>
                <w:b/>
                <w:sz w:val="16"/>
                <w:szCs w:val="16"/>
              </w:rPr>
            </w:pPr>
            <w:r w:rsidRPr="006241BB">
              <w:rPr>
                <w:b/>
                <w:sz w:val="16"/>
                <w:szCs w:val="16"/>
              </w:rPr>
              <w:t>Overall Combined Uncertainty +/-</w:t>
            </w:r>
          </w:p>
        </w:tc>
        <w:tc>
          <w:tcPr>
            <w:tcW w:w="1843" w:type="dxa"/>
            <w:vMerge w:val="restart"/>
            <w:tcBorders>
              <w:top w:val="single" w:sz="4" w:space="0" w:color="auto"/>
              <w:right w:val="single" w:sz="4" w:space="0" w:color="auto"/>
            </w:tcBorders>
            <w:shd w:val="clear" w:color="auto" w:fill="E7E6E6" w:themeFill="background2"/>
            <w:vAlign w:val="center"/>
          </w:tcPr>
          <w:p w14:paraId="09FD382B" w14:textId="753ED479" w:rsidR="001E3179" w:rsidRPr="006241BB" w:rsidRDefault="001E3179" w:rsidP="00762C13">
            <w:pPr>
              <w:spacing w:line="240" w:lineRule="auto"/>
              <w:jc w:val="center"/>
              <w:rPr>
                <w:b/>
                <w:sz w:val="16"/>
                <w:szCs w:val="16"/>
              </w:rPr>
            </w:pPr>
            <w:r w:rsidRPr="006241BB">
              <w:rPr>
                <w:b/>
                <w:sz w:val="16"/>
                <w:szCs w:val="16"/>
              </w:rPr>
              <w:t>Overall</w:t>
            </w:r>
            <w:r w:rsidRPr="006241BB">
              <w:rPr>
                <w:b/>
                <w:sz w:val="16"/>
                <w:szCs w:val="16"/>
              </w:rPr>
              <w:br/>
              <w:t>Expanded uncertainty (95%) +/-</w:t>
            </w:r>
          </w:p>
        </w:tc>
        <w:tc>
          <w:tcPr>
            <w:tcW w:w="700" w:type="dxa"/>
            <w:tcBorders>
              <w:top w:val="nil"/>
              <w:left w:val="single" w:sz="4" w:space="0" w:color="auto"/>
              <w:bottom w:val="nil"/>
              <w:right w:val="single" w:sz="4" w:space="0" w:color="auto"/>
            </w:tcBorders>
            <w:vAlign w:val="center"/>
          </w:tcPr>
          <w:p w14:paraId="52607BD2" w14:textId="77777777" w:rsidR="001E3179" w:rsidRPr="006241BB" w:rsidRDefault="001E3179" w:rsidP="00762C13">
            <w:pPr>
              <w:spacing w:line="240" w:lineRule="auto"/>
              <w:jc w:val="center"/>
              <w:rPr>
                <w:bCs/>
                <w:sz w:val="16"/>
                <w:szCs w:val="16"/>
              </w:rPr>
            </w:pPr>
          </w:p>
        </w:tc>
        <w:tc>
          <w:tcPr>
            <w:tcW w:w="284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354E1A4" w14:textId="4D23BF32" w:rsidR="001E3179" w:rsidRPr="006241BB" w:rsidRDefault="001E3179" w:rsidP="00762C13">
            <w:pPr>
              <w:spacing w:line="240" w:lineRule="auto"/>
              <w:jc w:val="center"/>
              <w:rPr>
                <w:b/>
                <w:sz w:val="16"/>
                <w:szCs w:val="16"/>
              </w:rPr>
            </w:pPr>
            <w:r w:rsidRPr="006241BB">
              <w:rPr>
                <w:b/>
                <w:sz w:val="16"/>
                <w:szCs w:val="16"/>
              </w:rPr>
              <w:t>Expanded uncertainty (95%) +/-</w:t>
            </w:r>
          </w:p>
        </w:tc>
      </w:tr>
      <w:tr w:rsidR="00F252DE" w:rsidRPr="006241BB" w14:paraId="1EF99786" w14:textId="77777777" w:rsidTr="006241BB">
        <w:trPr>
          <w:trHeight w:hRule="exact" w:val="428"/>
        </w:trPr>
        <w:tc>
          <w:tcPr>
            <w:tcW w:w="1985" w:type="dxa"/>
            <w:tcBorders>
              <w:top w:val="nil"/>
              <w:left w:val="nil"/>
              <w:bottom w:val="nil"/>
              <w:right w:val="nil"/>
            </w:tcBorders>
            <w:vAlign w:val="center"/>
          </w:tcPr>
          <w:p w14:paraId="33194B14" w14:textId="66EB0F04" w:rsidR="00F252DE" w:rsidRPr="006241BB" w:rsidRDefault="00F252DE" w:rsidP="00F252DE">
            <w:pPr>
              <w:suppressAutoHyphens w:val="0"/>
              <w:spacing w:line="240" w:lineRule="auto"/>
              <w:jc w:val="center"/>
              <w:rPr>
                <w:b/>
                <w:sz w:val="16"/>
                <w:szCs w:val="16"/>
              </w:rPr>
            </w:pPr>
          </w:p>
        </w:tc>
        <w:tc>
          <w:tcPr>
            <w:tcW w:w="1010" w:type="dxa"/>
            <w:vMerge w:val="restart"/>
            <w:tcBorders>
              <w:top w:val="nil"/>
              <w:left w:val="nil"/>
              <w:bottom w:val="nil"/>
              <w:right w:val="single" w:sz="4" w:space="0" w:color="auto"/>
            </w:tcBorders>
            <w:vAlign w:val="center"/>
          </w:tcPr>
          <w:p w14:paraId="6C620B70" w14:textId="77777777" w:rsidR="00F252DE" w:rsidRPr="006241BB" w:rsidRDefault="00F252DE" w:rsidP="00F252DE">
            <w:pPr>
              <w:suppressAutoHyphens w:val="0"/>
              <w:spacing w:line="240" w:lineRule="auto"/>
              <w:jc w:val="center"/>
              <w:rPr>
                <w:b/>
                <w:sz w:val="16"/>
                <w:szCs w:val="16"/>
              </w:rPr>
            </w:pPr>
          </w:p>
        </w:tc>
        <w:tc>
          <w:tcPr>
            <w:tcW w:w="1399" w:type="dxa"/>
            <w:vMerge/>
            <w:tcBorders>
              <w:left w:val="single" w:sz="4" w:space="0" w:color="auto"/>
            </w:tcBorders>
            <w:vAlign w:val="center"/>
          </w:tcPr>
          <w:p w14:paraId="085DCB57" w14:textId="57A9381B" w:rsidR="00F252DE" w:rsidRPr="006241BB" w:rsidRDefault="00F252DE" w:rsidP="00F252DE">
            <w:pPr>
              <w:suppressAutoHyphens w:val="0"/>
              <w:spacing w:line="240" w:lineRule="auto"/>
              <w:jc w:val="center"/>
              <w:rPr>
                <w:b/>
                <w:sz w:val="16"/>
                <w:szCs w:val="16"/>
              </w:rPr>
            </w:pPr>
          </w:p>
        </w:tc>
        <w:tc>
          <w:tcPr>
            <w:tcW w:w="1843" w:type="dxa"/>
            <w:vMerge/>
            <w:tcBorders>
              <w:right w:val="single" w:sz="4" w:space="0" w:color="auto"/>
            </w:tcBorders>
            <w:shd w:val="clear" w:color="auto" w:fill="E7E6E6" w:themeFill="background2"/>
            <w:vAlign w:val="center"/>
          </w:tcPr>
          <w:p w14:paraId="114E81A1" w14:textId="13A08325" w:rsidR="00F252DE" w:rsidRPr="006241BB" w:rsidRDefault="00F252DE" w:rsidP="00F252DE">
            <w:pPr>
              <w:suppressAutoHyphens w:val="0"/>
              <w:spacing w:line="240" w:lineRule="auto"/>
              <w:jc w:val="center"/>
              <w:rPr>
                <w:b/>
                <w:sz w:val="16"/>
                <w:szCs w:val="16"/>
              </w:rPr>
            </w:pPr>
          </w:p>
        </w:tc>
        <w:tc>
          <w:tcPr>
            <w:tcW w:w="700" w:type="dxa"/>
            <w:vMerge w:val="restart"/>
            <w:tcBorders>
              <w:top w:val="nil"/>
              <w:left w:val="single" w:sz="4" w:space="0" w:color="auto"/>
              <w:bottom w:val="nil"/>
              <w:right w:val="single" w:sz="4" w:space="0" w:color="auto"/>
            </w:tcBorders>
            <w:vAlign w:val="center"/>
          </w:tcPr>
          <w:p w14:paraId="0BCFB9BC" w14:textId="77777777" w:rsidR="00F252DE" w:rsidRPr="006241BB" w:rsidRDefault="00F252DE" w:rsidP="00F252DE">
            <w:pPr>
              <w:suppressAutoHyphens w:val="0"/>
              <w:spacing w:line="240" w:lineRule="auto"/>
              <w:jc w:val="center"/>
              <w:rPr>
                <w:b/>
                <w:sz w:val="16"/>
                <w:szCs w:val="16"/>
              </w:rPr>
            </w:pPr>
          </w:p>
        </w:tc>
        <w:tc>
          <w:tcPr>
            <w:tcW w:w="1028" w:type="dxa"/>
            <w:tcBorders>
              <w:top w:val="single" w:sz="4" w:space="0" w:color="auto"/>
              <w:left w:val="single" w:sz="4" w:space="0" w:color="auto"/>
            </w:tcBorders>
            <w:shd w:val="clear" w:color="auto" w:fill="D9D9D9" w:themeFill="background1" w:themeFillShade="D9"/>
            <w:vAlign w:val="center"/>
          </w:tcPr>
          <w:p w14:paraId="3B151646" w14:textId="77777777" w:rsidR="00F252DE" w:rsidRPr="006241BB" w:rsidRDefault="00F252DE" w:rsidP="00F252DE">
            <w:pPr>
              <w:suppressAutoHyphens w:val="0"/>
              <w:spacing w:line="240" w:lineRule="auto"/>
              <w:jc w:val="center"/>
              <w:rPr>
                <w:b/>
                <w:sz w:val="16"/>
                <w:szCs w:val="16"/>
              </w:rPr>
            </w:pPr>
            <w:r w:rsidRPr="006241BB">
              <w:rPr>
                <w:b/>
                <w:sz w:val="16"/>
                <w:szCs w:val="16"/>
              </w:rPr>
              <w:t>Type Approval</w:t>
            </w:r>
          </w:p>
        </w:tc>
        <w:tc>
          <w:tcPr>
            <w:tcW w:w="824" w:type="dxa"/>
            <w:tcBorders>
              <w:top w:val="single" w:sz="4" w:space="0" w:color="auto"/>
            </w:tcBorders>
            <w:shd w:val="clear" w:color="auto" w:fill="D9D9D9" w:themeFill="background1" w:themeFillShade="D9"/>
            <w:vAlign w:val="center"/>
          </w:tcPr>
          <w:p w14:paraId="33043F04" w14:textId="77777777" w:rsidR="00F252DE" w:rsidRPr="006241BB" w:rsidRDefault="00F252DE" w:rsidP="00F252DE">
            <w:pPr>
              <w:suppressAutoHyphens w:val="0"/>
              <w:spacing w:line="240" w:lineRule="auto"/>
              <w:jc w:val="center"/>
              <w:rPr>
                <w:b/>
                <w:sz w:val="16"/>
                <w:szCs w:val="16"/>
              </w:rPr>
            </w:pPr>
            <w:r w:rsidRPr="006241BB">
              <w:rPr>
                <w:b/>
                <w:sz w:val="16"/>
                <w:szCs w:val="16"/>
              </w:rPr>
              <w:t>CoP</w:t>
            </w:r>
          </w:p>
        </w:tc>
        <w:tc>
          <w:tcPr>
            <w:tcW w:w="992" w:type="dxa"/>
            <w:tcBorders>
              <w:top w:val="single" w:sz="4" w:space="0" w:color="auto"/>
              <w:right w:val="single" w:sz="4" w:space="0" w:color="auto"/>
            </w:tcBorders>
            <w:shd w:val="clear" w:color="auto" w:fill="D9D9D9" w:themeFill="background1" w:themeFillShade="D9"/>
            <w:vAlign w:val="center"/>
          </w:tcPr>
          <w:p w14:paraId="44F25026" w14:textId="77777777" w:rsidR="00F252DE" w:rsidRPr="006241BB" w:rsidRDefault="00F252DE" w:rsidP="00F252DE">
            <w:pPr>
              <w:suppressAutoHyphens w:val="0"/>
              <w:spacing w:line="240" w:lineRule="auto"/>
              <w:jc w:val="center"/>
              <w:rPr>
                <w:b/>
                <w:sz w:val="16"/>
                <w:szCs w:val="16"/>
              </w:rPr>
            </w:pPr>
            <w:r w:rsidRPr="006241BB">
              <w:rPr>
                <w:b/>
                <w:sz w:val="16"/>
                <w:szCs w:val="16"/>
              </w:rPr>
              <w:t>Field Test</w:t>
            </w:r>
          </w:p>
        </w:tc>
      </w:tr>
      <w:tr w:rsidR="00F252DE" w:rsidRPr="00CB3BF8" w14:paraId="701CBECD" w14:textId="77777777" w:rsidTr="0071318F">
        <w:trPr>
          <w:trHeight w:hRule="exact" w:val="278"/>
        </w:trPr>
        <w:tc>
          <w:tcPr>
            <w:tcW w:w="1985" w:type="dxa"/>
            <w:tcBorders>
              <w:top w:val="nil"/>
              <w:left w:val="nil"/>
              <w:bottom w:val="nil"/>
              <w:right w:val="nil"/>
            </w:tcBorders>
            <w:vAlign w:val="center"/>
          </w:tcPr>
          <w:p w14:paraId="774A4194" w14:textId="62ABF0B5" w:rsidR="00F252DE" w:rsidRPr="00CB3BF8" w:rsidRDefault="00F252DE" w:rsidP="00F252DE">
            <w:pPr>
              <w:suppressAutoHyphens w:val="0"/>
              <w:spacing w:line="240" w:lineRule="auto"/>
              <w:jc w:val="center"/>
              <w:rPr>
                <w:b/>
              </w:rPr>
            </w:pPr>
          </w:p>
        </w:tc>
        <w:tc>
          <w:tcPr>
            <w:tcW w:w="1010" w:type="dxa"/>
            <w:vMerge/>
            <w:tcBorders>
              <w:top w:val="nil"/>
              <w:left w:val="nil"/>
              <w:bottom w:val="nil"/>
              <w:right w:val="single" w:sz="4" w:space="0" w:color="auto"/>
            </w:tcBorders>
            <w:vAlign w:val="center"/>
          </w:tcPr>
          <w:p w14:paraId="76C2B77C" w14:textId="77777777" w:rsidR="00F252DE" w:rsidRPr="00CB3BF8" w:rsidRDefault="00F252DE" w:rsidP="00F252DE">
            <w:pPr>
              <w:suppressAutoHyphens w:val="0"/>
              <w:spacing w:line="240" w:lineRule="auto"/>
              <w:jc w:val="center"/>
              <w:rPr>
                <w:b/>
              </w:rPr>
            </w:pPr>
          </w:p>
        </w:tc>
        <w:tc>
          <w:tcPr>
            <w:tcW w:w="1399" w:type="dxa"/>
            <w:tcBorders>
              <w:left w:val="single" w:sz="4" w:space="0" w:color="auto"/>
              <w:bottom w:val="single" w:sz="4" w:space="0" w:color="auto"/>
            </w:tcBorders>
            <w:shd w:val="clear" w:color="auto" w:fill="000000" w:themeFill="text1"/>
            <w:vAlign w:val="center"/>
          </w:tcPr>
          <w:p w14:paraId="2705FF78" w14:textId="77777777" w:rsidR="00F252DE" w:rsidRPr="0071318F" w:rsidRDefault="00F252DE" w:rsidP="00F252DE">
            <w:pPr>
              <w:suppressAutoHyphens w:val="0"/>
              <w:spacing w:line="240" w:lineRule="auto"/>
              <w:jc w:val="center"/>
              <w:rPr>
                <w:b/>
                <w:sz w:val="22"/>
                <w:szCs w:val="22"/>
              </w:rPr>
            </w:pPr>
            <w:r w:rsidRPr="0071318F">
              <w:rPr>
                <w:b/>
                <w:sz w:val="22"/>
                <w:szCs w:val="22"/>
              </w:rPr>
              <w:t>1,73</w:t>
            </w:r>
          </w:p>
        </w:tc>
        <w:tc>
          <w:tcPr>
            <w:tcW w:w="1843" w:type="dxa"/>
            <w:tcBorders>
              <w:bottom w:val="single" w:sz="4" w:space="0" w:color="auto"/>
              <w:right w:val="single" w:sz="4" w:space="0" w:color="auto"/>
            </w:tcBorders>
            <w:shd w:val="clear" w:color="auto" w:fill="000000" w:themeFill="text1"/>
            <w:vAlign w:val="center"/>
          </w:tcPr>
          <w:p w14:paraId="2C2655F8" w14:textId="7B50A148" w:rsidR="00F252DE" w:rsidRPr="0071318F" w:rsidRDefault="00F252DE" w:rsidP="00F252DE">
            <w:pPr>
              <w:suppressAutoHyphens w:val="0"/>
              <w:spacing w:line="240" w:lineRule="auto"/>
              <w:jc w:val="center"/>
              <w:rPr>
                <w:b/>
                <w:sz w:val="22"/>
                <w:szCs w:val="22"/>
              </w:rPr>
            </w:pPr>
            <w:r w:rsidRPr="0071318F">
              <w:rPr>
                <w:b/>
                <w:sz w:val="22"/>
                <w:szCs w:val="22"/>
              </w:rPr>
              <w:t>3,</w:t>
            </w:r>
            <w:r w:rsidR="00A6299B">
              <w:rPr>
                <w:b/>
                <w:sz w:val="22"/>
                <w:szCs w:val="22"/>
              </w:rPr>
              <w:t>46</w:t>
            </w:r>
          </w:p>
        </w:tc>
        <w:tc>
          <w:tcPr>
            <w:tcW w:w="700" w:type="dxa"/>
            <w:vMerge/>
            <w:tcBorders>
              <w:top w:val="nil"/>
              <w:left w:val="single" w:sz="4" w:space="0" w:color="auto"/>
              <w:bottom w:val="nil"/>
              <w:right w:val="single" w:sz="4" w:space="0" w:color="auto"/>
            </w:tcBorders>
            <w:vAlign w:val="center"/>
          </w:tcPr>
          <w:p w14:paraId="55BCC77C" w14:textId="77777777" w:rsidR="00F252DE" w:rsidRPr="0071318F" w:rsidRDefault="00F252DE" w:rsidP="00F252DE">
            <w:pPr>
              <w:suppressAutoHyphens w:val="0"/>
              <w:spacing w:line="240" w:lineRule="auto"/>
              <w:jc w:val="center"/>
              <w:rPr>
                <w:b/>
                <w:sz w:val="22"/>
                <w:szCs w:val="22"/>
              </w:rPr>
            </w:pPr>
          </w:p>
        </w:tc>
        <w:tc>
          <w:tcPr>
            <w:tcW w:w="1028" w:type="dxa"/>
            <w:tcBorders>
              <w:left w:val="single" w:sz="4" w:space="0" w:color="auto"/>
              <w:bottom w:val="single" w:sz="4" w:space="0" w:color="auto"/>
            </w:tcBorders>
            <w:shd w:val="clear" w:color="auto" w:fill="000000" w:themeFill="text1"/>
            <w:vAlign w:val="center"/>
          </w:tcPr>
          <w:p w14:paraId="463DC952" w14:textId="654E328D" w:rsidR="00F252DE" w:rsidRPr="0071318F" w:rsidRDefault="00F252DE" w:rsidP="00F252DE">
            <w:pPr>
              <w:suppressAutoHyphens w:val="0"/>
              <w:spacing w:line="240" w:lineRule="auto"/>
              <w:jc w:val="center"/>
              <w:rPr>
                <w:b/>
                <w:sz w:val="22"/>
                <w:szCs w:val="22"/>
              </w:rPr>
            </w:pPr>
            <w:r w:rsidRPr="0071318F">
              <w:rPr>
                <w:b/>
                <w:sz w:val="22"/>
                <w:szCs w:val="22"/>
              </w:rPr>
              <w:t>2,1</w:t>
            </w:r>
            <w:r w:rsidR="00670783">
              <w:rPr>
                <w:b/>
                <w:sz w:val="22"/>
                <w:szCs w:val="22"/>
              </w:rPr>
              <w:t>2</w:t>
            </w:r>
          </w:p>
        </w:tc>
        <w:tc>
          <w:tcPr>
            <w:tcW w:w="824" w:type="dxa"/>
            <w:tcBorders>
              <w:bottom w:val="single" w:sz="4" w:space="0" w:color="auto"/>
            </w:tcBorders>
            <w:shd w:val="clear" w:color="auto" w:fill="000000" w:themeFill="text1"/>
            <w:vAlign w:val="center"/>
          </w:tcPr>
          <w:p w14:paraId="4B61307F" w14:textId="03F6304E" w:rsidR="00F252DE" w:rsidRPr="0071318F" w:rsidRDefault="00F252DE" w:rsidP="00F252DE">
            <w:pPr>
              <w:suppressAutoHyphens w:val="0"/>
              <w:spacing w:line="240" w:lineRule="auto"/>
              <w:jc w:val="center"/>
              <w:rPr>
                <w:b/>
                <w:sz w:val="22"/>
                <w:szCs w:val="22"/>
              </w:rPr>
            </w:pPr>
            <w:r w:rsidRPr="0071318F">
              <w:rPr>
                <w:b/>
                <w:sz w:val="22"/>
                <w:szCs w:val="22"/>
              </w:rPr>
              <w:t>2,7</w:t>
            </w:r>
            <w:r w:rsidR="00670783">
              <w:rPr>
                <w:b/>
                <w:sz w:val="22"/>
                <w:szCs w:val="22"/>
              </w:rPr>
              <w:t>1</w:t>
            </w:r>
          </w:p>
        </w:tc>
        <w:tc>
          <w:tcPr>
            <w:tcW w:w="992" w:type="dxa"/>
            <w:tcBorders>
              <w:bottom w:val="single" w:sz="4" w:space="0" w:color="auto"/>
              <w:right w:val="single" w:sz="4" w:space="0" w:color="auto"/>
            </w:tcBorders>
            <w:shd w:val="clear" w:color="auto" w:fill="000000" w:themeFill="text1"/>
            <w:vAlign w:val="center"/>
          </w:tcPr>
          <w:p w14:paraId="6A8E4C94" w14:textId="62B54CFE" w:rsidR="00F252DE" w:rsidRPr="0071318F" w:rsidRDefault="00F252DE" w:rsidP="00F252DE">
            <w:pPr>
              <w:suppressAutoHyphens w:val="0"/>
              <w:spacing w:line="240" w:lineRule="auto"/>
              <w:jc w:val="center"/>
              <w:rPr>
                <w:b/>
                <w:sz w:val="22"/>
                <w:szCs w:val="22"/>
              </w:rPr>
            </w:pPr>
            <w:r w:rsidRPr="0071318F">
              <w:rPr>
                <w:b/>
                <w:sz w:val="22"/>
                <w:szCs w:val="22"/>
              </w:rPr>
              <w:t>3,</w:t>
            </w:r>
            <w:r w:rsidR="00554BF8">
              <w:rPr>
                <w:b/>
                <w:sz w:val="22"/>
                <w:szCs w:val="22"/>
              </w:rPr>
              <w:t>46</w:t>
            </w:r>
          </w:p>
        </w:tc>
      </w:tr>
    </w:tbl>
    <w:p w14:paraId="613544BA" w14:textId="77777777" w:rsidR="001C2C44" w:rsidRDefault="001C2C44" w:rsidP="000A2D4C">
      <w:pPr>
        <w:ind w:left="1134"/>
        <w:rPr>
          <w:rFonts w:ascii="Times New Roman" w:hAnsi="Times New Roman" w:cs="Times New Roman"/>
          <w:i/>
          <w:iCs/>
          <w:sz w:val="20"/>
          <w:szCs w:val="20"/>
        </w:rPr>
      </w:pPr>
    </w:p>
    <w:p w14:paraId="5D8B16F4" w14:textId="539A6CE2" w:rsidR="00020C2D" w:rsidRPr="0005145D" w:rsidRDefault="00020C2D" w:rsidP="000A2D4C">
      <w:pPr>
        <w:ind w:left="1134"/>
        <w:rPr>
          <w:rFonts w:ascii="Times New Roman" w:hAnsi="Times New Roman" w:cs="Times New Roman"/>
          <w:i/>
          <w:iCs/>
          <w:sz w:val="20"/>
          <w:szCs w:val="20"/>
        </w:rPr>
      </w:pPr>
      <w:r w:rsidRPr="0005145D">
        <w:rPr>
          <w:rFonts w:ascii="Times New Roman" w:hAnsi="Times New Roman" w:cs="Times New Roman"/>
          <w:i/>
          <w:iCs/>
          <w:sz w:val="20"/>
          <w:szCs w:val="20"/>
        </w:rPr>
        <w:t>Paragraph 7</w:t>
      </w:r>
      <w:r w:rsidR="000A2D4C" w:rsidRPr="0005145D">
        <w:rPr>
          <w:rFonts w:ascii="Times New Roman" w:hAnsi="Times New Roman" w:cs="Times New Roman"/>
          <w:i/>
          <w:iCs/>
          <w:sz w:val="20"/>
          <w:szCs w:val="20"/>
        </w:rPr>
        <w:t>,</w:t>
      </w:r>
      <w:r w:rsidRPr="0005145D">
        <w:rPr>
          <w:rFonts w:ascii="Times New Roman" w:hAnsi="Times New Roman" w:cs="Times New Roman"/>
          <w:i/>
          <w:iCs/>
          <w:sz w:val="20"/>
          <w:szCs w:val="20"/>
        </w:rPr>
        <w:t xml:space="preserve"> </w:t>
      </w:r>
      <w:r w:rsidR="000A2D4C" w:rsidRPr="0005145D">
        <w:rPr>
          <w:rFonts w:ascii="Times New Roman" w:hAnsi="Times New Roman" w:cs="Times New Roman"/>
          <w:sz w:val="20"/>
          <w:szCs w:val="20"/>
        </w:rPr>
        <w:t>i</w:t>
      </w:r>
      <w:r w:rsidRPr="0005145D">
        <w:rPr>
          <w:rFonts w:ascii="Times New Roman" w:hAnsi="Times New Roman" w:cs="Times New Roman"/>
          <w:sz w:val="20"/>
          <w:szCs w:val="20"/>
        </w:rPr>
        <w:t>nsert new table 7.2.</w:t>
      </w:r>
      <w:r w:rsidR="000A2D4C" w:rsidRPr="0005145D">
        <w:rPr>
          <w:rFonts w:ascii="Times New Roman" w:hAnsi="Times New Roman" w:cs="Times New Roman"/>
          <w:sz w:val="20"/>
          <w:szCs w:val="20"/>
        </w:rPr>
        <w:t>:</w:t>
      </w:r>
    </w:p>
    <w:p w14:paraId="78FD94A7" w14:textId="2C298927" w:rsidR="00020C2D" w:rsidRPr="0005145D" w:rsidRDefault="00020C2D" w:rsidP="000A2D4C">
      <w:pPr>
        <w:suppressAutoHyphens/>
        <w:spacing w:after="0" w:line="240" w:lineRule="auto"/>
        <w:ind w:left="1134"/>
        <w:outlineLvl w:val="0"/>
        <w:rPr>
          <w:rFonts w:ascii="Times New Roman" w:eastAsia="Times New Roman" w:hAnsi="Times New Roman" w:cs="Times New Roman"/>
          <w:b/>
          <w:sz w:val="20"/>
          <w:szCs w:val="20"/>
        </w:rPr>
      </w:pPr>
      <w:r w:rsidRPr="0005145D">
        <w:rPr>
          <w:rFonts w:ascii="Times New Roman" w:eastAsia="Times New Roman" w:hAnsi="Times New Roman" w:cs="Times New Roman"/>
          <w:b/>
          <w:sz w:val="20"/>
          <w:szCs w:val="20"/>
        </w:rPr>
        <w:t>Table 7.2</w:t>
      </w:r>
      <w:r w:rsidRPr="0005145D">
        <w:rPr>
          <w:rFonts w:eastAsia="Times New Roman"/>
          <w:b/>
        </w:rPr>
        <w:footnoteReference w:customMarkFollows="1" w:id="3"/>
        <w:t>**</w:t>
      </w:r>
    </w:p>
    <w:p w14:paraId="333CD19E" w14:textId="77777777" w:rsidR="00020C2D" w:rsidRPr="0005145D" w:rsidRDefault="00020C2D" w:rsidP="00CE70C6">
      <w:pPr>
        <w:suppressAutoHyphens/>
        <w:spacing w:after="0" w:line="240" w:lineRule="atLeast"/>
        <w:ind w:left="1134"/>
        <w:outlineLvl w:val="0"/>
        <w:rPr>
          <w:rFonts w:ascii="Times New Roman" w:hAnsi="Times New Roman" w:cs="Times New Roman"/>
          <w:b/>
          <w:sz w:val="20"/>
          <w:szCs w:val="20"/>
        </w:rPr>
      </w:pPr>
      <w:r w:rsidRPr="0005145D">
        <w:rPr>
          <w:rFonts w:ascii="Times New Roman" w:hAnsi="Times New Roman" w:cs="Times New Roman"/>
          <w:b/>
          <w:sz w:val="20"/>
          <w:szCs w:val="20"/>
        </w:rPr>
        <w:t>Example of calculation of uncertainties for UN Regulation No. 51:</w:t>
      </w:r>
    </w:p>
    <w:p w14:paraId="3F426A0C" w14:textId="77777777" w:rsidR="00020C2D" w:rsidRPr="0005145D" w:rsidRDefault="00020C2D" w:rsidP="00020C2D">
      <w:pPr>
        <w:spacing w:after="120"/>
        <w:ind w:left="1134"/>
        <w:outlineLvl w:val="0"/>
        <w:rPr>
          <w:rFonts w:ascii="Times New Roman" w:hAnsi="Times New Roman" w:cs="Times New Roman"/>
          <w:b/>
          <w:sz w:val="20"/>
          <w:szCs w:val="20"/>
        </w:rPr>
      </w:pPr>
      <w:r w:rsidRPr="0005145D">
        <w:rPr>
          <w:rFonts w:ascii="Times New Roman" w:hAnsi="Times New Roman" w:cs="Times New Roman"/>
          <w:b/>
          <w:sz w:val="20"/>
          <w:szCs w:val="20"/>
        </w:rPr>
        <w:t>Measurement uncertainty table for M</w:t>
      </w:r>
      <w:r w:rsidRPr="0005145D">
        <w:rPr>
          <w:rFonts w:ascii="Times New Roman" w:hAnsi="Times New Roman" w:cs="Times New Roman"/>
          <w:b/>
          <w:sz w:val="20"/>
          <w:szCs w:val="20"/>
          <w:vertAlign w:val="subscript"/>
        </w:rPr>
        <w:t>2</w:t>
      </w:r>
      <w:r w:rsidRPr="0005145D">
        <w:rPr>
          <w:rFonts w:ascii="Times New Roman" w:hAnsi="Times New Roman" w:cs="Times New Roman"/>
          <w:b/>
          <w:sz w:val="20"/>
          <w:szCs w:val="20"/>
        </w:rPr>
        <w:t xml:space="preserve"> more than 3500 kg,</w:t>
      </w:r>
      <w:r w:rsidRPr="0005145D">
        <w:rPr>
          <w:rFonts w:ascii="Times New Roman" w:hAnsi="Times New Roman" w:cs="Times New Roman"/>
          <w:b/>
          <w:sz w:val="20"/>
          <w:szCs w:val="20"/>
          <w:vertAlign w:val="subscript"/>
        </w:rPr>
        <w:t xml:space="preserve"> </w:t>
      </w:r>
      <w:r w:rsidRPr="0005145D">
        <w:rPr>
          <w:rFonts w:ascii="Times New Roman" w:hAnsi="Times New Roman" w:cs="Times New Roman"/>
          <w:b/>
          <w:sz w:val="20"/>
          <w:szCs w:val="20"/>
        </w:rPr>
        <w:t>N</w:t>
      </w:r>
      <w:r w:rsidRPr="0005145D">
        <w:rPr>
          <w:rFonts w:ascii="Times New Roman" w:hAnsi="Times New Roman" w:cs="Times New Roman"/>
          <w:b/>
          <w:sz w:val="20"/>
          <w:szCs w:val="20"/>
          <w:vertAlign w:val="subscript"/>
        </w:rPr>
        <w:t>2</w:t>
      </w:r>
      <w:r w:rsidRPr="0005145D">
        <w:rPr>
          <w:rFonts w:ascii="Times New Roman" w:hAnsi="Times New Roman" w:cs="Times New Roman"/>
          <w:b/>
          <w:sz w:val="20"/>
          <w:szCs w:val="20"/>
        </w:rPr>
        <w:t>, M</w:t>
      </w:r>
      <w:r w:rsidRPr="0005145D">
        <w:rPr>
          <w:rFonts w:ascii="Times New Roman" w:hAnsi="Times New Roman" w:cs="Times New Roman"/>
          <w:b/>
          <w:sz w:val="20"/>
          <w:szCs w:val="20"/>
          <w:vertAlign w:val="subscript"/>
        </w:rPr>
        <w:t xml:space="preserve">3 </w:t>
      </w:r>
      <w:r w:rsidRPr="0005145D">
        <w:rPr>
          <w:rFonts w:ascii="Times New Roman" w:hAnsi="Times New Roman" w:cs="Times New Roman"/>
          <w:b/>
          <w:sz w:val="20"/>
          <w:szCs w:val="20"/>
        </w:rPr>
        <w:t>and N</w:t>
      </w:r>
      <w:r w:rsidRPr="0005145D">
        <w:rPr>
          <w:rFonts w:ascii="Times New Roman" w:hAnsi="Times New Roman" w:cs="Times New Roman"/>
          <w:b/>
          <w:sz w:val="20"/>
          <w:szCs w:val="20"/>
          <w:vertAlign w:val="subscript"/>
        </w:rPr>
        <w:t>3</w:t>
      </w:r>
      <w:r w:rsidRPr="0005145D">
        <w:rPr>
          <w:rFonts w:ascii="Times New Roman" w:hAnsi="Times New Roman" w:cs="Times New Roman"/>
          <w:b/>
          <w:sz w:val="20"/>
          <w:szCs w:val="20"/>
        </w:rPr>
        <w:t xml:space="preserve"> vehicles</w:t>
      </w:r>
    </w:p>
    <w:tbl>
      <w:tblPr>
        <w:tblW w:w="10342" w:type="dxa"/>
        <w:tblInd w:w="-289" w:type="dxa"/>
        <w:tblLayout w:type="fixed"/>
        <w:tblCellMar>
          <w:left w:w="70" w:type="dxa"/>
          <w:right w:w="70" w:type="dxa"/>
        </w:tblCellMar>
        <w:tblLook w:val="04A0" w:firstRow="1" w:lastRow="0" w:firstColumn="1" w:lastColumn="0" w:noHBand="0" w:noVBand="1"/>
      </w:tblPr>
      <w:tblGrid>
        <w:gridCol w:w="426"/>
        <w:gridCol w:w="2828"/>
        <w:gridCol w:w="567"/>
        <w:gridCol w:w="426"/>
        <w:gridCol w:w="425"/>
        <w:gridCol w:w="992"/>
        <w:gridCol w:w="567"/>
        <w:gridCol w:w="567"/>
        <w:gridCol w:w="709"/>
        <w:gridCol w:w="567"/>
        <w:gridCol w:w="567"/>
        <w:gridCol w:w="567"/>
        <w:gridCol w:w="567"/>
        <w:gridCol w:w="567"/>
      </w:tblGrid>
      <w:tr w:rsidR="00020C2D" w:rsidRPr="0005145D" w14:paraId="55549A2B" w14:textId="77777777" w:rsidTr="003E6DA9">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58A1D856"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bookmarkStart w:id="2" w:name="_Hlk124769395"/>
          </w:p>
          <w:p w14:paraId="1B644095" w14:textId="4F10F55D"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Situation</w:t>
            </w:r>
          </w:p>
        </w:tc>
        <w:tc>
          <w:tcPr>
            <w:tcW w:w="282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00E56D0" w14:textId="77777777" w:rsidR="00020C2D" w:rsidRPr="0005145D" w:rsidRDefault="00020C2D" w:rsidP="00020C2D">
            <w:pPr>
              <w:spacing w:after="0" w:line="240" w:lineRule="auto"/>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71255CBA"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41632C74"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 xml:space="preserve">Impact on </w:t>
            </w:r>
            <w:proofErr w:type="spellStart"/>
            <w:r w:rsidRPr="0005145D">
              <w:rPr>
                <w:rFonts w:asciiTheme="majorBidi" w:eastAsia="Times New Roman" w:hAnsiTheme="majorBidi" w:cstheme="majorBidi"/>
                <w:b/>
                <w:bCs/>
                <w:i/>
                <w:iCs/>
                <w:sz w:val="16"/>
                <w:szCs w:val="16"/>
                <w:lang w:eastAsia="de-DE"/>
              </w:rPr>
              <w:t>L</w:t>
            </w:r>
            <w:r w:rsidRPr="00641541">
              <w:rPr>
                <w:rFonts w:asciiTheme="majorBidi" w:eastAsia="Times New Roman" w:hAnsiTheme="majorBidi" w:cstheme="majorBidi"/>
                <w:b/>
                <w:bCs/>
                <w:i/>
                <w:iCs/>
                <w:sz w:val="16"/>
                <w:szCs w:val="16"/>
                <w:vertAlign w:val="subscript"/>
                <w:lang w:eastAsia="de-DE"/>
              </w:rPr>
              <w:t>urb</w:t>
            </w:r>
            <w:proofErr w:type="spellEnd"/>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14AD32BD"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 xml:space="preserve">Probability </w:t>
            </w:r>
            <w:r w:rsidRPr="0005145D">
              <w:rPr>
                <w:rFonts w:asciiTheme="majorBidi" w:eastAsia="Times New Roman" w:hAnsiTheme="majorBidi" w:cstheme="majorBidi"/>
                <w:b/>
                <w:bCs/>
                <w:i/>
                <w:iCs/>
                <w:sz w:val="16"/>
                <w:szCs w:val="16"/>
                <w:lang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538032E8"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82DDB99"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124E7D50"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82A1BEF" w14:textId="77777777" w:rsidR="00020C2D" w:rsidRPr="0005145D" w:rsidRDefault="00020C2D" w:rsidP="00020C2D">
            <w:pPr>
              <w:spacing w:after="0" w:line="240" w:lineRule="auto"/>
              <w:ind w:left="-67" w:right="-72"/>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Comb. stand. un-</w:t>
            </w:r>
          </w:p>
          <w:p w14:paraId="327E90AB" w14:textId="77777777" w:rsidR="00020C2D" w:rsidRPr="0005145D" w:rsidRDefault="00020C2D" w:rsidP="00020C2D">
            <w:pPr>
              <w:spacing w:after="0" w:line="240" w:lineRule="auto"/>
              <w:ind w:left="-67" w:right="-72"/>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C80B8BA"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313B91C9"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95% uncertainty</w:t>
            </w:r>
          </w:p>
        </w:tc>
      </w:tr>
      <w:tr w:rsidR="00020C2D" w:rsidRPr="0005145D" w14:paraId="4464EC88" w14:textId="77777777" w:rsidTr="003E6DA9">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29AB4EC5"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BF9ABAB"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243B7944"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proofErr w:type="spellStart"/>
            <w:r w:rsidRPr="0005145D">
              <w:rPr>
                <w:rFonts w:asciiTheme="majorBidi" w:eastAsia="Times New Roman" w:hAnsiTheme="majorBidi" w:cstheme="majorBidi"/>
                <w:b/>
                <w:bCs/>
                <w:i/>
                <w:iCs/>
                <w:sz w:val="16"/>
                <w:szCs w:val="16"/>
                <w:lang w:eastAsia="de-DE"/>
              </w:rPr>
              <w:t>L</w:t>
            </w:r>
            <w:r w:rsidRPr="00641541">
              <w:rPr>
                <w:rFonts w:asciiTheme="majorBidi" w:eastAsia="Times New Roman" w:hAnsiTheme="majorBidi" w:cstheme="majorBidi"/>
                <w:b/>
                <w:bCs/>
                <w:i/>
                <w:iCs/>
                <w:sz w:val="16"/>
                <w:szCs w:val="16"/>
                <w:vertAlign w:val="subscript"/>
                <w:lang w:eastAsia="de-DE"/>
              </w:rPr>
              <w:t>wot</w:t>
            </w:r>
            <w:proofErr w:type="spellEnd"/>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18A7FDBF" w14:textId="77777777" w:rsidR="00020C2D" w:rsidRPr="0005145D" w:rsidRDefault="00020C2D" w:rsidP="00020C2D">
            <w:pPr>
              <w:spacing w:after="0" w:line="240" w:lineRule="auto"/>
              <w:ind w:left="113" w:right="113"/>
              <w:jc w:val="center"/>
              <w:rPr>
                <w:rFonts w:asciiTheme="majorBidi" w:eastAsia="Times New Roman" w:hAnsiTheme="majorBidi" w:cstheme="majorBidi"/>
                <w:b/>
                <w:bCs/>
                <w:i/>
                <w:iCs/>
                <w:sz w:val="16"/>
                <w:szCs w:val="16"/>
                <w:lang w:eastAsia="de-DE"/>
              </w:rPr>
            </w:pPr>
            <w:proofErr w:type="spellStart"/>
            <w:r w:rsidRPr="0005145D">
              <w:rPr>
                <w:rFonts w:asciiTheme="majorBidi" w:eastAsia="Times New Roman" w:hAnsiTheme="majorBidi" w:cstheme="majorBidi"/>
                <w:b/>
                <w:bCs/>
                <w:i/>
                <w:iCs/>
                <w:sz w:val="16"/>
                <w:szCs w:val="16"/>
                <w:lang w:eastAsia="de-DE"/>
              </w:rPr>
              <w:t>L</w:t>
            </w:r>
            <w:r w:rsidRPr="00641541">
              <w:rPr>
                <w:rFonts w:asciiTheme="majorBidi" w:eastAsia="Times New Roman" w:hAnsiTheme="majorBidi" w:cstheme="majorBidi"/>
                <w:b/>
                <w:bCs/>
                <w:i/>
                <w:iCs/>
                <w:sz w:val="16"/>
                <w:szCs w:val="16"/>
                <w:vertAlign w:val="subscript"/>
                <w:lang w:eastAsia="de-DE"/>
              </w:rPr>
              <w:t>crs</w:t>
            </w:r>
            <w:proofErr w:type="spellEnd"/>
          </w:p>
        </w:tc>
        <w:tc>
          <w:tcPr>
            <w:tcW w:w="425" w:type="dxa"/>
            <w:vMerge/>
            <w:tcBorders>
              <w:top w:val="single" w:sz="4" w:space="0" w:color="auto"/>
              <w:left w:val="nil"/>
              <w:bottom w:val="single" w:sz="12" w:space="0" w:color="auto"/>
              <w:right w:val="nil"/>
            </w:tcBorders>
            <w:vAlign w:val="center"/>
            <w:hideMark/>
          </w:tcPr>
          <w:p w14:paraId="7FBE4C45"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280E2A3"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567" w:type="dxa"/>
            <w:vMerge/>
            <w:tcBorders>
              <w:top w:val="single" w:sz="4" w:space="0" w:color="auto"/>
              <w:left w:val="nil"/>
              <w:bottom w:val="single" w:sz="12" w:space="0" w:color="auto"/>
              <w:right w:val="single" w:sz="4" w:space="0" w:color="auto"/>
            </w:tcBorders>
            <w:vAlign w:val="center"/>
            <w:hideMark/>
          </w:tcPr>
          <w:p w14:paraId="65834C86"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91B8B31"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0B7C0D3"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46D3965"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3D3F89E5" w14:textId="77777777" w:rsidR="00020C2D" w:rsidRPr="0005145D" w:rsidRDefault="00020C2D" w:rsidP="00020C2D">
            <w:pPr>
              <w:spacing w:after="0" w:line="240" w:lineRule="auto"/>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 xml:space="preserve">Type </w:t>
            </w:r>
            <w:r w:rsidRPr="0005145D">
              <w:rPr>
                <w:rFonts w:asciiTheme="majorBidi" w:eastAsia="Times New Roman" w:hAnsiTheme="majorBidi" w:cstheme="majorBidi"/>
                <w:b/>
                <w:bCs/>
                <w:i/>
                <w:iCs/>
                <w:sz w:val="16"/>
                <w:szCs w:val="16"/>
                <w:lang w:eastAsia="de-DE"/>
              </w:rPr>
              <w:br/>
            </w:r>
            <w:proofErr w:type="spellStart"/>
            <w:r w:rsidRPr="0005145D">
              <w:rPr>
                <w:rFonts w:asciiTheme="majorBidi" w:eastAsia="Times New Roman" w:hAnsiTheme="majorBidi" w:cstheme="majorBidi"/>
                <w:b/>
                <w:bCs/>
                <w:i/>
                <w:iCs/>
                <w:sz w:val="16"/>
                <w:szCs w:val="16"/>
                <w:lang w:eastAsia="de-DE"/>
              </w:rPr>
              <w:t>Appro-val</w:t>
            </w:r>
            <w:proofErr w:type="spellEnd"/>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4999E47E" w14:textId="77777777" w:rsidR="00020C2D" w:rsidRPr="0005145D" w:rsidRDefault="00020C2D" w:rsidP="00020C2D">
            <w:pPr>
              <w:spacing w:after="0" w:line="240" w:lineRule="auto"/>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2FDF887F" w14:textId="77777777" w:rsidR="00020C2D" w:rsidRPr="0005145D" w:rsidRDefault="00020C2D" w:rsidP="00020C2D">
            <w:pPr>
              <w:spacing w:after="0" w:line="240" w:lineRule="auto"/>
              <w:jc w:val="center"/>
              <w:rPr>
                <w:rFonts w:asciiTheme="majorBidi" w:eastAsia="Times New Roman" w:hAnsiTheme="majorBidi" w:cstheme="majorBidi"/>
                <w:b/>
                <w:bCs/>
                <w:i/>
                <w:iCs/>
                <w:sz w:val="16"/>
                <w:szCs w:val="16"/>
                <w:lang w:eastAsia="de-DE"/>
              </w:rPr>
            </w:pPr>
            <w:r w:rsidRPr="0005145D">
              <w:rPr>
                <w:rFonts w:asciiTheme="majorBidi" w:eastAsia="Times New Roman" w:hAnsiTheme="majorBidi" w:cstheme="majorBidi"/>
                <w:b/>
                <w:bCs/>
                <w:i/>
                <w:iCs/>
                <w:sz w:val="16"/>
                <w:szCs w:val="16"/>
                <w:lang w:eastAsia="de-DE"/>
              </w:rPr>
              <w:t xml:space="preserve">Field </w:t>
            </w:r>
            <w:r w:rsidRPr="0005145D">
              <w:rPr>
                <w:rFonts w:asciiTheme="majorBidi" w:eastAsia="Times New Roman" w:hAnsiTheme="majorBidi" w:cstheme="majorBidi"/>
                <w:b/>
                <w:bCs/>
                <w:i/>
                <w:iCs/>
                <w:sz w:val="16"/>
                <w:szCs w:val="16"/>
                <w:lang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2D8437FF" w14:textId="77777777" w:rsidR="00020C2D" w:rsidRPr="0005145D" w:rsidRDefault="00020C2D" w:rsidP="00020C2D">
            <w:pPr>
              <w:spacing w:after="0" w:line="240" w:lineRule="auto"/>
              <w:jc w:val="center"/>
              <w:rPr>
                <w:rFonts w:asciiTheme="majorBidi" w:eastAsia="Times New Roman" w:hAnsiTheme="majorBidi" w:cstheme="majorBidi"/>
                <w:b/>
                <w:bCs/>
                <w:i/>
                <w:iCs/>
                <w:sz w:val="16"/>
                <w:szCs w:val="16"/>
                <w:lang w:eastAsia="de-DE"/>
              </w:rPr>
            </w:pPr>
          </w:p>
        </w:tc>
      </w:tr>
      <w:tr w:rsidR="00020C2D" w:rsidRPr="0005145D" w14:paraId="7DBD6BE1" w14:textId="77777777" w:rsidTr="003E6DA9">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6ED2EE67" w14:textId="77777777" w:rsidR="00020C2D" w:rsidRPr="0005145D" w:rsidRDefault="00020C2D" w:rsidP="00020C2D">
            <w:pPr>
              <w:spacing w:after="0" w:line="240" w:lineRule="auto"/>
              <w:ind w:left="113" w:right="113"/>
              <w:jc w:val="center"/>
              <w:rPr>
                <w:rFonts w:asciiTheme="majorBidi" w:eastAsia="Times New Roman" w:hAnsiTheme="majorBidi" w:cstheme="majorBidi"/>
                <w:b/>
                <w:bCs/>
                <w:sz w:val="16"/>
                <w:szCs w:val="16"/>
                <w:lang w:eastAsia="de-DE"/>
              </w:rPr>
            </w:pPr>
            <w:r w:rsidRPr="0005145D">
              <w:rPr>
                <w:rFonts w:asciiTheme="majorBidi" w:eastAsia="Times New Roman" w:hAnsiTheme="majorBidi" w:cstheme="majorBidi"/>
                <w:b/>
                <w:bCs/>
                <w:sz w:val="16"/>
                <w:szCs w:val="16"/>
                <w:lang w:eastAsia="de-DE"/>
              </w:rPr>
              <w:t>Run to Run</w:t>
            </w:r>
          </w:p>
        </w:tc>
        <w:tc>
          <w:tcPr>
            <w:tcW w:w="282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D10CCD2"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Microclimate wind effect – head or tail</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788E613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tcPr>
          <w:p w14:paraId="09354FE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5D473CBD"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color w:val="000000"/>
                <w:sz w:val="16"/>
                <w:szCs w:val="16"/>
                <w:lang w:eastAsia="de-DE"/>
              </w:rPr>
              <w:t>0</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10F2071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30079EF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0,000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2F69D20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0,00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09AC2DA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D5FBC2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CC1FA4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8AAAAD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669C7E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0,30</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3327178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0,59</w:t>
            </w:r>
          </w:p>
        </w:tc>
      </w:tr>
      <w:tr w:rsidR="00020C2D" w:rsidRPr="0005145D" w14:paraId="36D0FD64"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6E08388"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22EEB8"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Deviation from </w:t>
            </w:r>
            <w:proofErr w:type="spellStart"/>
            <w:r w:rsidRPr="0005145D">
              <w:rPr>
                <w:rFonts w:asciiTheme="majorBidi" w:eastAsia="Times New Roman" w:hAnsiTheme="majorBidi" w:cstheme="majorBidi"/>
                <w:sz w:val="16"/>
                <w:szCs w:val="16"/>
                <w:lang w:eastAsia="de-DE"/>
              </w:rPr>
              <w:t>centred</w:t>
            </w:r>
            <w:proofErr w:type="spellEnd"/>
            <w:r w:rsidRPr="0005145D">
              <w:rPr>
                <w:rFonts w:asciiTheme="majorBidi" w:eastAsia="Times New Roman" w:hAnsiTheme="majorBidi" w:cstheme="majorBidi"/>
                <w:sz w:val="16"/>
                <w:szCs w:val="16"/>
                <w:lang w:eastAsia="de-DE"/>
              </w:rPr>
              <w:t xml:space="preserve">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CDB6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CEA51C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4509BE2"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78FD5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39C2DC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0,021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94FB1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0,14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718C5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224138"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2CEA1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1D7204"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ABA818"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355C73B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5EC678F4"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A95B61B"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77D5F1"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Speed at BB’ – Target vehicle speed (+/-5 km/h), (target engine speed (+/-2%)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5757D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D2A6E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59E227"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5E42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4DD0C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4E653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8EA8EF"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F38F4B"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CD327A"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E161A1B"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F468F5"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7B6B4F1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0D716A3F"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F1B00AE"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F5FD76"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09613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BE39AE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5B97532"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D1AF5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4094F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9EB07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E40FE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421E5A"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9346F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15B39E"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E9877FC"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4A3FD23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0A845E83"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3059E92"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A11CE9"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Variation on operating temperature of engine and tyres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DED04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2E88E5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EA90D40"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color w:val="000000"/>
                <w:sz w:val="16"/>
                <w:szCs w:val="16"/>
                <w:lang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6E16D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6EDE4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0,053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51BE5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0,23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FF7E5F"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5,1%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9FE4E6"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1CFA0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B0103E"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6BFB7B"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7F9B792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088A9ED5" w14:textId="77777777" w:rsidTr="003E6DA9">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2A6CAF" w14:textId="77777777" w:rsidR="00020C2D" w:rsidRPr="0005145D" w:rsidRDefault="00020C2D" w:rsidP="00020C2D">
            <w:pPr>
              <w:spacing w:after="0" w:line="240" w:lineRule="auto"/>
              <w:ind w:left="113" w:right="113"/>
              <w:jc w:val="center"/>
              <w:rPr>
                <w:rFonts w:asciiTheme="majorBidi" w:eastAsia="Times New Roman" w:hAnsiTheme="majorBidi" w:cstheme="majorBidi"/>
                <w:b/>
                <w:bCs/>
                <w:sz w:val="16"/>
                <w:szCs w:val="16"/>
                <w:lang w:eastAsia="de-DE"/>
              </w:rPr>
            </w:pPr>
            <w:r w:rsidRPr="0005145D">
              <w:rPr>
                <w:rFonts w:asciiTheme="majorBidi" w:eastAsia="Times New Roman" w:hAnsiTheme="majorBidi" w:cstheme="majorBidi"/>
                <w:b/>
                <w:bCs/>
                <w:sz w:val="16"/>
                <w:szCs w:val="16"/>
                <w:lang w:eastAsia="de-DE"/>
              </w:rPr>
              <w:t>Day to Day</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9825AD"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Ambient temperature influence on sound transmission in air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EA4F3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0,6</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7EDC40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78517BA"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EC31B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3BBF4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0,030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24D3A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0,17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D808C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2,9%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6929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C276D5" w14:textId="7C5186FE"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w:t>
            </w:r>
            <w:r w:rsidR="00455397">
              <w:rPr>
                <w:rFonts w:asciiTheme="majorBidi" w:eastAsia="Times New Roman" w:hAnsiTheme="majorBidi" w:cstheme="majorBidi"/>
                <w:sz w:val="16"/>
                <w:szCs w:val="16"/>
                <w:lang w:eastAsia="de-DE"/>
              </w:rPr>
              <w:t>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55AA4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71A0D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0,46</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0B34ED9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0,91</w:t>
            </w:r>
          </w:p>
        </w:tc>
      </w:tr>
      <w:tr w:rsidR="00020C2D" w:rsidRPr="0005145D" w14:paraId="5E761F85"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8FC0BF9"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642AF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Ambient barometric pressure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D0577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4B72F2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2984E8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0A1BD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6DBC04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76D541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3EE0F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6,5%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489CEC"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FB8F0FB"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501D8EC"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EBCCCB"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0B1C79B7" w14:textId="77777777" w:rsidR="00020C2D" w:rsidRPr="0005145D" w:rsidRDefault="00020C2D" w:rsidP="00020C2D">
            <w:pPr>
              <w:spacing w:after="0" w:line="240" w:lineRule="auto"/>
              <w:jc w:val="center"/>
              <w:rPr>
                <w:rFonts w:asciiTheme="majorBidi" w:eastAsia="Times New Roman" w:hAnsiTheme="majorBidi" w:cstheme="majorBidi"/>
                <w:color w:val="C00000"/>
                <w:sz w:val="16"/>
                <w:szCs w:val="16"/>
                <w:lang w:eastAsia="de-DE"/>
              </w:rPr>
            </w:pPr>
          </w:p>
        </w:tc>
      </w:tr>
      <w:tr w:rsidR="00020C2D" w:rsidRPr="0005145D" w14:paraId="4887D511"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A41A70"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9734D2"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Ambient humidity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D2392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8E65C7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76F56A"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B1B15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EDE5B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91BE4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3C55E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B81851"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89CB5E"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B4BBD39"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3A71904"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3C7751BF" w14:textId="77777777" w:rsidR="00020C2D" w:rsidRPr="0005145D" w:rsidRDefault="00020C2D" w:rsidP="00020C2D">
            <w:pPr>
              <w:spacing w:after="0" w:line="240" w:lineRule="auto"/>
              <w:jc w:val="center"/>
              <w:rPr>
                <w:rFonts w:asciiTheme="majorBidi" w:eastAsia="Times New Roman" w:hAnsiTheme="majorBidi" w:cstheme="majorBidi"/>
                <w:color w:val="C00000"/>
                <w:sz w:val="16"/>
                <w:szCs w:val="16"/>
                <w:lang w:eastAsia="de-DE"/>
              </w:rPr>
            </w:pPr>
          </w:p>
        </w:tc>
      </w:tr>
      <w:tr w:rsidR="00020C2D" w:rsidRPr="0005145D" w14:paraId="42DC8B82"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E05CE5C"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CA6973" w14:textId="38C04DFF"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Ambient air temperature influence on engine power (based on R85)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3C4C4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6B47F28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230D746"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BF805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ABFA6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0,083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B2F97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1A451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8,0%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D8856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F828D4B"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E735E05"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AEAD5B0"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0E147BC2" w14:textId="77777777" w:rsidR="00020C2D" w:rsidRPr="0005145D" w:rsidRDefault="00020C2D" w:rsidP="00020C2D">
            <w:pPr>
              <w:spacing w:after="0" w:line="240" w:lineRule="auto"/>
              <w:jc w:val="center"/>
              <w:rPr>
                <w:rFonts w:asciiTheme="majorBidi" w:eastAsia="Times New Roman" w:hAnsiTheme="majorBidi" w:cstheme="majorBidi"/>
                <w:color w:val="C00000"/>
                <w:sz w:val="16"/>
                <w:szCs w:val="16"/>
                <w:lang w:eastAsia="de-DE"/>
              </w:rPr>
            </w:pPr>
          </w:p>
        </w:tc>
      </w:tr>
      <w:tr w:rsidR="00020C2D" w:rsidRPr="0005145D" w14:paraId="1B811983" w14:textId="77777777" w:rsidTr="003E6DA9">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1E0BF63"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1B058B"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Ambient air temperature effect on ICE vehicles due to tyre noise (5-40°C)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B0716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CFB2FF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B6C15BC"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8AA29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8B634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76C630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41FBAE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5285C4"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8E2734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26CC0FD"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1345E23"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110C2F59" w14:textId="77777777" w:rsidR="00020C2D" w:rsidRPr="0005145D" w:rsidRDefault="00020C2D" w:rsidP="00020C2D">
            <w:pPr>
              <w:spacing w:after="0" w:line="240" w:lineRule="auto"/>
              <w:jc w:val="center"/>
              <w:rPr>
                <w:rFonts w:asciiTheme="majorBidi" w:eastAsia="Times New Roman" w:hAnsiTheme="majorBidi" w:cstheme="majorBidi"/>
                <w:color w:val="C00000"/>
                <w:sz w:val="16"/>
                <w:szCs w:val="16"/>
                <w:lang w:eastAsia="de-DE"/>
              </w:rPr>
            </w:pPr>
          </w:p>
        </w:tc>
      </w:tr>
      <w:tr w:rsidR="00020C2D" w:rsidRPr="0005145D" w14:paraId="690AF4C8" w14:textId="77777777" w:rsidTr="003E6DA9">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2BC8890"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CFCB36"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Barometric pressure effect on engine power (based on R85)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B3BAB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D0F187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72A24C2"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D101A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39B2C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8C0B8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0,12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A228D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054C79"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8537050"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40862F1"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0C85BAA"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17177BA" w14:textId="77777777" w:rsidR="00020C2D" w:rsidRPr="0005145D" w:rsidRDefault="00020C2D" w:rsidP="00020C2D">
            <w:pPr>
              <w:spacing w:after="0" w:line="240" w:lineRule="auto"/>
              <w:jc w:val="center"/>
              <w:rPr>
                <w:rFonts w:asciiTheme="majorBidi" w:eastAsia="Times New Roman" w:hAnsiTheme="majorBidi" w:cstheme="majorBidi"/>
                <w:color w:val="C00000"/>
                <w:sz w:val="16"/>
                <w:szCs w:val="16"/>
                <w:lang w:eastAsia="de-DE"/>
              </w:rPr>
            </w:pPr>
          </w:p>
        </w:tc>
      </w:tr>
      <w:tr w:rsidR="00020C2D" w:rsidRPr="0005145D" w14:paraId="677CC404" w14:textId="77777777" w:rsidTr="003E6DA9">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5D912B" w14:textId="77777777" w:rsidR="00020C2D" w:rsidRPr="0005145D" w:rsidRDefault="00020C2D" w:rsidP="00020C2D">
            <w:pPr>
              <w:spacing w:after="0" w:line="240" w:lineRule="auto"/>
              <w:ind w:left="113" w:right="113"/>
              <w:jc w:val="center"/>
              <w:rPr>
                <w:rFonts w:asciiTheme="majorBidi" w:eastAsia="Times New Roman" w:hAnsiTheme="majorBidi" w:cstheme="majorBidi"/>
                <w:b/>
                <w:bCs/>
                <w:sz w:val="16"/>
                <w:szCs w:val="16"/>
                <w:lang w:eastAsia="de-DE"/>
              </w:rPr>
            </w:pPr>
            <w:r w:rsidRPr="0005145D">
              <w:rPr>
                <w:rFonts w:asciiTheme="majorBidi" w:eastAsia="Times New Roman" w:hAnsiTheme="majorBidi" w:cstheme="majorBidi"/>
                <w:b/>
                <w:bCs/>
                <w:sz w:val="16"/>
                <w:szCs w:val="16"/>
                <w:lang w:eastAsia="de-DE"/>
              </w:rPr>
              <w:t>Site to Site</w:t>
            </w: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749709C4" w14:textId="4F382A6C"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imes New Roman" w:eastAsia="Times New Roman" w:hAnsi="Times New Roman" w:cs="Times New Roman"/>
                <w:sz w:val="16"/>
                <w:szCs w:val="16"/>
              </w:rPr>
              <w:t>Altitude effect on combustion and sound propagation (Range: 1000 m) (95-105 kPa)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5E9AA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5604C5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A5D849D"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5612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5D51D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1966D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0,26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8A453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6,5%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EB21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52E50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296B73" w14:textId="34D6654A"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w:t>
            </w:r>
            <w:r w:rsidR="00D844C1">
              <w:rPr>
                <w:rFonts w:asciiTheme="majorBidi" w:eastAsia="Times New Roman" w:hAnsiTheme="majorBidi" w:cstheme="majorBidi"/>
                <w:sz w:val="16"/>
                <w:szCs w:val="16"/>
                <w:lang w:eastAsia="de-DE"/>
              </w:rPr>
              <w:t>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0C0B2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0,50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6D155C2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1,0</w:t>
            </w:r>
          </w:p>
        </w:tc>
      </w:tr>
      <w:tr w:rsidR="00020C2D" w:rsidRPr="0005145D" w14:paraId="75A633C4"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878BFDF" w14:textId="77777777" w:rsidR="00020C2D" w:rsidRPr="0005145D" w:rsidRDefault="00020C2D" w:rsidP="00020C2D">
            <w:pPr>
              <w:spacing w:after="0"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0B658F81"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imes New Roman" w:eastAsia="Times New Roman" w:hAnsi="Times New Roman" w:cs="Times New Roman"/>
                <w:sz w:val="16"/>
                <w:szCs w:val="16"/>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3EF1E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1,3</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53D2DA9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B1800F5"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1,3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E9A2C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15813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0,106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0B9A5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0,33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2CB04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73883C"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83E239D"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2E91241"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26E27C0"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56F7A5F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7C34AE75"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41CEAE8" w14:textId="77777777" w:rsidR="00020C2D" w:rsidRPr="0005145D" w:rsidRDefault="00020C2D" w:rsidP="00020C2D">
            <w:pPr>
              <w:spacing w:after="0"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646C6DC4"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imes New Roman" w:eastAsia="Times New Roman" w:hAnsi="Times New Roman" w:cs="Times New Roman"/>
                <w:sz w:val="16"/>
                <w:szCs w:val="16"/>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BBEDD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7AA031AF"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E9F0BF2"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A290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2554A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0,063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2D535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0,25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E35E8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6,0%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ADB7FC"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B7803B4"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6330355"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139FEF"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41EB555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51195B59"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C15BAE3" w14:textId="77777777" w:rsidR="00020C2D" w:rsidRPr="0005145D" w:rsidRDefault="00020C2D" w:rsidP="00020C2D">
            <w:pPr>
              <w:spacing w:after="0"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38AF5E06"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imes New Roman" w:eastAsia="Times New Roman" w:hAnsi="Times New Roman" w:cs="Times New Roman"/>
                <w:sz w:val="16"/>
                <w:szCs w:val="16"/>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B6D19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0,5</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29262C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4E4EBA7"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311A5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CC700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0,016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F33A2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0,13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E0BA49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B52ECF"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4D196C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7918F55"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6347735"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05CE297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26937B0F"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54D24A1C" w14:textId="77777777" w:rsidR="00020C2D" w:rsidRPr="0005145D" w:rsidRDefault="00020C2D" w:rsidP="00020C2D">
            <w:pPr>
              <w:spacing w:after="0"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2271F9C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imes New Roman" w:eastAsia="Times New Roman" w:hAnsi="Times New Roman" w:cs="Times New Roman"/>
                <w:sz w:val="16"/>
                <w:szCs w:val="16"/>
              </w:rPr>
              <w:t>Speed measuring equipment continuous at BB</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88067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426C951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A9F697E"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9EE91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608A1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9E8EC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0,03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D8AD9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87EA92"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A3EBAC9"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3905909"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3B46198"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6A10EE5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37E16C99" w14:textId="77777777" w:rsidTr="003E6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2E4BBEE" w14:textId="77777777" w:rsidR="00020C2D" w:rsidRPr="0005145D" w:rsidRDefault="00020C2D" w:rsidP="00020C2D">
            <w:pPr>
              <w:spacing w:after="0"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tcPr>
          <w:p w14:paraId="1C0A45E5"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128310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0DED5A9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5B94186"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13966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7D0C3C"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14B437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ABF"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AB758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4C88480"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B8FEEC7" w14:textId="77777777" w:rsidR="00020C2D" w:rsidRPr="0005145D" w:rsidRDefault="00020C2D" w:rsidP="00020C2D">
            <w:pPr>
              <w:spacing w:after="0"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BC81EB0"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674E09F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r>
      <w:tr w:rsidR="00020C2D" w:rsidRPr="0005145D" w14:paraId="3D2A8C84" w14:textId="77777777" w:rsidTr="003E6DA9">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5E100CEF" w14:textId="77777777" w:rsidR="00020C2D" w:rsidRPr="0005145D" w:rsidRDefault="00020C2D" w:rsidP="00020C2D">
            <w:pPr>
              <w:spacing w:after="0" w:line="240" w:lineRule="auto"/>
              <w:ind w:left="113" w:right="113"/>
              <w:jc w:val="center"/>
              <w:rPr>
                <w:rFonts w:asciiTheme="majorBidi" w:eastAsia="Times New Roman" w:hAnsiTheme="majorBidi" w:cstheme="majorBidi"/>
                <w:b/>
                <w:bCs/>
                <w:sz w:val="16"/>
                <w:szCs w:val="16"/>
                <w:lang w:eastAsia="de-DE"/>
              </w:rPr>
            </w:pPr>
            <w:r w:rsidRPr="0005145D">
              <w:rPr>
                <w:rFonts w:asciiTheme="majorBidi" w:eastAsia="Times New Roman" w:hAnsiTheme="majorBidi" w:cstheme="majorBidi"/>
                <w:b/>
                <w:bCs/>
                <w:sz w:val="16"/>
                <w:szCs w:val="16"/>
                <w:lang w:eastAsia="de-DE"/>
              </w:rPr>
              <w:t>Vehicle to Vehicle</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CD277C"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17080C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3409767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A1265BB"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D5A11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492716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115928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A20BA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AA690C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0,70</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30D5DF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42DB8D20" w14:textId="305B742D"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w:t>
            </w:r>
            <w:r w:rsidR="00F62AE4">
              <w:rPr>
                <w:rFonts w:asciiTheme="majorBidi" w:eastAsia="Times New Roman" w:hAnsiTheme="majorBidi" w:cstheme="majorBidi"/>
                <w:sz w:val="16"/>
                <w:szCs w:val="16"/>
                <w:lang w:eastAsia="de-DE"/>
              </w:rPr>
              <w:t>35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7BC1D2C6"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0,70</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55BFE11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1,4</w:t>
            </w:r>
          </w:p>
        </w:tc>
      </w:tr>
      <w:tr w:rsidR="00020C2D" w:rsidRPr="0005145D" w14:paraId="5317A6D5" w14:textId="77777777" w:rsidTr="003E6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45D6C09"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2F066512"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Tyre – generic dispersion (Normal, tread depth, inflation pressure, model </w:t>
            </w:r>
            <w:proofErr w:type="spellStart"/>
            <w:r w:rsidRPr="0005145D">
              <w:rPr>
                <w:rFonts w:asciiTheme="majorBidi" w:eastAsia="Times New Roman" w:hAnsiTheme="majorBidi" w:cstheme="majorBidi"/>
                <w:sz w:val="16"/>
                <w:szCs w:val="16"/>
                <w:lang w:eastAsia="de-DE"/>
              </w:rPr>
              <w:t>etc</w:t>
            </w:r>
            <w:proofErr w:type="spellEnd"/>
            <w:r w:rsidRPr="0005145D">
              <w:rPr>
                <w:rFonts w:asciiTheme="majorBidi" w:eastAsia="Times New Roman" w:hAnsiTheme="majorBidi" w:cstheme="majorBidi"/>
                <w:sz w:val="16"/>
                <w:szCs w:val="16"/>
                <w:lang w:eastAsia="de-DE"/>
              </w:rPr>
              <w:t xml:space="preserve">) </w:t>
            </w:r>
          </w:p>
        </w:tc>
        <w:tc>
          <w:tcPr>
            <w:tcW w:w="567" w:type="dxa"/>
            <w:tcBorders>
              <w:top w:val="nil"/>
              <w:left w:val="nil"/>
              <w:bottom w:val="single" w:sz="4" w:space="0" w:color="auto"/>
              <w:right w:val="single" w:sz="4" w:space="0" w:color="auto"/>
            </w:tcBorders>
            <w:shd w:val="clear" w:color="auto" w:fill="FFFFFF" w:themeFill="background1"/>
            <w:vAlign w:val="center"/>
          </w:tcPr>
          <w:p w14:paraId="2360282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2,8</w:t>
            </w:r>
          </w:p>
        </w:tc>
        <w:tc>
          <w:tcPr>
            <w:tcW w:w="426" w:type="dxa"/>
            <w:tcBorders>
              <w:top w:val="nil"/>
              <w:left w:val="nil"/>
              <w:bottom w:val="single" w:sz="4" w:space="0" w:color="auto"/>
              <w:right w:val="single" w:sz="4" w:space="0" w:color="auto"/>
            </w:tcBorders>
            <w:shd w:val="clear" w:color="auto" w:fill="FFFFFF" w:themeFill="background1"/>
          </w:tcPr>
          <w:p w14:paraId="3AF2088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hideMark/>
          </w:tcPr>
          <w:p w14:paraId="723D4BF9"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r w:rsidRPr="0005145D">
              <w:rPr>
                <w:rFonts w:asciiTheme="majorBidi" w:eastAsia="Times New Roman" w:hAnsiTheme="majorBidi" w:cstheme="majorBidi"/>
                <w:color w:val="000000"/>
                <w:sz w:val="16"/>
                <w:szCs w:val="16"/>
                <w:lang w:eastAsia="de-DE"/>
              </w:rPr>
              <w:t>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988D1D"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tcPr>
          <w:p w14:paraId="5B6A5C8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0,49</w:t>
            </w:r>
          </w:p>
        </w:tc>
        <w:tc>
          <w:tcPr>
            <w:tcW w:w="567" w:type="dxa"/>
            <w:tcBorders>
              <w:top w:val="nil"/>
              <w:left w:val="nil"/>
              <w:bottom w:val="single" w:sz="4" w:space="0" w:color="auto"/>
              <w:right w:val="single" w:sz="4" w:space="0" w:color="auto"/>
            </w:tcBorders>
            <w:shd w:val="clear" w:color="auto" w:fill="auto"/>
            <w:vAlign w:val="center"/>
          </w:tcPr>
          <w:p w14:paraId="1A6CED2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0,70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2D4E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47,2%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63E4C54"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F030504"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1E41D69"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2748E60A"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32ADDD8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r>
      <w:tr w:rsidR="00020C2D" w:rsidRPr="0005145D" w14:paraId="7CCB8681" w14:textId="77777777" w:rsidTr="003E6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4D6814B7"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2CEF9A6E"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tcPr>
          <w:p w14:paraId="7F0441A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61579FBF"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79985ACB"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4E019FA"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04516BF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42A74B34"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CE26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E8590EF"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515F7AA"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66CB229A"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19FB52E0"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59A7288D"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r>
      <w:tr w:rsidR="00020C2D" w:rsidRPr="0005145D" w14:paraId="507B57EA" w14:textId="77777777" w:rsidTr="003E6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6F4088A"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7AF84B6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Battery state of charge for HEVs </w:t>
            </w:r>
            <w:r w:rsidRPr="0005145D">
              <w:rPr>
                <w:rFonts w:asciiTheme="majorBidi" w:eastAsia="Times New Roman" w:hAnsiTheme="majorBidi" w:cstheme="majorBidi"/>
                <w:sz w:val="16"/>
                <w:szCs w:val="16"/>
                <w:lang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tcPr>
          <w:p w14:paraId="2271B43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7F1C71E1"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0149D04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07C72FD9"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7F83505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6BAD8A3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9BF3D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8E637D4"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2F886D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3591915"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C23F89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0B04C161"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r>
      <w:tr w:rsidR="00020C2D" w:rsidRPr="0005145D" w14:paraId="6BBA9EA6" w14:textId="77777777" w:rsidTr="003E6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6E89642"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43D92B2E"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tcPr>
          <w:p w14:paraId="7D5A6F4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116CFD3F"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1D3C21BF"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6E7574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140C362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33865D92"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076FE"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6A1B6A8"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4E91058"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1C24B41F"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471ECCEC"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03A8546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r>
      <w:tr w:rsidR="00020C2D" w:rsidRPr="0005145D" w14:paraId="03ED05BF" w14:textId="77777777" w:rsidTr="003E6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1653F16" w14:textId="77777777" w:rsidR="00020C2D" w:rsidRPr="0005145D" w:rsidRDefault="00020C2D" w:rsidP="00020C2D">
            <w:pPr>
              <w:spacing w:after="0"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543227B3"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 xml:space="preserve">Test mass – variation </w:t>
            </w:r>
            <w:proofErr w:type="gramStart"/>
            <w:r w:rsidRPr="0005145D">
              <w:rPr>
                <w:rFonts w:asciiTheme="majorBidi" w:eastAsia="Times New Roman" w:hAnsiTheme="majorBidi" w:cstheme="majorBidi"/>
                <w:sz w:val="16"/>
                <w:szCs w:val="16"/>
                <w:lang w:eastAsia="de-DE"/>
              </w:rPr>
              <w:t>as a consequence of</w:t>
            </w:r>
            <w:proofErr w:type="gramEnd"/>
            <w:r w:rsidRPr="0005145D">
              <w:rPr>
                <w:rFonts w:asciiTheme="majorBidi" w:eastAsia="Times New Roman" w:hAnsiTheme="majorBidi" w:cstheme="majorBidi"/>
                <w:sz w:val="16"/>
                <w:szCs w:val="16"/>
                <w:lang w:eastAsia="de-DE"/>
              </w:rPr>
              <w:t xml:space="preserve"> the definition</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tcPr>
          <w:p w14:paraId="2329EFD8"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426" w:type="dxa"/>
            <w:tcBorders>
              <w:top w:val="single" w:sz="4" w:space="0" w:color="auto"/>
              <w:left w:val="nil"/>
              <w:bottom w:val="single" w:sz="12" w:space="0" w:color="auto"/>
              <w:right w:val="single" w:sz="4" w:space="0" w:color="auto"/>
            </w:tcBorders>
            <w:shd w:val="clear" w:color="auto" w:fill="FFFFFF" w:themeFill="background1"/>
          </w:tcPr>
          <w:p w14:paraId="1AE307F0"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r w:rsidRPr="0005145D">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12" w:space="0" w:color="auto"/>
              <w:right w:val="single" w:sz="4" w:space="0" w:color="auto"/>
            </w:tcBorders>
            <w:shd w:val="clear" w:color="auto" w:fill="auto"/>
            <w:noWrap/>
            <w:vAlign w:val="center"/>
          </w:tcPr>
          <w:p w14:paraId="12B44D32" w14:textId="77777777" w:rsidR="00020C2D" w:rsidRPr="0005145D" w:rsidRDefault="00020C2D" w:rsidP="00020C2D">
            <w:pPr>
              <w:spacing w:after="0" w:line="240" w:lineRule="auto"/>
              <w:jc w:val="center"/>
              <w:rPr>
                <w:rFonts w:asciiTheme="majorBidi" w:eastAsia="Times New Roman" w:hAnsiTheme="majorBidi" w:cstheme="majorBidi"/>
                <w:color w:val="000000"/>
                <w:sz w:val="16"/>
                <w:szCs w:val="16"/>
                <w:lang w:eastAsia="de-DE"/>
              </w:rPr>
            </w:pP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tcPr>
          <w:p w14:paraId="2A0223D3"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2F251305"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3C577797"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0293AE5B" w14:textId="77777777" w:rsidR="00020C2D" w:rsidRPr="0005145D" w:rsidRDefault="00020C2D" w:rsidP="00020C2D">
            <w:pPr>
              <w:spacing w:after="0"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6948C02"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BCC1659"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1F823B36"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62264927"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71D14265" w14:textId="77777777" w:rsidR="00020C2D" w:rsidRPr="0005145D" w:rsidRDefault="00020C2D" w:rsidP="00020C2D">
            <w:pPr>
              <w:spacing w:after="0" w:line="240" w:lineRule="auto"/>
              <w:rPr>
                <w:rFonts w:asciiTheme="majorBidi" w:eastAsia="Times New Roman" w:hAnsiTheme="majorBidi" w:cstheme="majorBidi"/>
                <w:sz w:val="16"/>
                <w:szCs w:val="16"/>
                <w:lang w:eastAsia="de-DE"/>
              </w:rPr>
            </w:pPr>
          </w:p>
        </w:tc>
      </w:tr>
    </w:tbl>
    <w:tbl>
      <w:tblPr>
        <w:tblStyle w:val="TableGrid1"/>
        <w:tblW w:w="9923" w:type="dxa"/>
        <w:tblInd w:w="142" w:type="dxa"/>
        <w:tblLook w:val="0600" w:firstRow="0" w:lastRow="0" w:firstColumn="0" w:lastColumn="0" w:noHBand="1" w:noVBand="1"/>
      </w:tblPr>
      <w:tblGrid>
        <w:gridCol w:w="1985"/>
        <w:gridCol w:w="1134"/>
        <w:gridCol w:w="1275"/>
        <w:gridCol w:w="1985"/>
        <w:gridCol w:w="709"/>
        <w:gridCol w:w="992"/>
        <w:gridCol w:w="850"/>
        <w:gridCol w:w="993"/>
      </w:tblGrid>
      <w:tr w:rsidR="00264BFF" w:rsidRPr="006241BB" w14:paraId="0164B7BA" w14:textId="77777777" w:rsidTr="005C2E5D">
        <w:trPr>
          <w:trHeight w:hRule="exact" w:val="113"/>
        </w:trPr>
        <w:tc>
          <w:tcPr>
            <w:tcW w:w="1985" w:type="dxa"/>
            <w:tcBorders>
              <w:top w:val="nil"/>
              <w:left w:val="nil"/>
              <w:bottom w:val="nil"/>
              <w:right w:val="nil"/>
            </w:tcBorders>
            <w:vAlign w:val="bottom"/>
          </w:tcPr>
          <w:p w14:paraId="3123AACF" w14:textId="77777777" w:rsidR="00264BFF" w:rsidRPr="006241BB" w:rsidRDefault="00264BFF" w:rsidP="00762C13">
            <w:pPr>
              <w:spacing w:line="240" w:lineRule="auto"/>
              <w:jc w:val="center"/>
              <w:rPr>
                <w:bCs/>
                <w:sz w:val="16"/>
                <w:szCs w:val="16"/>
              </w:rPr>
            </w:pPr>
          </w:p>
        </w:tc>
        <w:tc>
          <w:tcPr>
            <w:tcW w:w="1134" w:type="dxa"/>
            <w:tcBorders>
              <w:top w:val="nil"/>
              <w:left w:val="nil"/>
              <w:bottom w:val="nil"/>
              <w:right w:val="nil"/>
            </w:tcBorders>
            <w:vAlign w:val="center"/>
          </w:tcPr>
          <w:p w14:paraId="405C9E44" w14:textId="77777777" w:rsidR="00264BFF" w:rsidRPr="006241BB" w:rsidRDefault="00264BFF" w:rsidP="00762C13">
            <w:pPr>
              <w:spacing w:line="240" w:lineRule="auto"/>
              <w:jc w:val="center"/>
              <w:rPr>
                <w:bCs/>
                <w:sz w:val="16"/>
                <w:szCs w:val="16"/>
              </w:rPr>
            </w:pPr>
          </w:p>
        </w:tc>
        <w:tc>
          <w:tcPr>
            <w:tcW w:w="1275" w:type="dxa"/>
            <w:tcBorders>
              <w:top w:val="single" w:sz="4" w:space="0" w:color="auto"/>
              <w:left w:val="nil"/>
              <w:right w:val="nil"/>
            </w:tcBorders>
            <w:vAlign w:val="center"/>
          </w:tcPr>
          <w:p w14:paraId="3C307317" w14:textId="77777777" w:rsidR="00264BFF" w:rsidRPr="00E71C4C" w:rsidRDefault="00264BFF" w:rsidP="00762C13">
            <w:pPr>
              <w:spacing w:line="240" w:lineRule="auto"/>
              <w:jc w:val="center"/>
              <w:rPr>
                <w:b/>
                <w:sz w:val="12"/>
                <w:szCs w:val="12"/>
              </w:rPr>
            </w:pPr>
          </w:p>
        </w:tc>
        <w:tc>
          <w:tcPr>
            <w:tcW w:w="1985" w:type="dxa"/>
            <w:tcBorders>
              <w:top w:val="single" w:sz="4" w:space="0" w:color="auto"/>
              <w:left w:val="nil"/>
              <w:right w:val="nil"/>
            </w:tcBorders>
            <w:vAlign w:val="center"/>
          </w:tcPr>
          <w:p w14:paraId="29BC11C6" w14:textId="77777777" w:rsidR="00264BFF" w:rsidRPr="00E71C4C" w:rsidRDefault="00264BFF" w:rsidP="00762C13">
            <w:pPr>
              <w:spacing w:line="240" w:lineRule="auto"/>
              <w:jc w:val="center"/>
              <w:rPr>
                <w:b/>
                <w:sz w:val="12"/>
                <w:szCs w:val="12"/>
              </w:rPr>
            </w:pPr>
          </w:p>
        </w:tc>
        <w:tc>
          <w:tcPr>
            <w:tcW w:w="709" w:type="dxa"/>
            <w:tcBorders>
              <w:top w:val="nil"/>
              <w:left w:val="nil"/>
              <w:bottom w:val="nil"/>
              <w:right w:val="nil"/>
            </w:tcBorders>
            <w:vAlign w:val="center"/>
          </w:tcPr>
          <w:p w14:paraId="2F02994B" w14:textId="77777777" w:rsidR="00264BFF" w:rsidRPr="00E71C4C" w:rsidRDefault="00264BFF" w:rsidP="00762C13">
            <w:pPr>
              <w:spacing w:line="240" w:lineRule="auto"/>
              <w:jc w:val="center"/>
              <w:rPr>
                <w:bCs/>
                <w:sz w:val="12"/>
                <w:szCs w:val="12"/>
              </w:rPr>
            </w:pPr>
          </w:p>
        </w:tc>
        <w:tc>
          <w:tcPr>
            <w:tcW w:w="2835" w:type="dxa"/>
            <w:gridSpan w:val="3"/>
            <w:tcBorders>
              <w:top w:val="single" w:sz="4" w:space="0" w:color="auto"/>
              <w:left w:val="nil"/>
              <w:right w:val="nil"/>
            </w:tcBorders>
            <w:vAlign w:val="center"/>
          </w:tcPr>
          <w:p w14:paraId="11BFAD36" w14:textId="77777777" w:rsidR="00264BFF" w:rsidRPr="00E71C4C" w:rsidRDefault="00264BFF" w:rsidP="00762C13">
            <w:pPr>
              <w:spacing w:line="240" w:lineRule="auto"/>
              <w:jc w:val="center"/>
              <w:rPr>
                <w:b/>
                <w:sz w:val="12"/>
                <w:szCs w:val="12"/>
              </w:rPr>
            </w:pPr>
          </w:p>
        </w:tc>
      </w:tr>
      <w:tr w:rsidR="00264BFF" w:rsidRPr="006241BB" w14:paraId="76F75078" w14:textId="77777777" w:rsidTr="002675DF">
        <w:trPr>
          <w:trHeight w:hRule="exact" w:val="316"/>
        </w:trPr>
        <w:tc>
          <w:tcPr>
            <w:tcW w:w="1985" w:type="dxa"/>
            <w:tcBorders>
              <w:top w:val="nil"/>
              <w:left w:val="nil"/>
              <w:bottom w:val="nil"/>
              <w:right w:val="nil"/>
            </w:tcBorders>
            <w:vAlign w:val="bottom"/>
          </w:tcPr>
          <w:p w14:paraId="0FE91C83" w14:textId="77777777" w:rsidR="00264BFF" w:rsidRPr="006241BB" w:rsidRDefault="00264BFF" w:rsidP="00762C13">
            <w:pPr>
              <w:spacing w:line="240" w:lineRule="auto"/>
              <w:jc w:val="center"/>
              <w:rPr>
                <w:bCs/>
                <w:sz w:val="16"/>
                <w:szCs w:val="16"/>
              </w:rPr>
            </w:pPr>
          </w:p>
        </w:tc>
        <w:tc>
          <w:tcPr>
            <w:tcW w:w="1134" w:type="dxa"/>
            <w:tcBorders>
              <w:top w:val="nil"/>
              <w:left w:val="nil"/>
              <w:bottom w:val="nil"/>
              <w:right w:val="single" w:sz="4" w:space="0" w:color="auto"/>
            </w:tcBorders>
            <w:vAlign w:val="center"/>
          </w:tcPr>
          <w:p w14:paraId="7CF77B12" w14:textId="77777777" w:rsidR="00264BFF" w:rsidRPr="006241BB" w:rsidRDefault="00264BFF" w:rsidP="00762C13">
            <w:pPr>
              <w:spacing w:line="240" w:lineRule="auto"/>
              <w:jc w:val="center"/>
              <w:rPr>
                <w:bCs/>
                <w:sz w:val="16"/>
                <w:szCs w:val="16"/>
              </w:rPr>
            </w:pPr>
          </w:p>
        </w:tc>
        <w:tc>
          <w:tcPr>
            <w:tcW w:w="1275" w:type="dxa"/>
            <w:vMerge w:val="restart"/>
            <w:tcBorders>
              <w:top w:val="single" w:sz="4" w:space="0" w:color="auto"/>
              <w:left w:val="single" w:sz="4" w:space="0" w:color="auto"/>
            </w:tcBorders>
            <w:vAlign w:val="center"/>
          </w:tcPr>
          <w:p w14:paraId="3D3950B2" w14:textId="77777777" w:rsidR="00264BFF" w:rsidRPr="006241BB" w:rsidRDefault="00264BFF" w:rsidP="00762C13">
            <w:pPr>
              <w:spacing w:line="240" w:lineRule="auto"/>
              <w:jc w:val="center"/>
              <w:rPr>
                <w:b/>
                <w:sz w:val="16"/>
                <w:szCs w:val="16"/>
              </w:rPr>
            </w:pPr>
            <w:r w:rsidRPr="006241BB">
              <w:rPr>
                <w:b/>
                <w:sz w:val="16"/>
                <w:szCs w:val="16"/>
              </w:rPr>
              <w:t>Overall Combined Uncertainty +/-</w:t>
            </w:r>
          </w:p>
        </w:tc>
        <w:tc>
          <w:tcPr>
            <w:tcW w:w="1985" w:type="dxa"/>
            <w:vMerge w:val="restart"/>
            <w:tcBorders>
              <w:top w:val="single" w:sz="4" w:space="0" w:color="auto"/>
              <w:right w:val="single" w:sz="4" w:space="0" w:color="auto"/>
            </w:tcBorders>
            <w:shd w:val="clear" w:color="auto" w:fill="E7E6E6" w:themeFill="background2"/>
            <w:vAlign w:val="center"/>
          </w:tcPr>
          <w:p w14:paraId="5AD99527" w14:textId="77777777" w:rsidR="00264BFF" w:rsidRPr="006241BB" w:rsidRDefault="00264BFF" w:rsidP="00762C13">
            <w:pPr>
              <w:spacing w:line="240" w:lineRule="auto"/>
              <w:jc w:val="center"/>
              <w:rPr>
                <w:b/>
                <w:sz w:val="16"/>
                <w:szCs w:val="16"/>
              </w:rPr>
            </w:pPr>
            <w:r w:rsidRPr="006241BB">
              <w:rPr>
                <w:b/>
                <w:sz w:val="16"/>
                <w:szCs w:val="16"/>
              </w:rPr>
              <w:t>Overall</w:t>
            </w:r>
            <w:r w:rsidRPr="006241BB">
              <w:rPr>
                <w:b/>
                <w:sz w:val="16"/>
                <w:szCs w:val="16"/>
              </w:rPr>
              <w:br/>
              <w:t>Expanded uncertainty (95%) +/-</w:t>
            </w:r>
          </w:p>
        </w:tc>
        <w:tc>
          <w:tcPr>
            <w:tcW w:w="709" w:type="dxa"/>
            <w:tcBorders>
              <w:top w:val="nil"/>
              <w:left w:val="single" w:sz="4" w:space="0" w:color="auto"/>
              <w:bottom w:val="nil"/>
              <w:right w:val="single" w:sz="4" w:space="0" w:color="auto"/>
            </w:tcBorders>
            <w:vAlign w:val="center"/>
          </w:tcPr>
          <w:p w14:paraId="683BE6DC" w14:textId="77777777" w:rsidR="00264BFF" w:rsidRPr="006241BB" w:rsidRDefault="00264BFF" w:rsidP="00762C13">
            <w:pPr>
              <w:spacing w:line="240" w:lineRule="auto"/>
              <w:jc w:val="center"/>
              <w:rPr>
                <w:bCs/>
                <w:sz w:val="16"/>
                <w:szCs w:val="16"/>
              </w:rPr>
            </w:pPr>
          </w:p>
        </w:tc>
        <w:tc>
          <w:tcPr>
            <w:tcW w:w="2835"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D148320" w14:textId="791683B9" w:rsidR="00264BFF" w:rsidRPr="006241BB" w:rsidRDefault="00264BFF" w:rsidP="00762C13">
            <w:pPr>
              <w:spacing w:line="240" w:lineRule="auto"/>
              <w:jc w:val="center"/>
              <w:rPr>
                <w:b/>
                <w:sz w:val="16"/>
                <w:szCs w:val="16"/>
              </w:rPr>
            </w:pPr>
            <w:r w:rsidRPr="006241BB">
              <w:rPr>
                <w:b/>
                <w:sz w:val="16"/>
                <w:szCs w:val="16"/>
              </w:rPr>
              <w:t>Expanded uncertainty (95%) +/-</w:t>
            </w:r>
          </w:p>
        </w:tc>
      </w:tr>
      <w:tr w:rsidR="00264BFF" w:rsidRPr="006241BB" w14:paraId="336872A4" w14:textId="77777777" w:rsidTr="005C2E5D">
        <w:trPr>
          <w:trHeight w:hRule="exact" w:val="428"/>
        </w:trPr>
        <w:tc>
          <w:tcPr>
            <w:tcW w:w="1985" w:type="dxa"/>
            <w:tcBorders>
              <w:top w:val="nil"/>
              <w:left w:val="nil"/>
              <w:bottom w:val="nil"/>
              <w:right w:val="nil"/>
            </w:tcBorders>
            <w:vAlign w:val="center"/>
          </w:tcPr>
          <w:p w14:paraId="08D6F060" w14:textId="77777777" w:rsidR="00264BFF" w:rsidRPr="006241BB" w:rsidRDefault="00264BFF" w:rsidP="00762C13">
            <w:pPr>
              <w:suppressAutoHyphens w:val="0"/>
              <w:spacing w:line="240" w:lineRule="auto"/>
              <w:jc w:val="center"/>
              <w:rPr>
                <w:b/>
                <w:sz w:val="16"/>
                <w:szCs w:val="16"/>
              </w:rPr>
            </w:pPr>
          </w:p>
        </w:tc>
        <w:tc>
          <w:tcPr>
            <w:tcW w:w="1134" w:type="dxa"/>
            <w:vMerge w:val="restart"/>
            <w:tcBorders>
              <w:top w:val="nil"/>
              <w:left w:val="nil"/>
              <w:bottom w:val="nil"/>
              <w:right w:val="single" w:sz="4" w:space="0" w:color="auto"/>
            </w:tcBorders>
            <w:vAlign w:val="center"/>
          </w:tcPr>
          <w:p w14:paraId="38D05231" w14:textId="77777777" w:rsidR="00264BFF" w:rsidRPr="006241BB" w:rsidRDefault="00264BFF" w:rsidP="00762C13">
            <w:pPr>
              <w:suppressAutoHyphens w:val="0"/>
              <w:spacing w:line="240" w:lineRule="auto"/>
              <w:jc w:val="center"/>
              <w:rPr>
                <w:b/>
                <w:sz w:val="16"/>
                <w:szCs w:val="16"/>
              </w:rPr>
            </w:pPr>
          </w:p>
        </w:tc>
        <w:tc>
          <w:tcPr>
            <w:tcW w:w="1275" w:type="dxa"/>
            <w:vMerge/>
            <w:tcBorders>
              <w:left w:val="single" w:sz="4" w:space="0" w:color="auto"/>
            </w:tcBorders>
            <w:vAlign w:val="center"/>
          </w:tcPr>
          <w:p w14:paraId="2AEDE7EF" w14:textId="77777777" w:rsidR="00264BFF" w:rsidRPr="006241BB" w:rsidRDefault="00264BFF" w:rsidP="00762C13">
            <w:pPr>
              <w:suppressAutoHyphens w:val="0"/>
              <w:spacing w:line="240" w:lineRule="auto"/>
              <w:jc w:val="center"/>
              <w:rPr>
                <w:b/>
                <w:sz w:val="16"/>
                <w:szCs w:val="16"/>
              </w:rPr>
            </w:pPr>
          </w:p>
        </w:tc>
        <w:tc>
          <w:tcPr>
            <w:tcW w:w="1985" w:type="dxa"/>
            <w:vMerge/>
            <w:tcBorders>
              <w:right w:val="single" w:sz="4" w:space="0" w:color="auto"/>
            </w:tcBorders>
            <w:shd w:val="clear" w:color="auto" w:fill="E7E6E6" w:themeFill="background2"/>
            <w:vAlign w:val="center"/>
          </w:tcPr>
          <w:p w14:paraId="03E79644" w14:textId="77777777" w:rsidR="00264BFF" w:rsidRPr="006241BB" w:rsidRDefault="00264BFF" w:rsidP="00762C13">
            <w:pPr>
              <w:suppressAutoHyphens w:val="0"/>
              <w:spacing w:line="240" w:lineRule="auto"/>
              <w:jc w:val="center"/>
              <w:rPr>
                <w:b/>
                <w:sz w:val="16"/>
                <w:szCs w:val="16"/>
              </w:rPr>
            </w:pPr>
          </w:p>
        </w:tc>
        <w:tc>
          <w:tcPr>
            <w:tcW w:w="709" w:type="dxa"/>
            <w:vMerge w:val="restart"/>
            <w:tcBorders>
              <w:top w:val="nil"/>
              <w:left w:val="single" w:sz="4" w:space="0" w:color="auto"/>
              <w:bottom w:val="nil"/>
              <w:right w:val="single" w:sz="4" w:space="0" w:color="auto"/>
            </w:tcBorders>
            <w:vAlign w:val="center"/>
          </w:tcPr>
          <w:p w14:paraId="667C6B65" w14:textId="77777777" w:rsidR="00264BFF" w:rsidRPr="006241BB" w:rsidRDefault="00264BFF" w:rsidP="00762C13">
            <w:pPr>
              <w:suppressAutoHyphens w:val="0"/>
              <w:spacing w:line="240" w:lineRule="auto"/>
              <w:jc w:val="center"/>
              <w:rPr>
                <w:b/>
                <w:sz w:val="16"/>
                <w:szCs w:val="16"/>
              </w:rPr>
            </w:pPr>
          </w:p>
        </w:tc>
        <w:tc>
          <w:tcPr>
            <w:tcW w:w="992" w:type="dxa"/>
            <w:tcBorders>
              <w:top w:val="single" w:sz="4" w:space="0" w:color="auto"/>
              <w:left w:val="single" w:sz="4" w:space="0" w:color="auto"/>
            </w:tcBorders>
            <w:shd w:val="clear" w:color="auto" w:fill="D9D9D9" w:themeFill="background1" w:themeFillShade="D9"/>
            <w:vAlign w:val="center"/>
          </w:tcPr>
          <w:p w14:paraId="4E30E07A" w14:textId="77777777" w:rsidR="00264BFF" w:rsidRPr="006241BB" w:rsidRDefault="00264BFF" w:rsidP="00762C13">
            <w:pPr>
              <w:suppressAutoHyphens w:val="0"/>
              <w:spacing w:line="240" w:lineRule="auto"/>
              <w:jc w:val="center"/>
              <w:rPr>
                <w:b/>
                <w:sz w:val="16"/>
                <w:szCs w:val="16"/>
              </w:rPr>
            </w:pPr>
            <w:r w:rsidRPr="006241BB">
              <w:rPr>
                <w:b/>
                <w:sz w:val="16"/>
                <w:szCs w:val="16"/>
              </w:rPr>
              <w:t>Type Approval</w:t>
            </w:r>
          </w:p>
        </w:tc>
        <w:tc>
          <w:tcPr>
            <w:tcW w:w="850" w:type="dxa"/>
            <w:tcBorders>
              <w:top w:val="single" w:sz="4" w:space="0" w:color="auto"/>
            </w:tcBorders>
            <w:shd w:val="clear" w:color="auto" w:fill="D9D9D9" w:themeFill="background1" w:themeFillShade="D9"/>
            <w:vAlign w:val="center"/>
          </w:tcPr>
          <w:p w14:paraId="4420798B" w14:textId="77777777" w:rsidR="00264BFF" w:rsidRPr="006241BB" w:rsidRDefault="00264BFF" w:rsidP="00762C13">
            <w:pPr>
              <w:suppressAutoHyphens w:val="0"/>
              <w:spacing w:line="240" w:lineRule="auto"/>
              <w:jc w:val="center"/>
              <w:rPr>
                <w:b/>
                <w:sz w:val="16"/>
                <w:szCs w:val="16"/>
              </w:rPr>
            </w:pPr>
            <w:r w:rsidRPr="006241BB">
              <w:rPr>
                <w:b/>
                <w:sz w:val="16"/>
                <w:szCs w:val="16"/>
              </w:rPr>
              <w:t>CoP</w:t>
            </w:r>
          </w:p>
        </w:tc>
        <w:tc>
          <w:tcPr>
            <w:tcW w:w="993" w:type="dxa"/>
            <w:tcBorders>
              <w:top w:val="single" w:sz="4" w:space="0" w:color="auto"/>
              <w:right w:val="single" w:sz="4" w:space="0" w:color="auto"/>
            </w:tcBorders>
            <w:shd w:val="clear" w:color="auto" w:fill="D9D9D9" w:themeFill="background1" w:themeFillShade="D9"/>
            <w:vAlign w:val="center"/>
          </w:tcPr>
          <w:p w14:paraId="2CE39F71" w14:textId="77777777" w:rsidR="00264BFF" w:rsidRPr="006241BB" w:rsidRDefault="00264BFF" w:rsidP="00762C13">
            <w:pPr>
              <w:suppressAutoHyphens w:val="0"/>
              <w:spacing w:line="240" w:lineRule="auto"/>
              <w:jc w:val="center"/>
              <w:rPr>
                <w:b/>
                <w:sz w:val="16"/>
                <w:szCs w:val="16"/>
              </w:rPr>
            </w:pPr>
            <w:r w:rsidRPr="006241BB">
              <w:rPr>
                <w:b/>
                <w:sz w:val="16"/>
                <w:szCs w:val="16"/>
              </w:rPr>
              <w:t>Field Test</w:t>
            </w:r>
          </w:p>
        </w:tc>
      </w:tr>
      <w:tr w:rsidR="00264BFF" w:rsidRPr="00CB3BF8" w14:paraId="58B0B6BC" w14:textId="77777777" w:rsidTr="005C2E5D">
        <w:trPr>
          <w:trHeight w:hRule="exact" w:val="278"/>
        </w:trPr>
        <w:tc>
          <w:tcPr>
            <w:tcW w:w="1985" w:type="dxa"/>
            <w:tcBorders>
              <w:top w:val="nil"/>
              <w:left w:val="nil"/>
              <w:bottom w:val="nil"/>
              <w:right w:val="nil"/>
            </w:tcBorders>
            <w:vAlign w:val="center"/>
          </w:tcPr>
          <w:p w14:paraId="4902C715" w14:textId="77777777" w:rsidR="00264BFF" w:rsidRPr="00CB3BF8" w:rsidRDefault="00264BFF" w:rsidP="00762C13">
            <w:pPr>
              <w:suppressAutoHyphens w:val="0"/>
              <w:spacing w:line="240" w:lineRule="auto"/>
              <w:jc w:val="center"/>
              <w:rPr>
                <w:b/>
              </w:rPr>
            </w:pPr>
          </w:p>
        </w:tc>
        <w:tc>
          <w:tcPr>
            <w:tcW w:w="1134" w:type="dxa"/>
            <w:vMerge/>
            <w:tcBorders>
              <w:top w:val="nil"/>
              <w:left w:val="nil"/>
              <w:bottom w:val="nil"/>
              <w:right w:val="single" w:sz="4" w:space="0" w:color="auto"/>
            </w:tcBorders>
            <w:vAlign w:val="center"/>
          </w:tcPr>
          <w:p w14:paraId="0A9C51BD" w14:textId="77777777" w:rsidR="00264BFF" w:rsidRPr="00CB3BF8" w:rsidRDefault="00264BFF" w:rsidP="00762C13">
            <w:pPr>
              <w:suppressAutoHyphens w:val="0"/>
              <w:spacing w:line="240" w:lineRule="auto"/>
              <w:jc w:val="center"/>
              <w:rPr>
                <w:b/>
              </w:rPr>
            </w:pPr>
          </w:p>
        </w:tc>
        <w:tc>
          <w:tcPr>
            <w:tcW w:w="1275" w:type="dxa"/>
            <w:tcBorders>
              <w:left w:val="single" w:sz="4" w:space="0" w:color="auto"/>
              <w:bottom w:val="nil"/>
            </w:tcBorders>
            <w:shd w:val="clear" w:color="auto" w:fill="000000" w:themeFill="text1"/>
            <w:vAlign w:val="center"/>
          </w:tcPr>
          <w:p w14:paraId="29F882B9" w14:textId="61A245D6" w:rsidR="00264BFF" w:rsidRPr="0071318F" w:rsidRDefault="00264BFF" w:rsidP="00762C13">
            <w:pPr>
              <w:suppressAutoHyphens w:val="0"/>
              <w:spacing w:line="240" w:lineRule="auto"/>
              <w:jc w:val="center"/>
              <w:rPr>
                <w:b/>
                <w:sz w:val="22"/>
                <w:szCs w:val="22"/>
              </w:rPr>
            </w:pPr>
            <w:r w:rsidRPr="0071318F">
              <w:rPr>
                <w:b/>
                <w:sz w:val="22"/>
                <w:szCs w:val="22"/>
              </w:rPr>
              <w:t>1,</w:t>
            </w:r>
            <w:r w:rsidR="00032674">
              <w:rPr>
                <w:b/>
                <w:sz w:val="22"/>
                <w:szCs w:val="22"/>
              </w:rPr>
              <w:t>02</w:t>
            </w:r>
          </w:p>
        </w:tc>
        <w:tc>
          <w:tcPr>
            <w:tcW w:w="1985" w:type="dxa"/>
            <w:tcBorders>
              <w:bottom w:val="nil"/>
              <w:right w:val="single" w:sz="4" w:space="0" w:color="auto"/>
            </w:tcBorders>
            <w:shd w:val="clear" w:color="auto" w:fill="000000" w:themeFill="text1"/>
            <w:vAlign w:val="center"/>
          </w:tcPr>
          <w:p w14:paraId="3DBBBC7D" w14:textId="271DE62A" w:rsidR="00264BFF" w:rsidRPr="0071318F" w:rsidRDefault="00032674" w:rsidP="00762C13">
            <w:pPr>
              <w:suppressAutoHyphens w:val="0"/>
              <w:spacing w:line="240" w:lineRule="auto"/>
              <w:jc w:val="center"/>
              <w:rPr>
                <w:b/>
                <w:sz w:val="22"/>
                <w:szCs w:val="22"/>
              </w:rPr>
            </w:pPr>
            <w:r>
              <w:rPr>
                <w:b/>
                <w:sz w:val="22"/>
                <w:szCs w:val="22"/>
              </w:rPr>
              <w:t>2,04</w:t>
            </w:r>
          </w:p>
        </w:tc>
        <w:tc>
          <w:tcPr>
            <w:tcW w:w="709" w:type="dxa"/>
            <w:vMerge/>
            <w:tcBorders>
              <w:top w:val="nil"/>
              <w:left w:val="single" w:sz="4" w:space="0" w:color="auto"/>
              <w:bottom w:val="nil"/>
              <w:right w:val="single" w:sz="4" w:space="0" w:color="auto"/>
            </w:tcBorders>
            <w:vAlign w:val="center"/>
          </w:tcPr>
          <w:p w14:paraId="663AD39C" w14:textId="77777777" w:rsidR="00264BFF" w:rsidRPr="0071318F" w:rsidRDefault="00264BFF" w:rsidP="00762C13">
            <w:pPr>
              <w:suppressAutoHyphens w:val="0"/>
              <w:spacing w:line="240" w:lineRule="auto"/>
              <w:jc w:val="center"/>
              <w:rPr>
                <w:b/>
                <w:sz w:val="22"/>
                <w:szCs w:val="22"/>
              </w:rPr>
            </w:pPr>
          </w:p>
        </w:tc>
        <w:tc>
          <w:tcPr>
            <w:tcW w:w="992" w:type="dxa"/>
            <w:tcBorders>
              <w:left w:val="single" w:sz="4" w:space="0" w:color="auto"/>
              <w:bottom w:val="nil"/>
            </w:tcBorders>
            <w:shd w:val="clear" w:color="auto" w:fill="000000" w:themeFill="text1"/>
            <w:vAlign w:val="center"/>
          </w:tcPr>
          <w:p w14:paraId="79D4FD75" w14:textId="7F085B5B" w:rsidR="00264BFF" w:rsidRPr="0071318F" w:rsidRDefault="00F62AE4" w:rsidP="00762C13">
            <w:pPr>
              <w:suppressAutoHyphens w:val="0"/>
              <w:spacing w:line="240" w:lineRule="auto"/>
              <w:jc w:val="center"/>
              <w:rPr>
                <w:b/>
                <w:sz w:val="22"/>
                <w:szCs w:val="22"/>
              </w:rPr>
            </w:pPr>
            <w:r>
              <w:rPr>
                <w:b/>
                <w:sz w:val="22"/>
                <w:szCs w:val="22"/>
              </w:rPr>
              <w:t>1,</w:t>
            </w:r>
            <w:r w:rsidR="00554BF8">
              <w:rPr>
                <w:b/>
                <w:sz w:val="22"/>
                <w:szCs w:val="22"/>
              </w:rPr>
              <w:t>09</w:t>
            </w:r>
          </w:p>
        </w:tc>
        <w:tc>
          <w:tcPr>
            <w:tcW w:w="850" w:type="dxa"/>
            <w:tcBorders>
              <w:bottom w:val="nil"/>
            </w:tcBorders>
            <w:shd w:val="clear" w:color="auto" w:fill="000000" w:themeFill="text1"/>
            <w:vAlign w:val="center"/>
          </w:tcPr>
          <w:p w14:paraId="7B0C6005" w14:textId="1B67427B" w:rsidR="00264BFF" w:rsidRPr="0071318F" w:rsidRDefault="006F515E" w:rsidP="00762C13">
            <w:pPr>
              <w:suppressAutoHyphens w:val="0"/>
              <w:spacing w:line="240" w:lineRule="auto"/>
              <w:jc w:val="center"/>
              <w:rPr>
                <w:b/>
                <w:sz w:val="22"/>
                <w:szCs w:val="22"/>
              </w:rPr>
            </w:pPr>
            <w:r>
              <w:rPr>
                <w:b/>
                <w:sz w:val="22"/>
                <w:szCs w:val="22"/>
              </w:rPr>
              <w:t>1,</w:t>
            </w:r>
            <w:r w:rsidR="00D844C1">
              <w:rPr>
                <w:b/>
                <w:sz w:val="22"/>
                <w:szCs w:val="22"/>
              </w:rPr>
              <w:t>6</w:t>
            </w:r>
            <w:r w:rsidR="00554BF8">
              <w:rPr>
                <w:b/>
                <w:sz w:val="22"/>
                <w:szCs w:val="22"/>
              </w:rPr>
              <w:t>4</w:t>
            </w:r>
          </w:p>
        </w:tc>
        <w:tc>
          <w:tcPr>
            <w:tcW w:w="993" w:type="dxa"/>
            <w:tcBorders>
              <w:bottom w:val="nil"/>
              <w:right w:val="single" w:sz="4" w:space="0" w:color="auto"/>
            </w:tcBorders>
            <w:shd w:val="clear" w:color="auto" w:fill="000000" w:themeFill="text1"/>
            <w:vAlign w:val="center"/>
          </w:tcPr>
          <w:p w14:paraId="24CC9D06" w14:textId="705E5C96" w:rsidR="00264BFF" w:rsidRPr="0071318F" w:rsidRDefault="006F515E" w:rsidP="00762C13">
            <w:pPr>
              <w:suppressAutoHyphens w:val="0"/>
              <w:spacing w:line="240" w:lineRule="auto"/>
              <w:jc w:val="center"/>
              <w:rPr>
                <w:b/>
                <w:sz w:val="22"/>
                <w:szCs w:val="22"/>
              </w:rPr>
            </w:pPr>
            <w:r>
              <w:rPr>
                <w:b/>
                <w:sz w:val="22"/>
                <w:szCs w:val="22"/>
              </w:rPr>
              <w:t>2,04</w:t>
            </w:r>
          </w:p>
        </w:tc>
      </w:tr>
    </w:tbl>
    <w:bookmarkEnd w:id="2"/>
    <w:p w14:paraId="7030070C" w14:textId="1637A49D" w:rsidR="009707AF" w:rsidRPr="0005145D" w:rsidRDefault="009707AF" w:rsidP="00B159C3">
      <w:pPr>
        <w:keepNext/>
        <w:keepLines/>
        <w:numPr>
          <w:ilvl w:val="0"/>
          <w:numId w:val="1"/>
        </w:numPr>
        <w:suppressAutoHyphens/>
        <w:spacing w:before="360" w:after="240" w:line="300" w:lineRule="exact"/>
        <w:ind w:left="1134" w:right="1134" w:hanging="425"/>
        <w:rPr>
          <w:rFonts w:ascii="Times New Roman" w:hAnsi="Times New Roman" w:cs="Times New Roman"/>
          <w:b/>
          <w:bCs/>
          <w:sz w:val="28"/>
          <w:szCs w:val="28"/>
        </w:rPr>
      </w:pPr>
      <w:r w:rsidRPr="0005145D">
        <w:rPr>
          <w:rFonts w:ascii="Times New Roman" w:hAnsi="Times New Roman" w:cs="Times New Roman"/>
          <w:b/>
          <w:bCs/>
          <w:sz w:val="28"/>
          <w:szCs w:val="28"/>
        </w:rPr>
        <w:lastRenderedPageBreak/>
        <w:t>Justification</w:t>
      </w:r>
      <w:r w:rsidR="00FA4B91" w:rsidRPr="0005145D">
        <w:rPr>
          <w:rFonts w:ascii="Times New Roman" w:hAnsi="Times New Roman" w:cs="Times New Roman"/>
          <w:b/>
          <w:bCs/>
          <w:sz w:val="28"/>
          <w:szCs w:val="28"/>
        </w:rPr>
        <w:t>:</w:t>
      </w:r>
    </w:p>
    <w:p w14:paraId="7C6FD8DE" w14:textId="77777777" w:rsidR="00771FCC" w:rsidRPr="0005145D" w:rsidRDefault="00D13A33" w:rsidP="00261F7E">
      <w:pPr>
        <w:keepLines/>
        <w:spacing w:after="120"/>
        <w:ind w:left="1134"/>
        <w:jc w:val="both"/>
        <w:rPr>
          <w:rFonts w:ascii="Times New Roman" w:hAnsi="Times New Roman" w:cs="Times New Roman"/>
          <w:bCs/>
          <w:sz w:val="20"/>
          <w:szCs w:val="20"/>
        </w:rPr>
      </w:pPr>
      <w:r w:rsidRPr="0005145D">
        <w:rPr>
          <w:rFonts w:ascii="Times New Roman" w:hAnsi="Times New Roman" w:cs="Times New Roman"/>
          <w:bCs/>
          <w:sz w:val="20"/>
          <w:szCs w:val="20"/>
        </w:rPr>
        <w:t>In the Informal Document GRBP-75-07, both table 7.1 and 7</w:t>
      </w:r>
      <w:r w:rsidR="00442C05" w:rsidRPr="0005145D">
        <w:rPr>
          <w:rFonts w:ascii="Times New Roman" w:hAnsi="Times New Roman" w:cs="Times New Roman"/>
          <w:bCs/>
          <w:sz w:val="20"/>
          <w:szCs w:val="20"/>
        </w:rPr>
        <w:t>.</w:t>
      </w:r>
      <w:r w:rsidRPr="0005145D">
        <w:rPr>
          <w:rFonts w:ascii="Times New Roman" w:hAnsi="Times New Roman" w:cs="Times New Roman"/>
          <w:bCs/>
          <w:sz w:val="20"/>
          <w:szCs w:val="20"/>
        </w:rPr>
        <w:t>2 were proposed to be deleted from the Working Document ECE-TRANS-WP.29-GRBP-2022-09 to enable an update of tables. In the rev.1 of this Working Document</w:t>
      </w:r>
      <w:r w:rsidR="00442C05" w:rsidRPr="0005145D">
        <w:rPr>
          <w:rFonts w:ascii="Times New Roman" w:hAnsi="Times New Roman" w:cs="Times New Roman"/>
          <w:bCs/>
          <w:sz w:val="20"/>
          <w:szCs w:val="20"/>
        </w:rPr>
        <w:t xml:space="preserve">, table 7.1 was updated and some editorial changes made. Rev.1 has then been uploaded to the website for Document for References (GRB). </w:t>
      </w:r>
    </w:p>
    <w:p w14:paraId="1343DD6B" w14:textId="5B15CC4F" w:rsidR="00FA4B91" w:rsidRDefault="00442C05" w:rsidP="00261F7E">
      <w:pPr>
        <w:keepLines/>
        <w:spacing w:after="120"/>
        <w:ind w:left="1134"/>
        <w:jc w:val="both"/>
        <w:rPr>
          <w:rFonts w:ascii="Times New Roman" w:hAnsi="Times New Roman" w:cs="Times New Roman"/>
          <w:bCs/>
          <w:sz w:val="20"/>
          <w:szCs w:val="20"/>
        </w:rPr>
      </w:pPr>
      <w:r w:rsidRPr="0005145D">
        <w:rPr>
          <w:rFonts w:ascii="Times New Roman" w:hAnsi="Times New Roman" w:cs="Times New Roman"/>
          <w:bCs/>
          <w:sz w:val="20"/>
          <w:szCs w:val="20"/>
        </w:rPr>
        <w:t xml:space="preserve">This Informal Document proposes some editorial changes and inclusion of a new table 7.2 with the uncertainty budget for vehicles of categories M2 &gt; 3500 kg, N2, M3 and N3. The proposed changes will be included in the Rev.2 of GRBP-2022-09. </w:t>
      </w:r>
    </w:p>
    <w:p w14:paraId="6E4BDE72" w14:textId="7143AAB6" w:rsidR="00CE525C" w:rsidRPr="00C33EE7" w:rsidRDefault="00745985" w:rsidP="00C40342">
      <w:pPr>
        <w:keepLines/>
        <w:spacing w:after="120"/>
        <w:ind w:left="1134"/>
        <w:jc w:val="both"/>
        <w:rPr>
          <w:rFonts w:ascii="Times New Roman" w:hAnsi="Times New Roman" w:cs="Times New Roman"/>
          <w:bCs/>
          <w:sz w:val="20"/>
          <w:szCs w:val="20"/>
        </w:rPr>
      </w:pPr>
      <w:r w:rsidRPr="00C33EE7">
        <w:rPr>
          <w:rFonts w:ascii="Times New Roman" w:hAnsi="Times New Roman" w:cs="Times New Roman"/>
          <w:bCs/>
          <w:sz w:val="20"/>
          <w:szCs w:val="20"/>
        </w:rPr>
        <w:t xml:space="preserve">In </w:t>
      </w:r>
      <w:r w:rsidR="00551AE3" w:rsidRPr="00C33EE7">
        <w:rPr>
          <w:rFonts w:ascii="Times New Roman" w:hAnsi="Times New Roman" w:cs="Times New Roman"/>
          <w:bCs/>
          <w:sz w:val="20"/>
          <w:szCs w:val="20"/>
        </w:rPr>
        <w:t>g</w:t>
      </w:r>
      <w:r w:rsidRPr="00C33EE7">
        <w:rPr>
          <w:rFonts w:ascii="Times New Roman" w:hAnsi="Times New Roman" w:cs="Times New Roman"/>
          <w:bCs/>
          <w:sz w:val="20"/>
          <w:szCs w:val="20"/>
        </w:rPr>
        <w:t>eneral</w:t>
      </w:r>
      <w:r w:rsidR="00551AE3" w:rsidRPr="00C33EE7">
        <w:rPr>
          <w:rFonts w:ascii="Times New Roman" w:hAnsi="Times New Roman" w:cs="Times New Roman"/>
          <w:bCs/>
          <w:sz w:val="20"/>
          <w:szCs w:val="20"/>
        </w:rPr>
        <w:t>,</w:t>
      </w:r>
      <w:r w:rsidRPr="00C33EE7">
        <w:rPr>
          <w:rFonts w:ascii="Times New Roman" w:hAnsi="Times New Roman" w:cs="Times New Roman"/>
          <w:bCs/>
          <w:sz w:val="20"/>
          <w:szCs w:val="20"/>
        </w:rPr>
        <w:t xml:space="preserve"> </w:t>
      </w:r>
      <w:r w:rsidR="00232439" w:rsidRPr="00C33EE7">
        <w:rPr>
          <w:rFonts w:ascii="Times New Roman" w:hAnsi="Times New Roman" w:cs="Times New Roman"/>
          <w:bCs/>
          <w:sz w:val="20"/>
          <w:szCs w:val="20"/>
        </w:rPr>
        <w:t>the</w:t>
      </w:r>
      <w:r w:rsidR="00CE525C" w:rsidRPr="00C33EE7">
        <w:rPr>
          <w:rFonts w:ascii="Times New Roman" w:hAnsi="Times New Roman" w:cs="Times New Roman"/>
          <w:bCs/>
          <w:sz w:val="20"/>
          <w:szCs w:val="20"/>
        </w:rPr>
        <w:t xml:space="preserve"> </w:t>
      </w:r>
      <w:r w:rsidR="00297DC5" w:rsidRPr="00C33EE7">
        <w:rPr>
          <w:rFonts w:ascii="Times New Roman" w:hAnsi="Times New Roman" w:cs="Times New Roman"/>
          <w:bCs/>
          <w:sz w:val="20"/>
          <w:szCs w:val="20"/>
        </w:rPr>
        <w:t xml:space="preserve">display of results </w:t>
      </w:r>
      <w:r w:rsidR="00916A3B" w:rsidRPr="00C33EE7">
        <w:rPr>
          <w:rFonts w:ascii="Times New Roman" w:hAnsi="Times New Roman" w:cs="Times New Roman"/>
          <w:bCs/>
          <w:sz w:val="20"/>
          <w:szCs w:val="20"/>
        </w:rPr>
        <w:t>in column “</w:t>
      </w:r>
      <w:r w:rsidR="00C40342" w:rsidRPr="00C33EE7">
        <w:rPr>
          <w:rFonts w:ascii="Times New Roman" w:hAnsi="Times New Roman" w:cs="Times New Roman"/>
          <w:bCs/>
          <w:sz w:val="20"/>
          <w:szCs w:val="20"/>
        </w:rPr>
        <w:t>Comb. stand. Uncertainty” of</w:t>
      </w:r>
      <w:r w:rsidR="00297DC5" w:rsidRPr="00C33EE7">
        <w:rPr>
          <w:rFonts w:ascii="Times New Roman" w:hAnsi="Times New Roman" w:cs="Times New Roman"/>
          <w:bCs/>
          <w:sz w:val="20"/>
          <w:szCs w:val="20"/>
        </w:rPr>
        <w:t xml:space="preserve"> </w:t>
      </w:r>
      <w:r w:rsidR="00744677" w:rsidRPr="00C33EE7">
        <w:rPr>
          <w:rFonts w:ascii="Times New Roman" w:hAnsi="Times New Roman" w:cs="Times New Roman"/>
          <w:bCs/>
          <w:sz w:val="20"/>
          <w:szCs w:val="20"/>
        </w:rPr>
        <w:t>table</w:t>
      </w:r>
      <w:r w:rsidR="00232439" w:rsidRPr="00C33EE7">
        <w:rPr>
          <w:rFonts w:ascii="Times New Roman" w:hAnsi="Times New Roman" w:cs="Times New Roman"/>
          <w:bCs/>
          <w:sz w:val="20"/>
          <w:szCs w:val="20"/>
        </w:rPr>
        <w:t>s 7.1 and 7,2 ha</w:t>
      </w:r>
      <w:r w:rsidR="00C40342" w:rsidRPr="00C33EE7">
        <w:rPr>
          <w:rFonts w:ascii="Times New Roman" w:hAnsi="Times New Roman" w:cs="Times New Roman"/>
          <w:bCs/>
          <w:sz w:val="20"/>
          <w:szCs w:val="20"/>
        </w:rPr>
        <w:t>s</w:t>
      </w:r>
      <w:r w:rsidR="00232439" w:rsidRPr="00C33EE7">
        <w:rPr>
          <w:rFonts w:ascii="Times New Roman" w:hAnsi="Times New Roman" w:cs="Times New Roman"/>
          <w:bCs/>
          <w:sz w:val="20"/>
          <w:szCs w:val="20"/>
        </w:rPr>
        <w:t xml:space="preserve"> been changed</w:t>
      </w:r>
      <w:r w:rsidR="00297DC5" w:rsidRPr="00C33EE7">
        <w:rPr>
          <w:rFonts w:ascii="Times New Roman" w:hAnsi="Times New Roman" w:cs="Times New Roman"/>
          <w:bCs/>
          <w:sz w:val="20"/>
          <w:szCs w:val="20"/>
        </w:rPr>
        <w:t xml:space="preserve"> </w:t>
      </w:r>
      <w:r w:rsidR="00B951AE" w:rsidRPr="00C33EE7">
        <w:rPr>
          <w:rFonts w:ascii="Times New Roman" w:hAnsi="Times New Roman" w:cs="Times New Roman"/>
          <w:bCs/>
          <w:sz w:val="20"/>
          <w:szCs w:val="20"/>
        </w:rPr>
        <w:t xml:space="preserve">for </w:t>
      </w:r>
      <w:r w:rsidR="003E4D82" w:rsidRPr="00C33EE7">
        <w:rPr>
          <w:rFonts w:ascii="Times New Roman" w:hAnsi="Times New Roman" w:cs="Times New Roman"/>
          <w:bCs/>
          <w:sz w:val="20"/>
          <w:szCs w:val="20"/>
        </w:rPr>
        <w:t>easier understand</w:t>
      </w:r>
      <w:r w:rsidR="00B951AE" w:rsidRPr="00C33EE7">
        <w:rPr>
          <w:rFonts w:ascii="Times New Roman" w:hAnsi="Times New Roman" w:cs="Times New Roman"/>
          <w:bCs/>
          <w:sz w:val="20"/>
          <w:szCs w:val="20"/>
        </w:rPr>
        <w:t xml:space="preserve">ing </w:t>
      </w:r>
      <w:r w:rsidR="00F32C04" w:rsidRPr="00C33EE7">
        <w:rPr>
          <w:rFonts w:ascii="Times New Roman" w:hAnsi="Times New Roman" w:cs="Times New Roman"/>
          <w:bCs/>
          <w:sz w:val="20"/>
          <w:szCs w:val="20"/>
        </w:rPr>
        <w:t>for regulatory purposes</w:t>
      </w:r>
      <w:r w:rsidR="001E1A11" w:rsidRPr="00C33EE7">
        <w:rPr>
          <w:rFonts w:ascii="Times New Roman" w:hAnsi="Times New Roman" w:cs="Times New Roman"/>
          <w:bCs/>
          <w:sz w:val="20"/>
          <w:szCs w:val="20"/>
        </w:rPr>
        <w:t xml:space="preserve">. The </w:t>
      </w:r>
      <w:r w:rsidR="000A629B">
        <w:rPr>
          <w:rFonts w:ascii="Times New Roman" w:hAnsi="Times New Roman" w:cs="Times New Roman"/>
          <w:bCs/>
          <w:sz w:val="20"/>
          <w:szCs w:val="20"/>
        </w:rPr>
        <w:t>“</w:t>
      </w:r>
      <w:r w:rsidR="001A6C67" w:rsidRPr="00C33EE7">
        <w:rPr>
          <w:rFonts w:ascii="Times New Roman" w:hAnsi="Times New Roman" w:cs="Times New Roman"/>
          <w:bCs/>
          <w:sz w:val="20"/>
          <w:szCs w:val="20"/>
        </w:rPr>
        <w:t>variance</w:t>
      </w:r>
      <w:r w:rsidR="000A629B">
        <w:rPr>
          <w:rFonts w:ascii="Times New Roman" w:hAnsi="Times New Roman" w:cs="Times New Roman"/>
          <w:bCs/>
          <w:sz w:val="20"/>
          <w:szCs w:val="20"/>
        </w:rPr>
        <w:t>”</w:t>
      </w:r>
      <w:r w:rsidR="001A6C67" w:rsidRPr="00C33EE7">
        <w:rPr>
          <w:rFonts w:ascii="Times New Roman" w:hAnsi="Times New Roman" w:cs="Times New Roman"/>
          <w:bCs/>
          <w:sz w:val="20"/>
          <w:szCs w:val="20"/>
        </w:rPr>
        <w:t xml:space="preserve"> of the </w:t>
      </w:r>
      <w:r w:rsidR="00C33EE7">
        <w:rPr>
          <w:rFonts w:ascii="Times New Roman" w:hAnsi="Times New Roman" w:cs="Times New Roman"/>
          <w:bCs/>
          <w:sz w:val="20"/>
          <w:szCs w:val="20"/>
        </w:rPr>
        <w:t xml:space="preserve">different </w:t>
      </w:r>
      <w:r w:rsidR="00D446E5" w:rsidRPr="00C33EE7">
        <w:rPr>
          <w:rFonts w:ascii="Times New Roman" w:hAnsi="Times New Roman" w:cs="Times New Roman"/>
          <w:bCs/>
          <w:sz w:val="20"/>
          <w:szCs w:val="20"/>
        </w:rPr>
        <w:t xml:space="preserve">situations </w:t>
      </w:r>
      <w:r w:rsidR="00CD7268" w:rsidRPr="00C33EE7">
        <w:rPr>
          <w:rFonts w:ascii="Times New Roman" w:hAnsi="Times New Roman" w:cs="Times New Roman"/>
          <w:bCs/>
          <w:sz w:val="20"/>
          <w:szCs w:val="20"/>
        </w:rPr>
        <w:t>ha</w:t>
      </w:r>
      <w:r w:rsidR="003B0D4A">
        <w:rPr>
          <w:rFonts w:ascii="Times New Roman" w:hAnsi="Times New Roman" w:cs="Times New Roman"/>
          <w:bCs/>
          <w:sz w:val="20"/>
          <w:szCs w:val="20"/>
        </w:rPr>
        <w:t>s</w:t>
      </w:r>
      <w:r w:rsidR="00F74FF2" w:rsidRPr="00C33EE7">
        <w:rPr>
          <w:rFonts w:ascii="Times New Roman" w:hAnsi="Times New Roman" w:cs="Times New Roman"/>
          <w:bCs/>
          <w:sz w:val="20"/>
          <w:szCs w:val="20"/>
        </w:rPr>
        <w:t xml:space="preserve"> now</w:t>
      </w:r>
      <w:r w:rsidR="00D446E5" w:rsidRPr="00C33EE7">
        <w:rPr>
          <w:rFonts w:ascii="Times New Roman" w:hAnsi="Times New Roman" w:cs="Times New Roman"/>
          <w:bCs/>
          <w:sz w:val="20"/>
          <w:szCs w:val="20"/>
        </w:rPr>
        <w:t xml:space="preserve"> </w:t>
      </w:r>
      <w:r w:rsidR="007E54FC" w:rsidRPr="00C33EE7">
        <w:rPr>
          <w:rFonts w:ascii="Times New Roman" w:hAnsi="Times New Roman" w:cs="Times New Roman"/>
          <w:bCs/>
          <w:sz w:val="20"/>
          <w:szCs w:val="20"/>
        </w:rPr>
        <w:t>been combined</w:t>
      </w:r>
      <w:r w:rsidR="00D446E5" w:rsidRPr="00C33EE7">
        <w:rPr>
          <w:rFonts w:ascii="Times New Roman" w:hAnsi="Times New Roman" w:cs="Times New Roman"/>
          <w:bCs/>
          <w:sz w:val="20"/>
          <w:szCs w:val="20"/>
        </w:rPr>
        <w:t xml:space="preserve"> </w:t>
      </w:r>
      <w:r w:rsidR="001A6C67" w:rsidRPr="00C33EE7">
        <w:rPr>
          <w:rFonts w:ascii="Times New Roman" w:hAnsi="Times New Roman" w:cs="Times New Roman"/>
          <w:bCs/>
          <w:sz w:val="20"/>
          <w:szCs w:val="20"/>
        </w:rPr>
        <w:t>separately</w:t>
      </w:r>
      <w:r w:rsidR="00F74FF2" w:rsidRPr="00C33EE7">
        <w:rPr>
          <w:rFonts w:ascii="Times New Roman" w:hAnsi="Times New Roman" w:cs="Times New Roman"/>
          <w:bCs/>
          <w:sz w:val="20"/>
          <w:szCs w:val="20"/>
        </w:rPr>
        <w:t xml:space="preserve"> and ha</w:t>
      </w:r>
      <w:r w:rsidR="003B0D4A">
        <w:rPr>
          <w:rFonts w:ascii="Times New Roman" w:hAnsi="Times New Roman" w:cs="Times New Roman"/>
          <w:bCs/>
          <w:sz w:val="20"/>
          <w:szCs w:val="20"/>
        </w:rPr>
        <w:t xml:space="preserve">s </w:t>
      </w:r>
      <w:r w:rsidR="00F74FF2" w:rsidRPr="00C33EE7">
        <w:rPr>
          <w:rFonts w:ascii="Times New Roman" w:hAnsi="Times New Roman" w:cs="Times New Roman"/>
          <w:bCs/>
          <w:sz w:val="20"/>
          <w:szCs w:val="20"/>
        </w:rPr>
        <w:t xml:space="preserve">not been </w:t>
      </w:r>
      <w:r w:rsidR="00E578DA" w:rsidRPr="00C33EE7">
        <w:rPr>
          <w:rFonts w:ascii="Times New Roman" w:hAnsi="Times New Roman" w:cs="Times New Roman"/>
          <w:bCs/>
          <w:sz w:val="20"/>
          <w:szCs w:val="20"/>
        </w:rPr>
        <w:t>accumulated</w:t>
      </w:r>
      <w:r w:rsidR="00F74FF2" w:rsidRPr="00C33EE7">
        <w:rPr>
          <w:rFonts w:ascii="Times New Roman" w:hAnsi="Times New Roman" w:cs="Times New Roman"/>
          <w:bCs/>
          <w:sz w:val="20"/>
          <w:szCs w:val="20"/>
        </w:rPr>
        <w:t xml:space="preserve"> </w:t>
      </w:r>
      <w:r w:rsidR="000A629B">
        <w:rPr>
          <w:rFonts w:ascii="Times New Roman" w:hAnsi="Times New Roman" w:cs="Times New Roman"/>
          <w:bCs/>
          <w:sz w:val="20"/>
          <w:szCs w:val="20"/>
        </w:rPr>
        <w:t xml:space="preserve">from top to bottom </w:t>
      </w:r>
      <w:r w:rsidR="00F74FF2" w:rsidRPr="00C33EE7">
        <w:rPr>
          <w:rFonts w:ascii="Times New Roman" w:hAnsi="Times New Roman" w:cs="Times New Roman"/>
          <w:bCs/>
          <w:sz w:val="20"/>
          <w:szCs w:val="20"/>
        </w:rPr>
        <w:t>anymore</w:t>
      </w:r>
      <w:r w:rsidR="00E578DA" w:rsidRPr="00C33EE7">
        <w:rPr>
          <w:rFonts w:ascii="Times New Roman" w:hAnsi="Times New Roman" w:cs="Times New Roman"/>
          <w:bCs/>
          <w:sz w:val="20"/>
          <w:szCs w:val="20"/>
        </w:rPr>
        <w:t xml:space="preserve"> (as ISO does in their documents)</w:t>
      </w:r>
      <w:r w:rsidR="00F74FF2" w:rsidRPr="00C33EE7">
        <w:rPr>
          <w:rFonts w:ascii="Times New Roman" w:hAnsi="Times New Roman" w:cs="Times New Roman"/>
          <w:bCs/>
          <w:sz w:val="20"/>
          <w:szCs w:val="20"/>
        </w:rPr>
        <w:t>.</w:t>
      </w:r>
      <w:r w:rsidR="003A1D86">
        <w:rPr>
          <w:rFonts w:ascii="Times New Roman" w:hAnsi="Times New Roman" w:cs="Times New Roman"/>
          <w:bCs/>
          <w:sz w:val="20"/>
          <w:szCs w:val="20"/>
        </w:rPr>
        <w:t xml:space="preserve"> This has effect on </w:t>
      </w:r>
      <w:r w:rsidR="003418DC">
        <w:rPr>
          <w:rFonts w:ascii="Times New Roman" w:hAnsi="Times New Roman" w:cs="Times New Roman"/>
          <w:bCs/>
          <w:sz w:val="20"/>
          <w:szCs w:val="20"/>
        </w:rPr>
        <w:t>“</w:t>
      </w:r>
      <w:r w:rsidR="007D3298">
        <w:rPr>
          <w:rFonts w:ascii="Times New Roman" w:hAnsi="Times New Roman" w:cs="Times New Roman"/>
          <w:bCs/>
          <w:sz w:val="20"/>
          <w:szCs w:val="20"/>
        </w:rPr>
        <w:t>U</w:t>
      </w:r>
      <w:r w:rsidR="003A1D86">
        <w:rPr>
          <w:rFonts w:ascii="Times New Roman" w:hAnsi="Times New Roman" w:cs="Times New Roman"/>
          <w:bCs/>
          <w:sz w:val="20"/>
          <w:szCs w:val="20"/>
        </w:rPr>
        <w:t xml:space="preserve">ncertainties </w:t>
      </w:r>
      <w:r w:rsidR="007D3298">
        <w:rPr>
          <w:rFonts w:ascii="Times New Roman" w:hAnsi="Times New Roman" w:cs="Times New Roman"/>
          <w:bCs/>
          <w:sz w:val="20"/>
          <w:szCs w:val="20"/>
        </w:rPr>
        <w:t>B</w:t>
      </w:r>
      <w:r w:rsidR="003A1D86">
        <w:rPr>
          <w:rFonts w:ascii="Times New Roman" w:hAnsi="Times New Roman" w:cs="Times New Roman"/>
          <w:bCs/>
          <w:sz w:val="20"/>
          <w:szCs w:val="20"/>
        </w:rPr>
        <w:t>udgets</w:t>
      </w:r>
      <w:r w:rsidR="003418DC">
        <w:rPr>
          <w:rFonts w:ascii="Times New Roman" w:hAnsi="Times New Roman" w:cs="Times New Roman"/>
          <w:bCs/>
          <w:sz w:val="20"/>
          <w:szCs w:val="20"/>
        </w:rPr>
        <w:t>”</w:t>
      </w:r>
      <w:r w:rsidR="003A1D86">
        <w:rPr>
          <w:rFonts w:ascii="Times New Roman" w:hAnsi="Times New Roman" w:cs="Times New Roman"/>
          <w:bCs/>
          <w:sz w:val="20"/>
          <w:szCs w:val="20"/>
        </w:rPr>
        <w:t xml:space="preserve"> </w:t>
      </w:r>
      <w:r w:rsidR="007D3298">
        <w:rPr>
          <w:rFonts w:ascii="Times New Roman" w:hAnsi="Times New Roman" w:cs="Times New Roman"/>
          <w:bCs/>
          <w:sz w:val="20"/>
          <w:szCs w:val="20"/>
        </w:rPr>
        <w:t>due to</w:t>
      </w:r>
      <w:r w:rsidR="00841413">
        <w:rPr>
          <w:rFonts w:ascii="Times New Roman" w:hAnsi="Times New Roman" w:cs="Times New Roman"/>
          <w:bCs/>
          <w:sz w:val="20"/>
          <w:szCs w:val="20"/>
        </w:rPr>
        <w:t xml:space="preserve"> </w:t>
      </w:r>
      <w:r w:rsidR="003418DC">
        <w:rPr>
          <w:rFonts w:ascii="Times New Roman" w:hAnsi="Times New Roman" w:cs="Times New Roman"/>
          <w:bCs/>
          <w:sz w:val="20"/>
          <w:szCs w:val="20"/>
        </w:rPr>
        <w:t>“Type approval”, “COP” and “Field Tests”</w:t>
      </w:r>
      <w:r w:rsidR="00C24B83">
        <w:rPr>
          <w:rFonts w:ascii="Times New Roman" w:hAnsi="Times New Roman" w:cs="Times New Roman"/>
          <w:bCs/>
          <w:sz w:val="20"/>
          <w:szCs w:val="20"/>
        </w:rPr>
        <w:t>,</w:t>
      </w:r>
      <w:r w:rsidR="00283B81">
        <w:rPr>
          <w:rFonts w:ascii="Times New Roman" w:hAnsi="Times New Roman" w:cs="Times New Roman"/>
          <w:bCs/>
          <w:sz w:val="20"/>
          <w:szCs w:val="20"/>
        </w:rPr>
        <w:t xml:space="preserve"> including the “expanded</w:t>
      </w:r>
      <w:r w:rsidR="00C24B83">
        <w:rPr>
          <w:rFonts w:ascii="Times New Roman" w:hAnsi="Times New Roman" w:cs="Times New Roman"/>
          <w:bCs/>
          <w:sz w:val="20"/>
          <w:szCs w:val="20"/>
        </w:rPr>
        <w:t xml:space="preserve"> </w:t>
      </w:r>
      <w:r w:rsidR="00283B81">
        <w:rPr>
          <w:rFonts w:ascii="Times New Roman" w:hAnsi="Times New Roman" w:cs="Times New Roman"/>
          <w:bCs/>
          <w:sz w:val="20"/>
          <w:szCs w:val="20"/>
        </w:rPr>
        <w:t>uncertainty</w:t>
      </w:r>
      <w:r w:rsidR="00C24B83">
        <w:rPr>
          <w:rFonts w:ascii="Times New Roman" w:hAnsi="Times New Roman" w:cs="Times New Roman"/>
          <w:bCs/>
          <w:sz w:val="20"/>
          <w:szCs w:val="20"/>
        </w:rPr>
        <w:t xml:space="preserve"> 95%”</w:t>
      </w:r>
      <w:r w:rsidR="003418DC">
        <w:rPr>
          <w:rFonts w:ascii="Times New Roman" w:hAnsi="Times New Roman" w:cs="Times New Roman"/>
          <w:bCs/>
          <w:sz w:val="20"/>
          <w:szCs w:val="20"/>
        </w:rPr>
        <w:t>.</w:t>
      </w:r>
      <w:r w:rsidR="00841413">
        <w:rPr>
          <w:rFonts w:ascii="Times New Roman" w:hAnsi="Times New Roman" w:cs="Times New Roman"/>
          <w:bCs/>
          <w:sz w:val="20"/>
          <w:szCs w:val="20"/>
        </w:rPr>
        <w:t xml:space="preserve"> </w:t>
      </w:r>
    </w:p>
    <w:p w14:paraId="464AF22E" w14:textId="77777777" w:rsidR="00E87EE6" w:rsidRDefault="00690BEA" w:rsidP="00AD7EFE">
      <w:pPr>
        <w:keepLines/>
        <w:spacing w:after="120"/>
        <w:ind w:left="1134"/>
        <w:jc w:val="both"/>
        <w:rPr>
          <w:rFonts w:ascii="Times New Roman" w:hAnsi="Times New Roman" w:cs="Times New Roman"/>
          <w:bCs/>
          <w:sz w:val="20"/>
          <w:szCs w:val="20"/>
        </w:rPr>
      </w:pPr>
      <w:r>
        <w:rPr>
          <w:rFonts w:ascii="Times New Roman" w:hAnsi="Times New Roman" w:cs="Times New Roman"/>
          <w:bCs/>
          <w:sz w:val="20"/>
          <w:szCs w:val="20"/>
        </w:rPr>
        <w:t xml:space="preserve">Some values in the column of COP have been </w:t>
      </w:r>
      <w:r w:rsidR="00506833">
        <w:rPr>
          <w:rFonts w:ascii="Times New Roman" w:hAnsi="Times New Roman" w:cs="Times New Roman"/>
          <w:bCs/>
          <w:sz w:val="20"/>
          <w:szCs w:val="20"/>
        </w:rPr>
        <w:t xml:space="preserve">reduced, since </w:t>
      </w:r>
      <w:r w:rsidR="00063B12" w:rsidRPr="00C33EE7">
        <w:rPr>
          <w:rFonts w:ascii="Times New Roman" w:hAnsi="Times New Roman" w:cs="Times New Roman"/>
          <w:bCs/>
          <w:sz w:val="20"/>
          <w:szCs w:val="20"/>
        </w:rPr>
        <w:t xml:space="preserve">COP </w:t>
      </w:r>
      <w:r w:rsidR="003E6DA9" w:rsidRPr="00C33EE7">
        <w:rPr>
          <w:rFonts w:ascii="Times New Roman" w:hAnsi="Times New Roman" w:cs="Times New Roman"/>
          <w:bCs/>
          <w:sz w:val="20"/>
          <w:szCs w:val="20"/>
        </w:rPr>
        <w:t>situations could be expected to be under control to a higher extent compared to an arbitrary test situation</w:t>
      </w:r>
      <w:r w:rsidR="00E87EE6">
        <w:rPr>
          <w:rFonts w:ascii="Times New Roman" w:hAnsi="Times New Roman" w:cs="Times New Roman"/>
          <w:bCs/>
          <w:sz w:val="20"/>
          <w:szCs w:val="20"/>
        </w:rPr>
        <w:t>:</w:t>
      </w:r>
      <w:r w:rsidR="003E6DA9" w:rsidRPr="00C33EE7">
        <w:rPr>
          <w:rFonts w:ascii="Times New Roman" w:hAnsi="Times New Roman" w:cs="Times New Roman"/>
          <w:bCs/>
          <w:sz w:val="20"/>
          <w:szCs w:val="20"/>
        </w:rPr>
        <w:t xml:space="preserve"> </w:t>
      </w:r>
    </w:p>
    <w:p w14:paraId="71BF2981" w14:textId="1264360A" w:rsidR="00E87EE6" w:rsidRPr="00E87EE6" w:rsidRDefault="00DD00AE" w:rsidP="00E87EE6">
      <w:pPr>
        <w:pStyle w:val="ListParagraph"/>
        <w:keepLines/>
        <w:numPr>
          <w:ilvl w:val="0"/>
          <w:numId w:val="4"/>
        </w:numPr>
        <w:spacing w:after="120"/>
        <w:jc w:val="both"/>
        <w:rPr>
          <w:rFonts w:ascii="Times New Roman" w:hAnsi="Times New Roman" w:cs="Times New Roman"/>
          <w:bCs/>
          <w:sz w:val="20"/>
          <w:szCs w:val="20"/>
        </w:rPr>
      </w:pPr>
      <w:r>
        <w:rPr>
          <w:rFonts w:ascii="Times New Roman" w:hAnsi="Times New Roman" w:cs="Times New Roman"/>
          <w:bCs/>
          <w:sz w:val="20"/>
          <w:szCs w:val="20"/>
        </w:rPr>
        <w:t>F</w:t>
      </w:r>
      <w:r w:rsidR="00E87EE6" w:rsidRPr="00E87EE6">
        <w:rPr>
          <w:rFonts w:ascii="Times New Roman" w:hAnsi="Times New Roman" w:cs="Times New Roman"/>
          <w:bCs/>
          <w:sz w:val="20"/>
          <w:szCs w:val="20"/>
        </w:rPr>
        <w:t xml:space="preserve">or the Light Vehicle category of </w:t>
      </w:r>
      <w:proofErr w:type="gramStart"/>
      <w:r w:rsidR="00E87EE6" w:rsidRPr="00E87EE6">
        <w:rPr>
          <w:rFonts w:ascii="Times New Roman" w:hAnsi="Times New Roman" w:cs="Times New Roman"/>
          <w:bCs/>
          <w:sz w:val="20"/>
          <w:szCs w:val="20"/>
        </w:rPr>
        <w:t>vehicles</w:t>
      </w:r>
      <w:proofErr w:type="gramEnd"/>
      <w:r w:rsidR="00E87EE6" w:rsidRPr="00E87EE6">
        <w:rPr>
          <w:rFonts w:ascii="Times New Roman" w:hAnsi="Times New Roman" w:cs="Times New Roman"/>
          <w:bCs/>
          <w:sz w:val="20"/>
          <w:szCs w:val="20"/>
        </w:rPr>
        <w:t xml:space="preserve"> </w:t>
      </w:r>
      <w:r>
        <w:rPr>
          <w:rFonts w:ascii="Times New Roman" w:hAnsi="Times New Roman" w:cs="Times New Roman"/>
          <w:bCs/>
          <w:sz w:val="20"/>
          <w:szCs w:val="20"/>
        </w:rPr>
        <w:t>t</w:t>
      </w:r>
      <w:r w:rsidR="003E6DA9" w:rsidRPr="00E87EE6">
        <w:rPr>
          <w:rFonts w:ascii="Times New Roman" w:hAnsi="Times New Roman" w:cs="Times New Roman"/>
          <w:bCs/>
          <w:sz w:val="20"/>
          <w:szCs w:val="20"/>
        </w:rPr>
        <w:t xml:space="preserve">he uncertainty of the </w:t>
      </w:r>
      <w:r w:rsidR="004F5531" w:rsidRPr="00E87EE6">
        <w:rPr>
          <w:rFonts w:ascii="Times New Roman" w:hAnsi="Times New Roman" w:cs="Times New Roman"/>
          <w:bCs/>
          <w:sz w:val="20"/>
          <w:szCs w:val="20"/>
        </w:rPr>
        <w:t>“</w:t>
      </w:r>
      <w:r w:rsidR="00155DCD" w:rsidRPr="00E87EE6">
        <w:rPr>
          <w:rFonts w:ascii="Times New Roman" w:hAnsi="Times New Roman" w:cs="Times New Roman"/>
          <w:bCs/>
          <w:sz w:val="20"/>
          <w:szCs w:val="20"/>
        </w:rPr>
        <w:t>Site-to-Site</w:t>
      </w:r>
      <w:r w:rsidR="004F5531" w:rsidRPr="00E87EE6">
        <w:rPr>
          <w:rFonts w:ascii="Times New Roman" w:hAnsi="Times New Roman" w:cs="Times New Roman"/>
          <w:bCs/>
          <w:sz w:val="20"/>
          <w:szCs w:val="20"/>
        </w:rPr>
        <w:t>”</w:t>
      </w:r>
      <w:r w:rsidR="003E6DA9" w:rsidRPr="00E87EE6">
        <w:rPr>
          <w:rFonts w:ascii="Times New Roman" w:hAnsi="Times New Roman" w:cs="Times New Roman"/>
          <w:bCs/>
          <w:sz w:val="20"/>
          <w:szCs w:val="20"/>
        </w:rPr>
        <w:t xml:space="preserve"> </w:t>
      </w:r>
      <w:r w:rsidR="002E0244">
        <w:rPr>
          <w:rFonts w:ascii="Times New Roman" w:hAnsi="Times New Roman" w:cs="Times New Roman"/>
          <w:bCs/>
          <w:sz w:val="20"/>
          <w:szCs w:val="20"/>
        </w:rPr>
        <w:t xml:space="preserve">in COP testing </w:t>
      </w:r>
      <w:r w:rsidR="003E6DA9" w:rsidRPr="00E87EE6">
        <w:rPr>
          <w:rFonts w:ascii="Times New Roman" w:hAnsi="Times New Roman" w:cs="Times New Roman"/>
          <w:bCs/>
          <w:sz w:val="20"/>
          <w:szCs w:val="20"/>
        </w:rPr>
        <w:t xml:space="preserve">situation has been suggested to be half of the uncertainty of an arbitrary situation. </w:t>
      </w:r>
    </w:p>
    <w:p w14:paraId="64200F2D" w14:textId="4439A015" w:rsidR="003E6DA9" w:rsidRPr="00E87EE6" w:rsidRDefault="003E6DA9" w:rsidP="00E87EE6">
      <w:pPr>
        <w:pStyle w:val="ListParagraph"/>
        <w:keepLines/>
        <w:numPr>
          <w:ilvl w:val="0"/>
          <w:numId w:val="4"/>
        </w:numPr>
        <w:spacing w:after="120"/>
        <w:jc w:val="both"/>
        <w:rPr>
          <w:rFonts w:ascii="Times New Roman" w:hAnsi="Times New Roman" w:cs="Times New Roman"/>
          <w:bCs/>
          <w:sz w:val="20"/>
          <w:szCs w:val="20"/>
        </w:rPr>
      </w:pPr>
      <w:r w:rsidRPr="00E87EE6">
        <w:rPr>
          <w:rFonts w:ascii="Times New Roman" w:hAnsi="Times New Roman" w:cs="Times New Roman"/>
          <w:bCs/>
          <w:sz w:val="20"/>
          <w:szCs w:val="20"/>
        </w:rPr>
        <w:t xml:space="preserve">For the Heavy Commercial vehicles similar principle applies to the </w:t>
      </w:r>
      <w:r w:rsidR="004F5531" w:rsidRPr="00E87EE6">
        <w:rPr>
          <w:rFonts w:ascii="Times New Roman" w:hAnsi="Times New Roman" w:cs="Times New Roman"/>
          <w:bCs/>
          <w:sz w:val="20"/>
          <w:szCs w:val="20"/>
        </w:rPr>
        <w:t>“</w:t>
      </w:r>
      <w:r w:rsidRPr="00E87EE6">
        <w:rPr>
          <w:rFonts w:ascii="Times New Roman" w:hAnsi="Times New Roman" w:cs="Times New Roman"/>
          <w:bCs/>
          <w:sz w:val="20"/>
          <w:szCs w:val="20"/>
        </w:rPr>
        <w:t>Vehicle-to-Vehicle</w:t>
      </w:r>
      <w:r w:rsidR="004F5531" w:rsidRPr="00E87EE6">
        <w:rPr>
          <w:rFonts w:ascii="Times New Roman" w:hAnsi="Times New Roman" w:cs="Times New Roman"/>
          <w:bCs/>
          <w:sz w:val="20"/>
          <w:szCs w:val="20"/>
        </w:rPr>
        <w:t>”</w:t>
      </w:r>
      <w:r w:rsidRPr="00E87EE6">
        <w:rPr>
          <w:rFonts w:ascii="Times New Roman" w:hAnsi="Times New Roman" w:cs="Times New Roman"/>
          <w:bCs/>
          <w:sz w:val="20"/>
          <w:szCs w:val="20"/>
        </w:rPr>
        <w:t xml:space="preserve"> situation corresponding to COP testing.</w:t>
      </w:r>
    </w:p>
    <w:p w14:paraId="14358445" w14:textId="77777777" w:rsidR="003E6DA9" w:rsidRPr="0005145D" w:rsidRDefault="003E6DA9" w:rsidP="00261F7E">
      <w:pPr>
        <w:keepLines/>
        <w:spacing w:after="120"/>
        <w:ind w:left="1134"/>
        <w:jc w:val="both"/>
        <w:rPr>
          <w:rFonts w:ascii="Times New Roman" w:hAnsi="Times New Roman" w:cs="Times New Roman"/>
          <w:bCs/>
          <w:sz w:val="20"/>
          <w:szCs w:val="20"/>
        </w:rPr>
      </w:pPr>
    </w:p>
    <w:sectPr w:rsidR="003E6DA9" w:rsidRPr="0005145D" w:rsidSect="00A66D4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BC17" w14:textId="77777777" w:rsidR="000D44B1" w:rsidRDefault="000D44B1" w:rsidP="001C7D1E">
      <w:pPr>
        <w:spacing w:after="0" w:line="240" w:lineRule="auto"/>
      </w:pPr>
      <w:r>
        <w:separator/>
      </w:r>
    </w:p>
  </w:endnote>
  <w:endnote w:type="continuationSeparator" w:id="0">
    <w:p w14:paraId="72D36586" w14:textId="77777777" w:rsidR="000D44B1" w:rsidRDefault="000D44B1" w:rsidP="001C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AFD7" w14:textId="77777777" w:rsidR="000D44B1" w:rsidRDefault="000D44B1" w:rsidP="001C7D1E">
      <w:pPr>
        <w:spacing w:after="0" w:line="240" w:lineRule="auto"/>
      </w:pPr>
      <w:r>
        <w:separator/>
      </w:r>
    </w:p>
  </w:footnote>
  <w:footnote w:type="continuationSeparator" w:id="0">
    <w:p w14:paraId="179E1647" w14:textId="77777777" w:rsidR="000D44B1" w:rsidRDefault="000D44B1" w:rsidP="001C7D1E">
      <w:pPr>
        <w:spacing w:after="0" w:line="240" w:lineRule="auto"/>
      </w:pPr>
      <w:r>
        <w:continuationSeparator/>
      </w:r>
    </w:p>
  </w:footnote>
  <w:footnote w:id="1">
    <w:p w14:paraId="29BF5A05" w14:textId="1F1D5DEA" w:rsidR="00827FDE" w:rsidRPr="00322E03" w:rsidRDefault="0077145F" w:rsidP="00A66D46">
      <w:pPr>
        <w:pStyle w:val="FootnoteText"/>
        <w:tabs>
          <w:tab w:val="clear" w:pos="1021"/>
          <w:tab w:val="left" w:pos="1134"/>
        </w:tabs>
        <w:ind w:hanging="283"/>
        <w:rPr>
          <w:lang w:val="en-US"/>
        </w:rPr>
      </w:pPr>
      <w:r w:rsidRPr="00A66D46">
        <w:rPr>
          <w:rStyle w:val="FootnoteReference"/>
          <w:sz w:val="20"/>
          <w:lang w:val="en-US"/>
        </w:rPr>
        <w:t xml:space="preserve">* </w:t>
      </w:r>
      <w:r w:rsidR="007C3B3C">
        <w:rPr>
          <w:sz w:val="20"/>
          <w:lang w:val="en-US"/>
        </w:rPr>
        <w:tab/>
      </w:r>
      <w:r w:rsidR="00827FDE" w:rsidRPr="00322E03">
        <w:rPr>
          <w:lang w:val="en-US"/>
        </w:rPr>
        <w:t xml:space="preserve">In accordance with the </w:t>
      </w:r>
      <w:proofErr w:type="spellStart"/>
      <w:r w:rsidR="00827FDE" w:rsidRPr="00322E03">
        <w:rPr>
          <w:lang w:val="en-US"/>
        </w:rPr>
        <w:t>programme</w:t>
      </w:r>
      <w:proofErr w:type="spellEnd"/>
      <w:r w:rsidR="00827FDE" w:rsidRPr="00322E03">
        <w:rPr>
          <w:lang w:val="en-US"/>
        </w:rPr>
        <w:t xml:space="preserve"> of work of the Inland Transport Committee for 2022 as outlined in proposed </w:t>
      </w:r>
      <w:proofErr w:type="spellStart"/>
      <w:r w:rsidR="00827FDE" w:rsidRPr="00322E03">
        <w:rPr>
          <w:lang w:val="en-US"/>
        </w:rPr>
        <w:t>programme</w:t>
      </w:r>
      <w:proofErr w:type="spellEnd"/>
      <w:r w:rsidR="00827FDE" w:rsidRPr="00322E03">
        <w:rPr>
          <w:lang w:val="en-US"/>
        </w:rPr>
        <w:t xml:space="preserve"> budget for 2022 (A/76/6 (Sect.20), para 20.76), the World Forum will develop, </w:t>
      </w:r>
      <w:proofErr w:type="gramStart"/>
      <w:r w:rsidR="00827FDE" w:rsidRPr="00322E03">
        <w:rPr>
          <w:lang w:val="en-US"/>
        </w:rPr>
        <w:t>harmonize</w:t>
      </w:r>
      <w:proofErr w:type="gramEnd"/>
      <w:r w:rsidR="00827FDE" w:rsidRPr="00322E03">
        <w:rPr>
          <w:lang w:val="en-US"/>
        </w:rPr>
        <w:t xml:space="preserve"> and update UN Regulations in order to enhance the performance of vehicles. The present document is submitted in conformity with that mandate.</w:t>
      </w:r>
    </w:p>
    <w:p w14:paraId="2CED4969" w14:textId="77777777" w:rsidR="00827FDE" w:rsidRPr="00A66D46" w:rsidRDefault="00827FDE" w:rsidP="00A66D46">
      <w:pPr>
        <w:pStyle w:val="FootnoteText"/>
        <w:tabs>
          <w:tab w:val="clear" w:pos="1021"/>
          <w:tab w:val="right" w:pos="1134"/>
          <w:tab w:val="left" w:pos="7938"/>
        </w:tabs>
        <w:ind w:hanging="283"/>
        <w:rPr>
          <w:rStyle w:val="FootnoteReference"/>
          <w:sz w:val="20"/>
          <w:vertAlign w:val="baseline"/>
          <w:lang w:val="en-US"/>
        </w:rPr>
      </w:pPr>
    </w:p>
  </w:footnote>
  <w:footnote w:id="2">
    <w:p w14:paraId="3AD9B5F9" w14:textId="5FC1CE6D" w:rsidR="000F37D1" w:rsidRPr="00030A4D" w:rsidRDefault="000F37D1" w:rsidP="000F37D1">
      <w:pPr>
        <w:pStyle w:val="FootnoteText"/>
        <w:rPr>
          <w:lang w:val="en-GB"/>
        </w:rPr>
      </w:pPr>
      <w:r w:rsidRPr="00743F08">
        <w:rPr>
          <w:lang w:val="en-US"/>
        </w:rPr>
        <w:tab/>
      </w:r>
      <w:r w:rsidRPr="00030A4D">
        <w:rPr>
          <w:rStyle w:val="FootnoteReference"/>
          <w:lang w:val="en-US"/>
        </w:rPr>
        <w:t>**</w:t>
      </w:r>
      <w:r w:rsidRPr="00030A4D">
        <w:rPr>
          <w:lang w:val="en-US"/>
        </w:rPr>
        <w:t xml:space="preserve"> </w:t>
      </w:r>
      <w:r>
        <w:rPr>
          <w:lang w:val="en-US"/>
        </w:rPr>
        <w:tab/>
      </w:r>
      <w:r w:rsidRPr="00030A4D">
        <w:rPr>
          <w:lang w:val="en-GB"/>
        </w:rPr>
        <w:t xml:space="preserve"> </w:t>
      </w:r>
      <w:r w:rsidR="00B159C3" w:rsidRPr="00020C2D">
        <w:rPr>
          <w:lang w:val="en-GB"/>
        </w:rPr>
        <w:t>The acronyms and designations in</w:t>
      </w:r>
      <w:r w:rsidR="00B159C3" w:rsidRPr="00B159C3">
        <w:rPr>
          <w:lang w:val="en-GB"/>
        </w:rPr>
        <w:t xml:space="preserve"> table</w:t>
      </w:r>
      <w:r w:rsidR="00B159C3" w:rsidRPr="00F53A8A">
        <w:rPr>
          <w:b/>
          <w:bCs/>
          <w:lang w:val="en-GB"/>
        </w:rPr>
        <w:t>s</w:t>
      </w:r>
      <w:r w:rsidR="00B159C3" w:rsidRPr="00020C2D">
        <w:rPr>
          <w:lang w:val="en-GB"/>
        </w:rPr>
        <w:t xml:space="preserve"> 7.1 </w:t>
      </w:r>
      <w:r w:rsidR="00B159C3" w:rsidRPr="00020C2D">
        <w:rPr>
          <w:b/>
          <w:bCs/>
          <w:lang w:val="en-GB"/>
        </w:rPr>
        <w:t>and 7.2</w:t>
      </w:r>
      <w:r w:rsidR="00B159C3" w:rsidRPr="00020C2D">
        <w:rPr>
          <w:lang w:val="en-GB"/>
        </w:rPr>
        <w:t xml:space="preserve"> follow the 03 series of amendments to UN Regulation No. .51</w:t>
      </w:r>
      <w:r w:rsidR="00B159C3" w:rsidRPr="00030A4D">
        <w:rPr>
          <w:lang w:val="en-GB"/>
        </w:rPr>
        <w:t xml:space="preserve">  </w:t>
      </w:r>
    </w:p>
  </w:footnote>
  <w:footnote w:id="3">
    <w:p w14:paraId="65ED98A3" w14:textId="6B8DD6F6" w:rsidR="00020C2D" w:rsidRPr="00030A4D" w:rsidRDefault="00020C2D" w:rsidP="00020C2D">
      <w:pPr>
        <w:pStyle w:val="FootnoteText"/>
        <w:rPr>
          <w:lang w:val="en-GB"/>
        </w:rPr>
      </w:pPr>
      <w:r w:rsidRPr="00743F08">
        <w:rPr>
          <w:lang w:val="en-US"/>
        </w:rPr>
        <w:tab/>
      </w:r>
      <w:r w:rsidRPr="00030A4D">
        <w:rPr>
          <w:rStyle w:val="FootnoteReference"/>
          <w:lang w:val="en-US"/>
        </w:rPr>
        <w:t>**</w:t>
      </w:r>
      <w:r w:rsidRPr="00030A4D">
        <w:rPr>
          <w:lang w:val="en-US"/>
        </w:rPr>
        <w:t xml:space="preserve"> </w:t>
      </w:r>
      <w:r>
        <w:rPr>
          <w:lang w:val="en-US"/>
        </w:rPr>
        <w:tab/>
      </w:r>
      <w:bookmarkStart w:id="0" w:name="_Hlk124956964"/>
      <w:bookmarkStart w:id="1" w:name="_Hlk124956965"/>
      <w:r w:rsidRPr="00020C2D">
        <w:rPr>
          <w:lang w:val="en-GB"/>
        </w:rPr>
        <w:t>The acronyms and designations in</w:t>
      </w:r>
      <w:r w:rsidRPr="00B159C3">
        <w:rPr>
          <w:lang w:val="en-GB"/>
        </w:rPr>
        <w:t xml:space="preserve"> </w:t>
      </w:r>
      <w:r w:rsidR="00F53A8A" w:rsidRPr="00B159C3">
        <w:rPr>
          <w:lang w:val="en-GB"/>
        </w:rPr>
        <w:t>table</w:t>
      </w:r>
      <w:r w:rsidR="00F53A8A" w:rsidRPr="00F53A8A">
        <w:rPr>
          <w:b/>
          <w:bCs/>
          <w:lang w:val="en-GB"/>
        </w:rPr>
        <w:t>s</w:t>
      </w:r>
      <w:r w:rsidRPr="00020C2D">
        <w:rPr>
          <w:lang w:val="en-GB"/>
        </w:rPr>
        <w:t xml:space="preserve"> 7.1 </w:t>
      </w:r>
      <w:r w:rsidRPr="00020C2D">
        <w:rPr>
          <w:b/>
          <w:bCs/>
          <w:lang w:val="en-GB"/>
        </w:rPr>
        <w:t>and 7.2</w:t>
      </w:r>
      <w:r w:rsidRPr="00020C2D">
        <w:rPr>
          <w:lang w:val="en-GB"/>
        </w:rPr>
        <w:t xml:space="preserve"> follow the 03 series of amendments to UN Regulation No. .51</w:t>
      </w:r>
      <w:r w:rsidRPr="00030A4D">
        <w:rPr>
          <w:lang w:val="en-GB"/>
        </w:rPr>
        <w:t xml:space="preserve">  </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606B"/>
    <w:multiLevelType w:val="hybridMultilevel"/>
    <w:tmpl w:val="144C295E"/>
    <w:lvl w:ilvl="0" w:tplc="A63CF2FA">
      <w:numFmt w:val="bullet"/>
      <w:lvlText w:val=""/>
      <w:lvlJc w:val="left"/>
      <w:pPr>
        <w:ind w:left="1766" w:hanging="360"/>
      </w:pPr>
      <w:rPr>
        <w:rFonts w:ascii="Symbol" w:eastAsia="Times New Roman" w:hAnsi="Symbol" w:cs="Times New Roman" w:hint="default"/>
        <w:sz w:val="20"/>
      </w:rPr>
    </w:lvl>
    <w:lvl w:ilvl="1" w:tplc="04070003" w:tentative="1">
      <w:start w:val="1"/>
      <w:numFmt w:val="bullet"/>
      <w:lvlText w:val="o"/>
      <w:lvlJc w:val="left"/>
      <w:pPr>
        <w:ind w:left="2486" w:hanging="360"/>
      </w:pPr>
      <w:rPr>
        <w:rFonts w:ascii="Courier New" w:hAnsi="Courier New" w:cs="Courier New" w:hint="default"/>
      </w:rPr>
    </w:lvl>
    <w:lvl w:ilvl="2" w:tplc="04070005" w:tentative="1">
      <w:start w:val="1"/>
      <w:numFmt w:val="bullet"/>
      <w:lvlText w:val=""/>
      <w:lvlJc w:val="left"/>
      <w:pPr>
        <w:ind w:left="3206" w:hanging="360"/>
      </w:pPr>
      <w:rPr>
        <w:rFonts w:ascii="Wingdings" w:hAnsi="Wingdings" w:hint="default"/>
      </w:rPr>
    </w:lvl>
    <w:lvl w:ilvl="3" w:tplc="04070001" w:tentative="1">
      <w:start w:val="1"/>
      <w:numFmt w:val="bullet"/>
      <w:lvlText w:val=""/>
      <w:lvlJc w:val="left"/>
      <w:pPr>
        <w:ind w:left="3926" w:hanging="360"/>
      </w:pPr>
      <w:rPr>
        <w:rFonts w:ascii="Symbol" w:hAnsi="Symbol" w:hint="default"/>
      </w:rPr>
    </w:lvl>
    <w:lvl w:ilvl="4" w:tplc="04070003" w:tentative="1">
      <w:start w:val="1"/>
      <w:numFmt w:val="bullet"/>
      <w:lvlText w:val="o"/>
      <w:lvlJc w:val="left"/>
      <w:pPr>
        <w:ind w:left="4646" w:hanging="360"/>
      </w:pPr>
      <w:rPr>
        <w:rFonts w:ascii="Courier New" w:hAnsi="Courier New" w:cs="Courier New" w:hint="default"/>
      </w:rPr>
    </w:lvl>
    <w:lvl w:ilvl="5" w:tplc="04070005" w:tentative="1">
      <w:start w:val="1"/>
      <w:numFmt w:val="bullet"/>
      <w:lvlText w:val=""/>
      <w:lvlJc w:val="left"/>
      <w:pPr>
        <w:ind w:left="5366" w:hanging="360"/>
      </w:pPr>
      <w:rPr>
        <w:rFonts w:ascii="Wingdings" w:hAnsi="Wingdings" w:hint="default"/>
      </w:rPr>
    </w:lvl>
    <w:lvl w:ilvl="6" w:tplc="04070001" w:tentative="1">
      <w:start w:val="1"/>
      <w:numFmt w:val="bullet"/>
      <w:lvlText w:val=""/>
      <w:lvlJc w:val="left"/>
      <w:pPr>
        <w:ind w:left="6086" w:hanging="360"/>
      </w:pPr>
      <w:rPr>
        <w:rFonts w:ascii="Symbol" w:hAnsi="Symbol" w:hint="default"/>
      </w:rPr>
    </w:lvl>
    <w:lvl w:ilvl="7" w:tplc="04070003" w:tentative="1">
      <w:start w:val="1"/>
      <w:numFmt w:val="bullet"/>
      <w:lvlText w:val="o"/>
      <w:lvlJc w:val="left"/>
      <w:pPr>
        <w:ind w:left="6806" w:hanging="360"/>
      </w:pPr>
      <w:rPr>
        <w:rFonts w:ascii="Courier New" w:hAnsi="Courier New" w:cs="Courier New" w:hint="default"/>
      </w:rPr>
    </w:lvl>
    <w:lvl w:ilvl="8" w:tplc="04070005" w:tentative="1">
      <w:start w:val="1"/>
      <w:numFmt w:val="bullet"/>
      <w:lvlText w:val=""/>
      <w:lvlJc w:val="left"/>
      <w:pPr>
        <w:ind w:left="7526" w:hanging="360"/>
      </w:pPr>
      <w:rPr>
        <w:rFonts w:ascii="Wingdings" w:hAnsi="Wingdings" w:hint="default"/>
      </w:rPr>
    </w:lvl>
  </w:abstractNum>
  <w:abstractNum w:abstractNumId="1" w15:restartNumberingAfterBreak="0">
    <w:nsid w:val="245A4792"/>
    <w:multiLevelType w:val="hybridMultilevel"/>
    <w:tmpl w:val="0302AAB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2D9153FC"/>
    <w:multiLevelType w:val="multilevel"/>
    <w:tmpl w:val="92542C5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54F9165E"/>
    <w:multiLevelType w:val="hybridMultilevel"/>
    <w:tmpl w:val="85EE90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4B"/>
    <w:rsid w:val="00000D93"/>
    <w:rsid w:val="00020C2D"/>
    <w:rsid w:val="00032674"/>
    <w:rsid w:val="0005145D"/>
    <w:rsid w:val="00055427"/>
    <w:rsid w:val="00063B12"/>
    <w:rsid w:val="0006784B"/>
    <w:rsid w:val="0009050B"/>
    <w:rsid w:val="000A2D4C"/>
    <w:rsid w:val="000A629B"/>
    <w:rsid w:val="000B4D8C"/>
    <w:rsid w:val="000D44B1"/>
    <w:rsid w:val="000F37D1"/>
    <w:rsid w:val="00104BB0"/>
    <w:rsid w:val="00137406"/>
    <w:rsid w:val="00155DCD"/>
    <w:rsid w:val="001667A3"/>
    <w:rsid w:val="001A6C67"/>
    <w:rsid w:val="001C2C44"/>
    <w:rsid w:val="001C2D02"/>
    <w:rsid w:val="001C7D1E"/>
    <w:rsid w:val="001E1A11"/>
    <w:rsid w:val="001E3179"/>
    <w:rsid w:val="00232439"/>
    <w:rsid w:val="00241EF9"/>
    <w:rsid w:val="00252DBA"/>
    <w:rsid w:val="00261F7E"/>
    <w:rsid w:val="00264BFF"/>
    <w:rsid w:val="002675DF"/>
    <w:rsid w:val="0027613C"/>
    <w:rsid w:val="00283B81"/>
    <w:rsid w:val="00287D51"/>
    <w:rsid w:val="00297DC5"/>
    <w:rsid w:val="002A5944"/>
    <w:rsid w:val="002B58AF"/>
    <w:rsid w:val="002B7560"/>
    <w:rsid w:val="002E0244"/>
    <w:rsid w:val="00322E03"/>
    <w:rsid w:val="003314A2"/>
    <w:rsid w:val="0033795D"/>
    <w:rsid w:val="003418DC"/>
    <w:rsid w:val="003A1D86"/>
    <w:rsid w:val="003B0D4A"/>
    <w:rsid w:val="003C0395"/>
    <w:rsid w:val="003E0567"/>
    <w:rsid w:val="003E4D82"/>
    <w:rsid w:val="003E6DA9"/>
    <w:rsid w:val="003F1F19"/>
    <w:rsid w:val="00442C05"/>
    <w:rsid w:val="00442E72"/>
    <w:rsid w:val="004448E2"/>
    <w:rsid w:val="00452DD5"/>
    <w:rsid w:val="00455397"/>
    <w:rsid w:val="00484028"/>
    <w:rsid w:val="00497AFC"/>
    <w:rsid w:val="004F5531"/>
    <w:rsid w:val="00506833"/>
    <w:rsid w:val="00551AE3"/>
    <w:rsid w:val="00554BF8"/>
    <w:rsid w:val="005C2E5D"/>
    <w:rsid w:val="005C3E35"/>
    <w:rsid w:val="006241BB"/>
    <w:rsid w:val="00633ED4"/>
    <w:rsid w:val="00641541"/>
    <w:rsid w:val="0065218F"/>
    <w:rsid w:val="006529D8"/>
    <w:rsid w:val="00654C23"/>
    <w:rsid w:val="00670783"/>
    <w:rsid w:val="00690BEA"/>
    <w:rsid w:val="006C6721"/>
    <w:rsid w:val="006F515E"/>
    <w:rsid w:val="006F671D"/>
    <w:rsid w:val="0071318F"/>
    <w:rsid w:val="00722DA8"/>
    <w:rsid w:val="0073637D"/>
    <w:rsid w:val="00744677"/>
    <w:rsid w:val="00745985"/>
    <w:rsid w:val="0075093C"/>
    <w:rsid w:val="007522CE"/>
    <w:rsid w:val="00754994"/>
    <w:rsid w:val="0077145F"/>
    <w:rsid w:val="00771FCC"/>
    <w:rsid w:val="00774DEE"/>
    <w:rsid w:val="007C3B3C"/>
    <w:rsid w:val="007D0275"/>
    <w:rsid w:val="007D3298"/>
    <w:rsid w:val="007E54FC"/>
    <w:rsid w:val="008138F2"/>
    <w:rsid w:val="00813BEB"/>
    <w:rsid w:val="0082508C"/>
    <w:rsid w:val="00827FDE"/>
    <w:rsid w:val="00835C8E"/>
    <w:rsid w:val="00841413"/>
    <w:rsid w:val="00843CA4"/>
    <w:rsid w:val="00847954"/>
    <w:rsid w:val="00855337"/>
    <w:rsid w:val="00864D92"/>
    <w:rsid w:val="00892C83"/>
    <w:rsid w:val="008A4548"/>
    <w:rsid w:val="008B7CC0"/>
    <w:rsid w:val="008D0E28"/>
    <w:rsid w:val="0091213E"/>
    <w:rsid w:val="009137B9"/>
    <w:rsid w:val="00916A3B"/>
    <w:rsid w:val="00920D36"/>
    <w:rsid w:val="00925554"/>
    <w:rsid w:val="009707AF"/>
    <w:rsid w:val="009C09AC"/>
    <w:rsid w:val="009C3176"/>
    <w:rsid w:val="009C39CA"/>
    <w:rsid w:val="00A3544E"/>
    <w:rsid w:val="00A6299B"/>
    <w:rsid w:val="00A66D46"/>
    <w:rsid w:val="00A84290"/>
    <w:rsid w:val="00AB496C"/>
    <w:rsid w:val="00AC56AF"/>
    <w:rsid w:val="00AD7D75"/>
    <w:rsid w:val="00AD7EFE"/>
    <w:rsid w:val="00B159C3"/>
    <w:rsid w:val="00B263C6"/>
    <w:rsid w:val="00B5104C"/>
    <w:rsid w:val="00B63974"/>
    <w:rsid w:val="00B73AF8"/>
    <w:rsid w:val="00B8730B"/>
    <w:rsid w:val="00B951AE"/>
    <w:rsid w:val="00B9585A"/>
    <w:rsid w:val="00BD5C5D"/>
    <w:rsid w:val="00BF1242"/>
    <w:rsid w:val="00C15732"/>
    <w:rsid w:val="00C240CC"/>
    <w:rsid w:val="00C24B83"/>
    <w:rsid w:val="00C33EE7"/>
    <w:rsid w:val="00C40342"/>
    <w:rsid w:val="00C4333E"/>
    <w:rsid w:val="00C74C45"/>
    <w:rsid w:val="00C875BD"/>
    <w:rsid w:val="00CA36EE"/>
    <w:rsid w:val="00CB3BF8"/>
    <w:rsid w:val="00CC18AD"/>
    <w:rsid w:val="00CC1CA7"/>
    <w:rsid w:val="00CC7946"/>
    <w:rsid w:val="00CD7268"/>
    <w:rsid w:val="00CE28DE"/>
    <w:rsid w:val="00CE525C"/>
    <w:rsid w:val="00CE70C6"/>
    <w:rsid w:val="00D02BD1"/>
    <w:rsid w:val="00D13A33"/>
    <w:rsid w:val="00D23C4C"/>
    <w:rsid w:val="00D446E5"/>
    <w:rsid w:val="00D507A2"/>
    <w:rsid w:val="00D56841"/>
    <w:rsid w:val="00D844C1"/>
    <w:rsid w:val="00D936E2"/>
    <w:rsid w:val="00D93AAB"/>
    <w:rsid w:val="00DD00AE"/>
    <w:rsid w:val="00DE59BD"/>
    <w:rsid w:val="00DF1D52"/>
    <w:rsid w:val="00E03DC5"/>
    <w:rsid w:val="00E4475B"/>
    <w:rsid w:val="00E5023E"/>
    <w:rsid w:val="00E578DA"/>
    <w:rsid w:val="00E71C4C"/>
    <w:rsid w:val="00E8257B"/>
    <w:rsid w:val="00E845C0"/>
    <w:rsid w:val="00E87EE6"/>
    <w:rsid w:val="00EA4052"/>
    <w:rsid w:val="00EC5D6D"/>
    <w:rsid w:val="00EE32BB"/>
    <w:rsid w:val="00F252DE"/>
    <w:rsid w:val="00F32C04"/>
    <w:rsid w:val="00F53A8A"/>
    <w:rsid w:val="00F62AE4"/>
    <w:rsid w:val="00F7093E"/>
    <w:rsid w:val="00F74FF2"/>
    <w:rsid w:val="00FA4B91"/>
    <w:rsid w:val="00FB11D5"/>
    <w:rsid w:val="00FB483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6107"/>
  <w15:chartTrackingRefBased/>
  <w15:docId w15:val="{1BCF9E55-0048-4986-9373-E2922D50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B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4D8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FootnoteReference">
    <w:name w:val="footnote reference"/>
    <w:aliases w:val="4_G,(Footnote Reference),-E Fußnotenzeichen,BVI fnr, BVI fnr,Footnote symbol,Footnote,Footnote Reference Superscript,SUPERS"/>
    <w:uiPriority w:val="99"/>
    <w:qFormat/>
    <w:rsid w:val="001C7D1E"/>
    <w:rPr>
      <w:rFonts w:ascii="Times New Roman" w:hAnsi="Times New Roman"/>
      <w:sz w:val="18"/>
      <w:vertAlign w:val="superscript"/>
      <w:lang w:val="fr-CH"/>
    </w:rPr>
  </w:style>
  <w:style w:type="paragraph" w:styleId="FootnoteText">
    <w:name w:val="footnote text"/>
    <w:aliases w:val="5_G,PP,5_G_6"/>
    <w:basedOn w:val="Normal"/>
    <w:link w:val="FootnoteTextChar1"/>
    <w:uiPriority w:val="99"/>
    <w:qFormat/>
    <w:rsid w:val="001C7D1E"/>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fr-CH"/>
    </w:rPr>
  </w:style>
  <w:style w:type="character" w:customStyle="1" w:styleId="FootnoteTextChar">
    <w:name w:val="Footnote Text Char"/>
    <w:basedOn w:val="DefaultParagraphFont"/>
    <w:uiPriority w:val="99"/>
    <w:semiHidden/>
    <w:rsid w:val="001C7D1E"/>
    <w:rPr>
      <w:sz w:val="20"/>
      <w:szCs w:val="20"/>
    </w:rPr>
  </w:style>
  <w:style w:type="character" w:customStyle="1" w:styleId="FootnoteTextChar1">
    <w:name w:val="Footnote Text Char1"/>
    <w:aliases w:val="5_G Char,PP Char,5_G_6 Char"/>
    <w:link w:val="FootnoteText"/>
    <w:uiPriority w:val="99"/>
    <w:rsid w:val="001C7D1E"/>
    <w:rPr>
      <w:rFonts w:ascii="Times New Roman" w:eastAsia="Times New Roman" w:hAnsi="Times New Roman" w:cs="Times New Roman"/>
      <w:sz w:val="18"/>
      <w:szCs w:val="20"/>
      <w:lang w:val="fr-CH"/>
    </w:rPr>
  </w:style>
  <w:style w:type="paragraph" w:styleId="ListParagraph">
    <w:name w:val="List Paragraph"/>
    <w:basedOn w:val="Normal"/>
    <w:uiPriority w:val="34"/>
    <w:qFormat/>
    <w:rsid w:val="00484028"/>
    <w:pPr>
      <w:ind w:left="720"/>
      <w:contextualSpacing/>
    </w:pPr>
  </w:style>
  <w:style w:type="paragraph" w:styleId="CommentText">
    <w:name w:val="annotation text"/>
    <w:basedOn w:val="Normal"/>
    <w:link w:val="CommentTextChar"/>
    <w:uiPriority w:val="99"/>
    <w:semiHidden/>
    <w:unhideWhenUsed/>
    <w:rsid w:val="00020C2D"/>
    <w:pPr>
      <w:spacing w:line="240" w:lineRule="auto"/>
    </w:pPr>
    <w:rPr>
      <w:sz w:val="20"/>
      <w:szCs w:val="20"/>
    </w:rPr>
  </w:style>
  <w:style w:type="character" w:customStyle="1" w:styleId="CommentTextChar">
    <w:name w:val="Comment Text Char"/>
    <w:basedOn w:val="DefaultParagraphFont"/>
    <w:link w:val="CommentText"/>
    <w:uiPriority w:val="99"/>
    <w:semiHidden/>
    <w:rsid w:val="00020C2D"/>
    <w:rPr>
      <w:sz w:val="20"/>
      <w:szCs w:val="20"/>
    </w:rPr>
  </w:style>
  <w:style w:type="character" w:styleId="CommentReference">
    <w:name w:val="annotation reference"/>
    <w:uiPriority w:val="99"/>
    <w:rsid w:val="00020C2D"/>
    <w:rPr>
      <w:sz w:val="16"/>
      <w:szCs w:val="16"/>
    </w:rPr>
  </w:style>
  <w:style w:type="table" w:styleId="TableGrid1">
    <w:name w:val="Table Grid 1"/>
    <w:basedOn w:val="TableNormal"/>
    <w:rsid w:val="00020C2D"/>
    <w:pPr>
      <w:suppressAutoHyphens/>
      <w:spacing w:after="0" w:line="240" w:lineRule="atLeast"/>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CE28DE"/>
    <w:pPr>
      <w:spacing w:after="0" w:line="240" w:lineRule="auto"/>
    </w:pPr>
  </w:style>
  <w:style w:type="paragraph" w:styleId="Header">
    <w:name w:val="header"/>
    <w:basedOn w:val="Normal"/>
    <w:link w:val="HeaderChar"/>
    <w:uiPriority w:val="99"/>
    <w:unhideWhenUsed/>
    <w:rsid w:val="00C1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32"/>
    <w:rPr>
      <w:lang w:val="en-US"/>
    </w:rPr>
  </w:style>
  <w:style w:type="paragraph" w:styleId="Footer">
    <w:name w:val="footer"/>
    <w:basedOn w:val="Normal"/>
    <w:link w:val="FooterChar"/>
    <w:uiPriority w:val="99"/>
    <w:unhideWhenUsed/>
    <w:rsid w:val="00C1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75DF-2592-4B9A-A097-4964235C7ABF}">
  <ds:schemaRefs>
    <ds:schemaRef ds:uri="http://schemas.microsoft.com/sharepoint/v3/contenttype/forms"/>
  </ds:schemaRefs>
</ds:datastoreItem>
</file>

<file path=customXml/itemProps2.xml><?xml version="1.0" encoding="utf-8"?>
<ds:datastoreItem xmlns:ds="http://schemas.openxmlformats.org/officeDocument/2006/customXml" ds:itemID="{EB138B47-20A1-4981-9A5C-70012076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35B4D-E4C0-4431-A283-DF27E850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8131</Characters>
  <Application>Microsoft Office Word</Application>
  <DocSecurity>0</DocSecurity>
  <Lines>508</Lines>
  <Paragraphs>293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Berge</dc:creator>
  <cp:keywords/>
  <dc:description/>
  <cp:lastModifiedBy>secretariat</cp:lastModifiedBy>
  <cp:revision>3</cp:revision>
  <cp:lastPrinted>2023-01-17T15:30:00Z</cp:lastPrinted>
  <dcterms:created xsi:type="dcterms:W3CDTF">2023-01-27T13:56:00Z</dcterms:created>
  <dcterms:modified xsi:type="dcterms:W3CDTF">2023-01-31T09:29:00Z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1420406972</vt:i4>
  </property>
  <property fmtid="{D5CDD505-2E9C-101B-9397-08002B2CF9AE}" pid="3" name="_NewReviewCycle">
    <vt:lpwstr/>
  </property>
  <property fmtid="{D5CDD505-2E9C-101B-9397-08002B2CF9AE}" pid="4" name="_EmailSubject">
    <vt:lpwstr>Informal document DfR</vt:lpwstr>
  </property>
  <property fmtid="{D5CDD505-2E9C-101B-9397-08002B2CF9AE}" pid="5" name="_AuthorEmail">
    <vt:lpwstr>Truls.Berge@sintef.no</vt:lpwstr>
  </property>
  <property fmtid="{D5CDD505-2E9C-101B-9397-08002B2CF9AE}" pid="6" name="_AuthorEmailDisplayName">
    <vt:lpwstr>Truls Berge</vt:lpwstr>
  </property>
  <property fmtid="{D5CDD505-2E9C-101B-9397-08002B2CF9AE}" pid="7" name="_ReviewingToolsShownOnce">
    <vt:lpwstr/>
  </property>
</Properties>
</file>