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C0638B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6A70B08" w14:textId="77777777" w:rsidR="00F35BAF" w:rsidRPr="00DB58B5" w:rsidRDefault="00F35BAF" w:rsidP="00C0106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15F00F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B482AE" w14:textId="17C33B1C" w:rsidR="00F35BAF" w:rsidRPr="00DB58B5" w:rsidRDefault="00C0106B" w:rsidP="00C0106B">
            <w:pPr>
              <w:jc w:val="right"/>
            </w:pPr>
            <w:r w:rsidRPr="00C0106B">
              <w:rPr>
                <w:sz w:val="40"/>
              </w:rPr>
              <w:t>ECE</w:t>
            </w:r>
            <w:r>
              <w:t>/TRANS/WP.29/2023/9</w:t>
            </w:r>
          </w:p>
        </w:tc>
      </w:tr>
      <w:tr w:rsidR="00F35BAF" w:rsidRPr="00DB58B5" w14:paraId="7403CA2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BB50E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12EA459" wp14:editId="6563B7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1A6D6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97DFE0" w14:textId="77777777" w:rsidR="00F35BAF" w:rsidRDefault="00C0106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A3384D6" w14:textId="77777777" w:rsidR="00C0106B" w:rsidRDefault="00C0106B" w:rsidP="00C0106B">
            <w:pPr>
              <w:spacing w:line="240" w:lineRule="exact"/>
            </w:pPr>
            <w:r>
              <w:t>20 décembre 2022</w:t>
            </w:r>
          </w:p>
          <w:p w14:paraId="084AA77B" w14:textId="77777777" w:rsidR="00C0106B" w:rsidRDefault="00C0106B" w:rsidP="00C0106B">
            <w:pPr>
              <w:spacing w:line="240" w:lineRule="exact"/>
            </w:pPr>
            <w:r>
              <w:t>Français</w:t>
            </w:r>
          </w:p>
          <w:p w14:paraId="66E4D672" w14:textId="4DB82B2B" w:rsidR="00C0106B" w:rsidRPr="00DB58B5" w:rsidRDefault="00C0106B" w:rsidP="00C0106B">
            <w:pPr>
              <w:spacing w:line="240" w:lineRule="exact"/>
            </w:pPr>
            <w:r>
              <w:t>Original : anglais</w:t>
            </w:r>
          </w:p>
        </w:tc>
      </w:tr>
    </w:tbl>
    <w:p w14:paraId="506FF65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24B3BB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0663579" w14:textId="3D327601" w:rsidR="00D2227B" w:rsidRPr="00EF11AA" w:rsidRDefault="00D2227B" w:rsidP="00D2227B">
      <w:pPr>
        <w:spacing w:before="120"/>
        <w:rPr>
          <w:b/>
          <w:sz w:val="24"/>
          <w:szCs w:val="24"/>
        </w:rPr>
      </w:pPr>
      <w:r>
        <w:rPr>
          <w:b/>
          <w:bCs/>
          <w:lang w:val="fr-FR"/>
        </w:rPr>
        <w:t xml:space="preserve">Forum mondial de l’harmonisation des Règlements </w:t>
      </w:r>
      <w:r w:rsidR="00FB2A80">
        <w:rPr>
          <w:b/>
          <w:bCs/>
          <w:lang w:val="fr-FR"/>
        </w:rPr>
        <w:br/>
      </w:r>
      <w:r>
        <w:rPr>
          <w:b/>
          <w:bCs/>
          <w:lang w:val="fr-FR"/>
        </w:rPr>
        <w:t>concernant les véhicules</w:t>
      </w:r>
    </w:p>
    <w:p w14:paraId="6C1E15C2" w14:textId="1DA51232" w:rsidR="00D2227B" w:rsidRPr="00EF11AA" w:rsidRDefault="00D2227B" w:rsidP="00D2227B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189</w:t>
      </w:r>
      <w:r w:rsidR="00FB2A80" w:rsidRPr="00FB2A80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59359329" w14:textId="77777777" w:rsidR="00D2227B" w:rsidRPr="00EF11AA" w:rsidRDefault="00D2227B" w:rsidP="00D2227B">
      <w:r>
        <w:rPr>
          <w:lang w:val="fr-FR"/>
        </w:rPr>
        <w:t>Genève, 7-9 mars 2023</w:t>
      </w:r>
    </w:p>
    <w:p w14:paraId="775B7278" w14:textId="77777777" w:rsidR="00D2227B" w:rsidRPr="00EF11AA" w:rsidRDefault="00D2227B" w:rsidP="00D2227B">
      <w:r>
        <w:rPr>
          <w:lang w:val="fr-FR"/>
        </w:rPr>
        <w:t>Point 4.7.1 de l’ordre du jour provisoire</w:t>
      </w:r>
    </w:p>
    <w:p w14:paraId="0A4358FD" w14:textId="77777777" w:rsidR="00D2227B" w:rsidRPr="00EF11AA" w:rsidRDefault="00D2227B" w:rsidP="00D2227B">
      <w:pPr>
        <w:rPr>
          <w:b/>
        </w:rPr>
      </w:pPr>
      <w:r>
        <w:rPr>
          <w:b/>
          <w:bCs/>
          <w:lang w:val="fr-FR"/>
        </w:rPr>
        <w:t>Accord de 1958 :</w:t>
      </w:r>
    </w:p>
    <w:p w14:paraId="6D125ABD" w14:textId="0591DE24" w:rsidR="00D2227B" w:rsidRDefault="00D2227B" w:rsidP="00D2227B">
      <w:pPr>
        <w:rPr>
          <w:b/>
          <w:bCs/>
          <w:lang w:val="fr-FR"/>
        </w:rPr>
      </w:pPr>
      <w:r>
        <w:rPr>
          <w:b/>
          <w:bCs/>
          <w:lang w:val="fr-FR"/>
        </w:rPr>
        <w:t>Examen de projets d’amendements à des Règlements ONU existants,</w:t>
      </w:r>
      <w:r w:rsidR="00FB2A80">
        <w:rPr>
          <w:b/>
          <w:bCs/>
          <w:lang w:val="fr-FR"/>
        </w:rPr>
        <w:br/>
      </w:r>
      <w:r>
        <w:rPr>
          <w:b/>
          <w:bCs/>
          <w:lang w:val="fr-FR"/>
        </w:rPr>
        <w:t>soumis par le GRVA</w:t>
      </w:r>
    </w:p>
    <w:p w14:paraId="715FA238" w14:textId="113E69DE" w:rsidR="00D2227B" w:rsidRPr="00EF11AA" w:rsidRDefault="00D2227B" w:rsidP="0044091D">
      <w:pPr>
        <w:pStyle w:val="HChG"/>
        <w:rPr>
          <w:rFonts w:asciiTheme="majorBidi" w:hAnsiTheme="majorBidi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17 à la version originale </w:t>
      </w:r>
      <w:r w:rsidR="0044091D">
        <w:rPr>
          <w:lang w:val="fr-FR"/>
        </w:rPr>
        <w:br/>
      </w:r>
      <w:r>
        <w:rPr>
          <w:lang w:val="fr-FR"/>
        </w:rPr>
        <w:t xml:space="preserve">du Règlement ONU </w:t>
      </w:r>
      <w:r w:rsidR="008D7914" w:rsidRPr="008D7914">
        <w:rPr>
          <w:rFonts w:eastAsia="MS Mincho"/>
          <w:lang w:val="fr-FR"/>
        </w:rPr>
        <w:t>n</w:t>
      </w:r>
      <w:r w:rsidR="008D7914" w:rsidRPr="008D7914">
        <w:rPr>
          <w:rFonts w:eastAsia="MS Mincho"/>
          <w:vertAlign w:val="superscript"/>
          <w:lang w:val="fr-FR"/>
        </w:rPr>
        <w:t>o</w:t>
      </w:r>
      <w:r w:rsidR="008D7914">
        <w:rPr>
          <w:lang w:val="fr-FR"/>
        </w:rPr>
        <w:t> </w:t>
      </w:r>
      <w:r>
        <w:rPr>
          <w:lang w:val="fr-FR"/>
        </w:rPr>
        <w:t xml:space="preserve">13-H (Système de freinage </w:t>
      </w:r>
      <w:r w:rsidR="0044091D">
        <w:rPr>
          <w:lang w:val="fr-FR"/>
        </w:rPr>
        <w:br/>
      </w:r>
      <w:r>
        <w:rPr>
          <w:lang w:val="fr-FR"/>
        </w:rPr>
        <w:t>des voitures particulières)</w:t>
      </w:r>
    </w:p>
    <w:p w14:paraId="7CDF31CE" w14:textId="77777777" w:rsidR="00D2227B" w:rsidRPr="00EF11AA" w:rsidRDefault="00D2227B" w:rsidP="008D7914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des véhicules automatisés/autonomes et connectés</w:t>
      </w:r>
      <w:r w:rsidRPr="008D7914">
        <w:rPr>
          <w:b w:val="0"/>
          <w:bCs/>
          <w:sz w:val="20"/>
          <w:lang w:val="fr-FR"/>
        </w:rPr>
        <w:t>*</w:t>
      </w:r>
    </w:p>
    <w:p w14:paraId="1986A898" w14:textId="465650F2" w:rsidR="00D2227B" w:rsidRPr="00EF11AA" w:rsidRDefault="00D2227B" w:rsidP="00D2227B">
      <w:pPr>
        <w:pStyle w:val="SingleTxtG"/>
        <w:ind w:firstLine="567"/>
      </w:pPr>
      <w:r>
        <w:rPr>
          <w:lang w:val="fr-FR"/>
        </w:rPr>
        <w:footnoteReference w:customMarkFollows="1" w:id="2"/>
        <w:t>Le texte ci-après, adopté par le Groupe de travail des véhicules automatisés/autonomes et connectés (GRVA) à sa quatorzième session (voir ECE/TRANS/WP.29/GRVA/14, par.</w:t>
      </w:r>
      <w:r w:rsidR="00FB557A">
        <w:rPr>
          <w:lang w:val="fr-FR"/>
        </w:rPr>
        <w:t> </w:t>
      </w:r>
      <w:r>
        <w:rPr>
          <w:lang w:val="fr-FR"/>
        </w:rPr>
        <w:t>100), est fondé sur le document ECE/TRANS/WP.29/</w:t>
      </w:r>
      <w:r w:rsidR="00FB557A">
        <w:rPr>
          <w:lang w:val="fr-FR"/>
        </w:rPr>
        <w:t xml:space="preserve"> </w:t>
      </w:r>
      <w:r>
        <w:rPr>
          <w:lang w:val="fr-FR"/>
        </w:rPr>
        <w:t>GRVA/2022/25, tel que modifié par le document informel GRVA-14-55/Rev.1. Il est soumis au Forum mondial de l’harmonisation des Règlements concernant les véhicules (WP.29) et au Comité d’administration de l’Accord de 1958 (AC.1) pour examen à leurs sessions de mars 2023.</w:t>
      </w:r>
    </w:p>
    <w:p w14:paraId="5DFE9354" w14:textId="77777777" w:rsidR="00D2227B" w:rsidRPr="00EF11AA" w:rsidRDefault="00D2227B" w:rsidP="00D2227B">
      <w:pPr>
        <w:suppressAutoHyphens w:val="0"/>
        <w:spacing w:line="240" w:lineRule="auto"/>
        <w:rPr>
          <w:bCs/>
          <w:sz w:val="24"/>
          <w:szCs w:val="24"/>
        </w:rPr>
      </w:pPr>
      <w:r w:rsidRPr="00EF11AA">
        <w:rPr>
          <w:szCs w:val="24"/>
        </w:rPr>
        <w:br w:type="page"/>
      </w:r>
    </w:p>
    <w:p w14:paraId="0A66DBA1" w14:textId="77777777" w:rsidR="00D2227B" w:rsidRPr="00EF11AA" w:rsidRDefault="00D2227B" w:rsidP="005A7C4E">
      <w:pPr>
        <w:pStyle w:val="SingleTxtG"/>
        <w:keepNext/>
        <w:rPr>
          <w:i/>
          <w:iCs/>
        </w:rPr>
      </w:pPr>
      <w:r>
        <w:rPr>
          <w:i/>
          <w:iCs/>
          <w:lang w:val="fr-FR"/>
        </w:rPr>
        <w:lastRenderedPageBreak/>
        <w:t>Annexe 9, partie A,</w:t>
      </w:r>
      <w:r>
        <w:rPr>
          <w:lang w:val="fr-FR"/>
        </w:rPr>
        <w:t xml:space="preserve"> </w:t>
      </w:r>
    </w:p>
    <w:p w14:paraId="2704685C" w14:textId="77777777" w:rsidR="00D2227B" w:rsidRPr="00EF11AA" w:rsidRDefault="00D2227B" w:rsidP="005A7C4E">
      <w:pPr>
        <w:keepNext/>
        <w:spacing w:after="120"/>
        <w:ind w:left="1134" w:right="1134"/>
        <w:jc w:val="both"/>
        <w:rPr>
          <w:rFonts w:asciiTheme="majorBidi" w:hAnsiTheme="majorBidi"/>
          <w:i/>
        </w:rPr>
      </w:pPr>
      <w:r>
        <w:rPr>
          <w:i/>
          <w:iCs/>
          <w:lang w:val="fr-FR"/>
        </w:rPr>
        <w:t>Paragraphe 4.2.2 et sous-paragraphes 4.2.2.1, 4.2.2.2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et 4.2.2.3</w:t>
      </w:r>
      <w:r>
        <w:rPr>
          <w:lang w:val="fr-FR"/>
        </w:rPr>
        <w:t>, lire :</w:t>
      </w:r>
    </w:p>
    <w:p w14:paraId="6F246617" w14:textId="77777777" w:rsidR="00D2227B" w:rsidRPr="00EF11AA" w:rsidRDefault="00D2227B" w:rsidP="00D2227B">
      <w:pPr>
        <w:spacing w:after="120"/>
        <w:ind w:left="2268" w:right="1134" w:hanging="1134"/>
        <w:jc w:val="both"/>
        <w:rPr>
          <w:rFonts w:eastAsiaTheme="minorEastAsia"/>
        </w:rPr>
      </w:pPr>
      <w:r>
        <w:rPr>
          <w:lang w:val="fr-FR"/>
        </w:rPr>
        <w:t>« 4.2.2</w:t>
      </w:r>
      <w:r>
        <w:rPr>
          <w:lang w:val="fr-FR"/>
        </w:rPr>
        <w:tab/>
        <w:t>Le revêtement d’essai permet d’obtenir un coefficient de freinage maximal nominal</w:t>
      </w:r>
      <w:r w:rsidRPr="00EF11AA">
        <w:rPr>
          <w:rStyle w:val="Appelnotedebasdep"/>
        </w:rPr>
        <w:footnoteReference w:id="3"/>
      </w:r>
      <w:r>
        <w:rPr>
          <w:lang w:val="fr-FR"/>
        </w:rPr>
        <w:t xml:space="preserve"> de 0,9, sauf indication contraire, lors d’un essai effectué selon l’une des méthodes suivantes :</w:t>
      </w:r>
    </w:p>
    <w:p w14:paraId="626D63EF" w14:textId="58C26FCE" w:rsidR="00D2227B" w:rsidRPr="00EF11AA" w:rsidRDefault="00D2227B" w:rsidP="00D2227B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</w:rPr>
      </w:pPr>
      <w:r>
        <w:rPr>
          <w:lang w:val="fr-FR"/>
        </w:rPr>
        <w:t>4.2.2.1</w:t>
      </w:r>
      <w:r>
        <w:rPr>
          <w:lang w:val="fr-FR"/>
        </w:rPr>
        <w:tab/>
        <w:t xml:space="preserve">Le pneumatique d’essai de référence normalisé E1136-19 de l’American Society for </w:t>
      </w:r>
      <w:proofErr w:type="spellStart"/>
      <w:r>
        <w:rPr>
          <w:lang w:val="fr-FR"/>
        </w:rPr>
        <w:t>Testing</w:t>
      </w:r>
      <w:proofErr w:type="spellEnd"/>
      <w:r>
        <w:rPr>
          <w:lang w:val="fr-FR"/>
        </w:rPr>
        <w:t xml:space="preserve"> and Materials (ASTM), conformément à la méthode ASTM E1337-19, à une vitesse de 40 </w:t>
      </w:r>
      <w:proofErr w:type="spellStart"/>
      <w:r>
        <w:rPr>
          <w:lang w:val="fr-FR"/>
        </w:rPr>
        <w:t>mph</w:t>
      </w:r>
      <w:proofErr w:type="spellEnd"/>
      <w:r>
        <w:rPr>
          <w:lang w:val="fr-FR"/>
        </w:rPr>
        <w:t> ;</w:t>
      </w:r>
      <w:r>
        <w:rPr>
          <w:lang w:val="fr-FR"/>
        </w:rPr>
        <w:t xml:space="preserve"> </w:t>
      </w:r>
    </w:p>
    <w:p w14:paraId="199FB11A" w14:textId="08FF8EF7" w:rsidR="00D2227B" w:rsidRPr="00EF11AA" w:rsidRDefault="00D2227B" w:rsidP="00D2227B">
      <w:pPr>
        <w:spacing w:after="120"/>
        <w:ind w:left="2268" w:right="1134" w:hanging="1134"/>
        <w:jc w:val="both"/>
        <w:rPr>
          <w:rFonts w:asciiTheme="majorBidi" w:eastAsiaTheme="minorEastAsia" w:hAnsiTheme="majorBidi" w:cstheme="minorBidi"/>
          <w:bCs/>
        </w:rPr>
      </w:pPr>
      <w:r>
        <w:rPr>
          <w:lang w:val="fr-FR"/>
        </w:rPr>
        <w:t>4.2.2.2</w:t>
      </w:r>
      <w:r>
        <w:rPr>
          <w:lang w:val="fr-FR"/>
        </w:rPr>
        <w:tab/>
        <w:t>La méthode de détermination du coefficient d’adhérence (k), décrite à l’appendice 2 de l’annexe 6 du présent Règlement</w:t>
      </w:r>
      <w:r>
        <w:rPr>
          <w:lang w:val="fr-FR"/>
        </w:rPr>
        <w:t> ;</w:t>
      </w:r>
      <w:r>
        <w:rPr>
          <w:lang w:val="fr-FR"/>
        </w:rPr>
        <w:t xml:space="preserve"> </w:t>
      </w:r>
    </w:p>
    <w:p w14:paraId="30B40EB1" w14:textId="4F1C5958" w:rsidR="00F9573C" w:rsidRDefault="00D2227B" w:rsidP="00D2227B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4.2.2.3</w:t>
      </w:r>
      <w:r>
        <w:rPr>
          <w:lang w:val="fr-FR"/>
        </w:rPr>
        <w:tab/>
        <w:t xml:space="preserve">Le pneumatique d’essai de référence normalisé F2493-20 de l’American Society for </w:t>
      </w:r>
      <w:proofErr w:type="spellStart"/>
      <w:r>
        <w:rPr>
          <w:lang w:val="fr-FR"/>
        </w:rPr>
        <w:t>Testing</w:t>
      </w:r>
      <w:proofErr w:type="spellEnd"/>
      <w:r>
        <w:rPr>
          <w:lang w:val="fr-FR"/>
        </w:rPr>
        <w:t xml:space="preserve"> and Materials (ASTM), conformément à la méthode ASTM E1337-19, à une vitesse de 40 </w:t>
      </w:r>
      <w:proofErr w:type="spellStart"/>
      <w:r>
        <w:rPr>
          <w:lang w:val="fr-FR"/>
        </w:rPr>
        <w:t>mph</w:t>
      </w:r>
      <w:proofErr w:type="spellEnd"/>
      <w:r>
        <w:rPr>
          <w:lang w:val="fr-FR"/>
        </w:rPr>
        <w:t>. Dans ce cas, un coefficient de freinage maximal nominal de 1,017 est équivalent au coefficient de freinage maximal nominal de 0,9 mentionné au paragraphe 4.2.2. ».</w:t>
      </w:r>
    </w:p>
    <w:p w14:paraId="0D9C66FA" w14:textId="3305E67C" w:rsidR="00D2227B" w:rsidRPr="00D2227B" w:rsidRDefault="00D2227B" w:rsidP="00D2227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227B" w:rsidRPr="00D2227B" w:rsidSect="00C010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2B" w14:textId="77777777" w:rsidR="004668DF" w:rsidRDefault="004668DF" w:rsidP="00F95C08">
      <w:pPr>
        <w:spacing w:line="240" w:lineRule="auto"/>
      </w:pPr>
    </w:p>
  </w:endnote>
  <w:endnote w:type="continuationSeparator" w:id="0">
    <w:p w14:paraId="129DBCFE" w14:textId="77777777" w:rsidR="004668DF" w:rsidRPr="00AC3823" w:rsidRDefault="004668DF" w:rsidP="00AC3823">
      <w:pPr>
        <w:pStyle w:val="Pieddepage"/>
      </w:pPr>
    </w:p>
  </w:endnote>
  <w:endnote w:type="continuationNotice" w:id="1">
    <w:p w14:paraId="5C1CBFD1" w14:textId="77777777" w:rsidR="004668DF" w:rsidRDefault="004668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29A4" w14:textId="14DFC202" w:rsidR="00C0106B" w:rsidRPr="00C0106B" w:rsidRDefault="00C0106B" w:rsidP="00C0106B">
    <w:pPr>
      <w:pStyle w:val="Pieddepage"/>
      <w:tabs>
        <w:tab w:val="right" w:pos="9638"/>
      </w:tabs>
    </w:pPr>
    <w:r w:rsidRPr="00C0106B">
      <w:rPr>
        <w:b/>
        <w:sz w:val="18"/>
      </w:rPr>
      <w:fldChar w:fldCharType="begin"/>
    </w:r>
    <w:r w:rsidRPr="00C0106B">
      <w:rPr>
        <w:b/>
        <w:sz w:val="18"/>
      </w:rPr>
      <w:instrText xml:space="preserve"> PAGE  \* MERGEFORMAT </w:instrText>
    </w:r>
    <w:r w:rsidRPr="00C0106B">
      <w:rPr>
        <w:b/>
        <w:sz w:val="18"/>
      </w:rPr>
      <w:fldChar w:fldCharType="separate"/>
    </w:r>
    <w:r w:rsidRPr="00C0106B">
      <w:rPr>
        <w:b/>
        <w:noProof/>
        <w:sz w:val="18"/>
      </w:rPr>
      <w:t>2</w:t>
    </w:r>
    <w:r w:rsidRPr="00C0106B">
      <w:rPr>
        <w:b/>
        <w:sz w:val="18"/>
      </w:rPr>
      <w:fldChar w:fldCharType="end"/>
    </w:r>
    <w:r>
      <w:rPr>
        <w:b/>
        <w:sz w:val="18"/>
      </w:rPr>
      <w:tab/>
    </w:r>
    <w:r>
      <w:t>GE.22-28930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32E6" w14:textId="69A3FD2C" w:rsidR="00C0106B" w:rsidRPr="00C0106B" w:rsidRDefault="00C0106B" w:rsidP="00C0106B">
    <w:pPr>
      <w:pStyle w:val="Pieddepage"/>
      <w:tabs>
        <w:tab w:val="right" w:pos="9638"/>
      </w:tabs>
      <w:rPr>
        <w:b/>
        <w:sz w:val="18"/>
      </w:rPr>
    </w:pPr>
    <w:r>
      <w:t>GE.22-28930</w:t>
    </w:r>
    <w:r>
      <w:tab/>
    </w:r>
    <w:r w:rsidRPr="00C0106B">
      <w:rPr>
        <w:b/>
        <w:sz w:val="18"/>
      </w:rPr>
      <w:fldChar w:fldCharType="begin"/>
    </w:r>
    <w:r w:rsidRPr="00C0106B">
      <w:rPr>
        <w:b/>
        <w:sz w:val="18"/>
      </w:rPr>
      <w:instrText xml:space="preserve"> PAGE  \* MERGEFORMAT </w:instrText>
    </w:r>
    <w:r w:rsidRPr="00C0106B">
      <w:rPr>
        <w:b/>
        <w:sz w:val="18"/>
      </w:rPr>
      <w:fldChar w:fldCharType="separate"/>
    </w:r>
    <w:r w:rsidRPr="00C0106B">
      <w:rPr>
        <w:b/>
        <w:noProof/>
        <w:sz w:val="18"/>
      </w:rPr>
      <w:t>3</w:t>
    </w:r>
    <w:r w:rsidRPr="00C010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3AFB" w14:textId="1C235F4D" w:rsidR="007F20FA" w:rsidRPr="00C0106B" w:rsidRDefault="00C0106B" w:rsidP="00C0106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62E1EA9" wp14:editId="78DAB7F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22-28930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67CF3A" wp14:editId="1EFA2C6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52FF" w14:textId="77777777" w:rsidR="004668DF" w:rsidRPr="00AC3823" w:rsidRDefault="004668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76BF00" w14:textId="77777777" w:rsidR="004668DF" w:rsidRPr="00AC3823" w:rsidRDefault="004668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C7C22D" w14:textId="77777777" w:rsidR="004668DF" w:rsidRPr="00AC3823" w:rsidRDefault="004668DF">
      <w:pPr>
        <w:spacing w:line="240" w:lineRule="auto"/>
        <w:rPr>
          <w:sz w:val="2"/>
          <w:szCs w:val="2"/>
        </w:rPr>
      </w:pPr>
    </w:p>
  </w:footnote>
  <w:footnote w:id="2">
    <w:p w14:paraId="7B0432D3" w14:textId="77777777" w:rsidR="00D2227B" w:rsidRPr="00EF11AA" w:rsidRDefault="00D2227B" w:rsidP="00D2227B">
      <w:pPr>
        <w:pStyle w:val="Notedebasdepage"/>
      </w:pPr>
      <w:r>
        <w:rPr>
          <w:lang w:val="fr-FR"/>
        </w:rPr>
        <w:tab/>
      </w:r>
      <w:r w:rsidRPr="00FB557A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(Sect.20), par. 20,6),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6B1EBDB0" w14:textId="77777777" w:rsidR="00D2227B" w:rsidRPr="00EF11AA" w:rsidRDefault="00D2227B" w:rsidP="00D2227B">
      <w:pPr>
        <w:pStyle w:val="Notedebasdepage"/>
      </w:pPr>
      <w:r>
        <w:rPr>
          <w:b/>
          <w:lang w:val="fr-FR"/>
        </w:rPr>
        <w:tab/>
      </w:r>
      <w:r w:rsidRPr="00EF11AA">
        <w:rPr>
          <w:rStyle w:val="Appelnotedebasdep"/>
        </w:rPr>
        <w:footnoteRef/>
      </w:r>
      <w:r>
        <w:rPr>
          <w:lang w:val="fr-FR"/>
        </w:rPr>
        <w:tab/>
        <w:t>Par valeur « nominale », on entend la valeur théorique visée.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0BC0" w14:textId="68EF28D5" w:rsidR="00C0106B" w:rsidRPr="00C0106B" w:rsidRDefault="00C0106B">
    <w:pPr>
      <w:pStyle w:val="En-tte"/>
    </w:pPr>
    <w:fldSimple w:instr=" TITLE  \* MERGEFORMAT ">
      <w:r>
        <w:t>ECE/TRANS/WP.29/2023/9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EE69" w14:textId="6FB12821" w:rsidR="00C0106B" w:rsidRPr="00C0106B" w:rsidRDefault="00C0106B" w:rsidP="00C0106B">
    <w:pPr>
      <w:pStyle w:val="En-tte"/>
      <w:jc w:val="right"/>
    </w:pPr>
    <w:fldSimple w:instr=" TITLE  \* MERGEFORMAT ">
      <w:r>
        <w:t>ECE/TRANS/WP.29/2023/9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D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091D"/>
    <w:rsid w:val="00441C3B"/>
    <w:rsid w:val="00446FE5"/>
    <w:rsid w:val="00452396"/>
    <w:rsid w:val="004668DF"/>
    <w:rsid w:val="00477EB2"/>
    <w:rsid w:val="004837D8"/>
    <w:rsid w:val="004E2EED"/>
    <w:rsid w:val="004E468C"/>
    <w:rsid w:val="005505B7"/>
    <w:rsid w:val="00573BE5"/>
    <w:rsid w:val="00586ED3"/>
    <w:rsid w:val="00596AA9"/>
    <w:rsid w:val="005A7C4E"/>
    <w:rsid w:val="0071601D"/>
    <w:rsid w:val="007A62E6"/>
    <w:rsid w:val="007F20FA"/>
    <w:rsid w:val="0080684C"/>
    <w:rsid w:val="00871C75"/>
    <w:rsid w:val="008776DC"/>
    <w:rsid w:val="008D5EF9"/>
    <w:rsid w:val="008D7914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106B"/>
    <w:rsid w:val="00C02897"/>
    <w:rsid w:val="00C97039"/>
    <w:rsid w:val="00CC7140"/>
    <w:rsid w:val="00D2227B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B2A80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35EE4C"/>
  <w15:docId w15:val="{E0B27F9D-996C-45F7-A60B-5BDBD5A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2227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2227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D2227B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5F0B-7C47-4101-97A6-0C2F0EE0694A}"/>
</file>

<file path=customXml/itemProps2.xml><?xml version="1.0" encoding="utf-8"?>
<ds:datastoreItem xmlns:ds="http://schemas.openxmlformats.org/officeDocument/2006/customXml" ds:itemID="{E89815AE-91EA-449C-B454-6D10A5DD9B7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264</Words>
  <Characters>1849</Characters>
  <Application>Microsoft Office Word</Application>
  <DocSecurity>0</DocSecurity>
  <Lines>154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ECE/TRANS/WP.29/2023/9</vt:lpstr>
    </vt:vector>
  </TitlesOfParts>
  <Company>DCM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ECE/TRANS/WP.29/2023/9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2023-01-11T13:26:00Z</dcterms:created>
  <dcterms:modified xsi:type="dcterms:W3CDTF">2023-01-11T13:26:00Z</dcterms:modified>
</cp:coreProperties>
</file>