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C9F22C8" w14:textId="77777777" w:rsidTr="00C97039">
        <w:trPr>
          <w:trHeight w:hRule="exact" w:val="851"/>
        </w:trPr>
        <w:tc>
          <w:tcPr>
            <w:tcW w:w="1276" w:type="dxa"/>
            <w:tcBorders>
              <w:bottom w:val="single" w:sz="4" w:space="0" w:color="auto"/>
            </w:tcBorders>
          </w:tcPr>
          <w:p w14:paraId="48FC713F" w14:textId="77777777" w:rsidR="00F35BAF" w:rsidRPr="00DB58B5" w:rsidRDefault="00F35BAF" w:rsidP="002C4E7A"/>
        </w:tc>
        <w:tc>
          <w:tcPr>
            <w:tcW w:w="2268" w:type="dxa"/>
            <w:tcBorders>
              <w:bottom w:val="single" w:sz="4" w:space="0" w:color="auto"/>
            </w:tcBorders>
            <w:vAlign w:val="bottom"/>
          </w:tcPr>
          <w:p w14:paraId="179164D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FD6559C" w14:textId="55E52099" w:rsidR="00F35BAF" w:rsidRPr="00DB58B5" w:rsidRDefault="002C4E7A" w:rsidP="002C4E7A">
            <w:pPr>
              <w:jc w:val="right"/>
            </w:pPr>
            <w:r w:rsidRPr="002C4E7A">
              <w:rPr>
                <w:sz w:val="40"/>
              </w:rPr>
              <w:t>ECE</w:t>
            </w:r>
            <w:r>
              <w:t>/TRANS/WP.29/2023/43</w:t>
            </w:r>
          </w:p>
        </w:tc>
      </w:tr>
      <w:tr w:rsidR="00F35BAF" w:rsidRPr="00DB58B5" w14:paraId="7F1D1470" w14:textId="77777777" w:rsidTr="00C97039">
        <w:trPr>
          <w:trHeight w:hRule="exact" w:val="2835"/>
        </w:trPr>
        <w:tc>
          <w:tcPr>
            <w:tcW w:w="1276" w:type="dxa"/>
            <w:tcBorders>
              <w:top w:val="single" w:sz="4" w:space="0" w:color="auto"/>
              <w:bottom w:val="single" w:sz="12" w:space="0" w:color="auto"/>
            </w:tcBorders>
          </w:tcPr>
          <w:p w14:paraId="200615B8" w14:textId="77777777" w:rsidR="00F35BAF" w:rsidRPr="00DB58B5" w:rsidRDefault="00F35BAF" w:rsidP="00C97039">
            <w:pPr>
              <w:spacing w:before="120"/>
              <w:jc w:val="center"/>
            </w:pPr>
            <w:r>
              <w:rPr>
                <w:noProof/>
                <w:lang w:eastAsia="fr-CH"/>
              </w:rPr>
              <w:drawing>
                <wp:inline distT="0" distB="0" distL="0" distR="0" wp14:anchorId="44561617" wp14:editId="359A560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47BFD2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F81729C" w14:textId="5EC81B23" w:rsidR="00F35BAF" w:rsidRDefault="002C4E7A" w:rsidP="00C97039">
            <w:pPr>
              <w:spacing w:before="240"/>
            </w:pPr>
            <w:r>
              <w:t>Distr. générale</w:t>
            </w:r>
          </w:p>
          <w:p w14:paraId="14EB4C4A" w14:textId="77777777" w:rsidR="002C4E7A" w:rsidRDefault="002C4E7A" w:rsidP="002C4E7A">
            <w:pPr>
              <w:spacing w:line="240" w:lineRule="exact"/>
            </w:pPr>
            <w:r>
              <w:t>27 décembre 2022</w:t>
            </w:r>
          </w:p>
          <w:p w14:paraId="43AA80D4" w14:textId="6AB1E124" w:rsidR="002C4E7A" w:rsidRPr="00DB58B5" w:rsidRDefault="002C4E7A" w:rsidP="002C4E7A">
            <w:pPr>
              <w:spacing w:line="240" w:lineRule="exact"/>
            </w:pPr>
            <w:r>
              <w:t>Français</w:t>
            </w:r>
            <w:r>
              <w:br/>
              <w:t>Original</w:t>
            </w:r>
            <w:r w:rsidR="0047211F">
              <w:t> :</w:t>
            </w:r>
            <w:r>
              <w:t xml:space="preserve"> anglais</w:t>
            </w:r>
          </w:p>
        </w:tc>
      </w:tr>
    </w:tbl>
    <w:p w14:paraId="19A5FB36" w14:textId="77777777" w:rsidR="007F20FA" w:rsidRPr="000312C0" w:rsidRDefault="007F20FA" w:rsidP="007F20FA">
      <w:pPr>
        <w:spacing w:before="120"/>
        <w:rPr>
          <w:b/>
          <w:sz w:val="28"/>
          <w:szCs w:val="28"/>
        </w:rPr>
      </w:pPr>
      <w:r w:rsidRPr="000312C0">
        <w:rPr>
          <w:b/>
          <w:sz w:val="28"/>
          <w:szCs w:val="28"/>
        </w:rPr>
        <w:t>Commission économique pour l’Europe</w:t>
      </w:r>
    </w:p>
    <w:p w14:paraId="0FA2F719" w14:textId="77777777" w:rsidR="007F20FA" w:rsidRDefault="007F20FA" w:rsidP="007F20FA">
      <w:pPr>
        <w:spacing w:before="120"/>
        <w:rPr>
          <w:sz w:val="28"/>
          <w:szCs w:val="28"/>
        </w:rPr>
      </w:pPr>
      <w:r w:rsidRPr="00685843">
        <w:rPr>
          <w:sz w:val="28"/>
          <w:szCs w:val="28"/>
        </w:rPr>
        <w:t>Comité des transports intérieurs</w:t>
      </w:r>
    </w:p>
    <w:p w14:paraId="5B2FDF4D" w14:textId="77777777" w:rsidR="006F5620" w:rsidRDefault="006F5620" w:rsidP="006F5620">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569680D0" w14:textId="77777777" w:rsidR="006F5620" w:rsidRDefault="006F5620" w:rsidP="006F5620">
      <w:pPr>
        <w:spacing w:before="120" w:line="240" w:lineRule="exact"/>
        <w:rPr>
          <w:b/>
        </w:rPr>
      </w:pPr>
      <w:r>
        <w:rPr>
          <w:b/>
        </w:rPr>
        <w:t>189</w:t>
      </w:r>
      <w:r w:rsidRPr="0094220D">
        <w:rPr>
          <w:b/>
          <w:vertAlign w:val="superscript"/>
        </w:rPr>
        <w:t>e</w:t>
      </w:r>
      <w:r>
        <w:rPr>
          <w:b/>
        </w:rPr>
        <w:t> session</w:t>
      </w:r>
    </w:p>
    <w:p w14:paraId="66D87E5B" w14:textId="77777777" w:rsidR="006F5620" w:rsidRDefault="006F5620" w:rsidP="006F5620">
      <w:pPr>
        <w:spacing w:line="240" w:lineRule="exact"/>
      </w:pPr>
      <w:r>
        <w:t>Genève, 7-9 mars 2023</w:t>
      </w:r>
    </w:p>
    <w:p w14:paraId="1A745E40" w14:textId="77777777" w:rsidR="006F5620" w:rsidRDefault="006F5620" w:rsidP="006F5620">
      <w:pPr>
        <w:spacing w:line="240" w:lineRule="exact"/>
      </w:pPr>
      <w:r>
        <w:t>Point 2.3 de l’ordre du jour provisoire</w:t>
      </w:r>
    </w:p>
    <w:p w14:paraId="7D507405" w14:textId="2026DCE3" w:rsidR="006F5620" w:rsidRPr="0094220D" w:rsidRDefault="006F5620" w:rsidP="006F5620">
      <w:pPr>
        <w:rPr>
          <w:lang w:val="fr-FR"/>
        </w:rPr>
      </w:pPr>
      <w:r w:rsidRPr="0094220D">
        <w:rPr>
          <w:b/>
          <w:bCs/>
          <w:spacing w:val="4"/>
          <w:lang w:val="fr-FR"/>
        </w:rPr>
        <w:t>Coordination et organisation des travaux</w:t>
      </w:r>
      <w:r w:rsidR="0047211F">
        <w:rPr>
          <w:b/>
          <w:bCs/>
          <w:spacing w:val="4"/>
          <w:lang w:val="fr-FR"/>
        </w:rPr>
        <w:t> :</w:t>
      </w:r>
      <w:r w:rsidRPr="0094220D">
        <w:rPr>
          <w:b/>
          <w:bCs/>
          <w:lang w:val="fr-FR"/>
        </w:rPr>
        <w:t xml:space="preserve"> </w:t>
      </w:r>
      <w:r>
        <w:rPr>
          <w:b/>
          <w:bCs/>
          <w:lang w:val="fr-FR"/>
        </w:rPr>
        <w:br/>
      </w:r>
      <w:r w:rsidRPr="0048774D">
        <w:rPr>
          <w:b/>
          <w:bCs/>
          <w:spacing w:val="-4"/>
        </w:rPr>
        <w:t xml:space="preserve">Systèmes de transport intelligents et coordination </w:t>
      </w:r>
      <w:r>
        <w:rPr>
          <w:b/>
          <w:bCs/>
          <w:spacing w:val="-4"/>
        </w:rPr>
        <w:br/>
      </w:r>
      <w:r w:rsidRPr="0048774D">
        <w:rPr>
          <w:b/>
          <w:bCs/>
          <w:spacing w:val="-4"/>
        </w:rPr>
        <w:t>des activités relatives aux véhicules automatisés</w:t>
      </w:r>
    </w:p>
    <w:p w14:paraId="127FDB8E" w14:textId="77777777" w:rsidR="006F5620" w:rsidRPr="00D214FE" w:rsidRDefault="006F5620" w:rsidP="006F5620">
      <w:pPr>
        <w:pStyle w:val="HChG"/>
        <w:rPr>
          <w:lang w:val="fr-FR"/>
        </w:rPr>
      </w:pPr>
      <w:r>
        <w:rPr>
          <w:lang w:val="fr-FR"/>
        </w:rPr>
        <w:tab/>
      </w:r>
      <w:r>
        <w:rPr>
          <w:lang w:val="fr-FR"/>
        </w:rPr>
        <w:tab/>
        <w:t>Proposition d’actualisation du tableau 1 du Document-cadre sur les véhicules automatisés/autonomes</w:t>
      </w:r>
    </w:p>
    <w:p w14:paraId="4E169440" w14:textId="77777777" w:rsidR="006F5620" w:rsidRDefault="006F5620" w:rsidP="006F5620">
      <w:pPr>
        <w:pStyle w:val="H1G"/>
        <w:rPr>
          <w:szCs w:val="24"/>
        </w:rPr>
      </w:pPr>
      <w:r>
        <w:rPr>
          <w:lang w:val="fr-FR"/>
        </w:rPr>
        <w:tab/>
      </w:r>
      <w:r>
        <w:rPr>
          <w:lang w:val="fr-FR"/>
        </w:rPr>
        <w:tab/>
        <w:t>Note du secrétariat</w:t>
      </w:r>
      <w:r w:rsidRPr="0094220D">
        <w:rPr>
          <w:rStyle w:val="Appelnotedebasdep"/>
          <w:b w:val="0"/>
          <w:bCs/>
          <w:sz w:val="20"/>
          <w:vertAlign w:val="baseline"/>
        </w:rPr>
        <w:footnoteReference w:customMarkFollows="1" w:id="2"/>
        <w:t>*</w:t>
      </w:r>
    </w:p>
    <w:p w14:paraId="5BED35FC" w14:textId="592D8B67" w:rsidR="00F9573C" w:rsidRDefault="006F5620" w:rsidP="006F5620">
      <w:pPr>
        <w:pStyle w:val="SingleTxtG"/>
        <w:ind w:firstLine="567"/>
      </w:pPr>
      <w:r>
        <w:rPr>
          <w:lang w:val="fr-FR"/>
        </w:rPr>
        <w:t>Le texte ci-après a été adopté par le Forum mondial de l’harmonisation des Règlements concernant les véhicules (WP.29) à sa session de novembre 2022, sur la base de documents informels (ECE/TRANS/WP.29/1168, par. 18). Le secrétariat souhaite que le Forum mondial l’examine pour qu’il puisse, à sa demande et</w:t>
      </w:r>
      <w:r w:rsidRPr="001B3682">
        <w:rPr>
          <w:lang w:val="fr-FR"/>
        </w:rPr>
        <w:t xml:space="preserve"> sur la base de cet examen</w:t>
      </w:r>
      <w:r>
        <w:rPr>
          <w:lang w:val="fr-FR"/>
        </w:rPr>
        <w:t>, établir la révision 4 du Document-cadre sur les véhicules automatisés/autonomes.</w:t>
      </w:r>
    </w:p>
    <w:p w14:paraId="5BEA185A" w14:textId="77777777" w:rsidR="00896BBF" w:rsidRDefault="00896BBF" w:rsidP="006F5620">
      <w:pPr>
        <w:pStyle w:val="SingleTxtG"/>
        <w:ind w:firstLine="567"/>
        <w:sectPr w:rsidR="00896BBF" w:rsidSect="002C4E7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32ABCF3A" w14:textId="77777777" w:rsidR="005B5F08" w:rsidRDefault="00896BBF" w:rsidP="002A6F8F">
      <w:pPr>
        <w:pStyle w:val="Titre1"/>
        <w:ind w:left="284"/>
        <w:rPr>
          <w:b/>
          <w:lang w:val="fr-FR"/>
        </w:rPr>
      </w:pPr>
      <w:r w:rsidRPr="001567D0">
        <w:rPr>
          <w:lang w:val="fr-FR"/>
        </w:rPr>
        <w:lastRenderedPageBreak/>
        <w:t>Tableau 1</w:t>
      </w:r>
    </w:p>
    <w:p w14:paraId="17F215F9" w14:textId="68B63F6B" w:rsidR="00896BBF" w:rsidRPr="005B5F08" w:rsidRDefault="00896BBF" w:rsidP="005B5F08">
      <w:pPr>
        <w:pStyle w:val="SingleTxtG"/>
        <w:keepNext/>
        <w:ind w:left="284"/>
        <w:jc w:val="left"/>
        <w:rPr>
          <w:b/>
          <w:bCs/>
          <w:lang w:val="fr-FR"/>
        </w:rPr>
      </w:pPr>
      <w:r w:rsidRPr="005B5F08">
        <w:rPr>
          <w:b/>
          <w:bCs/>
          <w:lang w:val="fr-FR"/>
        </w:rPr>
        <w:t>Liste détaillée des priorités des travaux du WP.29 concernant les véhicules automatisés/autonomes</w:t>
      </w:r>
    </w:p>
    <w:tbl>
      <w:tblPr>
        <w:tblW w:w="13776" w:type="dxa"/>
        <w:tblInd w:w="283" w:type="dxa"/>
        <w:tblBorders>
          <w:top w:val="single" w:sz="4" w:space="0" w:color="auto"/>
          <w:bottom w:val="single" w:sz="12" w:space="0" w:color="auto"/>
        </w:tblBorders>
        <w:tblLayout w:type="fixed"/>
        <w:tblCellMar>
          <w:left w:w="0" w:type="dxa"/>
          <w:right w:w="0" w:type="dxa"/>
        </w:tblCellMar>
        <w:tblLook w:val="0620" w:firstRow="1" w:lastRow="0" w:firstColumn="0" w:lastColumn="0" w:noHBand="1" w:noVBand="1"/>
      </w:tblPr>
      <w:tblGrid>
        <w:gridCol w:w="1490"/>
        <w:gridCol w:w="2648"/>
        <w:gridCol w:w="1736"/>
        <w:gridCol w:w="1298"/>
        <w:gridCol w:w="1477"/>
        <w:gridCol w:w="1741"/>
        <w:gridCol w:w="1741"/>
        <w:gridCol w:w="1645"/>
      </w:tblGrid>
      <w:tr w:rsidR="005B5F08" w:rsidRPr="005B5F08" w14:paraId="3104B7F1" w14:textId="77777777" w:rsidTr="00EF2AE8">
        <w:trPr>
          <w:trHeight w:val="20"/>
          <w:tblHeader/>
        </w:trPr>
        <w:tc>
          <w:tcPr>
            <w:tcW w:w="541" w:type="pct"/>
            <w:vMerge w:val="restart"/>
            <w:shd w:val="clear" w:color="auto" w:fill="auto"/>
            <w:tcMar>
              <w:top w:w="0" w:type="dxa"/>
              <w:left w:w="0" w:type="dxa"/>
              <w:bottom w:w="0" w:type="dxa"/>
              <w:right w:w="0" w:type="dxa"/>
            </w:tcMar>
            <w:vAlign w:val="bottom"/>
          </w:tcPr>
          <w:p w14:paraId="1E444E12" w14:textId="77777777" w:rsidR="005B5F08" w:rsidRPr="005B5F08" w:rsidRDefault="005B5F08" w:rsidP="005B5F08">
            <w:pPr>
              <w:suppressAutoHyphens w:val="0"/>
              <w:spacing w:before="80" w:after="80" w:line="200" w:lineRule="exact"/>
              <w:ind w:right="113"/>
              <w:rPr>
                <w:i/>
                <w:sz w:val="16"/>
                <w:lang w:val="fr-FR"/>
              </w:rPr>
            </w:pPr>
            <w:r w:rsidRPr="005B5F08">
              <w:rPr>
                <w:i/>
                <w:sz w:val="16"/>
                <w:lang w:val="fr-FR"/>
              </w:rPr>
              <w:t>Titre</w:t>
            </w:r>
          </w:p>
        </w:tc>
        <w:tc>
          <w:tcPr>
            <w:tcW w:w="961" w:type="pct"/>
            <w:vMerge w:val="restart"/>
            <w:shd w:val="clear" w:color="auto" w:fill="auto"/>
            <w:vAlign w:val="bottom"/>
          </w:tcPr>
          <w:p w14:paraId="3D73C54E" w14:textId="77777777" w:rsidR="005B5F08" w:rsidRPr="005B5F08" w:rsidRDefault="005B5F08" w:rsidP="005B5F08">
            <w:pPr>
              <w:suppressAutoHyphens w:val="0"/>
              <w:spacing w:before="80" w:after="80" w:line="200" w:lineRule="exact"/>
              <w:ind w:right="113"/>
              <w:rPr>
                <w:i/>
                <w:sz w:val="16"/>
                <w:lang w:val="fr-FR"/>
              </w:rPr>
            </w:pPr>
            <w:r w:rsidRPr="005B5F08">
              <w:rPr>
                <w:i/>
                <w:iCs/>
                <w:sz w:val="16"/>
                <w:lang w:val="fr-FR"/>
              </w:rPr>
              <w:t>Description des travaux/</w:t>
            </w:r>
            <w:r w:rsidRPr="005B5F08">
              <w:rPr>
                <w:i/>
                <w:iCs/>
                <w:sz w:val="16"/>
                <w:lang w:val="fr-FR"/>
              </w:rPr>
              <w:br/>
              <w:t>ECE/TRANS/WP.29/2019/2</w:t>
            </w:r>
          </w:p>
        </w:tc>
        <w:tc>
          <w:tcPr>
            <w:tcW w:w="630" w:type="pct"/>
            <w:vMerge w:val="restart"/>
            <w:shd w:val="clear" w:color="auto" w:fill="auto"/>
            <w:vAlign w:val="bottom"/>
          </w:tcPr>
          <w:p w14:paraId="1D652717" w14:textId="77777777" w:rsidR="005B5F08" w:rsidRPr="005B5F08" w:rsidRDefault="005B5F08" w:rsidP="005B5F08">
            <w:pPr>
              <w:suppressAutoHyphens w:val="0"/>
              <w:spacing w:before="80" w:after="80" w:line="200" w:lineRule="exact"/>
              <w:ind w:right="113"/>
              <w:rPr>
                <w:i/>
                <w:sz w:val="16"/>
                <w:lang w:val="fr-FR"/>
              </w:rPr>
            </w:pPr>
            <w:r w:rsidRPr="005B5F08">
              <w:rPr>
                <w:i/>
                <w:iCs/>
                <w:sz w:val="16"/>
                <w:lang w:val="fr-FR"/>
              </w:rPr>
              <w:t>Principes/éléments correspondants</w:t>
            </w:r>
          </w:p>
        </w:tc>
        <w:tc>
          <w:tcPr>
            <w:tcW w:w="471" w:type="pct"/>
            <w:vMerge w:val="restart"/>
            <w:shd w:val="clear" w:color="auto" w:fill="auto"/>
            <w:tcMar>
              <w:top w:w="0" w:type="dxa"/>
              <w:left w:w="0" w:type="dxa"/>
              <w:bottom w:w="0" w:type="dxa"/>
              <w:right w:w="0" w:type="dxa"/>
            </w:tcMar>
            <w:vAlign w:val="bottom"/>
          </w:tcPr>
          <w:p w14:paraId="4C996A75" w14:textId="77777777" w:rsidR="005B5F08" w:rsidRPr="005B5F08" w:rsidRDefault="005B5F08" w:rsidP="005B5F08">
            <w:pPr>
              <w:suppressAutoHyphens w:val="0"/>
              <w:spacing w:before="80" w:after="80" w:line="200" w:lineRule="exact"/>
              <w:ind w:right="113"/>
              <w:rPr>
                <w:i/>
                <w:sz w:val="16"/>
                <w:lang w:val="fr-FR"/>
              </w:rPr>
            </w:pPr>
            <w:r w:rsidRPr="005B5F08">
              <w:rPr>
                <w:i/>
                <w:iCs/>
                <w:sz w:val="16"/>
                <w:lang w:val="fr-FR"/>
              </w:rPr>
              <w:t>Groupe de travail responsable</w:t>
            </w:r>
          </w:p>
        </w:tc>
        <w:tc>
          <w:tcPr>
            <w:tcW w:w="536" w:type="pct"/>
            <w:vMerge w:val="restart"/>
            <w:shd w:val="clear" w:color="auto" w:fill="auto"/>
            <w:tcMar>
              <w:top w:w="0" w:type="dxa"/>
              <w:left w:w="0" w:type="dxa"/>
              <w:bottom w:w="0" w:type="dxa"/>
              <w:right w:w="0" w:type="dxa"/>
            </w:tcMar>
            <w:vAlign w:val="bottom"/>
          </w:tcPr>
          <w:p w14:paraId="3495E0D3" w14:textId="77777777" w:rsidR="005B5F08" w:rsidRPr="005B5F08" w:rsidRDefault="005B5F08" w:rsidP="005B5F08">
            <w:pPr>
              <w:suppressAutoHyphens w:val="0"/>
              <w:spacing w:before="80" w:after="80" w:line="200" w:lineRule="exact"/>
              <w:ind w:right="113"/>
              <w:rPr>
                <w:i/>
                <w:sz w:val="16"/>
                <w:lang w:val="fr-FR"/>
              </w:rPr>
            </w:pPr>
            <w:r w:rsidRPr="005B5F08">
              <w:rPr>
                <w:i/>
                <w:iCs/>
                <w:sz w:val="16"/>
                <w:lang w:val="fr-FR"/>
              </w:rPr>
              <w:t>Principales cibles</w:t>
            </w:r>
          </w:p>
        </w:tc>
        <w:tc>
          <w:tcPr>
            <w:tcW w:w="1264" w:type="pct"/>
            <w:gridSpan w:val="2"/>
            <w:shd w:val="clear" w:color="auto" w:fill="auto"/>
            <w:vAlign w:val="bottom"/>
          </w:tcPr>
          <w:p w14:paraId="74DEBBB7" w14:textId="77777777" w:rsidR="005B5F08" w:rsidRPr="005B5F08" w:rsidRDefault="005B5F08" w:rsidP="005B5F08">
            <w:pPr>
              <w:suppressAutoHyphens w:val="0"/>
              <w:spacing w:before="80" w:after="80" w:line="200" w:lineRule="exact"/>
              <w:jc w:val="center"/>
              <w:rPr>
                <w:i/>
                <w:sz w:val="16"/>
                <w:lang w:val="fr-FR"/>
              </w:rPr>
            </w:pPr>
            <w:r w:rsidRPr="005B5F08">
              <w:rPr>
                <w:i/>
                <w:sz w:val="16"/>
                <w:lang w:val="fr-FR"/>
              </w:rPr>
              <w:t>Activités</w:t>
            </w:r>
          </w:p>
        </w:tc>
        <w:tc>
          <w:tcPr>
            <w:tcW w:w="597" w:type="pct"/>
            <w:vMerge w:val="restart"/>
            <w:shd w:val="clear" w:color="auto" w:fill="auto"/>
            <w:vAlign w:val="bottom"/>
          </w:tcPr>
          <w:p w14:paraId="1FD45D1C" w14:textId="77777777" w:rsidR="005B5F08" w:rsidRPr="005B5F08" w:rsidRDefault="005B5F08" w:rsidP="005B5F08">
            <w:pPr>
              <w:suppressAutoHyphens w:val="0"/>
              <w:spacing w:before="80" w:after="80" w:line="200" w:lineRule="exact"/>
              <w:rPr>
                <w:i/>
                <w:sz w:val="16"/>
                <w:lang w:val="fr-FR"/>
              </w:rPr>
            </w:pPr>
            <w:r w:rsidRPr="005B5F08">
              <w:rPr>
                <w:i/>
                <w:sz w:val="16"/>
                <w:lang w:val="fr-FR"/>
              </w:rPr>
              <w:t>Produit escompté/</w:t>
            </w:r>
            <w:r w:rsidRPr="005B5F08">
              <w:rPr>
                <w:i/>
                <w:sz w:val="16"/>
                <w:lang w:val="fr-FR"/>
              </w:rPr>
              <w:br/>
              <w:t>Date limite de soumission au WP29</w:t>
            </w:r>
          </w:p>
        </w:tc>
      </w:tr>
      <w:tr w:rsidR="005B5F08" w:rsidRPr="005B5F08" w14:paraId="3DCBD716" w14:textId="77777777" w:rsidTr="005B5F08">
        <w:tblPrEx>
          <w:tblBorders>
            <w:top w:val="none" w:sz="0" w:space="0" w:color="auto"/>
            <w:bottom w:val="none" w:sz="0" w:space="0" w:color="auto"/>
          </w:tblBorders>
        </w:tblPrEx>
        <w:trPr>
          <w:trHeight w:val="20"/>
          <w:tblHeader/>
        </w:trPr>
        <w:tc>
          <w:tcPr>
            <w:tcW w:w="541" w:type="pct"/>
            <w:vMerge/>
            <w:tcBorders>
              <w:bottom w:val="single" w:sz="12" w:space="0" w:color="auto"/>
            </w:tcBorders>
            <w:shd w:val="clear" w:color="auto" w:fill="auto"/>
            <w:vAlign w:val="bottom"/>
            <w:hideMark/>
          </w:tcPr>
          <w:p w14:paraId="1D1157F1" w14:textId="77777777" w:rsidR="005B5F08" w:rsidRPr="005B5F08" w:rsidRDefault="005B5F08" w:rsidP="005B5F08">
            <w:pPr>
              <w:suppressAutoHyphens w:val="0"/>
              <w:spacing w:before="80" w:after="80" w:line="200" w:lineRule="exact"/>
              <w:ind w:right="113"/>
              <w:rPr>
                <w:i/>
                <w:sz w:val="16"/>
              </w:rPr>
            </w:pPr>
          </w:p>
        </w:tc>
        <w:tc>
          <w:tcPr>
            <w:tcW w:w="961" w:type="pct"/>
            <w:vMerge/>
            <w:tcBorders>
              <w:bottom w:val="single" w:sz="12" w:space="0" w:color="auto"/>
            </w:tcBorders>
            <w:shd w:val="clear" w:color="auto" w:fill="auto"/>
            <w:vAlign w:val="bottom"/>
            <w:hideMark/>
          </w:tcPr>
          <w:p w14:paraId="3D6785A7" w14:textId="77777777" w:rsidR="005B5F08" w:rsidRPr="005B5F08" w:rsidRDefault="005B5F08" w:rsidP="005B5F08">
            <w:pPr>
              <w:suppressAutoHyphens w:val="0"/>
              <w:spacing w:before="80" w:after="80" w:line="200" w:lineRule="exact"/>
              <w:ind w:right="113"/>
              <w:rPr>
                <w:i/>
                <w:sz w:val="16"/>
                <w:lang w:val="fr-FR"/>
              </w:rPr>
            </w:pPr>
          </w:p>
        </w:tc>
        <w:tc>
          <w:tcPr>
            <w:tcW w:w="630" w:type="pct"/>
            <w:vMerge/>
            <w:tcBorders>
              <w:bottom w:val="single" w:sz="12" w:space="0" w:color="auto"/>
            </w:tcBorders>
            <w:shd w:val="clear" w:color="auto" w:fill="auto"/>
            <w:vAlign w:val="bottom"/>
            <w:hideMark/>
          </w:tcPr>
          <w:p w14:paraId="477F2DFC" w14:textId="77777777" w:rsidR="005B5F08" w:rsidRPr="005B5F08" w:rsidRDefault="005B5F08" w:rsidP="005B5F08">
            <w:pPr>
              <w:suppressAutoHyphens w:val="0"/>
              <w:spacing w:before="80" w:after="80" w:line="200" w:lineRule="exact"/>
              <w:ind w:right="113"/>
              <w:rPr>
                <w:i/>
                <w:sz w:val="16"/>
              </w:rPr>
            </w:pPr>
          </w:p>
        </w:tc>
        <w:tc>
          <w:tcPr>
            <w:tcW w:w="471" w:type="pct"/>
            <w:vMerge/>
            <w:tcBorders>
              <w:bottom w:val="single" w:sz="12" w:space="0" w:color="auto"/>
            </w:tcBorders>
            <w:shd w:val="clear" w:color="auto" w:fill="auto"/>
            <w:vAlign w:val="bottom"/>
            <w:hideMark/>
          </w:tcPr>
          <w:p w14:paraId="7513FFF9" w14:textId="77777777" w:rsidR="005B5F08" w:rsidRPr="005B5F08" w:rsidRDefault="005B5F08" w:rsidP="005B5F08">
            <w:pPr>
              <w:suppressAutoHyphens w:val="0"/>
              <w:spacing w:before="80" w:after="80" w:line="200" w:lineRule="exact"/>
              <w:ind w:right="113"/>
              <w:rPr>
                <w:i/>
                <w:sz w:val="16"/>
              </w:rPr>
            </w:pPr>
          </w:p>
        </w:tc>
        <w:tc>
          <w:tcPr>
            <w:tcW w:w="536" w:type="pct"/>
            <w:vMerge/>
            <w:tcBorders>
              <w:bottom w:val="single" w:sz="12" w:space="0" w:color="auto"/>
            </w:tcBorders>
            <w:shd w:val="clear" w:color="auto" w:fill="auto"/>
            <w:vAlign w:val="bottom"/>
            <w:hideMark/>
          </w:tcPr>
          <w:p w14:paraId="1B4FF516" w14:textId="77777777" w:rsidR="005B5F08" w:rsidRPr="005B5F08" w:rsidRDefault="005B5F08" w:rsidP="005B5F08">
            <w:pPr>
              <w:suppressAutoHyphens w:val="0"/>
              <w:spacing w:before="80" w:after="80" w:line="200" w:lineRule="exact"/>
              <w:ind w:right="113"/>
              <w:rPr>
                <w:i/>
                <w:sz w:val="16"/>
              </w:rPr>
            </w:pPr>
          </w:p>
        </w:tc>
        <w:tc>
          <w:tcPr>
            <w:tcW w:w="632" w:type="pct"/>
            <w:tcBorders>
              <w:top w:val="single" w:sz="4" w:space="0" w:color="auto"/>
              <w:bottom w:val="single" w:sz="12" w:space="0" w:color="auto"/>
            </w:tcBorders>
            <w:shd w:val="clear" w:color="auto" w:fill="auto"/>
            <w:vAlign w:val="bottom"/>
            <w:hideMark/>
          </w:tcPr>
          <w:p w14:paraId="657A09C2" w14:textId="77777777" w:rsidR="005B5F08" w:rsidRPr="005B5F08" w:rsidRDefault="005B5F08" w:rsidP="005B5F08">
            <w:pPr>
              <w:suppressAutoHyphens w:val="0"/>
              <w:spacing w:before="80" w:after="80" w:line="200" w:lineRule="exact"/>
              <w:ind w:right="113"/>
              <w:rPr>
                <w:i/>
                <w:sz w:val="16"/>
                <w:lang w:val="fr-FR"/>
              </w:rPr>
            </w:pPr>
            <w:r w:rsidRPr="005B5F08">
              <w:rPr>
                <w:i/>
                <w:sz w:val="16"/>
                <w:lang w:val="fr-FR"/>
              </w:rPr>
              <w:t>Activités en cours</w:t>
            </w:r>
          </w:p>
        </w:tc>
        <w:tc>
          <w:tcPr>
            <w:tcW w:w="632" w:type="pct"/>
            <w:tcBorders>
              <w:top w:val="single" w:sz="4" w:space="0" w:color="auto"/>
              <w:bottom w:val="single" w:sz="12" w:space="0" w:color="auto"/>
            </w:tcBorders>
            <w:shd w:val="clear" w:color="auto" w:fill="auto"/>
            <w:vAlign w:val="bottom"/>
            <w:hideMark/>
          </w:tcPr>
          <w:p w14:paraId="15D53D3B" w14:textId="77777777" w:rsidR="005B5F08" w:rsidRPr="005B5F08" w:rsidRDefault="005B5F08" w:rsidP="005B5F08">
            <w:pPr>
              <w:suppressAutoHyphens w:val="0"/>
              <w:spacing w:before="80" w:after="80" w:line="200" w:lineRule="exact"/>
              <w:ind w:right="113"/>
              <w:rPr>
                <w:i/>
                <w:sz w:val="16"/>
                <w:lang w:val="fr-FR"/>
              </w:rPr>
            </w:pPr>
            <w:r w:rsidRPr="005B5F08">
              <w:rPr>
                <w:i/>
                <w:sz w:val="16"/>
                <w:lang w:val="fr-FR"/>
              </w:rPr>
              <w:t>Activités futures</w:t>
            </w:r>
          </w:p>
        </w:tc>
        <w:tc>
          <w:tcPr>
            <w:tcW w:w="597" w:type="pct"/>
            <w:vMerge/>
            <w:tcBorders>
              <w:bottom w:val="single" w:sz="12" w:space="0" w:color="auto"/>
            </w:tcBorders>
            <w:shd w:val="clear" w:color="auto" w:fill="auto"/>
            <w:vAlign w:val="bottom"/>
            <w:hideMark/>
          </w:tcPr>
          <w:p w14:paraId="309ACD89" w14:textId="77777777" w:rsidR="005B5F08" w:rsidRPr="005B5F08" w:rsidRDefault="005B5F08" w:rsidP="005B5F08">
            <w:pPr>
              <w:suppressAutoHyphens w:val="0"/>
              <w:spacing w:before="80" w:after="80" w:line="200" w:lineRule="exact"/>
              <w:rPr>
                <w:i/>
                <w:sz w:val="16"/>
                <w:lang w:val="fr-FR"/>
              </w:rPr>
            </w:pPr>
          </w:p>
        </w:tc>
      </w:tr>
      <w:tr w:rsidR="005B5F08" w:rsidRPr="005B5F08" w14:paraId="03B33AB6" w14:textId="77777777" w:rsidTr="005B5F08">
        <w:tblPrEx>
          <w:tblBorders>
            <w:top w:val="none" w:sz="0" w:space="0" w:color="auto"/>
            <w:bottom w:val="none" w:sz="0" w:space="0" w:color="auto"/>
          </w:tblBorders>
        </w:tblPrEx>
        <w:trPr>
          <w:trHeight w:hRule="exact" w:val="113"/>
          <w:tblHeader/>
        </w:trPr>
        <w:tc>
          <w:tcPr>
            <w:tcW w:w="541" w:type="pct"/>
            <w:tcBorders>
              <w:top w:val="single" w:sz="12" w:space="0" w:color="auto"/>
            </w:tcBorders>
            <w:shd w:val="clear" w:color="auto" w:fill="auto"/>
          </w:tcPr>
          <w:p w14:paraId="439BD96C" w14:textId="77777777" w:rsidR="005B5F08" w:rsidRPr="005B5F08" w:rsidRDefault="005B5F08" w:rsidP="005B5F08">
            <w:pPr>
              <w:suppressAutoHyphens w:val="0"/>
              <w:spacing w:before="40" w:after="120"/>
              <w:ind w:right="113"/>
            </w:pPr>
          </w:p>
        </w:tc>
        <w:tc>
          <w:tcPr>
            <w:tcW w:w="961" w:type="pct"/>
            <w:tcBorders>
              <w:top w:val="single" w:sz="12" w:space="0" w:color="auto"/>
            </w:tcBorders>
            <w:shd w:val="clear" w:color="auto" w:fill="auto"/>
          </w:tcPr>
          <w:p w14:paraId="4CF0E39E" w14:textId="77777777" w:rsidR="005B5F08" w:rsidRPr="005B5F08" w:rsidRDefault="005B5F08" w:rsidP="005B5F08">
            <w:pPr>
              <w:suppressAutoHyphens w:val="0"/>
              <w:spacing w:before="40" w:after="120"/>
              <w:ind w:right="113"/>
              <w:rPr>
                <w:lang w:val="fr-FR"/>
              </w:rPr>
            </w:pPr>
          </w:p>
        </w:tc>
        <w:tc>
          <w:tcPr>
            <w:tcW w:w="630" w:type="pct"/>
            <w:tcBorders>
              <w:top w:val="single" w:sz="12" w:space="0" w:color="auto"/>
            </w:tcBorders>
            <w:shd w:val="clear" w:color="auto" w:fill="auto"/>
          </w:tcPr>
          <w:p w14:paraId="50590701" w14:textId="77777777" w:rsidR="005B5F08" w:rsidRPr="005B5F08" w:rsidRDefault="005B5F08" w:rsidP="005B5F08">
            <w:pPr>
              <w:suppressAutoHyphens w:val="0"/>
              <w:spacing w:before="40" w:after="120"/>
              <w:ind w:right="113"/>
            </w:pPr>
          </w:p>
        </w:tc>
        <w:tc>
          <w:tcPr>
            <w:tcW w:w="471" w:type="pct"/>
            <w:tcBorders>
              <w:top w:val="single" w:sz="12" w:space="0" w:color="auto"/>
            </w:tcBorders>
            <w:shd w:val="clear" w:color="auto" w:fill="auto"/>
          </w:tcPr>
          <w:p w14:paraId="026E8CB4" w14:textId="77777777" w:rsidR="005B5F08" w:rsidRPr="005B5F08" w:rsidRDefault="005B5F08" w:rsidP="005B5F08">
            <w:pPr>
              <w:suppressAutoHyphens w:val="0"/>
              <w:spacing w:before="40" w:after="120"/>
              <w:ind w:right="113"/>
            </w:pPr>
          </w:p>
        </w:tc>
        <w:tc>
          <w:tcPr>
            <w:tcW w:w="536" w:type="pct"/>
            <w:tcBorders>
              <w:top w:val="single" w:sz="12" w:space="0" w:color="auto"/>
            </w:tcBorders>
            <w:shd w:val="clear" w:color="auto" w:fill="auto"/>
          </w:tcPr>
          <w:p w14:paraId="661898F9" w14:textId="77777777" w:rsidR="005B5F08" w:rsidRPr="005B5F08" w:rsidRDefault="005B5F08" w:rsidP="005B5F08">
            <w:pPr>
              <w:suppressAutoHyphens w:val="0"/>
              <w:spacing w:before="40" w:after="120"/>
              <w:ind w:right="113"/>
            </w:pPr>
          </w:p>
        </w:tc>
        <w:tc>
          <w:tcPr>
            <w:tcW w:w="632" w:type="pct"/>
            <w:tcBorders>
              <w:top w:val="single" w:sz="12" w:space="0" w:color="auto"/>
            </w:tcBorders>
            <w:shd w:val="clear" w:color="auto" w:fill="auto"/>
          </w:tcPr>
          <w:p w14:paraId="58B18284" w14:textId="77777777" w:rsidR="005B5F08" w:rsidRPr="005B5F08" w:rsidRDefault="005B5F08" w:rsidP="005B5F08">
            <w:pPr>
              <w:suppressAutoHyphens w:val="0"/>
              <w:spacing w:before="40" w:after="120"/>
              <w:ind w:right="113"/>
              <w:rPr>
                <w:i/>
                <w:lang w:val="fr-FR"/>
              </w:rPr>
            </w:pPr>
          </w:p>
        </w:tc>
        <w:tc>
          <w:tcPr>
            <w:tcW w:w="632" w:type="pct"/>
            <w:tcBorders>
              <w:top w:val="single" w:sz="12" w:space="0" w:color="auto"/>
            </w:tcBorders>
            <w:shd w:val="clear" w:color="auto" w:fill="auto"/>
          </w:tcPr>
          <w:p w14:paraId="2CE8EEAD" w14:textId="77777777" w:rsidR="005B5F08" w:rsidRPr="005B5F08" w:rsidRDefault="005B5F08" w:rsidP="005B5F08">
            <w:pPr>
              <w:suppressAutoHyphens w:val="0"/>
              <w:spacing w:before="40" w:after="120"/>
              <w:ind w:right="113"/>
              <w:rPr>
                <w:i/>
                <w:lang w:val="fr-FR"/>
              </w:rPr>
            </w:pPr>
          </w:p>
        </w:tc>
        <w:tc>
          <w:tcPr>
            <w:tcW w:w="597" w:type="pct"/>
            <w:tcBorders>
              <w:top w:val="single" w:sz="12" w:space="0" w:color="auto"/>
            </w:tcBorders>
            <w:shd w:val="clear" w:color="auto" w:fill="auto"/>
          </w:tcPr>
          <w:p w14:paraId="7F192BD3" w14:textId="77777777" w:rsidR="005B5F08" w:rsidRPr="005B5F08" w:rsidRDefault="005B5F08" w:rsidP="005B5F08">
            <w:pPr>
              <w:suppressAutoHyphens w:val="0"/>
              <w:spacing w:before="40" w:after="120"/>
              <w:rPr>
                <w:lang w:val="fr-FR"/>
              </w:rPr>
            </w:pPr>
          </w:p>
        </w:tc>
      </w:tr>
      <w:tr w:rsidR="005B5F08" w:rsidRPr="00EF2AE8" w14:paraId="2878F43F" w14:textId="77777777" w:rsidTr="00EF2AE8">
        <w:tblPrEx>
          <w:tblBorders>
            <w:top w:val="none" w:sz="0" w:space="0" w:color="auto"/>
            <w:bottom w:val="none" w:sz="0" w:space="0" w:color="auto"/>
          </w:tblBorders>
        </w:tblPrEx>
        <w:trPr>
          <w:trHeight w:val="20"/>
        </w:trPr>
        <w:tc>
          <w:tcPr>
            <w:tcW w:w="541" w:type="pct"/>
            <w:shd w:val="clear" w:color="auto" w:fill="auto"/>
            <w:tcMar>
              <w:top w:w="0" w:type="dxa"/>
              <w:left w:w="0" w:type="dxa"/>
              <w:bottom w:w="0" w:type="dxa"/>
              <w:right w:w="0" w:type="dxa"/>
            </w:tcMar>
            <w:hideMark/>
          </w:tcPr>
          <w:p w14:paraId="50074A6C" w14:textId="77777777" w:rsidR="00896BBF" w:rsidRPr="00EF2AE8" w:rsidRDefault="00896BBF" w:rsidP="00EF2AE8">
            <w:pPr>
              <w:suppressAutoHyphens w:val="0"/>
              <w:spacing w:before="40" w:after="120" w:line="220" w:lineRule="atLeast"/>
              <w:ind w:right="113"/>
              <w:rPr>
                <w:sz w:val="18"/>
                <w:szCs w:val="18"/>
                <w:lang w:val="fr-FR"/>
              </w:rPr>
            </w:pPr>
            <w:r w:rsidRPr="00EF2AE8">
              <w:rPr>
                <w:sz w:val="18"/>
                <w:szCs w:val="18"/>
                <w:lang w:val="fr-FR"/>
              </w:rPr>
              <w:t>Prescriptions fonctionnelles applicables aux véhicules automatisés/</w:t>
            </w:r>
            <w:r w:rsidRPr="00EF2AE8">
              <w:rPr>
                <w:sz w:val="18"/>
                <w:szCs w:val="18"/>
                <w:lang w:val="fr-FR"/>
              </w:rPr>
              <w:br/>
              <w:t>autonomes</w:t>
            </w:r>
          </w:p>
        </w:tc>
        <w:tc>
          <w:tcPr>
            <w:tcW w:w="961" w:type="pct"/>
            <w:shd w:val="clear" w:color="auto" w:fill="auto"/>
            <w:hideMark/>
          </w:tcPr>
          <w:p w14:paraId="3183A71E" w14:textId="7FBA89C4" w:rsidR="00896BBF" w:rsidRPr="00EF2AE8" w:rsidRDefault="00896BBF" w:rsidP="00EF2AE8">
            <w:pPr>
              <w:suppressAutoHyphens w:val="0"/>
              <w:spacing w:before="40" w:after="120" w:line="220" w:lineRule="atLeast"/>
              <w:ind w:right="113"/>
              <w:rPr>
                <w:sz w:val="18"/>
                <w:szCs w:val="18"/>
                <w:lang w:val="fr-FR"/>
              </w:rPr>
            </w:pPr>
            <w:r w:rsidRPr="00EF2AE8">
              <w:rPr>
                <w:sz w:val="18"/>
                <w:szCs w:val="18"/>
                <w:lang w:val="fr-FR"/>
              </w:rPr>
              <w:t>Les travaux dans ce domaine devraient porter sur les prescriptions fonctionnelles applicables à la combinaison des différentes fonctions liées à la conduite</w:t>
            </w:r>
            <w:r w:rsidR="0047211F" w:rsidRPr="00EF2AE8">
              <w:rPr>
                <w:sz w:val="18"/>
                <w:szCs w:val="18"/>
                <w:lang w:val="fr-FR"/>
              </w:rPr>
              <w:t> :</w:t>
            </w:r>
            <w:r w:rsidRPr="00EF2AE8">
              <w:rPr>
                <w:sz w:val="18"/>
                <w:szCs w:val="18"/>
                <w:lang w:val="fr-FR"/>
              </w:rPr>
              <w:t xml:space="preserve"> contrôle longitudinal (accélération, freinage et vitesse sur route), contrôle latéral (respect des règles d’utilisation des voies), surveillance de l’environnement direct (espace devant le véhicule, sur les côtés ou derrière), manœuvre d’atténuation maximale des risques, demande de reprise de contrôle, interface homme-machine (interne et externe) et surveillance de la vigilance du conducteur.</w:t>
            </w:r>
          </w:p>
        </w:tc>
        <w:tc>
          <w:tcPr>
            <w:tcW w:w="630" w:type="pct"/>
            <w:shd w:val="clear" w:color="auto" w:fill="auto"/>
            <w:hideMark/>
          </w:tcPr>
          <w:p w14:paraId="22AF01B7" w14:textId="77777777" w:rsidR="00896BBF" w:rsidRPr="00EF2AE8" w:rsidRDefault="00896BBF" w:rsidP="00EF2AE8">
            <w:pPr>
              <w:suppressAutoHyphens w:val="0"/>
              <w:spacing w:before="40" w:after="120" w:line="220" w:lineRule="atLeast"/>
              <w:ind w:right="113"/>
              <w:rPr>
                <w:sz w:val="18"/>
                <w:szCs w:val="18"/>
                <w:lang w:val="fr-FR"/>
              </w:rPr>
            </w:pPr>
            <w:r w:rsidRPr="00EF2AE8">
              <w:rPr>
                <w:sz w:val="18"/>
                <w:szCs w:val="18"/>
                <w:lang w:val="fr-FR"/>
              </w:rPr>
              <w:t>a. Sécurité du système</w:t>
            </w:r>
          </w:p>
          <w:p w14:paraId="2EE19ED3" w14:textId="77777777" w:rsidR="00896BBF" w:rsidRPr="00EF2AE8" w:rsidRDefault="00896BBF" w:rsidP="00EF2AE8">
            <w:pPr>
              <w:suppressAutoHyphens w:val="0"/>
              <w:spacing w:before="40" w:after="120" w:line="220" w:lineRule="atLeast"/>
              <w:ind w:right="113"/>
              <w:rPr>
                <w:sz w:val="18"/>
                <w:szCs w:val="18"/>
                <w:lang w:val="fr-FR"/>
              </w:rPr>
            </w:pPr>
            <w:r w:rsidRPr="00EF2AE8">
              <w:rPr>
                <w:sz w:val="18"/>
                <w:szCs w:val="18"/>
                <w:lang w:val="fr-FR"/>
              </w:rPr>
              <w:t>b. Réactivité en situation d’urgence</w:t>
            </w:r>
          </w:p>
          <w:p w14:paraId="2096DA39" w14:textId="77777777" w:rsidR="00896BBF" w:rsidRPr="00EF2AE8" w:rsidRDefault="00896BBF" w:rsidP="00EF2AE8">
            <w:pPr>
              <w:suppressAutoHyphens w:val="0"/>
              <w:spacing w:before="40" w:after="120" w:line="220" w:lineRule="atLeast"/>
              <w:ind w:right="113"/>
              <w:rPr>
                <w:sz w:val="18"/>
                <w:szCs w:val="18"/>
                <w:lang w:val="fr-FR"/>
              </w:rPr>
            </w:pPr>
            <w:r w:rsidRPr="00EF2AE8">
              <w:rPr>
                <w:sz w:val="18"/>
                <w:szCs w:val="18"/>
                <w:lang w:val="fr-FR"/>
              </w:rPr>
              <w:t>c. IHM/Information sur le conducteur</w:t>
            </w:r>
          </w:p>
          <w:p w14:paraId="563E80D1" w14:textId="77777777" w:rsidR="00896BBF" w:rsidRPr="00EF2AE8" w:rsidRDefault="00896BBF" w:rsidP="00EF2AE8">
            <w:pPr>
              <w:suppressAutoHyphens w:val="0"/>
              <w:spacing w:before="40" w:after="120" w:line="220" w:lineRule="atLeast"/>
              <w:ind w:right="113"/>
              <w:rPr>
                <w:sz w:val="18"/>
                <w:szCs w:val="18"/>
                <w:lang w:val="fr-FR"/>
              </w:rPr>
            </w:pPr>
            <w:r w:rsidRPr="00EF2AE8">
              <w:rPr>
                <w:sz w:val="18"/>
                <w:szCs w:val="18"/>
                <w:lang w:val="fr-FR"/>
              </w:rPr>
              <w:t>d. OEDR (prescriptions fonctionnelles)</w:t>
            </w:r>
          </w:p>
          <w:p w14:paraId="36E0B009" w14:textId="77777777" w:rsidR="00896BBF" w:rsidRPr="00EF2AE8" w:rsidRDefault="00896BBF" w:rsidP="00EF2AE8">
            <w:pPr>
              <w:suppressAutoHyphens w:val="0"/>
              <w:spacing w:before="40" w:after="120" w:line="220" w:lineRule="atLeast"/>
              <w:ind w:right="113"/>
              <w:rPr>
                <w:sz w:val="18"/>
                <w:szCs w:val="18"/>
                <w:lang w:val="fr-FR"/>
              </w:rPr>
            </w:pPr>
            <w:r w:rsidRPr="00EF2AE8">
              <w:rPr>
                <w:sz w:val="18"/>
                <w:szCs w:val="18"/>
                <w:lang w:val="fr-FR"/>
              </w:rPr>
              <w:t>e. Domaine de conception fonctionnelle</w:t>
            </w:r>
          </w:p>
        </w:tc>
        <w:tc>
          <w:tcPr>
            <w:tcW w:w="471" w:type="pct"/>
            <w:shd w:val="clear" w:color="auto" w:fill="auto"/>
            <w:tcMar>
              <w:top w:w="0" w:type="dxa"/>
              <w:left w:w="0" w:type="dxa"/>
              <w:bottom w:w="0" w:type="dxa"/>
              <w:right w:w="0" w:type="dxa"/>
            </w:tcMar>
            <w:hideMark/>
          </w:tcPr>
          <w:p w14:paraId="64CE2880" w14:textId="77777777" w:rsidR="00896BBF" w:rsidRPr="00EF2AE8" w:rsidRDefault="00896BBF" w:rsidP="00EF2AE8">
            <w:pPr>
              <w:suppressAutoHyphens w:val="0"/>
              <w:spacing w:before="40" w:after="120" w:line="220" w:lineRule="atLeast"/>
              <w:ind w:right="113"/>
              <w:rPr>
                <w:sz w:val="18"/>
                <w:szCs w:val="18"/>
                <w:lang w:val="fr-FR"/>
              </w:rPr>
            </w:pPr>
            <w:r w:rsidRPr="00EF2AE8">
              <w:rPr>
                <w:sz w:val="18"/>
                <w:szCs w:val="18"/>
                <w:lang w:val="fr-FR"/>
              </w:rPr>
              <w:t>GRVA/</w:t>
            </w:r>
          </w:p>
          <w:p w14:paraId="53F4B188" w14:textId="77777777" w:rsidR="00896BBF" w:rsidRPr="00EF2AE8" w:rsidRDefault="00896BBF" w:rsidP="00EF2AE8">
            <w:pPr>
              <w:suppressAutoHyphens w:val="0"/>
              <w:spacing w:before="40" w:after="120" w:line="220" w:lineRule="atLeast"/>
              <w:ind w:right="113"/>
              <w:rPr>
                <w:sz w:val="18"/>
                <w:szCs w:val="18"/>
                <w:lang w:val="fr-FR"/>
              </w:rPr>
            </w:pPr>
            <w:r w:rsidRPr="00EF2AE8">
              <w:rPr>
                <w:sz w:val="18"/>
                <w:szCs w:val="18"/>
                <w:lang w:val="fr-FR"/>
              </w:rPr>
              <w:t>groupe de travail informel FRAV</w:t>
            </w:r>
          </w:p>
        </w:tc>
        <w:tc>
          <w:tcPr>
            <w:tcW w:w="536" w:type="pct"/>
            <w:shd w:val="clear" w:color="auto" w:fill="auto"/>
            <w:tcMar>
              <w:top w:w="0" w:type="dxa"/>
              <w:left w:w="0" w:type="dxa"/>
              <w:bottom w:w="0" w:type="dxa"/>
              <w:right w:w="0" w:type="dxa"/>
            </w:tcMar>
            <w:hideMark/>
          </w:tcPr>
          <w:p w14:paraId="6D4B91FC" w14:textId="77777777" w:rsidR="00896BBF" w:rsidRPr="00EF2AE8" w:rsidRDefault="00896BBF" w:rsidP="00EF2AE8">
            <w:pPr>
              <w:suppressAutoHyphens w:val="0"/>
              <w:spacing w:before="40" w:after="120" w:line="220" w:lineRule="atLeast"/>
              <w:ind w:right="113"/>
              <w:rPr>
                <w:sz w:val="18"/>
                <w:szCs w:val="18"/>
              </w:rPr>
            </w:pPr>
            <w:r w:rsidRPr="00EF2AE8">
              <w:rPr>
                <w:sz w:val="18"/>
                <w:szCs w:val="18"/>
                <w:lang w:val="fr-FR"/>
              </w:rPr>
              <w:t>Véhicules automatisés/</w:t>
            </w:r>
            <w:r w:rsidRPr="00EF2AE8">
              <w:rPr>
                <w:sz w:val="18"/>
                <w:szCs w:val="18"/>
                <w:lang w:val="fr-FR"/>
              </w:rPr>
              <w:br/>
              <w:t>autonomes</w:t>
            </w:r>
          </w:p>
        </w:tc>
        <w:tc>
          <w:tcPr>
            <w:tcW w:w="632" w:type="pct"/>
            <w:shd w:val="clear" w:color="auto" w:fill="auto"/>
            <w:hideMark/>
          </w:tcPr>
          <w:p w14:paraId="072C59C0" w14:textId="1579C45F" w:rsidR="00896BBF" w:rsidRPr="00EF2AE8" w:rsidRDefault="00896BBF" w:rsidP="00EF2AE8">
            <w:pPr>
              <w:suppressAutoHyphens w:val="0"/>
              <w:spacing w:before="40" w:after="120" w:line="220" w:lineRule="atLeast"/>
              <w:ind w:right="113"/>
              <w:rPr>
                <w:sz w:val="18"/>
                <w:szCs w:val="18"/>
                <w:lang w:val="fr-FR"/>
              </w:rPr>
            </w:pPr>
            <w:r w:rsidRPr="00EF2AE8">
              <w:rPr>
                <w:b/>
                <w:bCs/>
                <w:sz w:val="18"/>
                <w:szCs w:val="18"/>
              </w:rPr>
              <w:t>Élaboration et présentation de recommandations relatives aux prescriptions de sécurité des systèmes de conduite automatisés, y</w:t>
            </w:r>
            <w:r w:rsidR="002A6F8F" w:rsidRPr="00EF2AE8">
              <w:rPr>
                <w:b/>
                <w:bCs/>
                <w:sz w:val="18"/>
                <w:szCs w:val="18"/>
              </w:rPr>
              <w:t> </w:t>
            </w:r>
            <w:r w:rsidRPr="00EF2AE8">
              <w:rPr>
                <w:b/>
                <w:bCs/>
                <w:sz w:val="18"/>
                <w:szCs w:val="18"/>
              </w:rPr>
              <w:t>compris des méthodes de [génération de scénarios] et des critères vérifiables, concernant les principes correspondants.</w:t>
            </w:r>
          </w:p>
        </w:tc>
        <w:tc>
          <w:tcPr>
            <w:tcW w:w="632" w:type="pct"/>
            <w:shd w:val="clear" w:color="auto" w:fill="auto"/>
          </w:tcPr>
          <w:p w14:paraId="6217552A" w14:textId="4B149C59" w:rsidR="00896BBF" w:rsidRPr="00EF2AE8" w:rsidRDefault="00896BBF" w:rsidP="00EF2AE8">
            <w:pPr>
              <w:suppressAutoHyphens w:val="0"/>
              <w:spacing w:before="40" w:after="120" w:line="220" w:lineRule="atLeast"/>
              <w:ind w:right="113"/>
              <w:rPr>
                <w:sz w:val="18"/>
                <w:szCs w:val="18"/>
                <w:lang w:val="fr-FR"/>
              </w:rPr>
            </w:pPr>
          </w:p>
        </w:tc>
        <w:tc>
          <w:tcPr>
            <w:tcW w:w="597" w:type="pct"/>
            <w:shd w:val="clear" w:color="auto" w:fill="auto"/>
          </w:tcPr>
          <w:p w14:paraId="43944DC3" w14:textId="7D40A3FD" w:rsidR="00896BBF" w:rsidRPr="00EF2AE8" w:rsidRDefault="00896BBF" w:rsidP="00EF2AE8">
            <w:pPr>
              <w:suppressAutoHyphens w:val="0"/>
              <w:spacing w:before="40" w:after="120" w:line="220" w:lineRule="atLeast"/>
              <w:rPr>
                <w:b/>
                <w:bCs/>
                <w:sz w:val="18"/>
                <w:szCs w:val="18"/>
                <w:lang w:val="fr-FR"/>
              </w:rPr>
            </w:pPr>
            <w:r w:rsidRPr="00EF2AE8">
              <w:rPr>
                <w:b/>
                <w:bCs/>
                <w:sz w:val="18"/>
                <w:szCs w:val="18"/>
                <w:lang w:val="fr-FR"/>
              </w:rPr>
              <w:t>Juin 2023</w:t>
            </w:r>
            <w:r w:rsidR="0047211F" w:rsidRPr="00EF2AE8">
              <w:rPr>
                <w:b/>
                <w:bCs/>
                <w:sz w:val="18"/>
                <w:szCs w:val="18"/>
                <w:lang w:val="fr-FR"/>
              </w:rPr>
              <w:t> :</w:t>
            </w:r>
          </w:p>
          <w:p w14:paraId="53C78653" w14:textId="054145F1" w:rsidR="00896BBF" w:rsidRPr="00EF2AE8" w:rsidRDefault="00896BBF" w:rsidP="00EF2AE8">
            <w:pPr>
              <w:suppressAutoHyphens w:val="0"/>
              <w:spacing w:before="40" w:after="120" w:line="220" w:lineRule="atLeast"/>
              <w:rPr>
                <w:sz w:val="18"/>
                <w:szCs w:val="18"/>
                <w:lang w:val="fr-FR"/>
              </w:rPr>
            </w:pPr>
            <w:r w:rsidRPr="00EF2AE8">
              <w:rPr>
                <w:b/>
                <w:bCs/>
                <w:sz w:val="18"/>
                <w:szCs w:val="18"/>
              </w:rPr>
              <w:t>Directives relatives aux prescriptions réglementaires et aux critères vérifiables de validation de la sécurité des systèmes de conduite automatisés</w:t>
            </w:r>
          </w:p>
        </w:tc>
      </w:tr>
      <w:tr w:rsidR="005B5F08" w:rsidRPr="00EF2AE8" w14:paraId="11E57EB0" w14:textId="77777777" w:rsidTr="00EF2AE8">
        <w:tblPrEx>
          <w:tblBorders>
            <w:top w:val="none" w:sz="0" w:space="0" w:color="auto"/>
            <w:bottom w:val="none" w:sz="0" w:space="0" w:color="auto"/>
          </w:tblBorders>
        </w:tblPrEx>
        <w:trPr>
          <w:trHeight w:val="20"/>
        </w:trPr>
        <w:tc>
          <w:tcPr>
            <w:tcW w:w="541" w:type="pct"/>
            <w:shd w:val="clear" w:color="auto" w:fill="auto"/>
            <w:tcMar>
              <w:top w:w="0" w:type="dxa"/>
              <w:left w:w="0" w:type="dxa"/>
              <w:bottom w:w="0" w:type="dxa"/>
              <w:right w:w="0" w:type="dxa"/>
            </w:tcMar>
          </w:tcPr>
          <w:p w14:paraId="291C704C" w14:textId="77777777" w:rsidR="005B5F08" w:rsidRPr="00EF2AE8" w:rsidRDefault="005B5F08" w:rsidP="00EF2AE8">
            <w:pPr>
              <w:suppressAutoHyphens w:val="0"/>
              <w:spacing w:before="40" w:after="120" w:line="220" w:lineRule="atLeast"/>
              <w:ind w:right="113"/>
              <w:rPr>
                <w:sz w:val="18"/>
                <w:szCs w:val="18"/>
                <w:lang w:val="fr-FR"/>
              </w:rPr>
            </w:pPr>
          </w:p>
        </w:tc>
        <w:tc>
          <w:tcPr>
            <w:tcW w:w="961" w:type="pct"/>
            <w:shd w:val="clear" w:color="auto" w:fill="auto"/>
          </w:tcPr>
          <w:p w14:paraId="430CED99" w14:textId="58EB2861" w:rsidR="005B5F08" w:rsidRPr="00EF2AE8" w:rsidRDefault="005B5F08" w:rsidP="00EF2AE8">
            <w:pPr>
              <w:suppressAutoHyphens w:val="0"/>
              <w:spacing w:before="40" w:after="120" w:line="220" w:lineRule="atLeast"/>
              <w:ind w:right="113"/>
              <w:rPr>
                <w:sz w:val="18"/>
                <w:szCs w:val="18"/>
                <w:lang w:val="fr-FR"/>
              </w:rPr>
            </w:pPr>
            <w:r w:rsidRPr="00EF2AE8">
              <w:rPr>
                <w:sz w:val="18"/>
                <w:szCs w:val="18"/>
                <w:lang w:val="fr-FR"/>
              </w:rPr>
              <w:t>Ils devraient aussi porter sur les prescriptions en matière de sécurité fonctionnelle.</w:t>
            </w:r>
          </w:p>
        </w:tc>
        <w:tc>
          <w:tcPr>
            <w:tcW w:w="630" w:type="pct"/>
            <w:shd w:val="clear" w:color="auto" w:fill="auto"/>
          </w:tcPr>
          <w:p w14:paraId="6203E630" w14:textId="77777777" w:rsidR="005B5F08" w:rsidRPr="00EF2AE8" w:rsidRDefault="005B5F08" w:rsidP="00EF2AE8">
            <w:pPr>
              <w:suppressAutoHyphens w:val="0"/>
              <w:spacing w:before="40" w:after="120" w:line="220" w:lineRule="atLeast"/>
              <w:ind w:right="113"/>
              <w:rPr>
                <w:sz w:val="18"/>
                <w:szCs w:val="18"/>
                <w:lang w:val="fr-FR"/>
              </w:rPr>
            </w:pPr>
          </w:p>
        </w:tc>
        <w:tc>
          <w:tcPr>
            <w:tcW w:w="471" w:type="pct"/>
            <w:shd w:val="clear" w:color="auto" w:fill="auto"/>
            <w:tcMar>
              <w:top w:w="0" w:type="dxa"/>
              <w:left w:w="0" w:type="dxa"/>
              <w:bottom w:w="0" w:type="dxa"/>
              <w:right w:w="0" w:type="dxa"/>
            </w:tcMar>
          </w:tcPr>
          <w:p w14:paraId="4AA2B6F3" w14:textId="77777777" w:rsidR="005B5F08" w:rsidRPr="00EF2AE8" w:rsidRDefault="005B5F08" w:rsidP="00EF2AE8">
            <w:pPr>
              <w:suppressAutoHyphens w:val="0"/>
              <w:spacing w:before="40" w:after="120" w:line="220" w:lineRule="atLeast"/>
              <w:ind w:right="113"/>
              <w:rPr>
                <w:sz w:val="18"/>
                <w:szCs w:val="18"/>
                <w:lang w:val="fr-FR"/>
              </w:rPr>
            </w:pPr>
          </w:p>
        </w:tc>
        <w:tc>
          <w:tcPr>
            <w:tcW w:w="536" w:type="pct"/>
            <w:shd w:val="clear" w:color="auto" w:fill="auto"/>
            <w:tcMar>
              <w:top w:w="0" w:type="dxa"/>
              <w:left w:w="0" w:type="dxa"/>
              <w:bottom w:w="0" w:type="dxa"/>
              <w:right w:w="0" w:type="dxa"/>
            </w:tcMar>
          </w:tcPr>
          <w:p w14:paraId="5F515740" w14:textId="77777777" w:rsidR="005B5F08" w:rsidRPr="00EF2AE8" w:rsidRDefault="005B5F08" w:rsidP="00EF2AE8">
            <w:pPr>
              <w:suppressAutoHyphens w:val="0"/>
              <w:spacing w:before="40" w:after="120" w:line="220" w:lineRule="atLeast"/>
              <w:ind w:right="113"/>
              <w:rPr>
                <w:sz w:val="18"/>
                <w:szCs w:val="18"/>
                <w:lang w:val="fr-FR"/>
              </w:rPr>
            </w:pPr>
          </w:p>
        </w:tc>
        <w:tc>
          <w:tcPr>
            <w:tcW w:w="632" w:type="pct"/>
            <w:shd w:val="clear" w:color="auto" w:fill="auto"/>
          </w:tcPr>
          <w:p w14:paraId="4E8D1D52" w14:textId="77777777" w:rsidR="005B5F08" w:rsidRPr="00EF2AE8" w:rsidRDefault="005B5F08" w:rsidP="00EF2AE8">
            <w:pPr>
              <w:suppressAutoHyphens w:val="0"/>
              <w:spacing w:before="40" w:after="120" w:line="220" w:lineRule="atLeast"/>
              <w:ind w:right="113"/>
              <w:rPr>
                <w:b/>
                <w:bCs/>
                <w:sz w:val="18"/>
                <w:szCs w:val="18"/>
              </w:rPr>
            </w:pPr>
          </w:p>
        </w:tc>
        <w:tc>
          <w:tcPr>
            <w:tcW w:w="632" w:type="pct"/>
            <w:shd w:val="clear" w:color="auto" w:fill="auto"/>
          </w:tcPr>
          <w:p w14:paraId="16AAC249" w14:textId="53ADC8BC" w:rsidR="005B5F08" w:rsidRPr="00EF2AE8" w:rsidRDefault="005B5F08" w:rsidP="00EF2AE8">
            <w:pPr>
              <w:suppressAutoHyphens w:val="0"/>
              <w:spacing w:before="40" w:after="120" w:line="220" w:lineRule="atLeast"/>
              <w:ind w:right="113"/>
              <w:rPr>
                <w:spacing w:val="-2"/>
                <w:sz w:val="18"/>
                <w:szCs w:val="18"/>
                <w:lang w:val="fr-FR"/>
              </w:rPr>
            </w:pPr>
            <w:r w:rsidRPr="00EF2AE8">
              <w:rPr>
                <w:b/>
                <w:bCs/>
                <w:spacing w:val="-2"/>
                <w:sz w:val="18"/>
                <w:szCs w:val="18"/>
              </w:rPr>
              <w:t xml:space="preserve">Changement d’orientation en faveur de l’harmonisation des résultats du groupe FRAV et du groupe VMAD afin de fournir des directives intégrées concernant l’assurance de la sécurité des systèmes de conduite automatisés, suffisantes pour permettre au WP.29 de prendre des décisions sur les initiatives </w:t>
            </w:r>
            <w:r w:rsidRPr="00EF2AE8">
              <w:rPr>
                <w:b/>
                <w:bCs/>
                <w:spacing w:val="-2"/>
                <w:sz w:val="18"/>
                <w:szCs w:val="18"/>
              </w:rPr>
              <w:lastRenderedPageBreak/>
              <w:t>entreprises, le cas échéant, dans le cadre des accords</w:t>
            </w:r>
          </w:p>
        </w:tc>
        <w:tc>
          <w:tcPr>
            <w:tcW w:w="597" w:type="pct"/>
            <w:shd w:val="clear" w:color="auto" w:fill="auto"/>
          </w:tcPr>
          <w:p w14:paraId="7928CC0F" w14:textId="3632A06D" w:rsidR="005B5F08" w:rsidRPr="00EF2AE8" w:rsidRDefault="005B5F08" w:rsidP="00EF2AE8">
            <w:pPr>
              <w:suppressAutoHyphens w:val="0"/>
              <w:spacing w:before="40" w:after="120" w:line="220" w:lineRule="atLeast"/>
              <w:rPr>
                <w:b/>
                <w:bCs/>
                <w:sz w:val="18"/>
                <w:szCs w:val="18"/>
                <w:lang w:val="fr-FR"/>
              </w:rPr>
            </w:pPr>
            <w:r w:rsidRPr="00EF2AE8">
              <w:rPr>
                <w:b/>
                <w:bCs/>
                <w:sz w:val="18"/>
                <w:szCs w:val="18"/>
                <w:lang w:val="fr-FR"/>
              </w:rPr>
              <w:lastRenderedPageBreak/>
              <w:t>Juin 2024</w:t>
            </w:r>
            <w:r w:rsidR="0047211F" w:rsidRPr="00EF2AE8">
              <w:rPr>
                <w:b/>
                <w:bCs/>
                <w:sz w:val="18"/>
                <w:szCs w:val="18"/>
                <w:lang w:val="fr-FR"/>
              </w:rPr>
              <w:t> :</w:t>
            </w:r>
          </w:p>
          <w:p w14:paraId="2FEC28C9" w14:textId="2D295163" w:rsidR="005B5F08" w:rsidRPr="00EF2AE8" w:rsidRDefault="005B5F08" w:rsidP="00EF2AE8">
            <w:pPr>
              <w:suppressAutoHyphens w:val="0"/>
              <w:spacing w:before="40" w:after="120" w:line="220" w:lineRule="atLeast"/>
              <w:rPr>
                <w:sz w:val="18"/>
                <w:szCs w:val="18"/>
                <w:lang w:val="fr-FR"/>
              </w:rPr>
            </w:pPr>
            <w:r w:rsidRPr="00EF2AE8">
              <w:rPr>
                <w:b/>
                <w:bCs/>
                <w:sz w:val="18"/>
                <w:szCs w:val="18"/>
              </w:rPr>
              <w:t>Soumission du document de synthèse des groupes FRAV et VMAD (prescriptions + évaluation)</w:t>
            </w:r>
          </w:p>
        </w:tc>
      </w:tr>
      <w:tr w:rsidR="005B5F08" w:rsidRPr="00EF2AE8" w14:paraId="2A862947" w14:textId="77777777" w:rsidTr="00EF2AE8">
        <w:tblPrEx>
          <w:tblBorders>
            <w:top w:val="none" w:sz="0" w:space="0" w:color="auto"/>
            <w:bottom w:val="none" w:sz="0" w:space="0" w:color="auto"/>
          </w:tblBorders>
        </w:tblPrEx>
        <w:trPr>
          <w:trHeight w:val="20"/>
        </w:trPr>
        <w:tc>
          <w:tcPr>
            <w:tcW w:w="541" w:type="pct"/>
            <w:shd w:val="clear" w:color="auto" w:fill="auto"/>
            <w:tcMar>
              <w:top w:w="0" w:type="dxa"/>
              <w:left w:w="0" w:type="dxa"/>
              <w:bottom w:w="0" w:type="dxa"/>
              <w:right w:w="0" w:type="dxa"/>
            </w:tcMar>
          </w:tcPr>
          <w:p w14:paraId="433EE369" w14:textId="77777777" w:rsidR="00896BBF" w:rsidRPr="00EF2AE8" w:rsidRDefault="00896BBF" w:rsidP="00EF2AE8">
            <w:pPr>
              <w:suppressAutoHyphens w:val="0"/>
              <w:spacing w:before="40" w:after="120" w:line="220" w:lineRule="atLeast"/>
              <w:ind w:right="113"/>
              <w:rPr>
                <w:sz w:val="18"/>
                <w:szCs w:val="18"/>
                <w:lang w:val="fr-FR"/>
              </w:rPr>
            </w:pPr>
          </w:p>
        </w:tc>
        <w:tc>
          <w:tcPr>
            <w:tcW w:w="961" w:type="pct"/>
            <w:shd w:val="clear" w:color="auto" w:fill="auto"/>
          </w:tcPr>
          <w:p w14:paraId="5EA71AC5" w14:textId="77777777" w:rsidR="00896BBF" w:rsidRPr="00EF2AE8" w:rsidRDefault="00896BBF" w:rsidP="00EF2AE8">
            <w:pPr>
              <w:suppressAutoHyphens w:val="0"/>
              <w:spacing w:before="40" w:after="120" w:line="220" w:lineRule="atLeast"/>
              <w:ind w:right="113"/>
              <w:rPr>
                <w:sz w:val="18"/>
                <w:szCs w:val="18"/>
                <w:lang w:val="fr-FR"/>
              </w:rPr>
            </w:pPr>
          </w:p>
        </w:tc>
        <w:tc>
          <w:tcPr>
            <w:tcW w:w="630" w:type="pct"/>
            <w:shd w:val="clear" w:color="auto" w:fill="auto"/>
          </w:tcPr>
          <w:p w14:paraId="4BBAD96C" w14:textId="77777777" w:rsidR="00896BBF" w:rsidRPr="00EF2AE8" w:rsidRDefault="00896BBF" w:rsidP="00EF2AE8">
            <w:pPr>
              <w:suppressAutoHyphens w:val="0"/>
              <w:spacing w:before="40" w:after="120" w:line="220" w:lineRule="atLeast"/>
              <w:ind w:right="113"/>
              <w:rPr>
                <w:sz w:val="18"/>
                <w:szCs w:val="18"/>
                <w:lang w:val="fr-FR"/>
              </w:rPr>
            </w:pPr>
          </w:p>
        </w:tc>
        <w:tc>
          <w:tcPr>
            <w:tcW w:w="471" w:type="pct"/>
            <w:shd w:val="clear" w:color="auto" w:fill="auto"/>
            <w:tcMar>
              <w:top w:w="0" w:type="dxa"/>
              <w:left w:w="0" w:type="dxa"/>
              <w:bottom w:w="0" w:type="dxa"/>
              <w:right w:w="0" w:type="dxa"/>
            </w:tcMar>
          </w:tcPr>
          <w:p w14:paraId="5A33E69D" w14:textId="77777777" w:rsidR="00896BBF" w:rsidRPr="00EF2AE8" w:rsidRDefault="00896BBF" w:rsidP="00EF2AE8">
            <w:pPr>
              <w:suppressAutoHyphens w:val="0"/>
              <w:spacing w:before="40" w:after="120" w:line="220" w:lineRule="atLeast"/>
              <w:ind w:right="113"/>
              <w:rPr>
                <w:sz w:val="18"/>
                <w:szCs w:val="18"/>
                <w:lang w:val="fr-FR"/>
              </w:rPr>
            </w:pPr>
          </w:p>
        </w:tc>
        <w:tc>
          <w:tcPr>
            <w:tcW w:w="536" w:type="pct"/>
            <w:shd w:val="clear" w:color="auto" w:fill="auto"/>
            <w:tcMar>
              <w:top w:w="0" w:type="dxa"/>
              <w:left w:w="0" w:type="dxa"/>
              <w:bottom w:w="0" w:type="dxa"/>
              <w:right w:w="0" w:type="dxa"/>
            </w:tcMar>
          </w:tcPr>
          <w:p w14:paraId="142301D6" w14:textId="77777777" w:rsidR="00896BBF" w:rsidRPr="00EF2AE8" w:rsidRDefault="00896BBF" w:rsidP="00EF2AE8">
            <w:pPr>
              <w:suppressAutoHyphens w:val="0"/>
              <w:spacing w:before="40" w:after="120" w:line="220" w:lineRule="atLeast"/>
              <w:ind w:right="113"/>
              <w:rPr>
                <w:sz w:val="18"/>
                <w:szCs w:val="18"/>
                <w:lang w:val="fr-FR"/>
              </w:rPr>
            </w:pPr>
          </w:p>
        </w:tc>
        <w:tc>
          <w:tcPr>
            <w:tcW w:w="1264" w:type="pct"/>
            <w:gridSpan w:val="2"/>
            <w:shd w:val="clear" w:color="auto" w:fill="auto"/>
          </w:tcPr>
          <w:p w14:paraId="1E0A1854" w14:textId="77777777" w:rsidR="00896BBF" w:rsidRPr="00EF2AE8" w:rsidRDefault="00896BBF" w:rsidP="00EF2AE8">
            <w:pPr>
              <w:suppressAutoHyphens w:val="0"/>
              <w:spacing w:before="40" w:after="120" w:line="220" w:lineRule="atLeast"/>
              <w:ind w:right="113"/>
              <w:rPr>
                <w:b/>
                <w:bCs/>
                <w:sz w:val="18"/>
                <w:szCs w:val="18"/>
                <w:lang w:val="fr-FR"/>
              </w:rPr>
            </w:pPr>
            <w:r w:rsidRPr="00EF2AE8">
              <w:rPr>
                <w:b/>
                <w:bCs/>
                <w:sz w:val="18"/>
                <w:szCs w:val="18"/>
                <w:lang w:val="fr-FR"/>
              </w:rPr>
              <w:t>Renforcement progressif de la collaboration entre les groupes FRAV et VMAD en vue de la soumission d’un document de synthèse en 2024.</w:t>
            </w:r>
          </w:p>
        </w:tc>
        <w:tc>
          <w:tcPr>
            <w:tcW w:w="597" w:type="pct"/>
            <w:shd w:val="clear" w:color="auto" w:fill="auto"/>
          </w:tcPr>
          <w:p w14:paraId="04542117" w14:textId="77777777" w:rsidR="00896BBF" w:rsidRPr="00EF2AE8" w:rsidRDefault="00896BBF" w:rsidP="00EF2AE8">
            <w:pPr>
              <w:suppressAutoHyphens w:val="0"/>
              <w:spacing w:before="40" w:after="120" w:line="220" w:lineRule="atLeast"/>
              <w:rPr>
                <w:sz w:val="18"/>
                <w:szCs w:val="18"/>
                <w:lang w:val="fr-FR"/>
              </w:rPr>
            </w:pPr>
          </w:p>
        </w:tc>
      </w:tr>
      <w:tr w:rsidR="005B5F08" w:rsidRPr="00EF2AE8" w14:paraId="2B93B09E" w14:textId="77777777" w:rsidTr="00EF2AE8">
        <w:tblPrEx>
          <w:tblBorders>
            <w:top w:val="none" w:sz="0" w:space="0" w:color="auto"/>
            <w:bottom w:val="none" w:sz="0" w:space="0" w:color="auto"/>
          </w:tblBorders>
        </w:tblPrEx>
        <w:trPr>
          <w:trHeight w:val="20"/>
        </w:trPr>
        <w:tc>
          <w:tcPr>
            <w:tcW w:w="541" w:type="pct"/>
            <w:shd w:val="clear" w:color="auto" w:fill="auto"/>
            <w:tcMar>
              <w:top w:w="0" w:type="dxa"/>
              <w:left w:w="0" w:type="dxa"/>
              <w:bottom w:w="0" w:type="dxa"/>
              <w:right w:w="0" w:type="dxa"/>
            </w:tcMar>
            <w:hideMark/>
          </w:tcPr>
          <w:p w14:paraId="77EA4BED" w14:textId="77777777" w:rsidR="00896BBF" w:rsidRPr="00EF2AE8" w:rsidRDefault="00896BBF" w:rsidP="00EF2AE8">
            <w:pPr>
              <w:suppressAutoHyphens w:val="0"/>
              <w:spacing w:before="40" w:after="120" w:line="220" w:lineRule="atLeast"/>
              <w:ind w:right="113"/>
              <w:rPr>
                <w:sz w:val="18"/>
                <w:szCs w:val="18"/>
              </w:rPr>
            </w:pPr>
            <w:r w:rsidRPr="00EF2AE8">
              <w:rPr>
                <w:sz w:val="18"/>
                <w:szCs w:val="18"/>
                <w:lang w:val="fr-FR"/>
              </w:rPr>
              <w:t>Nouvelles méthodes d’évaluation/</w:t>
            </w:r>
            <w:r w:rsidRPr="00EF2AE8">
              <w:rPr>
                <w:sz w:val="18"/>
                <w:szCs w:val="18"/>
                <w:lang w:val="fr-FR"/>
              </w:rPr>
              <w:br/>
              <w:t>d’essai</w:t>
            </w:r>
          </w:p>
        </w:tc>
        <w:tc>
          <w:tcPr>
            <w:tcW w:w="961" w:type="pct"/>
            <w:shd w:val="clear" w:color="auto" w:fill="auto"/>
          </w:tcPr>
          <w:p w14:paraId="726FB9B5" w14:textId="173271A1" w:rsidR="00896BBF" w:rsidRPr="00EF2AE8" w:rsidRDefault="00896BBF" w:rsidP="00EF2AE8">
            <w:pPr>
              <w:suppressAutoHyphens w:val="0"/>
              <w:spacing w:before="40" w:after="120" w:line="220" w:lineRule="atLeast"/>
              <w:ind w:right="113"/>
              <w:rPr>
                <w:sz w:val="18"/>
                <w:szCs w:val="18"/>
                <w:lang w:val="fr-FR"/>
              </w:rPr>
            </w:pPr>
            <w:r w:rsidRPr="00EF2AE8">
              <w:rPr>
                <w:sz w:val="18"/>
                <w:szCs w:val="18"/>
                <w:lang w:val="fr-FR"/>
              </w:rPr>
              <w:t>Concept fondé sur plusieurs axes</w:t>
            </w:r>
            <w:r w:rsidR="0047211F" w:rsidRPr="00EF2AE8">
              <w:rPr>
                <w:sz w:val="18"/>
                <w:szCs w:val="18"/>
                <w:lang w:val="fr-FR"/>
              </w:rPr>
              <w:t> :</w:t>
            </w:r>
            <w:r w:rsidRPr="00EF2AE8">
              <w:rPr>
                <w:sz w:val="18"/>
                <w:szCs w:val="18"/>
                <w:lang w:val="fr-FR"/>
              </w:rPr>
              <w:t xml:space="preserve"> vérification, simulation, conformité des systèmes électroniques, identité numérique, piste d’essai, évaluation de la conduite en situation réelle, surveillance pendant le fonctionnement et utilisation de scénarios.</w:t>
            </w:r>
          </w:p>
        </w:tc>
        <w:tc>
          <w:tcPr>
            <w:tcW w:w="630" w:type="pct"/>
            <w:shd w:val="clear" w:color="auto" w:fill="auto"/>
          </w:tcPr>
          <w:p w14:paraId="43344346" w14:textId="77777777" w:rsidR="00896BBF" w:rsidRPr="00EF2AE8" w:rsidRDefault="00896BBF" w:rsidP="00EF2AE8">
            <w:pPr>
              <w:suppressAutoHyphens w:val="0"/>
              <w:spacing w:before="40" w:after="120" w:line="220" w:lineRule="atLeast"/>
              <w:ind w:right="113"/>
              <w:rPr>
                <w:sz w:val="18"/>
                <w:szCs w:val="18"/>
                <w:lang w:val="fr-FR"/>
              </w:rPr>
            </w:pPr>
            <w:r w:rsidRPr="00EF2AE8">
              <w:rPr>
                <w:sz w:val="18"/>
                <w:szCs w:val="18"/>
                <w:lang w:val="fr-FR"/>
              </w:rPr>
              <w:t>b. Réactivité en situation d’urgence (méthode d’évaluation)</w:t>
            </w:r>
          </w:p>
          <w:p w14:paraId="06238DC8" w14:textId="26CEC474" w:rsidR="00896BBF" w:rsidRPr="00EF2AE8" w:rsidRDefault="00896BBF" w:rsidP="00EF2AE8">
            <w:pPr>
              <w:suppressAutoHyphens w:val="0"/>
              <w:spacing w:before="40" w:after="120" w:line="220" w:lineRule="atLeast"/>
              <w:ind w:right="113"/>
              <w:rPr>
                <w:sz w:val="18"/>
                <w:szCs w:val="18"/>
                <w:lang w:val="fr-FR"/>
              </w:rPr>
            </w:pPr>
            <w:r w:rsidRPr="00EF2AE8">
              <w:rPr>
                <w:sz w:val="18"/>
                <w:szCs w:val="18"/>
                <w:lang w:val="fr-FR"/>
              </w:rPr>
              <w:t>c. HMI/</w:t>
            </w:r>
            <w:r w:rsidRPr="00EF2AE8">
              <w:rPr>
                <w:sz w:val="18"/>
                <w:szCs w:val="18"/>
                <w:lang w:val="fr-FR"/>
              </w:rPr>
              <w:br/>
              <w:t>Information sur le conducteur (méthode d’évaluation)</w:t>
            </w:r>
          </w:p>
        </w:tc>
        <w:tc>
          <w:tcPr>
            <w:tcW w:w="471" w:type="pct"/>
            <w:shd w:val="clear" w:color="auto" w:fill="auto"/>
            <w:tcMar>
              <w:top w:w="0" w:type="dxa"/>
              <w:left w:w="0" w:type="dxa"/>
              <w:bottom w:w="0" w:type="dxa"/>
              <w:right w:w="0" w:type="dxa"/>
            </w:tcMar>
            <w:hideMark/>
          </w:tcPr>
          <w:p w14:paraId="5FBC0D29" w14:textId="09A3412B" w:rsidR="00896BBF" w:rsidRPr="00EF2AE8" w:rsidRDefault="00896BBF" w:rsidP="00EF2AE8">
            <w:pPr>
              <w:suppressAutoHyphens w:val="0"/>
              <w:spacing w:before="40" w:after="120" w:line="220" w:lineRule="atLeast"/>
              <w:ind w:right="113"/>
              <w:rPr>
                <w:sz w:val="18"/>
                <w:szCs w:val="18"/>
                <w:lang w:val="fr-FR"/>
              </w:rPr>
            </w:pPr>
            <w:r w:rsidRPr="00EF2AE8">
              <w:rPr>
                <w:sz w:val="18"/>
                <w:szCs w:val="18"/>
                <w:lang w:val="fr-FR"/>
              </w:rPr>
              <w:t>GRVA/</w:t>
            </w:r>
            <w:r w:rsidRPr="00EF2AE8">
              <w:rPr>
                <w:sz w:val="18"/>
                <w:szCs w:val="18"/>
                <w:lang w:val="fr-FR"/>
              </w:rPr>
              <w:br/>
              <w:t>groupe de travail informel VMAD</w:t>
            </w:r>
          </w:p>
        </w:tc>
        <w:tc>
          <w:tcPr>
            <w:tcW w:w="536" w:type="pct"/>
            <w:shd w:val="clear" w:color="auto" w:fill="auto"/>
            <w:tcMar>
              <w:top w:w="0" w:type="dxa"/>
              <w:left w:w="0" w:type="dxa"/>
              <w:bottom w:w="0" w:type="dxa"/>
              <w:right w:w="0" w:type="dxa"/>
            </w:tcMar>
            <w:hideMark/>
          </w:tcPr>
          <w:p w14:paraId="0A7D40D7" w14:textId="75B43282" w:rsidR="00896BBF" w:rsidRPr="00EF2AE8" w:rsidRDefault="00896BBF" w:rsidP="00EF2AE8">
            <w:pPr>
              <w:suppressAutoHyphens w:val="0"/>
              <w:spacing w:before="40" w:after="120" w:line="220" w:lineRule="atLeast"/>
              <w:ind w:right="113"/>
              <w:rPr>
                <w:sz w:val="18"/>
                <w:szCs w:val="18"/>
              </w:rPr>
            </w:pPr>
            <w:r w:rsidRPr="00EF2AE8">
              <w:rPr>
                <w:sz w:val="18"/>
                <w:szCs w:val="18"/>
                <w:lang w:val="fr-FR"/>
              </w:rPr>
              <w:t>Véhicules automatisés/</w:t>
            </w:r>
            <w:r w:rsidRPr="00EF2AE8">
              <w:rPr>
                <w:sz w:val="18"/>
                <w:szCs w:val="18"/>
                <w:lang w:val="fr-FR"/>
              </w:rPr>
              <w:br/>
              <w:t>autonomes</w:t>
            </w:r>
          </w:p>
        </w:tc>
        <w:tc>
          <w:tcPr>
            <w:tcW w:w="632" w:type="pct"/>
            <w:shd w:val="clear" w:color="auto" w:fill="auto"/>
          </w:tcPr>
          <w:p w14:paraId="022D1D93" w14:textId="77777777" w:rsidR="00896BBF" w:rsidRPr="00EF2AE8" w:rsidRDefault="00896BBF" w:rsidP="00EF2AE8">
            <w:pPr>
              <w:suppressAutoHyphens w:val="0"/>
              <w:spacing w:before="40" w:after="120" w:line="220" w:lineRule="atLeast"/>
              <w:ind w:right="113"/>
              <w:rPr>
                <w:sz w:val="18"/>
                <w:szCs w:val="18"/>
                <w:lang w:val="fr-FR"/>
              </w:rPr>
            </w:pPr>
            <w:bookmarkStart w:id="0" w:name="_Hlk9431824"/>
            <w:r w:rsidRPr="00EF2AE8">
              <w:rPr>
                <w:b/>
                <w:bCs/>
                <w:sz w:val="18"/>
                <w:szCs w:val="18"/>
              </w:rPr>
              <w:t>Description de l’évaluation de la crédibilité</w:t>
            </w:r>
            <w:bookmarkEnd w:id="0"/>
          </w:p>
          <w:p w14:paraId="17D43CFD" w14:textId="77777777" w:rsidR="00896BBF" w:rsidRPr="00EF2AE8" w:rsidRDefault="00896BBF" w:rsidP="00EF2AE8">
            <w:pPr>
              <w:suppressAutoHyphens w:val="0"/>
              <w:spacing w:before="40" w:after="120" w:line="220" w:lineRule="atLeast"/>
              <w:ind w:right="113"/>
              <w:rPr>
                <w:b/>
                <w:bCs/>
                <w:sz w:val="18"/>
                <w:szCs w:val="18"/>
                <w:lang w:val="fr-FR"/>
              </w:rPr>
            </w:pPr>
            <w:r w:rsidRPr="00EF2AE8">
              <w:rPr>
                <w:b/>
                <w:bCs/>
                <w:sz w:val="18"/>
                <w:szCs w:val="18"/>
                <w:lang w:val="fr-FR"/>
              </w:rPr>
              <w:t>Description de la composante surveillance en fonctionnement et notification</w:t>
            </w:r>
          </w:p>
          <w:p w14:paraId="74D2FCA2" w14:textId="1D20E22A" w:rsidR="00896BBF" w:rsidRPr="00EF2AE8" w:rsidRDefault="00896BBF" w:rsidP="00EF2AE8">
            <w:pPr>
              <w:suppressAutoHyphens w:val="0"/>
              <w:spacing w:before="40" w:after="120" w:line="220" w:lineRule="atLeast"/>
              <w:ind w:right="113"/>
              <w:rPr>
                <w:b/>
                <w:bCs/>
                <w:sz w:val="18"/>
                <w:szCs w:val="18"/>
                <w:lang w:val="fr-FR"/>
              </w:rPr>
            </w:pPr>
            <w:r w:rsidRPr="00EF2AE8">
              <w:rPr>
                <w:b/>
                <w:bCs/>
                <w:sz w:val="18"/>
                <w:szCs w:val="18"/>
                <w:lang w:val="fr-FR"/>
              </w:rPr>
              <w:t>Description des essais en conditions réelles</w:t>
            </w:r>
          </w:p>
        </w:tc>
        <w:tc>
          <w:tcPr>
            <w:tcW w:w="632" w:type="pct"/>
            <w:shd w:val="clear" w:color="auto" w:fill="auto"/>
          </w:tcPr>
          <w:p w14:paraId="33EDAE9C" w14:textId="603F1F7B" w:rsidR="00896BBF" w:rsidRPr="00EF2AE8" w:rsidRDefault="00896BBF" w:rsidP="00EF2AE8">
            <w:pPr>
              <w:suppressAutoHyphens w:val="0"/>
              <w:spacing w:before="40" w:after="120" w:line="220" w:lineRule="atLeast"/>
              <w:ind w:right="113"/>
              <w:rPr>
                <w:b/>
                <w:bCs/>
                <w:sz w:val="18"/>
                <w:szCs w:val="18"/>
                <w:lang w:val="fr-FR"/>
              </w:rPr>
            </w:pPr>
            <w:r w:rsidRPr="00EF2AE8">
              <w:rPr>
                <w:b/>
                <w:bCs/>
                <w:sz w:val="18"/>
                <w:szCs w:val="18"/>
                <w:lang w:val="fr-FR"/>
              </w:rPr>
              <w:t>Deuxième version des lignes directrices pour les NATM</w:t>
            </w:r>
          </w:p>
        </w:tc>
        <w:tc>
          <w:tcPr>
            <w:tcW w:w="597" w:type="pct"/>
            <w:shd w:val="clear" w:color="auto" w:fill="auto"/>
          </w:tcPr>
          <w:p w14:paraId="62AD21C7" w14:textId="77777777" w:rsidR="00896BBF" w:rsidRPr="00EF2AE8" w:rsidRDefault="00896BBF" w:rsidP="00EF2AE8">
            <w:pPr>
              <w:suppressAutoHyphens w:val="0"/>
              <w:spacing w:before="40" w:after="120" w:line="220" w:lineRule="atLeast"/>
              <w:rPr>
                <w:b/>
                <w:bCs/>
                <w:sz w:val="18"/>
                <w:szCs w:val="18"/>
                <w:lang w:val="fr-FR"/>
              </w:rPr>
            </w:pPr>
            <w:r w:rsidRPr="00EF2AE8">
              <w:rPr>
                <w:b/>
                <w:bCs/>
                <w:sz w:val="18"/>
                <w:szCs w:val="18"/>
                <w:lang w:val="fr-FR"/>
              </w:rPr>
              <w:t>Juin 2023</w:t>
            </w:r>
          </w:p>
          <w:p w14:paraId="5DEEC1F5" w14:textId="0623F956" w:rsidR="00896BBF" w:rsidRPr="00EF2AE8" w:rsidRDefault="00896BBF" w:rsidP="00EF2AE8">
            <w:pPr>
              <w:suppressAutoHyphens w:val="0"/>
              <w:spacing w:before="40" w:after="120" w:line="220" w:lineRule="atLeast"/>
              <w:rPr>
                <w:sz w:val="18"/>
                <w:szCs w:val="18"/>
                <w:lang w:val="fr-FR"/>
              </w:rPr>
            </w:pPr>
            <w:r w:rsidRPr="00EF2AE8">
              <w:rPr>
                <w:b/>
                <w:bCs/>
                <w:sz w:val="18"/>
                <w:szCs w:val="18"/>
                <w:lang w:val="fr-FR"/>
              </w:rPr>
              <w:t>Deuxième version des lignes directrices pour les NATM, tenant compte des réponses aux « questions en suspens »</w:t>
            </w:r>
          </w:p>
        </w:tc>
      </w:tr>
      <w:tr w:rsidR="0047211F" w:rsidRPr="00EF2AE8" w14:paraId="7719D960" w14:textId="77777777" w:rsidTr="00EF2AE8">
        <w:tblPrEx>
          <w:tblBorders>
            <w:top w:val="none" w:sz="0" w:space="0" w:color="auto"/>
            <w:bottom w:val="none" w:sz="0" w:space="0" w:color="auto"/>
          </w:tblBorders>
        </w:tblPrEx>
        <w:trPr>
          <w:trHeight w:val="20"/>
        </w:trPr>
        <w:tc>
          <w:tcPr>
            <w:tcW w:w="541" w:type="pct"/>
            <w:shd w:val="clear" w:color="auto" w:fill="auto"/>
            <w:tcMar>
              <w:top w:w="0" w:type="dxa"/>
              <w:left w:w="0" w:type="dxa"/>
              <w:bottom w:w="0" w:type="dxa"/>
              <w:right w:w="0" w:type="dxa"/>
            </w:tcMar>
          </w:tcPr>
          <w:p w14:paraId="168B2BEC" w14:textId="77777777" w:rsidR="0047211F" w:rsidRPr="00EF2AE8" w:rsidRDefault="0047211F" w:rsidP="00EF2AE8">
            <w:pPr>
              <w:suppressAutoHyphens w:val="0"/>
              <w:spacing w:before="40" w:after="120" w:line="220" w:lineRule="atLeast"/>
              <w:ind w:right="113"/>
              <w:rPr>
                <w:sz w:val="18"/>
                <w:szCs w:val="18"/>
                <w:lang w:val="fr-FR"/>
              </w:rPr>
            </w:pPr>
          </w:p>
        </w:tc>
        <w:tc>
          <w:tcPr>
            <w:tcW w:w="961" w:type="pct"/>
            <w:shd w:val="clear" w:color="auto" w:fill="auto"/>
          </w:tcPr>
          <w:p w14:paraId="7420C03E" w14:textId="77777777" w:rsidR="0047211F" w:rsidRPr="00EF2AE8" w:rsidRDefault="0047211F" w:rsidP="00EF2AE8">
            <w:pPr>
              <w:suppressAutoHyphens w:val="0"/>
              <w:spacing w:before="40" w:after="120" w:line="220" w:lineRule="atLeast"/>
              <w:ind w:right="113"/>
              <w:rPr>
                <w:sz w:val="18"/>
                <w:szCs w:val="18"/>
                <w:lang w:val="fr-FR"/>
              </w:rPr>
            </w:pPr>
          </w:p>
        </w:tc>
        <w:tc>
          <w:tcPr>
            <w:tcW w:w="630" w:type="pct"/>
            <w:shd w:val="clear" w:color="auto" w:fill="auto"/>
          </w:tcPr>
          <w:p w14:paraId="59D9C013" w14:textId="77777777" w:rsidR="0047211F" w:rsidRPr="00EF2AE8" w:rsidRDefault="0047211F" w:rsidP="00EF2AE8">
            <w:pPr>
              <w:suppressAutoHyphens w:val="0"/>
              <w:spacing w:before="40" w:after="120" w:line="220" w:lineRule="atLeast"/>
              <w:ind w:right="113"/>
              <w:rPr>
                <w:sz w:val="18"/>
                <w:szCs w:val="18"/>
                <w:lang w:val="fr-FR"/>
              </w:rPr>
            </w:pPr>
            <w:r w:rsidRPr="00EF2AE8">
              <w:rPr>
                <w:sz w:val="18"/>
                <w:szCs w:val="18"/>
                <w:lang w:val="fr-FR"/>
              </w:rPr>
              <w:t>d. OEDR (méthode d’évaluation)</w:t>
            </w:r>
          </w:p>
          <w:p w14:paraId="11AA76A4" w14:textId="77777777" w:rsidR="0047211F" w:rsidRPr="00EF2AE8" w:rsidRDefault="0047211F" w:rsidP="00EF2AE8">
            <w:pPr>
              <w:suppressAutoHyphens w:val="0"/>
              <w:spacing w:before="40" w:after="120" w:line="220" w:lineRule="atLeast"/>
              <w:ind w:right="113"/>
              <w:rPr>
                <w:sz w:val="18"/>
                <w:szCs w:val="18"/>
                <w:lang w:val="fr-FR"/>
              </w:rPr>
            </w:pPr>
            <w:r w:rsidRPr="00EF2AE8">
              <w:rPr>
                <w:sz w:val="18"/>
                <w:szCs w:val="18"/>
                <w:lang w:val="fr-FR"/>
              </w:rPr>
              <w:t>e. Domaine de conception fonctionnelle (méthode d’évaluation)</w:t>
            </w:r>
          </w:p>
          <w:p w14:paraId="277BFD9D" w14:textId="53962DF8" w:rsidR="0047211F" w:rsidRPr="00EF2AE8" w:rsidRDefault="0047211F" w:rsidP="00EF2AE8">
            <w:pPr>
              <w:suppressAutoHyphens w:val="0"/>
              <w:spacing w:before="40" w:after="120" w:line="220" w:lineRule="atLeast"/>
              <w:ind w:right="113"/>
              <w:rPr>
                <w:sz w:val="18"/>
                <w:szCs w:val="18"/>
                <w:lang w:val="fr-FR"/>
              </w:rPr>
            </w:pPr>
            <w:r w:rsidRPr="00EF2AE8">
              <w:rPr>
                <w:sz w:val="18"/>
                <w:szCs w:val="18"/>
                <w:lang w:val="fr-FR"/>
              </w:rPr>
              <w:t>f. Validation de la sécurité du système</w:t>
            </w:r>
          </w:p>
        </w:tc>
        <w:tc>
          <w:tcPr>
            <w:tcW w:w="471" w:type="pct"/>
            <w:shd w:val="clear" w:color="auto" w:fill="auto"/>
            <w:tcMar>
              <w:top w:w="0" w:type="dxa"/>
              <w:left w:w="0" w:type="dxa"/>
              <w:bottom w:w="0" w:type="dxa"/>
              <w:right w:w="0" w:type="dxa"/>
            </w:tcMar>
          </w:tcPr>
          <w:p w14:paraId="5ABD49DF" w14:textId="77777777" w:rsidR="0047211F" w:rsidRPr="00EF2AE8" w:rsidRDefault="0047211F" w:rsidP="00EF2AE8">
            <w:pPr>
              <w:suppressAutoHyphens w:val="0"/>
              <w:spacing w:before="40" w:after="120" w:line="220" w:lineRule="atLeast"/>
              <w:ind w:right="113"/>
              <w:rPr>
                <w:sz w:val="18"/>
                <w:szCs w:val="18"/>
                <w:lang w:val="fr-FR"/>
              </w:rPr>
            </w:pPr>
          </w:p>
        </w:tc>
        <w:tc>
          <w:tcPr>
            <w:tcW w:w="536" w:type="pct"/>
            <w:shd w:val="clear" w:color="auto" w:fill="auto"/>
            <w:tcMar>
              <w:top w:w="0" w:type="dxa"/>
              <w:left w:w="0" w:type="dxa"/>
              <w:bottom w:w="0" w:type="dxa"/>
              <w:right w:w="0" w:type="dxa"/>
            </w:tcMar>
          </w:tcPr>
          <w:p w14:paraId="2AC7E80C" w14:textId="77777777" w:rsidR="0047211F" w:rsidRPr="00EF2AE8" w:rsidRDefault="0047211F" w:rsidP="00EF2AE8">
            <w:pPr>
              <w:suppressAutoHyphens w:val="0"/>
              <w:spacing w:before="40" w:after="120" w:line="220" w:lineRule="atLeast"/>
              <w:ind w:right="113"/>
              <w:rPr>
                <w:sz w:val="18"/>
                <w:szCs w:val="18"/>
                <w:lang w:val="fr-FR"/>
              </w:rPr>
            </w:pPr>
          </w:p>
        </w:tc>
        <w:tc>
          <w:tcPr>
            <w:tcW w:w="632" w:type="pct"/>
            <w:shd w:val="clear" w:color="auto" w:fill="auto"/>
          </w:tcPr>
          <w:p w14:paraId="521DEDC0" w14:textId="63021AE0" w:rsidR="0047211F" w:rsidRPr="00EF2AE8" w:rsidRDefault="0047211F" w:rsidP="00EF2AE8">
            <w:pPr>
              <w:suppressAutoHyphens w:val="0"/>
              <w:spacing w:before="40" w:after="120" w:line="220" w:lineRule="atLeast"/>
              <w:ind w:right="113"/>
              <w:rPr>
                <w:b/>
                <w:bCs/>
                <w:sz w:val="18"/>
                <w:szCs w:val="18"/>
              </w:rPr>
            </w:pPr>
            <w:r w:rsidRPr="00EF2AE8">
              <w:rPr>
                <w:b/>
                <w:bCs/>
                <w:sz w:val="18"/>
                <w:szCs w:val="18"/>
                <w:lang w:val="fr-FR"/>
              </w:rPr>
              <w:t>Étude des méthodes de validation u niveau de sécurité, en rapport avec l’état d’avancement de l’examen par le groupe FRAV des prescriptions techniques relatives à la tâche de conduite dynamique, au domaine de conception fonctionnelle et aux conversions des règles de circulation.</w:t>
            </w:r>
          </w:p>
        </w:tc>
        <w:tc>
          <w:tcPr>
            <w:tcW w:w="632" w:type="pct"/>
            <w:vMerge w:val="restart"/>
            <w:shd w:val="clear" w:color="auto" w:fill="auto"/>
          </w:tcPr>
          <w:p w14:paraId="0D55D64F" w14:textId="77777777" w:rsidR="0047211F" w:rsidRPr="00EF2AE8" w:rsidRDefault="0047211F" w:rsidP="00EF2AE8">
            <w:pPr>
              <w:spacing w:before="40" w:after="120" w:line="220" w:lineRule="atLeast"/>
              <w:ind w:right="113"/>
              <w:rPr>
                <w:b/>
                <w:bCs/>
                <w:sz w:val="18"/>
                <w:szCs w:val="18"/>
                <w:lang w:val="fr-FR"/>
              </w:rPr>
            </w:pPr>
          </w:p>
          <w:p w14:paraId="1ADC6101" w14:textId="77777777" w:rsidR="0047211F" w:rsidRPr="00EF2AE8" w:rsidRDefault="0047211F" w:rsidP="00EF2AE8">
            <w:pPr>
              <w:spacing w:before="40" w:after="120" w:line="220" w:lineRule="atLeast"/>
              <w:ind w:right="113"/>
              <w:rPr>
                <w:b/>
                <w:bCs/>
                <w:sz w:val="18"/>
                <w:szCs w:val="18"/>
                <w:lang w:val="fr-FR"/>
              </w:rPr>
            </w:pPr>
          </w:p>
          <w:p w14:paraId="6136ACF9" w14:textId="310B5583" w:rsidR="0047211F" w:rsidRPr="00EF2AE8" w:rsidRDefault="0047211F" w:rsidP="00EF2AE8">
            <w:pPr>
              <w:spacing w:before="40" w:after="120" w:line="220" w:lineRule="atLeast"/>
              <w:ind w:right="113"/>
              <w:rPr>
                <w:sz w:val="18"/>
                <w:szCs w:val="18"/>
                <w:lang w:val="fr-FR"/>
              </w:rPr>
            </w:pPr>
            <w:r w:rsidRPr="00EF2AE8">
              <w:rPr>
                <w:b/>
                <w:bCs/>
                <w:sz w:val="18"/>
                <w:szCs w:val="18"/>
                <w:lang w:val="fr-FR"/>
              </w:rPr>
              <w:t xml:space="preserve">Résultats fondés sur la collaboration entre les groupes FRAV et VMAD en vue de l’élaboration de directives intégrées sur l’assurance de la sécurité des systèmes de conduite automatisés, suffisantes pour permettre au WP.29 </w:t>
            </w:r>
            <w:r w:rsidRPr="00EF2AE8">
              <w:rPr>
                <w:b/>
                <w:bCs/>
                <w:sz w:val="18"/>
                <w:szCs w:val="18"/>
                <w:lang w:val="fr-FR"/>
              </w:rPr>
              <w:lastRenderedPageBreak/>
              <w:t>de prendre des décisions sur les initiatives entreprises, le cas échéant, dans le cadre des accords.</w:t>
            </w:r>
          </w:p>
        </w:tc>
        <w:tc>
          <w:tcPr>
            <w:tcW w:w="597" w:type="pct"/>
            <w:shd w:val="clear" w:color="auto" w:fill="auto"/>
          </w:tcPr>
          <w:p w14:paraId="6B3E1691" w14:textId="77777777" w:rsidR="0047211F" w:rsidRPr="00EF2AE8" w:rsidRDefault="0047211F" w:rsidP="00EF2AE8">
            <w:pPr>
              <w:suppressAutoHyphens w:val="0"/>
              <w:spacing w:before="40" w:after="120" w:line="220" w:lineRule="atLeast"/>
              <w:rPr>
                <w:b/>
                <w:bCs/>
                <w:sz w:val="18"/>
                <w:szCs w:val="18"/>
                <w:lang w:val="fr-FR"/>
              </w:rPr>
            </w:pPr>
            <w:r w:rsidRPr="00EF2AE8">
              <w:rPr>
                <w:b/>
                <w:bCs/>
                <w:sz w:val="18"/>
                <w:szCs w:val="18"/>
                <w:lang w:val="fr-FR"/>
              </w:rPr>
              <w:lastRenderedPageBreak/>
              <w:t>Juin 2024</w:t>
            </w:r>
          </w:p>
          <w:p w14:paraId="0996BE94" w14:textId="47F4B3B5" w:rsidR="0047211F" w:rsidRPr="00EF2AE8" w:rsidRDefault="0047211F" w:rsidP="00EF2AE8">
            <w:pPr>
              <w:suppressAutoHyphens w:val="0"/>
              <w:spacing w:before="40" w:after="120" w:line="220" w:lineRule="atLeast"/>
              <w:rPr>
                <w:sz w:val="18"/>
                <w:szCs w:val="18"/>
                <w:lang w:val="fr-FR"/>
              </w:rPr>
            </w:pPr>
            <w:r w:rsidRPr="00EF2AE8">
              <w:rPr>
                <w:b/>
                <w:bCs/>
                <w:sz w:val="18"/>
                <w:szCs w:val="18"/>
              </w:rPr>
              <w:t>Soumission du document de synthèse des groupes FRAV et VMAD (prescriptions et évaluation)</w:t>
            </w:r>
          </w:p>
        </w:tc>
      </w:tr>
      <w:tr w:rsidR="0047211F" w:rsidRPr="00EF2AE8" w14:paraId="26BD56B9" w14:textId="77777777" w:rsidTr="00EF2AE8">
        <w:tblPrEx>
          <w:tblBorders>
            <w:top w:val="none" w:sz="0" w:space="0" w:color="auto"/>
            <w:bottom w:val="none" w:sz="0" w:space="0" w:color="auto"/>
          </w:tblBorders>
        </w:tblPrEx>
        <w:trPr>
          <w:trHeight w:val="20"/>
        </w:trPr>
        <w:tc>
          <w:tcPr>
            <w:tcW w:w="541" w:type="pct"/>
            <w:shd w:val="clear" w:color="auto" w:fill="auto"/>
            <w:tcMar>
              <w:top w:w="0" w:type="dxa"/>
              <w:left w:w="0" w:type="dxa"/>
              <w:bottom w:w="0" w:type="dxa"/>
              <w:right w:w="0" w:type="dxa"/>
            </w:tcMar>
          </w:tcPr>
          <w:p w14:paraId="03FF9DCE" w14:textId="77777777" w:rsidR="0047211F" w:rsidRPr="00EF2AE8" w:rsidRDefault="0047211F" w:rsidP="00EF2AE8">
            <w:pPr>
              <w:keepNext/>
              <w:suppressAutoHyphens w:val="0"/>
              <w:spacing w:before="40" w:after="120" w:line="220" w:lineRule="atLeast"/>
              <w:ind w:right="113"/>
              <w:rPr>
                <w:sz w:val="18"/>
                <w:szCs w:val="18"/>
                <w:lang w:val="fr-FR"/>
              </w:rPr>
            </w:pPr>
          </w:p>
        </w:tc>
        <w:tc>
          <w:tcPr>
            <w:tcW w:w="961" w:type="pct"/>
            <w:shd w:val="clear" w:color="auto" w:fill="auto"/>
          </w:tcPr>
          <w:p w14:paraId="005595EC" w14:textId="77777777" w:rsidR="0047211F" w:rsidRPr="00EF2AE8" w:rsidRDefault="0047211F" w:rsidP="00EF2AE8">
            <w:pPr>
              <w:keepNext/>
              <w:suppressAutoHyphens w:val="0"/>
              <w:spacing w:before="40" w:after="120" w:line="220" w:lineRule="atLeast"/>
              <w:ind w:right="113"/>
              <w:rPr>
                <w:sz w:val="18"/>
                <w:szCs w:val="18"/>
                <w:lang w:val="fr-FR"/>
              </w:rPr>
            </w:pPr>
          </w:p>
        </w:tc>
        <w:tc>
          <w:tcPr>
            <w:tcW w:w="630" w:type="pct"/>
            <w:shd w:val="clear" w:color="auto" w:fill="auto"/>
          </w:tcPr>
          <w:p w14:paraId="6E65270B" w14:textId="77777777" w:rsidR="0047211F" w:rsidRPr="00EF2AE8" w:rsidRDefault="0047211F" w:rsidP="00EF2AE8">
            <w:pPr>
              <w:keepNext/>
              <w:suppressAutoHyphens w:val="0"/>
              <w:spacing w:before="40" w:after="120" w:line="220" w:lineRule="atLeast"/>
              <w:ind w:right="113"/>
              <w:rPr>
                <w:sz w:val="18"/>
                <w:szCs w:val="18"/>
                <w:lang w:val="fr-FR"/>
              </w:rPr>
            </w:pPr>
          </w:p>
        </w:tc>
        <w:tc>
          <w:tcPr>
            <w:tcW w:w="471" w:type="pct"/>
            <w:shd w:val="clear" w:color="auto" w:fill="auto"/>
            <w:tcMar>
              <w:top w:w="0" w:type="dxa"/>
              <w:left w:w="0" w:type="dxa"/>
              <w:bottom w:w="0" w:type="dxa"/>
              <w:right w:w="0" w:type="dxa"/>
            </w:tcMar>
          </w:tcPr>
          <w:p w14:paraId="3997C690" w14:textId="77777777" w:rsidR="0047211F" w:rsidRPr="00EF2AE8" w:rsidRDefault="0047211F" w:rsidP="00EF2AE8">
            <w:pPr>
              <w:keepNext/>
              <w:suppressAutoHyphens w:val="0"/>
              <w:spacing w:before="40" w:after="120" w:line="220" w:lineRule="atLeast"/>
              <w:ind w:right="113"/>
              <w:rPr>
                <w:sz w:val="18"/>
                <w:szCs w:val="18"/>
                <w:lang w:val="fr-FR"/>
              </w:rPr>
            </w:pPr>
          </w:p>
        </w:tc>
        <w:tc>
          <w:tcPr>
            <w:tcW w:w="536" w:type="pct"/>
            <w:shd w:val="clear" w:color="auto" w:fill="auto"/>
            <w:tcMar>
              <w:top w:w="0" w:type="dxa"/>
              <w:left w:w="0" w:type="dxa"/>
              <w:bottom w:w="0" w:type="dxa"/>
              <w:right w:w="0" w:type="dxa"/>
            </w:tcMar>
          </w:tcPr>
          <w:p w14:paraId="0EA94407" w14:textId="77777777" w:rsidR="0047211F" w:rsidRPr="00EF2AE8" w:rsidRDefault="0047211F" w:rsidP="00EF2AE8">
            <w:pPr>
              <w:keepNext/>
              <w:suppressAutoHyphens w:val="0"/>
              <w:spacing w:before="40" w:after="120" w:line="220" w:lineRule="atLeast"/>
              <w:ind w:right="113"/>
              <w:rPr>
                <w:sz w:val="18"/>
                <w:szCs w:val="18"/>
                <w:lang w:val="fr-FR"/>
              </w:rPr>
            </w:pPr>
          </w:p>
        </w:tc>
        <w:tc>
          <w:tcPr>
            <w:tcW w:w="632" w:type="pct"/>
            <w:shd w:val="clear" w:color="auto" w:fill="auto"/>
          </w:tcPr>
          <w:p w14:paraId="0EA37F7C" w14:textId="5062531F" w:rsidR="0047211F" w:rsidRPr="00EF2AE8" w:rsidRDefault="0047211F" w:rsidP="00EF2AE8">
            <w:pPr>
              <w:keepNext/>
              <w:suppressAutoHyphens w:val="0"/>
              <w:spacing w:before="40" w:after="120" w:line="220" w:lineRule="atLeast"/>
              <w:ind w:right="113"/>
              <w:rPr>
                <w:b/>
                <w:bCs/>
                <w:sz w:val="18"/>
                <w:szCs w:val="18"/>
              </w:rPr>
            </w:pPr>
          </w:p>
        </w:tc>
        <w:tc>
          <w:tcPr>
            <w:tcW w:w="632" w:type="pct"/>
            <w:vMerge/>
            <w:shd w:val="clear" w:color="auto" w:fill="auto"/>
          </w:tcPr>
          <w:p w14:paraId="315E81B4" w14:textId="3474BECF" w:rsidR="0047211F" w:rsidRPr="00EF2AE8" w:rsidRDefault="0047211F" w:rsidP="00EF2AE8">
            <w:pPr>
              <w:keepNext/>
              <w:suppressAutoHyphens w:val="0"/>
              <w:spacing w:before="40" w:after="120" w:line="220" w:lineRule="atLeast"/>
              <w:ind w:right="113"/>
              <w:rPr>
                <w:sz w:val="18"/>
                <w:szCs w:val="18"/>
                <w:lang w:val="fr-FR"/>
              </w:rPr>
            </w:pPr>
          </w:p>
        </w:tc>
        <w:tc>
          <w:tcPr>
            <w:tcW w:w="597" w:type="pct"/>
            <w:shd w:val="clear" w:color="auto" w:fill="auto"/>
          </w:tcPr>
          <w:p w14:paraId="11A29F13" w14:textId="77777777" w:rsidR="0047211F" w:rsidRPr="00EF2AE8" w:rsidRDefault="0047211F" w:rsidP="00EF2AE8">
            <w:pPr>
              <w:keepNext/>
              <w:suppressAutoHyphens w:val="0"/>
              <w:spacing w:before="40" w:after="120" w:line="220" w:lineRule="atLeast"/>
              <w:rPr>
                <w:sz w:val="18"/>
                <w:szCs w:val="18"/>
                <w:lang w:val="fr-FR"/>
              </w:rPr>
            </w:pPr>
          </w:p>
        </w:tc>
      </w:tr>
      <w:tr w:rsidR="0047211F" w:rsidRPr="00EF2AE8" w:rsidDel="001C6C4F" w14:paraId="06522141" w14:textId="77777777" w:rsidTr="00EF2AE8">
        <w:tblPrEx>
          <w:tblBorders>
            <w:top w:val="none" w:sz="0" w:space="0" w:color="auto"/>
            <w:bottom w:val="none" w:sz="0" w:space="0" w:color="auto"/>
          </w:tblBorders>
        </w:tblPrEx>
        <w:trPr>
          <w:trHeight w:val="20"/>
        </w:trPr>
        <w:tc>
          <w:tcPr>
            <w:tcW w:w="541" w:type="pct"/>
            <w:shd w:val="clear" w:color="auto" w:fill="auto"/>
            <w:tcMar>
              <w:top w:w="0" w:type="dxa"/>
              <w:left w:w="0" w:type="dxa"/>
              <w:bottom w:w="0" w:type="dxa"/>
              <w:right w:w="0" w:type="dxa"/>
            </w:tcMar>
          </w:tcPr>
          <w:p w14:paraId="5BEB645B" w14:textId="77777777" w:rsidR="0047211F" w:rsidRPr="00EF2AE8" w:rsidRDefault="0047211F" w:rsidP="00EF2AE8">
            <w:pPr>
              <w:suppressAutoHyphens w:val="0"/>
              <w:spacing w:before="40" w:after="120" w:line="220" w:lineRule="atLeast"/>
              <w:ind w:right="113"/>
              <w:rPr>
                <w:sz w:val="18"/>
                <w:szCs w:val="18"/>
                <w:lang w:val="fr-FR"/>
              </w:rPr>
            </w:pPr>
          </w:p>
        </w:tc>
        <w:tc>
          <w:tcPr>
            <w:tcW w:w="961" w:type="pct"/>
            <w:shd w:val="clear" w:color="auto" w:fill="auto"/>
          </w:tcPr>
          <w:p w14:paraId="7075D16B" w14:textId="77777777" w:rsidR="0047211F" w:rsidRPr="00EF2AE8" w:rsidRDefault="0047211F" w:rsidP="00EF2AE8">
            <w:pPr>
              <w:suppressAutoHyphens w:val="0"/>
              <w:spacing w:before="40" w:after="120" w:line="220" w:lineRule="atLeast"/>
              <w:ind w:right="113"/>
              <w:rPr>
                <w:sz w:val="18"/>
                <w:szCs w:val="18"/>
                <w:lang w:val="fr-FR"/>
              </w:rPr>
            </w:pPr>
          </w:p>
        </w:tc>
        <w:tc>
          <w:tcPr>
            <w:tcW w:w="630" w:type="pct"/>
            <w:shd w:val="clear" w:color="auto" w:fill="auto"/>
          </w:tcPr>
          <w:p w14:paraId="72EFF852" w14:textId="77777777" w:rsidR="0047211F" w:rsidRPr="00EF2AE8" w:rsidRDefault="0047211F" w:rsidP="00EF2AE8">
            <w:pPr>
              <w:suppressAutoHyphens w:val="0"/>
              <w:spacing w:before="40" w:after="120" w:line="220" w:lineRule="atLeast"/>
              <w:ind w:right="113"/>
              <w:rPr>
                <w:sz w:val="18"/>
                <w:szCs w:val="18"/>
                <w:lang w:val="fr-FR"/>
              </w:rPr>
            </w:pPr>
          </w:p>
        </w:tc>
        <w:tc>
          <w:tcPr>
            <w:tcW w:w="471" w:type="pct"/>
            <w:shd w:val="clear" w:color="auto" w:fill="auto"/>
            <w:tcMar>
              <w:top w:w="0" w:type="dxa"/>
              <w:left w:w="0" w:type="dxa"/>
              <w:bottom w:w="0" w:type="dxa"/>
              <w:right w:w="0" w:type="dxa"/>
            </w:tcMar>
          </w:tcPr>
          <w:p w14:paraId="7B1644C4" w14:textId="77777777" w:rsidR="0047211F" w:rsidRPr="00EF2AE8" w:rsidRDefault="0047211F" w:rsidP="00EF2AE8">
            <w:pPr>
              <w:suppressAutoHyphens w:val="0"/>
              <w:spacing w:before="40" w:after="120" w:line="220" w:lineRule="atLeast"/>
              <w:ind w:right="113"/>
              <w:rPr>
                <w:sz w:val="18"/>
                <w:szCs w:val="18"/>
                <w:lang w:val="fr-FR"/>
              </w:rPr>
            </w:pPr>
          </w:p>
        </w:tc>
        <w:tc>
          <w:tcPr>
            <w:tcW w:w="536" w:type="pct"/>
            <w:shd w:val="clear" w:color="auto" w:fill="auto"/>
            <w:tcMar>
              <w:top w:w="0" w:type="dxa"/>
              <w:left w:w="0" w:type="dxa"/>
              <w:bottom w:w="0" w:type="dxa"/>
              <w:right w:w="0" w:type="dxa"/>
            </w:tcMar>
          </w:tcPr>
          <w:p w14:paraId="20591176" w14:textId="77777777" w:rsidR="0047211F" w:rsidRPr="00EF2AE8" w:rsidRDefault="0047211F" w:rsidP="00EF2AE8">
            <w:pPr>
              <w:suppressAutoHyphens w:val="0"/>
              <w:spacing w:before="40" w:after="120" w:line="220" w:lineRule="atLeast"/>
              <w:ind w:right="113"/>
              <w:rPr>
                <w:sz w:val="18"/>
                <w:szCs w:val="18"/>
                <w:lang w:val="fr-FR"/>
              </w:rPr>
            </w:pPr>
          </w:p>
        </w:tc>
        <w:tc>
          <w:tcPr>
            <w:tcW w:w="1264" w:type="pct"/>
            <w:gridSpan w:val="2"/>
            <w:shd w:val="clear" w:color="auto" w:fill="auto"/>
          </w:tcPr>
          <w:p w14:paraId="13FF91E5" w14:textId="77777777" w:rsidR="0047211F" w:rsidRPr="00EF2AE8" w:rsidRDefault="0047211F" w:rsidP="00EF2AE8">
            <w:pPr>
              <w:suppressAutoHyphens w:val="0"/>
              <w:spacing w:before="40" w:after="120" w:line="220" w:lineRule="atLeast"/>
              <w:ind w:right="113"/>
              <w:rPr>
                <w:sz w:val="18"/>
                <w:szCs w:val="18"/>
                <w:lang w:val="fr-FR"/>
              </w:rPr>
            </w:pPr>
            <w:r w:rsidRPr="00EF2AE8">
              <w:rPr>
                <w:b/>
                <w:bCs/>
                <w:sz w:val="18"/>
                <w:szCs w:val="18"/>
                <w:lang w:val="fr-FR"/>
              </w:rPr>
              <w:t>Renforcement progressif de la collaboration entre les groupes FRAV et VMAD en vue de la soumission d’un document de synthèse en 2024.</w:t>
            </w:r>
          </w:p>
        </w:tc>
        <w:tc>
          <w:tcPr>
            <w:tcW w:w="597" w:type="pct"/>
            <w:shd w:val="clear" w:color="auto" w:fill="auto"/>
          </w:tcPr>
          <w:p w14:paraId="4E8CB03E" w14:textId="77777777" w:rsidR="0047211F" w:rsidRPr="00EF2AE8" w:rsidDel="001C6C4F" w:rsidRDefault="0047211F" w:rsidP="00EF2AE8">
            <w:pPr>
              <w:suppressAutoHyphens w:val="0"/>
              <w:spacing w:before="40" w:after="120" w:line="220" w:lineRule="atLeast"/>
              <w:rPr>
                <w:sz w:val="18"/>
                <w:szCs w:val="18"/>
                <w:lang w:val="fr-FR"/>
              </w:rPr>
            </w:pPr>
          </w:p>
        </w:tc>
      </w:tr>
      <w:tr w:rsidR="0047211F" w:rsidRPr="00EF2AE8" w14:paraId="5A3DF219" w14:textId="77777777" w:rsidTr="00EF2AE8">
        <w:tblPrEx>
          <w:tblBorders>
            <w:top w:val="none" w:sz="0" w:space="0" w:color="auto"/>
            <w:bottom w:val="none" w:sz="0" w:space="0" w:color="auto"/>
          </w:tblBorders>
        </w:tblPrEx>
        <w:trPr>
          <w:trHeight w:val="20"/>
        </w:trPr>
        <w:tc>
          <w:tcPr>
            <w:tcW w:w="541" w:type="pct"/>
            <w:shd w:val="clear" w:color="auto" w:fill="auto"/>
            <w:tcMar>
              <w:top w:w="0" w:type="dxa"/>
              <w:left w:w="0" w:type="dxa"/>
              <w:bottom w:w="0" w:type="dxa"/>
              <w:right w:w="0" w:type="dxa"/>
            </w:tcMar>
            <w:hideMark/>
          </w:tcPr>
          <w:p w14:paraId="17D26F37" w14:textId="77777777" w:rsidR="0047211F" w:rsidRPr="00EF2AE8" w:rsidRDefault="0047211F" w:rsidP="00EF2AE8">
            <w:pPr>
              <w:suppressAutoHyphens w:val="0"/>
              <w:spacing w:before="40" w:after="120" w:line="220" w:lineRule="atLeast"/>
              <w:ind w:right="113"/>
              <w:rPr>
                <w:sz w:val="18"/>
                <w:szCs w:val="18"/>
                <w:lang w:val="fr-FR"/>
              </w:rPr>
            </w:pPr>
            <w:r w:rsidRPr="00EF2AE8">
              <w:rPr>
                <w:sz w:val="18"/>
                <w:szCs w:val="18"/>
                <w:lang w:val="fr-FR"/>
              </w:rPr>
              <w:t>Cybersécurité et mise à jour des logiciels (à distance)</w:t>
            </w:r>
          </w:p>
        </w:tc>
        <w:tc>
          <w:tcPr>
            <w:tcW w:w="961" w:type="pct"/>
            <w:shd w:val="clear" w:color="auto" w:fill="auto"/>
            <w:hideMark/>
          </w:tcPr>
          <w:p w14:paraId="7F015815" w14:textId="77777777" w:rsidR="0047211F" w:rsidRPr="00EF2AE8" w:rsidRDefault="0047211F" w:rsidP="00EF2AE8">
            <w:pPr>
              <w:suppressAutoHyphens w:val="0"/>
              <w:spacing w:before="40" w:after="120" w:line="220" w:lineRule="atLeast"/>
              <w:ind w:right="113"/>
              <w:rPr>
                <w:sz w:val="18"/>
                <w:szCs w:val="18"/>
                <w:lang w:val="fr-FR"/>
              </w:rPr>
            </w:pPr>
            <w:r w:rsidRPr="00EF2AE8">
              <w:rPr>
                <w:sz w:val="18"/>
                <w:szCs w:val="18"/>
                <w:lang w:val="fr-FR"/>
              </w:rPr>
              <w:t>Les travaux de l’équipe spéciale de la cybersécurité et de la mise à jour des logiciels à distance sont en cours.</w:t>
            </w:r>
          </w:p>
          <w:p w14:paraId="719D2C4A" w14:textId="77777777" w:rsidR="0047211F" w:rsidRPr="00EF2AE8" w:rsidRDefault="0047211F" w:rsidP="00EF2AE8">
            <w:pPr>
              <w:suppressAutoHyphens w:val="0"/>
              <w:spacing w:before="40" w:after="120" w:line="220" w:lineRule="atLeast"/>
              <w:ind w:right="113"/>
              <w:rPr>
                <w:sz w:val="18"/>
                <w:szCs w:val="18"/>
                <w:lang w:val="fr-FR"/>
              </w:rPr>
            </w:pPr>
            <w:r w:rsidRPr="00EF2AE8">
              <w:rPr>
                <w:sz w:val="18"/>
                <w:szCs w:val="18"/>
                <w:lang w:val="fr-FR"/>
              </w:rPr>
              <w:t>Projets de recommandations sur la marche à suivre (fondées sur un projet de prescriptions techniques)</w:t>
            </w:r>
          </w:p>
        </w:tc>
        <w:tc>
          <w:tcPr>
            <w:tcW w:w="630" w:type="pct"/>
            <w:shd w:val="clear" w:color="auto" w:fill="auto"/>
            <w:hideMark/>
          </w:tcPr>
          <w:p w14:paraId="35B90D18" w14:textId="77777777" w:rsidR="0047211F" w:rsidRPr="00EF2AE8" w:rsidRDefault="0047211F" w:rsidP="00EF2AE8">
            <w:pPr>
              <w:suppressAutoHyphens w:val="0"/>
              <w:spacing w:before="40" w:after="120" w:line="220" w:lineRule="atLeast"/>
              <w:ind w:right="113"/>
              <w:rPr>
                <w:sz w:val="18"/>
                <w:szCs w:val="18"/>
                <w:lang w:val="fr-FR"/>
              </w:rPr>
            </w:pPr>
            <w:r w:rsidRPr="00EF2AE8">
              <w:rPr>
                <w:sz w:val="18"/>
                <w:szCs w:val="18"/>
                <w:lang w:val="fr-FR"/>
              </w:rPr>
              <w:t>g. Cybersécurité</w:t>
            </w:r>
          </w:p>
          <w:p w14:paraId="17380F16" w14:textId="77777777" w:rsidR="0047211F" w:rsidRPr="00EF2AE8" w:rsidRDefault="0047211F" w:rsidP="00EF2AE8">
            <w:pPr>
              <w:suppressAutoHyphens w:val="0"/>
              <w:spacing w:before="40" w:after="120" w:line="220" w:lineRule="atLeast"/>
              <w:ind w:right="113"/>
              <w:rPr>
                <w:sz w:val="18"/>
                <w:szCs w:val="18"/>
                <w:lang w:val="fr-FR"/>
              </w:rPr>
            </w:pPr>
            <w:r w:rsidRPr="00EF2AE8">
              <w:rPr>
                <w:sz w:val="18"/>
                <w:szCs w:val="18"/>
                <w:lang w:val="fr-FR"/>
              </w:rPr>
              <w:t>h. Mises à jour logicielles</w:t>
            </w:r>
          </w:p>
        </w:tc>
        <w:tc>
          <w:tcPr>
            <w:tcW w:w="471" w:type="pct"/>
            <w:shd w:val="clear" w:color="auto" w:fill="auto"/>
            <w:tcMar>
              <w:top w:w="0" w:type="dxa"/>
              <w:left w:w="0" w:type="dxa"/>
              <w:bottom w:w="0" w:type="dxa"/>
              <w:right w:w="0" w:type="dxa"/>
            </w:tcMar>
            <w:hideMark/>
          </w:tcPr>
          <w:p w14:paraId="5CA78FC3" w14:textId="77777777" w:rsidR="0047211F" w:rsidRPr="00EF2AE8" w:rsidRDefault="0047211F" w:rsidP="00EF2AE8">
            <w:pPr>
              <w:suppressAutoHyphens w:val="0"/>
              <w:spacing w:before="40" w:after="120" w:line="220" w:lineRule="atLeast"/>
              <w:ind w:right="113"/>
              <w:rPr>
                <w:sz w:val="18"/>
                <w:szCs w:val="18"/>
              </w:rPr>
            </w:pPr>
            <w:r w:rsidRPr="00EF2AE8">
              <w:rPr>
                <w:sz w:val="18"/>
                <w:szCs w:val="18"/>
                <w:lang w:val="fr-FR"/>
              </w:rPr>
              <w:t>GRVA</w:t>
            </w:r>
          </w:p>
          <w:p w14:paraId="234324B4" w14:textId="77777777" w:rsidR="0047211F" w:rsidRPr="00EF2AE8" w:rsidRDefault="0047211F" w:rsidP="00EF2AE8">
            <w:pPr>
              <w:suppressAutoHyphens w:val="0"/>
              <w:spacing w:before="40" w:after="120" w:line="220" w:lineRule="atLeast"/>
              <w:ind w:right="113"/>
              <w:rPr>
                <w:sz w:val="18"/>
                <w:szCs w:val="18"/>
                <w:lang w:val="fr-FR"/>
              </w:rPr>
            </w:pPr>
            <w:r w:rsidRPr="00EF2AE8">
              <w:rPr>
                <w:sz w:val="18"/>
                <w:szCs w:val="18"/>
                <w:lang w:val="fr-FR"/>
              </w:rPr>
              <w:t>groupe de travail informel de la cybersécurité et des mises à jour logicielles</w:t>
            </w:r>
          </w:p>
        </w:tc>
        <w:tc>
          <w:tcPr>
            <w:tcW w:w="536" w:type="pct"/>
            <w:shd w:val="clear" w:color="auto" w:fill="auto"/>
            <w:tcMar>
              <w:top w:w="0" w:type="dxa"/>
              <w:left w:w="0" w:type="dxa"/>
              <w:bottom w:w="0" w:type="dxa"/>
              <w:right w:w="0" w:type="dxa"/>
            </w:tcMar>
            <w:hideMark/>
          </w:tcPr>
          <w:p w14:paraId="61E3C057" w14:textId="77777777" w:rsidR="0047211F" w:rsidRPr="00EF2AE8" w:rsidRDefault="0047211F" w:rsidP="00EF2AE8">
            <w:pPr>
              <w:suppressAutoHyphens w:val="0"/>
              <w:spacing w:before="40" w:after="120" w:line="220" w:lineRule="atLeast"/>
              <w:ind w:right="113"/>
              <w:rPr>
                <w:sz w:val="18"/>
                <w:szCs w:val="18"/>
                <w:lang w:val="fr-FR"/>
              </w:rPr>
            </w:pPr>
            <w:r w:rsidRPr="00EF2AE8">
              <w:rPr>
                <w:sz w:val="18"/>
                <w:szCs w:val="18"/>
                <w:lang w:val="fr-FR"/>
              </w:rPr>
              <w:t>Véhicules conventionnels et véhicules automatisés/</w:t>
            </w:r>
            <w:r w:rsidRPr="00EF2AE8">
              <w:rPr>
                <w:sz w:val="18"/>
                <w:szCs w:val="18"/>
                <w:lang w:val="fr-FR"/>
              </w:rPr>
              <w:br/>
              <w:t>autonomes</w:t>
            </w:r>
          </w:p>
        </w:tc>
        <w:tc>
          <w:tcPr>
            <w:tcW w:w="632" w:type="pct"/>
            <w:shd w:val="clear" w:color="auto" w:fill="auto"/>
            <w:hideMark/>
          </w:tcPr>
          <w:p w14:paraId="7956B739" w14:textId="77777777" w:rsidR="0047211F" w:rsidRPr="00EF2AE8" w:rsidRDefault="0047211F" w:rsidP="00EF2AE8">
            <w:pPr>
              <w:suppressAutoHyphens w:val="0"/>
              <w:spacing w:before="40" w:after="120" w:line="220" w:lineRule="atLeast"/>
              <w:ind w:right="113"/>
              <w:rPr>
                <w:sz w:val="18"/>
                <w:szCs w:val="18"/>
                <w:lang w:val="fr-FR"/>
              </w:rPr>
            </w:pPr>
            <w:r w:rsidRPr="00EF2AE8">
              <w:rPr>
                <w:b/>
                <w:bCs/>
                <w:sz w:val="18"/>
                <w:szCs w:val="18"/>
                <w:lang w:val="fr-FR"/>
              </w:rPr>
              <w:t>[…]</w:t>
            </w:r>
          </w:p>
        </w:tc>
        <w:tc>
          <w:tcPr>
            <w:tcW w:w="632" w:type="pct"/>
            <w:shd w:val="clear" w:color="auto" w:fill="auto"/>
          </w:tcPr>
          <w:p w14:paraId="0EBFFBF2" w14:textId="77777777" w:rsidR="0047211F" w:rsidRPr="00EF2AE8" w:rsidRDefault="0047211F" w:rsidP="00EF2AE8">
            <w:pPr>
              <w:suppressAutoHyphens w:val="0"/>
              <w:spacing w:before="40" w:after="120" w:line="220" w:lineRule="atLeast"/>
              <w:ind w:right="113"/>
              <w:rPr>
                <w:sz w:val="18"/>
                <w:szCs w:val="18"/>
                <w:lang w:val="fr-FR"/>
              </w:rPr>
            </w:pPr>
            <w:r w:rsidRPr="00EF2AE8">
              <w:rPr>
                <w:b/>
                <w:sz w:val="18"/>
                <w:szCs w:val="18"/>
              </w:rPr>
              <w:t>[…]</w:t>
            </w:r>
          </w:p>
        </w:tc>
        <w:tc>
          <w:tcPr>
            <w:tcW w:w="597" w:type="pct"/>
            <w:shd w:val="clear" w:color="auto" w:fill="auto"/>
            <w:hideMark/>
          </w:tcPr>
          <w:p w14:paraId="76313EAA" w14:textId="77777777" w:rsidR="0047211F" w:rsidRPr="00EF2AE8" w:rsidRDefault="0047211F" w:rsidP="00EF2AE8">
            <w:pPr>
              <w:suppressAutoHyphens w:val="0"/>
              <w:spacing w:before="40" w:after="120" w:line="220" w:lineRule="atLeast"/>
              <w:rPr>
                <w:sz w:val="18"/>
                <w:szCs w:val="18"/>
              </w:rPr>
            </w:pPr>
            <w:r w:rsidRPr="00EF2AE8">
              <w:rPr>
                <w:b/>
                <w:bCs/>
                <w:sz w:val="18"/>
                <w:szCs w:val="18"/>
                <w:lang w:val="fr-FR"/>
              </w:rPr>
              <w:t>novembre 2024</w:t>
            </w:r>
          </w:p>
        </w:tc>
      </w:tr>
      <w:tr w:rsidR="0047211F" w:rsidRPr="00EF2AE8" w14:paraId="0FF77921" w14:textId="77777777" w:rsidTr="00EF2AE8">
        <w:tblPrEx>
          <w:tblBorders>
            <w:top w:val="none" w:sz="0" w:space="0" w:color="auto"/>
            <w:bottom w:val="none" w:sz="0" w:space="0" w:color="auto"/>
          </w:tblBorders>
        </w:tblPrEx>
        <w:trPr>
          <w:trHeight w:val="20"/>
        </w:trPr>
        <w:tc>
          <w:tcPr>
            <w:tcW w:w="541" w:type="pct"/>
            <w:shd w:val="clear" w:color="auto" w:fill="auto"/>
            <w:tcMar>
              <w:top w:w="0" w:type="dxa"/>
              <w:left w:w="0" w:type="dxa"/>
              <w:bottom w:w="0" w:type="dxa"/>
              <w:right w:w="0" w:type="dxa"/>
            </w:tcMar>
            <w:hideMark/>
          </w:tcPr>
          <w:p w14:paraId="157D8A1E" w14:textId="77777777" w:rsidR="0047211F" w:rsidRPr="00EF2AE8" w:rsidRDefault="0047211F" w:rsidP="00EF2AE8">
            <w:pPr>
              <w:suppressAutoHyphens w:val="0"/>
              <w:spacing w:before="40" w:after="120" w:line="220" w:lineRule="atLeast"/>
              <w:ind w:right="113"/>
              <w:rPr>
                <w:sz w:val="18"/>
                <w:szCs w:val="18"/>
                <w:lang w:val="fr-FR"/>
              </w:rPr>
            </w:pPr>
            <w:r w:rsidRPr="00EF2AE8">
              <w:rPr>
                <w:sz w:val="18"/>
                <w:szCs w:val="18"/>
                <w:lang w:val="fr-FR"/>
              </w:rPr>
              <w:t>Système de stockage de données pour véhicules à conduite automatisée</w:t>
            </w:r>
          </w:p>
        </w:tc>
        <w:tc>
          <w:tcPr>
            <w:tcW w:w="961" w:type="pct"/>
            <w:vMerge w:val="restart"/>
            <w:shd w:val="clear" w:color="auto" w:fill="auto"/>
            <w:hideMark/>
          </w:tcPr>
          <w:p w14:paraId="038449AE" w14:textId="0F885C0E" w:rsidR="0047211F" w:rsidRPr="00EF2AE8" w:rsidRDefault="0047211F" w:rsidP="00EF2AE8">
            <w:pPr>
              <w:suppressAutoHyphens w:val="0"/>
              <w:spacing w:before="40" w:after="120" w:line="220" w:lineRule="atLeast"/>
              <w:ind w:right="113"/>
              <w:rPr>
                <w:sz w:val="18"/>
                <w:szCs w:val="18"/>
                <w:lang w:val="fr-FR"/>
              </w:rPr>
            </w:pPr>
            <w:r w:rsidRPr="00EF2AE8">
              <w:rPr>
                <w:sz w:val="18"/>
                <w:szCs w:val="18"/>
                <w:lang w:val="fr-FR"/>
              </w:rPr>
              <w:t>Les systèmes de stockage de données pour véhicules à conduite automatisée sont destinés aux véhicules autonomes (par exemple aux fins du relevé des accidents). Les travaux dans ce domaine devraient tenir compte des discussions menées dans le cadre du GRVA et de son groupe de travail informel de la fonction de direction à commande automatique.</w:t>
            </w:r>
          </w:p>
        </w:tc>
        <w:tc>
          <w:tcPr>
            <w:tcW w:w="630" w:type="pct"/>
            <w:shd w:val="clear" w:color="auto" w:fill="auto"/>
            <w:hideMark/>
          </w:tcPr>
          <w:p w14:paraId="050B3DAE" w14:textId="77777777" w:rsidR="0047211F" w:rsidRPr="00EF2AE8" w:rsidRDefault="0047211F" w:rsidP="00EF2AE8">
            <w:pPr>
              <w:suppressAutoHyphens w:val="0"/>
              <w:spacing w:before="40" w:after="120" w:line="220" w:lineRule="atLeast"/>
              <w:ind w:right="113"/>
              <w:rPr>
                <w:sz w:val="18"/>
                <w:szCs w:val="18"/>
              </w:rPr>
            </w:pPr>
            <w:r w:rsidRPr="00EF2AE8">
              <w:rPr>
                <w:sz w:val="18"/>
                <w:szCs w:val="18"/>
                <w:lang w:val="fr-FR"/>
              </w:rPr>
              <w:t>i. Groupe EDR/DSSAD</w:t>
            </w:r>
          </w:p>
        </w:tc>
        <w:tc>
          <w:tcPr>
            <w:tcW w:w="471" w:type="pct"/>
            <w:shd w:val="clear" w:color="auto" w:fill="auto"/>
            <w:tcMar>
              <w:top w:w="0" w:type="dxa"/>
              <w:left w:w="0" w:type="dxa"/>
              <w:bottom w:w="0" w:type="dxa"/>
              <w:right w:w="0" w:type="dxa"/>
            </w:tcMar>
            <w:hideMark/>
          </w:tcPr>
          <w:p w14:paraId="1B49E8CC" w14:textId="77777777" w:rsidR="0047211F" w:rsidRPr="00EF2AE8" w:rsidRDefault="0047211F" w:rsidP="00EF2AE8">
            <w:pPr>
              <w:suppressAutoHyphens w:val="0"/>
              <w:spacing w:before="40" w:after="120" w:line="220" w:lineRule="atLeast"/>
              <w:ind w:right="113"/>
              <w:rPr>
                <w:sz w:val="18"/>
                <w:szCs w:val="18"/>
                <w:lang w:val="fr-FR"/>
              </w:rPr>
            </w:pPr>
            <w:r w:rsidRPr="00EF2AE8">
              <w:rPr>
                <w:sz w:val="18"/>
                <w:szCs w:val="18"/>
                <w:lang w:val="fr-FR"/>
              </w:rPr>
              <w:t>GRVA</w:t>
            </w:r>
          </w:p>
          <w:p w14:paraId="7D749081" w14:textId="77777777" w:rsidR="0047211F" w:rsidRPr="00EF2AE8" w:rsidRDefault="0047211F" w:rsidP="00EF2AE8">
            <w:pPr>
              <w:suppressAutoHyphens w:val="0"/>
              <w:spacing w:before="40" w:after="120" w:line="220" w:lineRule="atLeast"/>
              <w:rPr>
                <w:sz w:val="18"/>
                <w:szCs w:val="18"/>
                <w:lang w:val="fr-FR"/>
              </w:rPr>
            </w:pPr>
            <w:r w:rsidRPr="00EF2AE8">
              <w:rPr>
                <w:sz w:val="18"/>
                <w:szCs w:val="18"/>
                <w:lang w:val="fr-FR"/>
              </w:rPr>
              <w:t>groupe de travail informel EDR/DSSAD</w:t>
            </w:r>
          </w:p>
        </w:tc>
        <w:tc>
          <w:tcPr>
            <w:tcW w:w="536" w:type="pct"/>
            <w:shd w:val="clear" w:color="auto" w:fill="auto"/>
            <w:tcMar>
              <w:top w:w="0" w:type="dxa"/>
              <w:left w:w="0" w:type="dxa"/>
              <w:bottom w:w="0" w:type="dxa"/>
              <w:right w:w="0" w:type="dxa"/>
            </w:tcMar>
            <w:hideMark/>
          </w:tcPr>
          <w:p w14:paraId="7BD8A01E" w14:textId="77777777" w:rsidR="0047211F" w:rsidRPr="00EF2AE8" w:rsidRDefault="0047211F" w:rsidP="00EF2AE8">
            <w:pPr>
              <w:suppressAutoHyphens w:val="0"/>
              <w:spacing w:before="40" w:after="120" w:line="220" w:lineRule="atLeast"/>
              <w:ind w:right="113"/>
              <w:rPr>
                <w:sz w:val="18"/>
                <w:szCs w:val="18"/>
              </w:rPr>
            </w:pPr>
            <w:r w:rsidRPr="00EF2AE8">
              <w:rPr>
                <w:sz w:val="18"/>
                <w:szCs w:val="18"/>
                <w:lang w:val="fr-FR"/>
              </w:rPr>
              <w:t>Véhicules automatisés/</w:t>
            </w:r>
            <w:r w:rsidRPr="00EF2AE8">
              <w:rPr>
                <w:sz w:val="18"/>
                <w:szCs w:val="18"/>
                <w:lang w:val="fr-FR"/>
              </w:rPr>
              <w:br/>
              <w:t>autonomes</w:t>
            </w:r>
          </w:p>
        </w:tc>
        <w:tc>
          <w:tcPr>
            <w:tcW w:w="632" w:type="pct"/>
            <w:shd w:val="clear" w:color="auto" w:fill="auto"/>
          </w:tcPr>
          <w:p w14:paraId="40839775" w14:textId="77777777" w:rsidR="0047211F" w:rsidRPr="00EF2AE8" w:rsidRDefault="0047211F" w:rsidP="00EF2AE8">
            <w:pPr>
              <w:suppressAutoHyphens w:val="0"/>
              <w:spacing w:before="40" w:after="120" w:line="220" w:lineRule="atLeast"/>
              <w:ind w:right="113"/>
              <w:rPr>
                <w:sz w:val="18"/>
                <w:szCs w:val="18"/>
              </w:rPr>
            </w:pPr>
          </w:p>
        </w:tc>
        <w:tc>
          <w:tcPr>
            <w:tcW w:w="632" w:type="pct"/>
            <w:shd w:val="clear" w:color="auto" w:fill="auto"/>
          </w:tcPr>
          <w:p w14:paraId="13564763" w14:textId="77777777" w:rsidR="0047211F" w:rsidRPr="00EF2AE8" w:rsidRDefault="0047211F" w:rsidP="00EF2AE8">
            <w:pPr>
              <w:suppressAutoHyphens w:val="0"/>
              <w:spacing w:before="40" w:after="120" w:line="220" w:lineRule="atLeast"/>
              <w:ind w:right="113"/>
              <w:rPr>
                <w:sz w:val="18"/>
                <w:szCs w:val="18"/>
                <w:lang w:val="fr-FR"/>
              </w:rPr>
            </w:pPr>
          </w:p>
          <w:p w14:paraId="65581C51" w14:textId="66BD8446" w:rsidR="0047211F" w:rsidRPr="00EF2AE8" w:rsidRDefault="0047211F" w:rsidP="00EF2AE8">
            <w:pPr>
              <w:suppressAutoHyphens w:val="0"/>
              <w:spacing w:before="40" w:after="120" w:line="220" w:lineRule="atLeast"/>
              <w:ind w:right="113"/>
              <w:rPr>
                <w:sz w:val="18"/>
                <w:szCs w:val="18"/>
                <w:lang w:val="fr-FR"/>
              </w:rPr>
            </w:pPr>
            <w:r w:rsidRPr="00EF2AE8">
              <w:rPr>
                <w:sz w:val="18"/>
                <w:szCs w:val="18"/>
                <w:lang w:val="fr-FR"/>
              </w:rPr>
              <w:t>Inventaire des meilleures pratiques de stockage des systèmes de conduite automatisés</w:t>
            </w:r>
          </w:p>
        </w:tc>
        <w:tc>
          <w:tcPr>
            <w:tcW w:w="597" w:type="pct"/>
            <w:shd w:val="clear" w:color="auto" w:fill="auto"/>
          </w:tcPr>
          <w:p w14:paraId="00432992" w14:textId="77777777" w:rsidR="0047211F" w:rsidRPr="00EF2AE8" w:rsidRDefault="0047211F" w:rsidP="00EF2AE8">
            <w:pPr>
              <w:suppressAutoHyphens w:val="0"/>
              <w:spacing w:before="40" w:after="120" w:line="220" w:lineRule="atLeast"/>
              <w:rPr>
                <w:sz w:val="18"/>
                <w:szCs w:val="18"/>
                <w:lang w:val="fr-FR"/>
              </w:rPr>
            </w:pPr>
          </w:p>
          <w:p w14:paraId="2B9E66DC" w14:textId="77777777" w:rsidR="0047211F" w:rsidRPr="00EF2AE8" w:rsidRDefault="0047211F" w:rsidP="00EF2AE8">
            <w:pPr>
              <w:suppressAutoHyphens w:val="0"/>
              <w:spacing w:before="40" w:after="120" w:line="220" w:lineRule="atLeast"/>
              <w:rPr>
                <w:sz w:val="18"/>
                <w:szCs w:val="18"/>
              </w:rPr>
            </w:pPr>
            <w:r w:rsidRPr="00EF2AE8">
              <w:rPr>
                <w:b/>
                <w:bCs/>
                <w:sz w:val="18"/>
                <w:szCs w:val="18"/>
                <w:lang w:val="fr-FR"/>
              </w:rPr>
              <w:t>novembre 2022</w:t>
            </w:r>
          </w:p>
          <w:p w14:paraId="76DCCED3" w14:textId="47ED6541" w:rsidR="0047211F" w:rsidRPr="00EF2AE8" w:rsidRDefault="0047211F" w:rsidP="00EF2AE8">
            <w:pPr>
              <w:suppressAutoHyphens w:val="0"/>
              <w:spacing w:before="40" w:after="120" w:line="220" w:lineRule="atLeast"/>
              <w:rPr>
                <w:sz w:val="18"/>
                <w:szCs w:val="18"/>
              </w:rPr>
            </w:pPr>
          </w:p>
        </w:tc>
      </w:tr>
      <w:tr w:rsidR="0047211F" w:rsidRPr="00EF2AE8" w14:paraId="5AAA4267" w14:textId="77777777" w:rsidTr="00EF2AE8">
        <w:tblPrEx>
          <w:tblBorders>
            <w:top w:val="none" w:sz="0" w:space="0" w:color="auto"/>
            <w:bottom w:val="none" w:sz="0" w:space="0" w:color="auto"/>
          </w:tblBorders>
        </w:tblPrEx>
        <w:trPr>
          <w:trHeight w:val="20"/>
        </w:trPr>
        <w:tc>
          <w:tcPr>
            <w:tcW w:w="541" w:type="pct"/>
            <w:shd w:val="clear" w:color="auto" w:fill="auto"/>
            <w:tcMar>
              <w:top w:w="0" w:type="dxa"/>
              <w:left w:w="0" w:type="dxa"/>
              <w:bottom w:w="0" w:type="dxa"/>
              <w:right w:w="0" w:type="dxa"/>
            </w:tcMar>
          </w:tcPr>
          <w:p w14:paraId="5E0CE437" w14:textId="77777777" w:rsidR="0047211F" w:rsidRPr="00EF2AE8" w:rsidRDefault="0047211F" w:rsidP="00EF2AE8">
            <w:pPr>
              <w:suppressAutoHyphens w:val="0"/>
              <w:spacing w:before="40" w:after="120" w:line="220" w:lineRule="atLeast"/>
              <w:ind w:right="113"/>
              <w:rPr>
                <w:sz w:val="18"/>
                <w:szCs w:val="18"/>
                <w:lang w:val="fr-FR"/>
              </w:rPr>
            </w:pPr>
          </w:p>
        </w:tc>
        <w:tc>
          <w:tcPr>
            <w:tcW w:w="961" w:type="pct"/>
            <w:vMerge/>
            <w:shd w:val="clear" w:color="auto" w:fill="auto"/>
          </w:tcPr>
          <w:p w14:paraId="2F9BF0EA" w14:textId="77777777" w:rsidR="0047211F" w:rsidRPr="00EF2AE8" w:rsidRDefault="0047211F" w:rsidP="00EF2AE8">
            <w:pPr>
              <w:suppressAutoHyphens w:val="0"/>
              <w:spacing w:before="40" w:after="120" w:line="220" w:lineRule="atLeast"/>
              <w:ind w:right="113"/>
              <w:rPr>
                <w:sz w:val="18"/>
                <w:szCs w:val="18"/>
                <w:lang w:val="fr-FR"/>
              </w:rPr>
            </w:pPr>
          </w:p>
        </w:tc>
        <w:tc>
          <w:tcPr>
            <w:tcW w:w="630" w:type="pct"/>
            <w:shd w:val="clear" w:color="auto" w:fill="auto"/>
          </w:tcPr>
          <w:p w14:paraId="0C76202C" w14:textId="77777777" w:rsidR="0047211F" w:rsidRPr="00EF2AE8" w:rsidRDefault="0047211F" w:rsidP="00EF2AE8">
            <w:pPr>
              <w:suppressAutoHyphens w:val="0"/>
              <w:spacing w:before="40" w:after="120" w:line="220" w:lineRule="atLeast"/>
              <w:ind w:right="113"/>
              <w:rPr>
                <w:sz w:val="18"/>
                <w:szCs w:val="18"/>
                <w:lang w:val="fr-FR"/>
              </w:rPr>
            </w:pPr>
          </w:p>
        </w:tc>
        <w:tc>
          <w:tcPr>
            <w:tcW w:w="471" w:type="pct"/>
            <w:shd w:val="clear" w:color="auto" w:fill="auto"/>
            <w:tcMar>
              <w:top w:w="0" w:type="dxa"/>
              <w:left w:w="0" w:type="dxa"/>
              <w:bottom w:w="0" w:type="dxa"/>
              <w:right w:w="0" w:type="dxa"/>
            </w:tcMar>
          </w:tcPr>
          <w:p w14:paraId="2ABCDF53" w14:textId="77777777" w:rsidR="0047211F" w:rsidRPr="00EF2AE8" w:rsidRDefault="0047211F" w:rsidP="00EF2AE8">
            <w:pPr>
              <w:suppressAutoHyphens w:val="0"/>
              <w:spacing w:before="40" w:after="120" w:line="220" w:lineRule="atLeast"/>
              <w:ind w:right="113"/>
              <w:rPr>
                <w:sz w:val="18"/>
                <w:szCs w:val="18"/>
                <w:lang w:val="fr-FR"/>
              </w:rPr>
            </w:pPr>
          </w:p>
        </w:tc>
        <w:tc>
          <w:tcPr>
            <w:tcW w:w="536" w:type="pct"/>
            <w:shd w:val="clear" w:color="auto" w:fill="auto"/>
            <w:tcMar>
              <w:top w:w="0" w:type="dxa"/>
              <w:left w:w="0" w:type="dxa"/>
              <w:bottom w:w="0" w:type="dxa"/>
              <w:right w:w="0" w:type="dxa"/>
            </w:tcMar>
          </w:tcPr>
          <w:p w14:paraId="2AD0347E" w14:textId="77777777" w:rsidR="0047211F" w:rsidRPr="00EF2AE8" w:rsidRDefault="0047211F" w:rsidP="00EF2AE8">
            <w:pPr>
              <w:suppressAutoHyphens w:val="0"/>
              <w:spacing w:before="40" w:after="120" w:line="220" w:lineRule="atLeast"/>
              <w:ind w:right="113"/>
              <w:rPr>
                <w:sz w:val="18"/>
                <w:szCs w:val="18"/>
                <w:lang w:val="fr-FR"/>
              </w:rPr>
            </w:pPr>
          </w:p>
        </w:tc>
        <w:tc>
          <w:tcPr>
            <w:tcW w:w="632" w:type="pct"/>
            <w:shd w:val="clear" w:color="auto" w:fill="auto"/>
          </w:tcPr>
          <w:p w14:paraId="107A883D" w14:textId="77777777" w:rsidR="0047211F" w:rsidRPr="00EF2AE8" w:rsidRDefault="0047211F" w:rsidP="00EF2AE8">
            <w:pPr>
              <w:suppressAutoHyphens w:val="0"/>
              <w:spacing w:before="40" w:after="120" w:line="220" w:lineRule="atLeast"/>
              <w:ind w:right="113"/>
              <w:rPr>
                <w:sz w:val="18"/>
                <w:szCs w:val="18"/>
              </w:rPr>
            </w:pPr>
          </w:p>
        </w:tc>
        <w:tc>
          <w:tcPr>
            <w:tcW w:w="632" w:type="pct"/>
            <w:vMerge w:val="restart"/>
            <w:shd w:val="clear" w:color="auto" w:fill="auto"/>
          </w:tcPr>
          <w:p w14:paraId="47C9440E" w14:textId="4B67CA4F" w:rsidR="0047211F" w:rsidRPr="00EF2AE8" w:rsidRDefault="0047211F" w:rsidP="00EF2AE8">
            <w:pPr>
              <w:suppressAutoHyphens w:val="0"/>
              <w:spacing w:before="40" w:after="120" w:line="220" w:lineRule="atLeast"/>
              <w:ind w:right="113"/>
              <w:rPr>
                <w:sz w:val="18"/>
                <w:szCs w:val="18"/>
                <w:lang w:val="fr-FR"/>
              </w:rPr>
            </w:pPr>
            <w:r w:rsidRPr="00EF2AE8">
              <w:rPr>
                <w:sz w:val="18"/>
                <w:szCs w:val="18"/>
                <w:lang w:val="fr-FR"/>
              </w:rPr>
              <w:t>Éléments relatifs au fonctionnement des systèmes de stockage des données pour les systèmes de conduite automatisés</w:t>
            </w:r>
          </w:p>
        </w:tc>
        <w:tc>
          <w:tcPr>
            <w:tcW w:w="597" w:type="pct"/>
            <w:shd w:val="clear" w:color="auto" w:fill="auto"/>
          </w:tcPr>
          <w:p w14:paraId="0F44BA42" w14:textId="79525616" w:rsidR="0047211F" w:rsidRPr="00EF2AE8" w:rsidRDefault="0047211F" w:rsidP="00EF2AE8">
            <w:pPr>
              <w:suppressAutoHyphens w:val="0"/>
              <w:spacing w:before="40" w:after="120" w:line="220" w:lineRule="atLeast"/>
              <w:rPr>
                <w:sz w:val="18"/>
                <w:szCs w:val="18"/>
                <w:lang w:val="fr-FR"/>
              </w:rPr>
            </w:pPr>
            <w:r w:rsidRPr="00EF2AE8">
              <w:rPr>
                <w:b/>
                <w:bCs/>
                <w:sz w:val="18"/>
                <w:szCs w:val="18"/>
                <w:lang w:val="fr-FR"/>
              </w:rPr>
              <w:t>juin 2024</w:t>
            </w:r>
          </w:p>
        </w:tc>
      </w:tr>
      <w:tr w:rsidR="0047211F" w:rsidRPr="00EF2AE8" w14:paraId="76487925" w14:textId="77777777" w:rsidTr="00EF2AE8">
        <w:tblPrEx>
          <w:tblBorders>
            <w:top w:val="none" w:sz="0" w:space="0" w:color="auto"/>
            <w:bottom w:val="none" w:sz="0" w:space="0" w:color="auto"/>
          </w:tblBorders>
        </w:tblPrEx>
        <w:trPr>
          <w:trHeight w:val="20"/>
        </w:trPr>
        <w:tc>
          <w:tcPr>
            <w:tcW w:w="541" w:type="pct"/>
            <w:shd w:val="clear" w:color="auto" w:fill="auto"/>
            <w:tcMar>
              <w:top w:w="0" w:type="dxa"/>
              <w:left w:w="0" w:type="dxa"/>
              <w:bottom w:w="0" w:type="dxa"/>
              <w:right w:w="0" w:type="dxa"/>
            </w:tcMar>
          </w:tcPr>
          <w:p w14:paraId="441B4313" w14:textId="77777777" w:rsidR="0047211F" w:rsidRPr="00EF2AE8" w:rsidRDefault="0047211F" w:rsidP="00EF2AE8">
            <w:pPr>
              <w:suppressAutoHyphens w:val="0"/>
              <w:spacing w:before="40" w:after="120" w:line="220" w:lineRule="atLeast"/>
              <w:ind w:right="113"/>
              <w:rPr>
                <w:sz w:val="18"/>
                <w:szCs w:val="18"/>
                <w:lang w:val="fr-FR"/>
              </w:rPr>
            </w:pPr>
          </w:p>
        </w:tc>
        <w:tc>
          <w:tcPr>
            <w:tcW w:w="961" w:type="pct"/>
            <w:shd w:val="clear" w:color="auto" w:fill="auto"/>
          </w:tcPr>
          <w:p w14:paraId="64E8FBE1" w14:textId="6A9FFF64" w:rsidR="0047211F" w:rsidRPr="00EF2AE8" w:rsidRDefault="0047211F" w:rsidP="00EF2AE8">
            <w:pPr>
              <w:suppressAutoHyphens w:val="0"/>
              <w:spacing w:before="40" w:after="120" w:line="220" w:lineRule="atLeast"/>
              <w:ind w:right="113"/>
              <w:rPr>
                <w:sz w:val="18"/>
                <w:szCs w:val="18"/>
                <w:lang w:val="fr-FR"/>
              </w:rPr>
            </w:pPr>
            <w:r w:rsidRPr="00EF2AE8">
              <w:rPr>
                <w:sz w:val="18"/>
                <w:szCs w:val="18"/>
                <w:lang w:val="fr-FR"/>
              </w:rPr>
              <w:t>Des objectifs clairs, des délais et les différences par rapport à l’enregistreur de données de route sont à déterminer avant d’entamer l’examen des informations détaillées.</w:t>
            </w:r>
          </w:p>
        </w:tc>
        <w:tc>
          <w:tcPr>
            <w:tcW w:w="630" w:type="pct"/>
            <w:shd w:val="clear" w:color="auto" w:fill="auto"/>
          </w:tcPr>
          <w:p w14:paraId="5913C79F" w14:textId="77777777" w:rsidR="0047211F" w:rsidRPr="00EF2AE8" w:rsidRDefault="0047211F" w:rsidP="00EF2AE8">
            <w:pPr>
              <w:suppressAutoHyphens w:val="0"/>
              <w:spacing w:before="40" w:after="120" w:line="220" w:lineRule="atLeast"/>
              <w:ind w:right="113"/>
              <w:rPr>
                <w:sz w:val="18"/>
                <w:szCs w:val="18"/>
                <w:lang w:val="fr-FR"/>
              </w:rPr>
            </w:pPr>
          </w:p>
        </w:tc>
        <w:tc>
          <w:tcPr>
            <w:tcW w:w="471" w:type="pct"/>
            <w:shd w:val="clear" w:color="auto" w:fill="auto"/>
            <w:tcMar>
              <w:top w:w="0" w:type="dxa"/>
              <w:left w:w="0" w:type="dxa"/>
              <w:bottom w:w="0" w:type="dxa"/>
              <w:right w:w="0" w:type="dxa"/>
            </w:tcMar>
          </w:tcPr>
          <w:p w14:paraId="66DDF347" w14:textId="77777777" w:rsidR="0047211F" w:rsidRPr="00EF2AE8" w:rsidRDefault="0047211F" w:rsidP="00EF2AE8">
            <w:pPr>
              <w:suppressAutoHyphens w:val="0"/>
              <w:spacing w:before="40" w:after="120" w:line="220" w:lineRule="atLeast"/>
              <w:ind w:right="113"/>
              <w:rPr>
                <w:sz w:val="18"/>
                <w:szCs w:val="18"/>
                <w:lang w:val="fr-FR"/>
              </w:rPr>
            </w:pPr>
          </w:p>
        </w:tc>
        <w:tc>
          <w:tcPr>
            <w:tcW w:w="536" w:type="pct"/>
            <w:shd w:val="clear" w:color="auto" w:fill="auto"/>
            <w:tcMar>
              <w:top w:w="0" w:type="dxa"/>
              <w:left w:w="0" w:type="dxa"/>
              <w:bottom w:w="0" w:type="dxa"/>
              <w:right w:w="0" w:type="dxa"/>
            </w:tcMar>
          </w:tcPr>
          <w:p w14:paraId="6BCAE6CC" w14:textId="77777777" w:rsidR="0047211F" w:rsidRPr="00EF2AE8" w:rsidRDefault="0047211F" w:rsidP="00EF2AE8">
            <w:pPr>
              <w:suppressAutoHyphens w:val="0"/>
              <w:spacing w:before="40" w:after="120" w:line="220" w:lineRule="atLeast"/>
              <w:ind w:right="113"/>
              <w:rPr>
                <w:sz w:val="18"/>
                <w:szCs w:val="18"/>
                <w:lang w:val="fr-FR"/>
              </w:rPr>
            </w:pPr>
          </w:p>
        </w:tc>
        <w:tc>
          <w:tcPr>
            <w:tcW w:w="632" w:type="pct"/>
            <w:shd w:val="clear" w:color="auto" w:fill="auto"/>
          </w:tcPr>
          <w:p w14:paraId="6205118D" w14:textId="77777777" w:rsidR="0047211F" w:rsidRPr="00EF2AE8" w:rsidRDefault="0047211F" w:rsidP="00EF2AE8">
            <w:pPr>
              <w:suppressAutoHyphens w:val="0"/>
              <w:spacing w:before="40" w:after="120" w:line="220" w:lineRule="atLeast"/>
              <w:ind w:right="113"/>
              <w:rPr>
                <w:sz w:val="18"/>
                <w:szCs w:val="18"/>
              </w:rPr>
            </w:pPr>
          </w:p>
        </w:tc>
        <w:tc>
          <w:tcPr>
            <w:tcW w:w="632" w:type="pct"/>
            <w:vMerge/>
            <w:shd w:val="clear" w:color="auto" w:fill="auto"/>
          </w:tcPr>
          <w:p w14:paraId="777F285C" w14:textId="77777777" w:rsidR="0047211F" w:rsidRPr="00EF2AE8" w:rsidRDefault="0047211F" w:rsidP="00EF2AE8">
            <w:pPr>
              <w:suppressAutoHyphens w:val="0"/>
              <w:spacing w:before="40" w:after="120" w:line="220" w:lineRule="atLeast"/>
              <w:ind w:right="113"/>
              <w:rPr>
                <w:sz w:val="18"/>
                <w:szCs w:val="18"/>
                <w:lang w:val="fr-FR"/>
              </w:rPr>
            </w:pPr>
          </w:p>
        </w:tc>
        <w:tc>
          <w:tcPr>
            <w:tcW w:w="597" w:type="pct"/>
            <w:shd w:val="clear" w:color="auto" w:fill="auto"/>
          </w:tcPr>
          <w:p w14:paraId="643C3EF7" w14:textId="77777777" w:rsidR="0047211F" w:rsidRPr="00EF2AE8" w:rsidRDefault="0047211F" w:rsidP="00EF2AE8">
            <w:pPr>
              <w:suppressAutoHyphens w:val="0"/>
              <w:spacing w:before="40" w:after="120" w:line="220" w:lineRule="atLeast"/>
              <w:rPr>
                <w:sz w:val="18"/>
                <w:szCs w:val="18"/>
                <w:lang w:val="fr-FR"/>
              </w:rPr>
            </w:pPr>
          </w:p>
        </w:tc>
      </w:tr>
      <w:tr w:rsidR="0047211F" w:rsidRPr="00EF2AE8" w14:paraId="0800FAD2" w14:textId="77777777" w:rsidTr="00EF2AE8">
        <w:tblPrEx>
          <w:tblBorders>
            <w:top w:val="none" w:sz="0" w:space="0" w:color="auto"/>
            <w:bottom w:val="none" w:sz="0" w:space="0" w:color="auto"/>
          </w:tblBorders>
        </w:tblPrEx>
        <w:trPr>
          <w:trHeight w:val="20"/>
        </w:trPr>
        <w:tc>
          <w:tcPr>
            <w:tcW w:w="541" w:type="pct"/>
            <w:shd w:val="clear" w:color="auto" w:fill="auto"/>
            <w:tcMar>
              <w:top w:w="0" w:type="dxa"/>
              <w:left w:w="0" w:type="dxa"/>
              <w:bottom w:w="0" w:type="dxa"/>
              <w:right w:w="0" w:type="dxa"/>
            </w:tcMar>
            <w:hideMark/>
          </w:tcPr>
          <w:p w14:paraId="23EE9FDC" w14:textId="77777777" w:rsidR="0047211F" w:rsidRPr="00EF2AE8" w:rsidRDefault="0047211F" w:rsidP="00EF2AE8">
            <w:pPr>
              <w:suppressAutoHyphens w:val="0"/>
              <w:spacing w:before="40" w:after="120" w:line="220" w:lineRule="atLeast"/>
              <w:ind w:right="113"/>
              <w:rPr>
                <w:sz w:val="18"/>
                <w:szCs w:val="18"/>
                <w:lang w:val="fr-FR"/>
              </w:rPr>
            </w:pPr>
            <w:r w:rsidRPr="00EF2AE8">
              <w:rPr>
                <w:sz w:val="18"/>
                <w:szCs w:val="18"/>
                <w:lang w:val="fr-FR"/>
              </w:rPr>
              <w:lastRenderedPageBreak/>
              <w:t>Enregistreur de données de route (EDR)</w:t>
            </w:r>
          </w:p>
        </w:tc>
        <w:tc>
          <w:tcPr>
            <w:tcW w:w="961" w:type="pct"/>
            <w:shd w:val="clear" w:color="auto" w:fill="auto"/>
            <w:hideMark/>
          </w:tcPr>
          <w:p w14:paraId="14778F98" w14:textId="77777777" w:rsidR="0047211F" w:rsidRPr="00EF2AE8" w:rsidRDefault="0047211F" w:rsidP="00EF2AE8">
            <w:pPr>
              <w:suppressAutoHyphens w:val="0"/>
              <w:spacing w:before="40" w:after="120" w:line="220" w:lineRule="atLeast"/>
              <w:ind w:right="113"/>
              <w:rPr>
                <w:sz w:val="18"/>
                <w:szCs w:val="18"/>
                <w:lang w:val="fr-FR"/>
              </w:rPr>
            </w:pPr>
            <w:r w:rsidRPr="00EF2AE8">
              <w:rPr>
                <w:sz w:val="18"/>
                <w:szCs w:val="18"/>
                <w:lang w:val="fr-FR"/>
              </w:rPr>
              <w:t>Systèmes existants − en tant que mesure de sécurité routière (par exemple relevé des accidents)</w:t>
            </w:r>
          </w:p>
        </w:tc>
        <w:tc>
          <w:tcPr>
            <w:tcW w:w="630" w:type="pct"/>
            <w:shd w:val="clear" w:color="auto" w:fill="auto"/>
            <w:hideMark/>
          </w:tcPr>
          <w:p w14:paraId="49CC776F" w14:textId="77777777" w:rsidR="0047211F" w:rsidRPr="00EF2AE8" w:rsidRDefault="0047211F" w:rsidP="00EF2AE8">
            <w:pPr>
              <w:suppressAutoHyphens w:val="0"/>
              <w:spacing w:before="40" w:after="120" w:line="220" w:lineRule="atLeast"/>
              <w:ind w:right="113"/>
              <w:rPr>
                <w:sz w:val="18"/>
                <w:szCs w:val="18"/>
              </w:rPr>
            </w:pPr>
            <w:r w:rsidRPr="00EF2AE8">
              <w:rPr>
                <w:sz w:val="18"/>
                <w:szCs w:val="18"/>
                <w:lang w:val="fr-FR"/>
              </w:rPr>
              <w:t>i. Groupe EDR/DSSAD</w:t>
            </w:r>
          </w:p>
        </w:tc>
        <w:tc>
          <w:tcPr>
            <w:tcW w:w="471" w:type="pct"/>
            <w:shd w:val="clear" w:color="auto" w:fill="auto"/>
            <w:tcMar>
              <w:top w:w="0" w:type="dxa"/>
              <w:left w:w="0" w:type="dxa"/>
              <w:bottom w:w="0" w:type="dxa"/>
              <w:right w:w="0" w:type="dxa"/>
            </w:tcMar>
            <w:hideMark/>
          </w:tcPr>
          <w:p w14:paraId="19BA055A" w14:textId="77777777" w:rsidR="0047211F" w:rsidRPr="00EF2AE8" w:rsidRDefault="0047211F" w:rsidP="00EF2AE8">
            <w:pPr>
              <w:suppressAutoHyphens w:val="0"/>
              <w:spacing w:before="40" w:after="120" w:line="220" w:lineRule="atLeast"/>
              <w:ind w:right="113"/>
              <w:rPr>
                <w:sz w:val="18"/>
                <w:szCs w:val="18"/>
                <w:lang w:val="fr-FR"/>
              </w:rPr>
            </w:pPr>
            <w:r w:rsidRPr="00EF2AE8">
              <w:rPr>
                <w:sz w:val="18"/>
                <w:szCs w:val="18"/>
                <w:lang w:val="fr-FR"/>
              </w:rPr>
              <w:t>GRSG</w:t>
            </w:r>
          </w:p>
          <w:p w14:paraId="6B552A6F" w14:textId="106C0FE6" w:rsidR="0047211F" w:rsidRPr="00EF2AE8" w:rsidRDefault="0047211F" w:rsidP="00EF2AE8">
            <w:pPr>
              <w:suppressAutoHyphens w:val="0"/>
              <w:spacing w:before="40" w:after="120" w:line="220" w:lineRule="atLeast"/>
              <w:ind w:right="113"/>
              <w:rPr>
                <w:sz w:val="18"/>
                <w:szCs w:val="18"/>
                <w:lang w:val="fr-FR"/>
              </w:rPr>
            </w:pPr>
            <w:r w:rsidRPr="00EF2AE8">
              <w:rPr>
                <w:sz w:val="18"/>
                <w:szCs w:val="18"/>
                <w:lang w:val="fr-FR"/>
              </w:rPr>
              <w:t>En coordination avec le GRVA</w:t>
            </w:r>
          </w:p>
        </w:tc>
        <w:tc>
          <w:tcPr>
            <w:tcW w:w="536" w:type="pct"/>
            <w:shd w:val="clear" w:color="auto" w:fill="auto"/>
            <w:tcMar>
              <w:top w:w="0" w:type="dxa"/>
              <w:left w:w="0" w:type="dxa"/>
              <w:bottom w:w="0" w:type="dxa"/>
              <w:right w:w="0" w:type="dxa"/>
            </w:tcMar>
            <w:hideMark/>
          </w:tcPr>
          <w:p w14:paraId="3D49D8FD" w14:textId="77777777" w:rsidR="0047211F" w:rsidRPr="00EF2AE8" w:rsidRDefault="0047211F" w:rsidP="00EF2AE8">
            <w:pPr>
              <w:suppressAutoHyphens w:val="0"/>
              <w:spacing w:before="40" w:after="120" w:line="220" w:lineRule="atLeast"/>
              <w:ind w:right="113"/>
              <w:rPr>
                <w:sz w:val="18"/>
                <w:szCs w:val="18"/>
                <w:lang w:val="fr-FR"/>
              </w:rPr>
            </w:pPr>
            <w:r w:rsidRPr="00EF2AE8">
              <w:rPr>
                <w:sz w:val="18"/>
                <w:szCs w:val="18"/>
                <w:lang w:val="fr-FR"/>
              </w:rPr>
              <w:t>Véhicules conventionnels et véhicules automatisés/</w:t>
            </w:r>
            <w:r w:rsidRPr="00EF2AE8">
              <w:rPr>
                <w:sz w:val="18"/>
                <w:szCs w:val="18"/>
                <w:lang w:val="fr-FR"/>
              </w:rPr>
              <w:br/>
              <w:t>autonomes</w:t>
            </w:r>
          </w:p>
        </w:tc>
        <w:tc>
          <w:tcPr>
            <w:tcW w:w="632" w:type="pct"/>
            <w:shd w:val="clear" w:color="auto" w:fill="auto"/>
            <w:hideMark/>
          </w:tcPr>
          <w:p w14:paraId="4FF0D294" w14:textId="1CAA9D3F" w:rsidR="0047211F" w:rsidRPr="00EF2AE8" w:rsidRDefault="0047211F" w:rsidP="00EF2AE8">
            <w:pPr>
              <w:suppressAutoHyphens w:val="0"/>
              <w:spacing w:before="40" w:after="120" w:line="220" w:lineRule="atLeast"/>
              <w:ind w:right="113"/>
              <w:rPr>
                <w:sz w:val="18"/>
                <w:szCs w:val="18"/>
                <w:vertAlign w:val="superscript"/>
                <w:lang w:val="fr-FR"/>
              </w:rPr>
            </w:pPr>
            <w:r w:rsidRPr="00EF2AE8">
              <w:rPr>
                <w:sz w:val="18"/>
                <w:szCs w:val="18"/>
                <w:lang w:val="fr-FR"/>
              </w:rPr>
              <w:t>Éléments relatifs au fonctionnement des EDR complets pour les Parties contractantes aux accords de 1958 et de 1998</w:t>
            </w:r>
          </w:p>
        </w:tc>
        <w:tc>
          <w:tcPr>
            <w:tcW w:w="632" w:type="pct"/>
            <w:shd w:val="clear" w:color="auto" w:fill="auto"/>
          </w:tcPr>
          <w:p w14:paraId="64AC4F7A" w14:textId="0A91AFC7" w:rsidR="0047211F" w:rsidRPr="00EF2AE8" w:rsidRDefault="0047211F" w:rsidP="00EF2AE8">
            <w:pPr>
              <w:suppressAutoHyphens w:val="0"/>
              <w:spacing w:before="40" w:after="120" w:line="220" w:lineRule="atLeast"/>
              <w:ind w:right="113"/>
              <w:rPr>
                <w:sz w:val="18"/>
                <w:szCs w:val="18"/>
                <w:lang w:val="fr-FR"/>
              </w:rPr>
            </w:pPr>
          </w:p>
        </w:tc>
        <w:tc>
          <w:tcPr>
            <w:tcW w:w="597" w:type="pct"/>
            <w:shd w:val="clear" w:color="auto" w:fill="auto"/>
          </w:tcPr>
          <w:p w14:paraId="6C941545" w14:textId="4428B9D1" w:rsidR="0047211F" w:rsidRPr="00EF2AE8" w:rsidRDefault="0047211F" w:rsidP="00EF2AE8">
            <w:pPr>
              <w:suppressAutoHyphens w:val="0"/>
              <w:spacing w:before="40" w:after="120" w:line="220" w:lineRule="atLeast"/>
              <w:rPr>
                <w:b/>
                <w:bCs/>
                <w:sz w:val="18"/>
                <w:szCs w:val="18"/>
              </w:rPr>
            </w:pPr>
            <w:r w:rsidRPr="00EF2AE8">
              <w:rPr>
                <w:b/>
                <w:bCs/>
                <w:sz w:val="18"/>
                <w:szCs w:val="18"/>
                <w:lang w:val="fr-FR"/>
              </w:rPr>
              <w:t>mars 2023</w:t>
            </w:r>
          </w:p>
        </w:tc>
      </w:tr>
      <w:tr w:rsidR="0047211F" w:rsidRPr="00EF2AE8" w14:paraId="52565B70" w14:textId="77777777" w:rsidTr="00EF2AE8">
        <w:tblPrEx>
          <w:tblBorders>
            <w:top w:val="none" w:sz="0" w:space="0" w:color="auto"/>
            <w:bottom w:val="none" w:sz="0" w:space="0" w:color="auto"/>
          </w:tblBorders>
        </w:tblPrEx>
        <w:trPr>
          <w:trHeight w:val="20"/>
        </w:trPr>
        <w:tc>
          <w:tcPr>
            <w:tcW w:w="541" w:type="pct"/>
            <w:shd w:val="clear" w:color="auto" w:fill="auto"/>
            <w:tcMar>
              <w:top w:w="0" w:type="dxa"/>
              <w:left w:w="0" w:type="dxa"/>
              <w:bottom w:w="0" w:type="dxa"/>
              <w:right w:w="0" w:type="dxa"/>
            </w:tcMar>
          </w:tcPr>
          <w:p w14:paraId="70FCF474" w14:textId="77777777" w:rsidR="0047211F" w:rsidRPr="00EF2AE8" w:rsidRDefault="0047211F" w:rsidP="00EF2AE8">
            <w:pPr>
              <w:suppressAutoHyphens w:val="0"/>
              <w:spacing w:before="40" w:after="120" w:line="220" w:lineRule="atLeast"/>
              <w:ind w:right="113"/>
              <w:rPr>
                <w:sz w:val="18"/>
                <w:szCs w:val="18"/>
                <w:lang w:val="fr-FR"/>
              </w:rPr>
            </w:pPr>
          </w:p>
        </w:tc>
        <w:tc>
          <w:tcPr>
            <w:tcW w:w="961" w:type="pct"/>
            <w:shd w:val="clear" w:color="auto" w:fill="auto"/>
          </w:tcPr>
          <w:p w14:paraId="333AE9F2" w14:textId="77777777" w:rsidR="0047211F" w:rsidRPr="00EF2AE8" w:rsidRDefault="0047211F" w:rsidP="00EF2AE8">
            <w:pPr>
              <w:suppressAutoHyphens w:val="0"/>
              <w:spacing w:before="40" w:after="120" w:line="220" w:lineRule="atLeast"/>
              <w:ind w:right="113"/>
              <w:rPr>
                <w:sz w:val="18"/>
                <w:szCs w:val="18"/>
                <w:lang w:val="fr-FR"/>
              </w:rPr>
            </w:pPr>
          </w:p>
        </w:tc>
        <w:tc>
          <w:tcPr>
            <w:tcW w:w="630" w:type="pct"/>
            <w:shd w:val="clear" w:color="auto" w:fill="auto"/>
          </w:tcPr>
          <w:p w14:paraId="762DC0A7" w14:textId="77777777" w:rsidR="0047211F" w:rsidRPr="00EF2AE8" w:rsidRDefault="0047211F" w:rsidP="00EF2AE8">
            <w:pPr>
              <w:suppressAutoHyphens w:val="0"/>
              <w:spacing w:before="40" w:after="120" w:line="220" w:lineRule="atLeast"/>
              <w:ind w:right="113"/>
              <w:rPr>
                <w:sz w:val="18"/>
                <w:szCs w:val="18"/>
                <w:lang w:val="fr-FR"/>
              </w:rPr>
            </w:pPr>
          </w:p>
        </w:tc>
        <w:tc>
          <w:tcPr>
            <w:tcW w:w="471" w:type="pct"/>
            <w:shd w:val="clear" w:color="auto" w:fill="auto"/>
            <w:tcMar>
              <w:top w:w="0" w:type="dxa"/>
              <w:left w:w="0" w:type="dxa"/>
              <w:bottom w:w="0" w:type="dxa"/>
              <w:right w:w="0" w:type="dxa"/>
            </w:tcMar>
          </w:tcPr>
          <w:p w14:paraId="5444BB68" w14:textId="7C8BA406" w:rsidR="0047211F" w:rsidRPr="00EF2AE8" w:rsidRDefault="0047211F" w:rsidP="00EF2AE8">
            <w:pPr>
              <w:suppressAutoHyphens w:val="0"/>
              <w:spacing w:before="40" w:after="120" w:line="220" w:lineRule="atLeast"/>
              <w:ind w:right="113"/>
              <w:rPr>
                <w:sz w:val="18"/>
                <w:szCs w:val="18"/>
                <w:lang w:val="fr-FR"/>
              </w:rPr>
            </w:pPr>
            <w:r w:rsidRPr="00EF2AE8">
              <w:rPr>
                <w:sz w:val="18"/>
                <w:szCs w:val="18"/>
                <w:lang w:val="fr-FR"/>
              </w:rPr>
              <w:t>groupe de travail informel EDR/DSSAD</w:t>
            </w:r>
          </w:p>
        </w:tc>
        <w:tc>
          <w:tcPr>
            <w:tcW w:w="536" w:type="pct"/>
            <w:shd w:val="clear" w:color="auto" w:fill="auto"/>
            <w:tcMar>
              <w:top w:w="0" w:type="dxa"/>
              <w:left w:w="0" w:type="dxa"/>
              <w:bottom w:w="0" w:type="dxa"/>
              <w:right w:w="0" w:type="dxa"/>
            </w:tcMar>
          </w:tcPr>
          <w:p w14:paraId="6BD65E9E" w14:textId="77777777" w:rsidR="0047211F" w:rsidRPr="00EF2AE8" w:rsidRDefault="0047211F" w:rsidP="00EF2AE8">
            <w:pPr>
              <w:suppressAutoHyphens w:val="0"/>
              <w:spacing w:before="40" w:after="120" w:line="220" w:lineRule="atLeast"/>
              <w:ind w:right="113"/>
              <w:rPr>
                <w:sz w:val="18"/>
                <w:szCs w:val="18"/>
                <w:lang w:val="fr-FR"/>
              </w:rPr>
            </w:pPr>
          </w:p>
        </w:tc>
        <w:tc>
          <w:tcPr>
            <w:tcW w:w="632" w:type="pct"/>
            <w:shd w:val="clear" w:color="auto" w:fill="auto"/>
          </w:tcPr>
          <w:p w14:paraId="19F8CB70" w14:textId="20C24F5B" w:rsidR="0047211F" w:rsidRPr="00EF2AE8" w:rsidRDefault="0047211F" w:rsidP="00EF2AE8">
            <w:pPr>
              <w:suppressAutoHyphens w:val="0"/>
              <w:spacing w:before="40" w:after="120" w:line="220" w:lineRule="atLeast"/>
              <w:ind w:right="113"/>
              <w:rPr>
                <w:sz w:val="18"/>
                <w:szCs w:val="18"/>
                <w:lang w:val="fr-FR"/>
              </w:rPr>
            </w:pPr>
            <w:r w:rsidRPr="00EF2AE8">
              <w:rPr>
                <w:sz w:val="18"/>
                <w:szCs w:val="18"/>
                <w:lang w:val="fr-FR"/>
              </w:rPr>
              <w:t>Corrections ou modifications à la réglementation actuelle en matière d’EDR et aux éléments des données des systèmes de conduite automatisés pour ALKS</w:t>
            </w:r>
          </w:p>
        </w:tc>
        <w:tc>
          <w:tcPr>
            <w:tcW w:w="632" w:type="pct"/>
            <w:shd w:val="clear" w:color="auto" w:fill="auto"/>
          </w:tcPr>
          <w:p w14:paraId="78A13ADC" w14:textId="77777777" w:rsidR="0047211F" w:rsidRPr="00EF2AE8" w:rsidRDefault="0047211F" w:rsidP="00EF2AE8">
            <w:pPr>
              <w:suppressAutoHyphens w:val="0"/>
              <w:spacing w:before="40" w:after="120" w:line="220" w:lineRule="atLeast"/>
              <w:ind w:right="113"/>
              <w:rPr>
                <w:sz w:val="18"/>
                <w:szCs w:val="18"/>
                <w:lang w:val="fr-FR"/>
              </w:rPr>
            </w:pPr>
          </w:p>
        </w:tc>
        <w:tc>
          <w:tcPr>
            <w:tcW w:w="597" w:type="pct"/>
            <w:shd w:val="clear" w:color="auto" w:fill="auto"/>
          </w:tcPr>
          <w:p w14:paraId="5C5C0C72" w14:textId="63692445" w:rsidR="0047211F" w:rsidRPr="00EF2AE8" w:rsidRDefault="0047211F" w:rsidP="00EF2AE8">
            <w:pPr>
              <w:suppressAutoHyphens w:val="0"/>
              <w:spacing w:before="40" w:after="120" w:line="220" w:lineRule="atLeast"/>
              <w:rPr>
                <w:sz w:val="18"/>
                <w:szCs w:val="18"/>
              </w:rPr>
            </w:pPr>
            <w:r w:rsidRPr="00EF2AE8">
              <w:rPr>
                <w:b/>
                <w:bCs/>
                <w:sz w:val="18"/>
                <w:szCs w:val="18"/>
              </w:rPr>
              <w:t>Achevé</w:t>
            </w:r>
          </w:p>
        </w:tc>
      </w:tr>
      <w:tr w:rsidR="0047211F" w:rsidRPr="00EF2AE8" w14:paraId="02D605C3" w14:textId="77777777" w:rsidTr="00EF2AE8">
        <w:tblPrEx>
          <w:tblBorders>
            <w:top w:val="none" w:sz="0" w:space="0" w:color="auto"/>
            <w:bottom w:val="none" w:sz="0" w:space="0" w:color="auto"/>
          </w:tblBorders>
        </w:tblPrEx>
        <w:trPr>
          <w:trHeight w:val="20"/>
        </w:trPr>
        <w:tc>
          <w:tcPr>
            <w:tcW w:w="541" w:type="pct"/>
            <w:shd w:val="clear" w:color="auto" w:fill="auto"/>
            <w:tcMar>
              <w:top w:w="0" w:type="dxa"/>
              <w:left w:w="0" w:type="dxa"/>
              <w:bottom w:w="0" w:type="dxa"/>
              <w:right w:w="0" w:type="dxa"/>
            </w:tcMar>
          </w:tcPr>
          <w:p w14:paraId="3A25C233" w14:textId="77777777" w:rsidR="0047211F" w:rsidRPr="00EF2AE8" w:rsidRDefault="0047211F" w:rsidP="00EF2AE8">
            <w:pPr>
              <w:suppressAutoHyphens w:val="0"/>
              <w:spacing w:before="40" w:after="120" w:line="220" w:lineRule="atLeast"/>
              <w:ind w:right="113"/>
              <w:rPr>
                <w:sz w:val="18"/>
                <w:szCs w:val="18"/>
                <w:lang w:val="fr-FR"/>
              </w:rPr>
            </w:pPr>
          </w:p>
        </w:tc>
        <w:tc>
          <w:tcPr>
            <w:tcW w:w="961" w:type="pct"/>
            <w:shd w:val="clear" w:color="auto" w:fill="auto"/>
          </w:tcPr>
          <w:p w14:paraId="5597FA8A" w14:textId="77777777" w:rsidR="0047211F" w:rsidRPr="00EF2AE8" w:rsidRDefault="0047211F" w:rsidP="00EF2AE8">
            <w:pPr>
              <w:suppressAutoHyphens w:val="0"/>
              <w:spacing w:before="40" w:after="120" w:line="220" w:lineRule="atLeast"/>
              <w:ind w:right="113"/>
              <w:rPr>
                <w:sz w:val="18"/>
                <w:szCs w:val="18"/>
                <w:lang w:val="fr-FR"/>
              </w:rPr>
            </w:pPr>
          </w:p>
        </w:tc>
        <w:tc>
          <w:tcPr>
            <w:tcW w:w="630" w:type="pct"/>
            <w:shd w:val="clear" w:color="auto" w:fill="auto"/>
          </w:tcPr>
          <w:p w14:paraId="42735C12" w14:textId="77777777" w:rsidR="0047211F" w:rsidRPr="00EF2AE8" w:rsidRDefault="0047211F" w:rsidP="00EF2AE8">
            <w:pPr>
              <w:suppressAutoHyphens w:val="0"/>
              <w:spacing w:before="40" w:after="120" w:line="220" w:lineRule="atLeast"/>
              <w:ind w:right="113"/>
              <w:rPr>
                <w:sz w:val="18"/>
                <w:szCs w:val="18"/>
                <w:lang w:val="fr-FR"/>
              </w:rPr>
            </w:pPr>
          </w:p>
        </w:tc>
        <w:tc>
          <w:tcPr>
            <w:tcW w:w="471" w:type="pct"/>
            <w:shd w:val="clear" w:color="auto" w:fill="auto"/>
            <w:tcMar>
              <w:top w:w="0" w:type="dxa"/>
              <w:left w:w="0" w:type="dxa"/>
              <w:bottom w:w="0" w:type="dxa"/>
              <w:right w:w="0" w:type="dxa"/>
            </w:tcMar>
          </w:tcPr>
          <w:p w14:paraId="5E9FF382" w14:textId="77777777" w:rsidR="0047211F" w:rsidRPr="00EF2AE8" w:rsidRDefault="0047211F" w:rsidP="00EF2AE8">
            <w:pPr>
              <w:suppressAutoHyphens w:val="0"/>
              <w:spacing w:before="40" w:after="120" w:line="220" w:lineRule="atLeast"/>
              <w:ind w:right="113"/>
              <w:rPr>
                <w:sz w:val="18"/>
                <w:szCs w:val="18"/>
                <w:lang w:val="fr-FR"/>
              </w:rPr>
            </w:pPr>
          </w:p>
        </w:tc>
        <w:tc>
          <w:tcPr>
            <w:tcW w:w="536" w:type="pct"/>
            <w:shd w:val="clear" w:color="auto" w:fill="auto"/>
            <w:tcMar>
              <w:top w:w="0" w:type="dxa"/>
              <w:left w:w="0" w:type="dxa"/>
              <w:bottom w:w="0" w:type="dxa"/>
              <w:right w:w="0" w:type="dxa"/>
            </w:tcMar>
          </w:tcPr>
          <w:p w14:paraId="394D9B51" w14:textId="77777777" w:rsidR="0047211F" w:rsidRPr="00EF2AE8" w:rsidRDefault="0047211F" w:rsidP="00EF2AE8">
            <w:pPr>
              <w:suppressAutoHyphens w:val="0"/>
              <w:spacing w:before="40" w:after="120" w:line="220" w:lineRule="atLeast"/>
              <w:ind w:right="113"/>
              <w:rPr>
                <w:sz w:val="18"/>
                <w:szCs w:val="18"/>
                <w:lang w:val="fr-FR"/>
              </w:rPr>
            </w:pPr>
          </w:p>
        </w:tc>
        <w:tc>
          <w:tcPr>
            <w:tcW w:w="632" w:type="pct"/>
            <w:shd w:val="clear" w:color="auto" w:fill="auto"/>
          </w:tcPr>
          <w:p w14:paraId="714C4B23" w14:textId="77777777" w:rsidR="0047211F" w:rsidRPr="00EF2AE8" w:rsidRDefault="0047211F" w:rsidP="00EF2AE8">
            <w:pPr>
              <w:suppressAutoHyphens w:val="0"/>
              <w:spacing w:before="40" w:after="120" w:line="220" w:lineRule="atLeast"/>
              <w:ind w:right="113"/>
              <w:rPr>
                <w:sz w:val="18"/>
                <w:szCs w:val="18"/>
                <w:lang w:val="fr-FR"/>
              </w:rPr>
            </w:pPr>
          </w:p>
        </w:tc>
        <w:tc>
          <w:tcPr>
            <w:tcW w:w="632" w:type="pct"/>
            <w:shd w:val="clear" w:color="auto" w:fill="auto"/>
          </w:tcPr>
          <w:p w14:paraId="16EB8051" w14:textId="3792F725" w:rsidR="0047211F" w:rsidRPr="00EF2AE8" w:rsidRDefault="0047211F" w:rsidP="00EF2AE8">
            <w:pPr>
              <w:suppressAutoHyphens w:val="0"/>
              <w:spacing w:before="40" w:after="120" w:line="220" w:lineRule="atLeast"/>
              <w:ind w:right="113"/>
              <w:rPr>
                <w:sz w:val="18"/>
                <w:szCs w:val="18"/>
                <w:lang w:val="fr-FR"/>
              </w:rPr>
            </w:pPr>
            <w:r w:rsidRPr="00EF2AE8">
              <w:rPr>
                <w:sz w:val="18"/>
                <w:szCs w:val="18"/>
                <w:lang w:val="fr-FR"/>
              </w:rPr>
              <w:t>Lignes directrices du WP29 sur les éléments relatifs au fonctionnement des EDR pour les systèmes de conduite automatisés</w:t>
            </w:r>
          </w:p>
        </w:tc>
        <w:tc>
          <w:tcPr>
            <w:tcW w:w="597" w:type="pct"/>
            <w:shd w:val="clear" w:color="auto" w:fill="auto"/>
          </w:tcPr>
          <w:p w14:paraId="63A66DFA" w14:textId="12D83C1F" w:rsidR="0047211F" w:rsidRPr="00EF2AE8" w:rsidRDefault="0047211F" w:rsidP="00EF2AE8">
            <w:pPr>
              <w:suppressAutoHyphens w:val="0"/>
              <w:spacing w:before="40" w:after="120" w:line="220" w:lineRule="atLeast"/>
              <w:rPr>
                <w:sz w:val="18"/>
                <w:szCs w:val="18"/>
              </w:rPr>
            </w:pPr>
            <w:r w:rsidRPr="00EF2AE8">
              <w:rPr>
                <w:b/>
                <w:bCs/>
                <w:sz w:val="18"/>
                <w:szCs w:val="18"/>
              </w:rPr>
              <w:t>Juin 2024</w:t>
            </w:r>
          </w:p>
        </w:tc>
      </w:tr>
      <w:tr w:rsidR="0047211F" w:rsidRPr="00EF2AE8" w14:paraId="340BD213" w14:textId="77777777" w:rsidTr="00EF2AE8">
        <w:tblPrEx>
          <w:tblBorders>
            <w:top w:val="none" w:sz="0" w:space="0" w:color="auto"/>
            <w:bottom w:val="none" w:sz="0" w:space="0" w:color="auto"/>
          </w:tblBorders>
        </w:tblPrEx>
        <w:trPr>
          <w:trHeight w:val="20"/>
        </w:trPr>
        <w:tc>
          <w:tcPr>
            <w:tcW w:w="541" w:type="pct"/>
            <w:tcBorders>
              <w:bottom w:val="single" w:sz="12" w:space="0" w:color="auto"/>
            </w:tcBorders>
            <w:shd w:val="clear" w:color="auto" w:fill="auto"/>
            <w:tcMar>
              <w:top w:w="0" w:type="dxa"/>
              <w:left w:w="0" w:type="dxa"/>
              <w:bottom w:w="0" w:type="dxa"/>
              <w:right w:w="0" w:type="dxa"/>
            </w:tcMar>
          </w:tcPr>
          <w:p w14:paraId="0B407A2B" w14:textId="77777777" w:rsidR="0047211F" w:rsidRPr="00EF2AE8" w:rsidRDefault="0047211F" w:rsidP="00EF2AE8">
            <w:pPr>
              <w:suppressAutoHyphens w:val="0"/>
              <w:spacing w:before="40" w:after="120" w:line="220" w:lineRule="atLeast"/>
              <w:ind w:right="113"/>
              <w:rPr>
                <w:sz w:val="18"/>
                <w:szCs w:val="18"/>
                <w:lang w:val="fr-FR"/>
              </w:rPr>
            </w:pPr>
          </w:p>
        </w:tc>
        <w:tc>
          <w:tcPr>
            <w:tcW w:w="961" w:type="pct"/>
            <w:tcBorders>
              <w:bottom w:val="single" w:sz="12" w:space="0" w:color="auto"/>
            </w:tcBorders>
            <w:shd w:val="clear" w:color="auto" w:fill="auto"/>
          </w:tcPr>
          <w:p w14:paraId="439B7872" w14:textId="77777777" w:rsidR="0047211F" w:rsidRPr="00EF2AE8" w:rsidRDefault="0047211F" w:rsidP="00EF2AE8">
            <w:pPr>
              <w:suppressAutoHyphens w:val="0"/>
              <w:spacing w:before="40" w:after="120" w:line="220" w:lineRule="atLeast"/>
              <w:ind w:right="113"/>
              <w:rPr>
                <w:sz w:val="18"/>
                <w:szCs w:val="18"/>
                <w:lang w:val="fr-FR"/>
              </w:rPr>
            </w:pPr>
          </w:p>
        </w:tc>
        <w:tc>
          <w:tcPr>
            <w:tcW w:w="630" w:type="pct"/>
            <w:tcBorders>
              <w:bottom w:val="single" w:sz="12" w:space="0" w:color="auto"/>
            </w:tcBorders>
            <w:shd w:val="clear" w:color="auto" w:fill="auto"/>
          </w:tcPr>
          <w:p w14:paraId="3E68896D" w14:textId="77777777" w:rsidR="0047211F" w:rsidRPr="00EF2AE8" w:rsidRDefault="0047211F" w:rsidP="00EF2AE8">
            <w:pPr>
              <w:suppressAutoHyphens w:val="0"/>
              <w:spacing w:before="40" w:after="120" w:line="220" w:lineRule="atLeast"/>
              <w:ind w:right="113"/>
              <w:rPr>
                <w:sz w:val="18"/>
                <w:szCs w:val="18"/>
                <w:lang w:val="fr-FR"/>
              </w:rPr>
            </w:pPr>
          </w:p>
        </w:tc>
        <w:tc>
          <w:tcPr>
            <w:tcW w:w="471" w:type="pct"/>
            <w:tcBorders>
              <w:bottom w:val="single" w:sz="12" w:space="0" w:color="auto"/>
            </w:tcBorders>
            <w:shd w:val="clear" w:color="auto" w:fill="auto"/>
            <w:tcMar>
              <w:top w:w="0" w:type="dxa"/>
              <w:left w:w="0" w:type="dxa"/>
              <w:bottom w:w="0" w:type="dxa"/>
              <w:right w:w="0" w:type="dxa"/>
            </w:tcMar>
          </w:tcPr>
          <w:p w14:paraId="4B6CF689" w14:textId="77777777" w:rsidR="0047211F" w:rsidRPr="00EF2AE8" w:rsidRDefault="0047211F" w:rsidP="00EF2AE8">
            <w:pPr>
              <w:suppressAutoHyphens w:val="0"/>
              <w:spacing w:before="40" w:after="120" w:line="220" w:lineRule="atLeast"/>
              <w:ind w:right="113"/>
              <w:rPr>
                <w:sz w:val="18"/>
                <w:szCs w:val="18"/>
                <w:lang w:val="fr-FR"/>
              </w:rPr>
            </w:pPr>
          </w:p>
        </w:tc>
        <w:tc>
          <w:tcPr>
            <w:tcW w:w="536" w:type="pct"/>
            <w:tcBorders>
              <w:bottom w:val="single" w:sz="12" w:space="0" w:color="auto"/>
            </w:tcBorders>
            <w:shd w:val="clear" w:color="auto" w:fill="auto"/>
            <w:tcMar>
              <w:top w:w="0" w:type="dxa"/>
              <w:left w:w="0" w:type="dxa"/>
              <w:bottom w:w="0" w:type="dxa"/>
              <w:right w:w="0" w:type="dxa"/>
            </w:tcMar>
          </w:tcPr>
          <w:p w14:paraId="2E3ABABD" w14:textId="77777777" w:rsidR="0047211F" w:rsidRPr="00EF2AE8" w:rsidRDefault="0047211F" w:rsidP="00EF2AE8">
            <w:pPr>
              <w:suppressAutoHyphens w:val="0"/>
              <w:spacing w:before="40" w:after="120" w:line="220" w:lineRule="atLeast"/>
              <w:ind w:right="113"/>
              <w:rPr>
                <w:sz w:val="18"/>
                <w:szCs w:val="18"/>
                <w:lang w:val="fr-FR"/>
              </w:rPr>
            </w:pPr>
          </w:p>
        </w:tc>
        <w:tc>
          <w:tcPr>
            <w:tcW w:w="632" w:type="pct"/>
            <w:tcBorders>
              <w:bottom w:val="single" w:sz="12" w:space="0" w:color="auto"/>
            </w:tcBorders>
            <w:shd w:val="clear" w:color="auto" w:fill="auto"/>
          </w:tcPr>
          <w:p w14:paraId="1E1ABDC1" w14:textId="77777777" w:rsidR="0047211F" w:rsidRPr="00EF2AE8" w:rsidRDefault="0047211F" w:rsidP="00EF2AE8">
            <w:pPr>
              <w:suppressAutoHyphens w:val="0"/>
              <w:spacing w:before="40" w:after="120" w:line="220" w:lineRule="atLeast"/>
              <w:ind w:right="113"/>
              <w:rPr>
                <w:sz w:val="18"/>
                <w:szCs w:val="18"/>
                <w:lang w:val="fr-FR"/>
              </w:rPr>
            </w:pPr>
          </w:p>
        </w:tc>
        <w:tc>
          <w:tcPr>
            <w:tcW w:w="632" w:type="pct"/>
            <w:tcBorders>
              <w:bottom w:val="single" w:sz="12" w:space="0" w:color="auto"/>
            </w:tcBorders>
            <w:shd w:val="clear" w:color="auto" w:fill="auto"/>
          </w:tcPr>
          <w:p w14:paraId="02EE4778" w14:textId="172435B9" w:rsidR="0047211F" w:rsidRPr="00EF2AE8" w:rsidRDefault="0047211F" w:rsidP="00EF2AE8">
            <w:pPr>
              <w:suppressAutoHyphens w:val="0"/>
              <w:spacing w:before="40" w:after="120" w:line="220" w:lineRule="atLeast"/>
              <w:ind w:right="113"/>
              <w:rPr>
                <w:sz w:val="18"/>
                <w:szCs w:val="18"/>
                <w:lang w:val="fr-FR"/>
              </w:rPr>
            </w:pPr>
            <w:r w:rsidRPr="00EF2AE8">
              <w:rPr>
                <w:sz w:val="18"/>
                <w:szCs w:val="18"/>
                <w:lang w:val="fr-FR"/>
              </w:rPr>
              <w:t>EDR, étape 2</w:t>
            </w:r>
            <w:r w:rsidRPr="00EF2AE8">
              <w:rPr>
                <w:sz w:val="18"/>
                <w:szCs w:val="18"/>
                <w:lang w:val="fr-FR"/>
              </w:rPr>
              <w:t> :</w:t>
            </w:r>
            <w:r w:rsidRPr="00EF2AE8">
              <w:rPr>
                <w:sz w:val="18"/>
                <w:szCs w:val="18"/>
                <w:lang w:val="fr-FR"/>
              </w:rPr>
              <w:t xml:space="preserve"> examen des prescriptions techniques supplémentaires pour la réglementation ONU actuelle concernant les camions et les autobus</w:t>
            </w:r>
          </w:p>
        </w:tc>
        <w:tc>
          <w:tcPr>
            <w:tcW w:w="597" w:type="pct"/>
            <w:tcBorders>
              <w:bottom w:val="single" w:sz="12" w:space="0" w:color="auto"/>
            </w:tcBorders>
            <w:shd w:val="clear" w:color="auto" w:fill="auto"/>
          </w:tcPr>
          <w:p w14:paraId="0A387C79" w14:textId="70F4ACB6" w:rsidR="0047211F" w:rsidRPr="00EF2AE8" w:rsidRDefault="0047211F" w:rsidP="00EF2AE8">
            <w:pPr>
              <w:suppressAutoHyphens w:val="0"/>
              <w:spacing w:before="40" w:after="120" w:line="220" w:lineRule="atLeast"/>
              <w:rPr>
                <w:sz w:val="18"/>
                <w:szCs w:val="18"/>
              </w:rPr>
            </w:pPr>
            <w:r w:rsidRPr="00EF2AE8">
              <w:rPr>
                <w:b/>
                <w:bCs/>
                <w:sz w:val="18"/>
                <w:szCs w:val="18"/>
              </w:rPr>
              <w:t>Novembre 2024</w:t>
            </w:r>
          </w:p>
        </w:tc>
      </w:tr>
    </w:tbl>
    <w:p w14:paraId="54A467DB" w14:textId="0FA5B0D1" w:rsidR="006F5620" w:rsidRPr="00896BBF" w:rsidRDefault="00896BBF" w:rsidP="00896BBF">
      <w:pPr>
        <w:pStyle w:val="SingleTxtG"/>
        <w:spacing w:before="240" w:after="0"/>
        <w:jc w:val="center"/>
        <w:rPr>
          <w:u w:val="single"/>
        </w:rPr>
      </w:pPr>
      <w:r>
        <w:rPr>
          <w:u w:val="single"/>
        </w:rPr>
        <w:tab/>
      </w:r>
      <w:r>
        <w:rPr>
          <w:u w:val="single"/>
        </w:rPr>
        <w:tab/>
      </w:r>
      <w:r>
        <w:rPr>
          <w:u w:val="single"/>
        </w:rPr>
        <w:tab/>
      </w:r>
      <w:r>
        <w:rPr>
          <w:u w:val="single"/>
        </w:rPr>
        <w:tab/>
      </w:r>
    </w:p>
    <w:sectPr w:rsidR="006F5620" w:rsidRPr="00896BBF" w:rsidSect="00896BBF">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81682" w14:textId="77777777" w:rsidR="005C18EF" w:rsidRDefault="005C18EF" w:rsidP="00F95C08">
      <w:pPr>
        <w:spacing w:line="240" w:lineRule="auto"/>
      </w:pPr>
    </w:p>
  </w:endnote>
  <w:endnote w:type="continuationSeparator" w:id="0">
    <w:p w14:paraId="1826E11A" w14:textId="77777777" w:rsidR="005C18EF" w:rsidRPr="00AC3823" w:rsidRDefault="005C18EF" w:rsidP="00AC3823">
      <w:pPr>
        <w:pStyle w:val="Pieddepage"/>
      </w:pPr>
    </w:p>
  </w:endnote>
  <w:endnote w:type="continuationNotice" w:id="1">
    <w:p w14:paraId="6FB038CF" w14:textId="77777777" w:rsidR="005C18EF" w:rsidRDefault="005C18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E0B7" w14:textId="0AABF755" w:rsidR="002C4E7A" w:rsidRPr="002C4E7A" w:rsidRDefault="002C4E7A" w:rsidP="002C4E7A">
    <w:pPr>
      <w:pStyle w:val="Pieddepage"/>
      <w:tabs>
        <w:tab w:val="right" w:pos="9638"/>
      </w:tabs>
    </w:pPr>
    <w:r w:rsidRPr="002C4E7A">
      <w:rPr>
        <w:b/>
        <w:sz w:val="18"/>
      </w:rPr>
      <w:fldChar w:fldCharType="begin"/>
    </w:r>
    <w:r w:rsidRPr="002C4E7A">
      <w:rPr>
        <w:b/>
        <w:sz w:val="18"/>
      </w:rPr>
      <w:instrText xml:space="preserve"> PAGE  \* MERGEFORMAT </w:instrText>
    </w:r>
    <w:r w:rsidRPr="002C4E7A">
      <w:rPr>
        <w:b/>
        <w:sz w:val="18"/>
      </w:rPr>
      <w:fldChar w:fldCharType="separate"/>
    </w:r>
    <w:r w:rsidRPr="002C4E7A">
      <w:rPr>
        <w:b/>
        <w:noProof/>
        <w:sz w:val="18"/>
      </w:rPr>
      <w:t>2</w:t>
    </w:r>
    <w:r w:rsidRPr="002C4E7A">
      <w:rPr>
        <w:b/>
        <w:sz w:val="18"/>
      </w:rPr>
      <w:fldChar w:fldCharType="end"/>
    </w:r>
    <w:r>
      <w:rPr>
        <w:b/>
        <w:sz w:val="18"/>
      </w:rPr>
      <w:tab/>
    </w:r>
    <w:r>
      <w:t>GE.22-29325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C2B5" w14:textId="77A90D0A" w:rsidR="002C4E7A" w:rsidRPr="002C4E7A" w:rsidRDefault="002C4E7A" w:rsidP="002C4E7A">
    <w:pPr>
      <w:pStyle w:val="Pieddepage"/>
      <w:tabs>
        <w:tab w:val="right" w:pos="9638"/>
      </w:tabs>
      <w:rPr>
        <w:b/>
        <w:sz w:val="18"/>
      </w:rPr>
    </w:pPr>
    <w:r>
      <w:t>GE.22-29325</w:t>
    </w:r>
    <w:r>
      <w:tab/>
    </w:r>
    <w:r w:rsidRPr="002C4E7A">
      <w:rPr>
        <w:b/>
        <w:sz w:val="18"/>
      </w:rPr>
      <w:fldChar w:fldCharType="begin"/>
    </w:r>
    <w:r w:rsidRPr="002C4E7A">
      <w:rPr>
        <w:b/>
        <w:sz w:val="18"/>
      </w:rPr>
      <w:instrText xml:space="preserve"> PAGE  \* MERGEFORMAT </w:instrText>
    </w:r>
    <w:r w:rsidRPr="002C4E7A">
      <w:rPr>
        <w:b/>
        <w:sz w:val="18"/>
      </w:rPr>
      <w:fldChar w:fldCharType="separate"/>
    </w:r>
    <w:r w:rsidRPr="002C4E7A">
      <w:rPr>
        <w:b/>
        <w:noProof/>
        <w:sz w:val="18"/>
      </w:rPr>
      <w:t>3</w:t>
    </w:r>
    <w:r w:rsidRPr="002C4E7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EC08" w14:textId="7401A875" w:rsidR="007F20FA" w:rsidRPr="002C4E7A" w:rsidRDefault="002C4E7A" w:rsidP="002C4E7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9A86242" wp14:editId="1C16FF5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22-29325  (F)</w:t>
    </w:r>
    <w:r>
      <w:rPr>
        <w:noProof/>
        <w:sz w:val="20"/>
      </w:rPr>
      <w:drawing>
        <wp:anchor distT="0" distB="0" distL="114300" distR="114300" simplePos="0" relativeHeight="251660288" behindDoc="0" locked="0" layoutInCell="1" allowOverlap="1" wp14:anchorId="4E8B9F6B" wp14:editId="341813B6">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180123    180123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A51C" w14:textId="14E62704" w:rsidR="00896BBF" w:rsidRPr="00896BBF" w:rsidRDefault="00896BBF" w:rsidP="00896BBF">
    <w:pPr>
      <w:pStyle w:val="Pieddepage"/>
    </w:pPr>
    <w:r>
      <w:rPr>
        <w:noProof/>
      </w:rPr>
      <mc:AlternateContent>
        <mc:Choice Requires="wps">
          <w:drawing>
            <wp:anchor distT="0" distB="0" distL="114300" distR="114300" simplePos="0" relativeHeight="251664384" behindDoc="0" locked="0" layoutInCell="1" allowOverlap="1" wp14:anchorId="5C737D66" wp14:editId="1E0DE102">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DE3C552" w14:textId="77777777" w:rsidR="00896BBF" w:rsidRPr="002C4E7A" w:rsidRDefault="00896BBF" w:rsidP="00896BBF">
                          <w:pPr>
                            <w:pStyle w:val="Pieddepage"/>
                            <w:tabs>
                              <w:tab w:val="right" w:pos="9638"/>
                            </w:tabs>
                          </w:pPr>
                          <w:r w:rsidRPr="002C4E7A">
                            <w:rPr>
                              <w:b/>
                              <w:sz w:val="18"/>
                            </w:rPr>
                            <w:fldChar w:fldCharType="begin"/>
                          </w:r>
                          <w:r w:rsidRPr="002C4E7A">
                            <w:rPr>
                              <w:b/>
                              <w:sz w:val="18"/>
                            </w:rPr>
                            <w:instrText xml:space="preserve"> PAGE  \* MERGEFORMAT </w:instrText>
                          </w:r>
                          <w:r w:rsidRPr="002C4E7A">
                            <w:rPr>
                              <w:b/>
                              <w:sz w:val="18"/>
                            </w:rPr>
                            <w:fldChar w:fldCharType="separate"/>
                          </w:r>
                          <w:r>
                            <w:rPr>
                              <w:b/>
                              <w:sz w:val="18"/>
                            </w:rPr>
                            <w:t>4</w:t>
                          </w:r>
                          <w:r w:rsidRPr="002C4E7A">
                            <w:rPr>
                              <w:b/>
                              <w:sz w:val="18"/>
                            </w:rPr>
                            <w:fldChar w:fldCharType="end"/>
                          </w:r>
                          <w:r>
                            <w:rPr>
                              <w:b/>
                              <w:sz w:val="18"/>
                            </w:rPr>
                            <w:tab/>
                          </w:r>
                          <w:r>
                            <w:t>GE.22-29325</w:t>
                          </w:r>
                        </w:p>
                        <w:p w14:paraId="4C0D620D" w14:textId="77777777" w:rsidR="00896BBF" w:rsidRDefault="00896BB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C737D66" id="_x0000_t202" coordsize="21600,21600" o:spt="202" path="m,l,21600r21600,l21600,xe">
              <v:stroke joinstyle="miter"/>
              <v:path gradientshapeok="t" o:connecttype="rect"/>
            </v:shapetype>
            <v:shape id="Zone de texte 7" o:spid="_x0000_s1028"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0DE3C552" w14:textId="77777777" w:rsidR="00896BBF" w:rsidRPr="002C4E7A" w:rsidRDefault="00896BBF" w:rsidP="00896BBF">
                    <w:pPr>
                      <w:pStyle w:val="Pieddepage"/>
                      <w:tabs>
                        <w:tab w:val="right" w:pos="9638"/>
                      </w:tabs>
                    </w:pPr>
                    <w:r w:rsidRPr="002C4E7A">
                      <w:rPr>
                        <w:b/>
                        <w:sz w:val="18"/>
                      </w:rPr>
                      <w:fldChar w:fldCharType="begin"/>
                    </w:r>
                    <w:r w:rsidRPr="002C4E7A">
                      <w:rPr>
                        <w:b/>
                        <w:sz w:val="18"/>
                      </w:rPr>
                      <w:instrText xml:space="preserve"> PAGE  \* MERGEFORMAT </w:instrText>
                    </w:r>
                    <w:r w:rsidRPr="002C4E7A">
                      <w:rPr>
                        <w:b/>
                        <w:sz w:val="18"/>
                      </w:rPr>
                      <w:fldChar w:fldCharType="separate"/>
                    </w:r>
                    <w:r>
                      <w:rPr>
                        <w:b/>
                        <w:sz w:val="18"/>
                      </w:rPr>
                      <w:t>4</w:t>
                    </w:r>
                    <w:r w:rsidRPr="002C4E7A">
                      <w:rPr>
                        <w:b/>
                        <w:sz w:val="18"/>
                      </w:rPr>
                      <w:fldChar w:fldCharType="end"/>
                    </w:r>
                    <w:r>
                      <w:rPr>
                        <w:b/>
                        <w:sz w:val="18"/>
                      </w:rPr>
                      <w:tab/>
                    </w:r>
                    <w:r>
                      <w:t>GE.22-29325</w:t>
                    </w:r>
                  </w:p>
                  <w:p w14:paraId="4C0D620D" w14:textId="77777777" w:rsidR="00896BBF" w:rsidRDefault="00896BBF"/>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407E" w14:textId="63883D94" w:rsidR="00896BBF" w:rsidRPr="00896BBF" w:rsidRDefault="00896BBF" w:rsidP="00896BBF">
    <w:pPr>
      <w:pStyle w:val="Pieddepage"/>
    </w:pPr>
    <w:r>
      <w:rPr>
        <w:noProof/>
      </w:rPr>
      <mc:AlternateContent>
        <mc:Choice Requires="wps">
          <w:drawing>
            <wp:anchor distT="0" distB="0" distL="114300" distR="114300" simplePos="0" relativeHeight="251662336" behindDoc="0" locked="0" layoutInCell="1" allowOverlap="1" wp14:anchorId="7CAF2F7A" wp14:editId="71D39C9B">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74A202F" w14:textId="77777777" w:rsidR="00896BBF" w:rsidRPr="002C4E7A" w:rsidRDefault="00896BBF" w:rsidP="00896BBF">
                          <w:pPr>
                            <w:pStyle w:val="Pieddepage"/>
                            <w:tabs>
                              <w:tab w:val="right" w:pos="9638"/>
                            </w:tabs>
                            <w:rPr>
                              <w:b/>
                              <w:sz w:val="18"/>
                            </w:rPr>
                          </w:pPr>
                          <w:r>
                            <w:t>GE.22-29325</w:t>
                          </w:r>
                          <w:r>
                            <w:tab/>
                          </w:r>
                          <w:r w:rsidRPr="002C4E7A">
                            <w:rPr>
                              <w:b/>
                              <w:sz w:val="18"/>
                            </w:rPr>
                            <w:fldChar w:fldCharType="begin"/>
                          </w:r>
                          <w:r w:rsidRPr="002C4E7A">
                            <w:rPr>
                              <w:b/>
                              <w:sz w:val="18"/>
                            </w:rPr>
                            <w:instrText xml:space="preserve"> PAGE  \* MERGEFORMAT </w:instrText>
                          </w:r>
                          <w:r w:rsidRPr="002C4E7A">
                            <w:rPr>
                              <w:b/>
                              <w:sz w:val="18"/>
                            </w:rPr>
                            <w:fldChar w:fldCharType="separate"/>
                          </w:r>
                          <w:r>
                            <w:rPr>
                              <w:b/>
                              <w:sz w:val="18"/>
                            </w:rPr>
                            <w:t>3</w:t>
                          </w:r>
                          <w:r w:rsidRPr="002C4E7A">
                            <w:rPr>
                              <w:b/>
                              <w:sz w:val="18"/>
                            </w:rPr>
                            <w:fldChar w:fldCharType="end"/>
                          </w:r>
                        </w:p>
                        <w:p w14:paraId="45DD7375" w14:textId="77777777" w:rsidR="00896BBF" w:rsidRDefault="00896BB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CAF2F7A" id="_x0000_t202" coordsize="21600,21600" o:spt="202" path="m,l,21600r21600,l21600,xe">
              <v:stroke joinstyle="miter"/>
              <v:path gradientshapeok="t" o:connecttype="rect"/>
            </v:shapetype>
            <v:shape id="Zone de texte 5"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" fillcolor="#4f81bd [3204]" stroked="f" strokeweight=".5pt">
              <v:fill opacity="0"/>
              <v:stroke joinstyle="round"/>
              <v:textbox style="layout-flow:vertical" inset="0,0,0,0">
                <w:txbxContent>
                  <w:p w14:paraId="274A202F" w14:textId="77777777" w:rsidR="00896BBF" w:rsidRPr="002C4E7A" w:rsidRDefault="00896BBF" w:rsidP="00896BBF">
                    <w:pPr>
                      <w:pStyle w:val="Pieddepage"/>
                      <w:tabs>
                        <w:tab w:val="right" w:pos="9638"/>
                      </w:tabs>
                      <w:rPr>
                        <w:b/>
                        <w:sz w:val="18"/>
                      </w:rPr>
                    </w:pPr>
                    <w:r>
                      <w:t>GE.22-29325</w:t>
                    </w:r>
                    <w:r>
                      <w:tab/>
                    </w:r>
                    <w:r w:rsidRPr="002C4E7A">
                      <w:rPr>
                        <w:b/>
                        <w:sz w:val="18"/>
                      </w:rPr>
                      <w:fldChar w:fldCharType="begin"/>
                    </w:r>
                    <w:r w:rsidRPr="002C4E7A">
                      <w:rPr>
                        <w:b/>
                        <w:sz w:val="18"/>
                      </w:rPr>
                      <w:instrText xml:space="preserve"> PAGE  \* MERGEFORMAT </w:instrText>
                    </w:r>
                    <w:r w:rsidRPr="002C4E7A">
                      <w:rPr>
                        <w:b/>
                        <w:sz w:val="18"/>
                      </w:rPr>
                      <w:fldChar w:fldCharType="separate"/>
                    </w:r>
                    <w:r>
                      <w:rPr>
                        <w:b/>
                        <w:sz w:val="18"/>
                      </w:rPr>
                      <w:t>3</w:t>
                    </w:r>
                    <w:r w:rsidRPr="002C4E7A">
                      <w:rPr>
                        <w:b/>
                        <w:sz w:val="18"/>
                      </w:rPr>
                      <w:fldChar w:fldCharType="end"/>
                    </w:r>
                  </w:p>
                  <w:p w14:paraId="45DD7375" w14:textId="77777777" w:rsidR="00896BBF" w:rsidRDefault="00896BBF"/>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35D66" w14:textId="77777777" w:rsidR="005C18EF" w:rsidRPr="00AC3823" w:rsidRDefault="005C18EF" w:rsidP="00AC3823">
      <w:pPr>
        <w:pStyle w:val="Pieddepage"/>
        <w:tabs>
          <w:tab w:val="right" w:pos="2155"/>
        </w:tabs>
        <w:spacing w:after="80" w:line="240" w:lineRule="atLeast"/>
        <w:ind w:left="680"/>
        <w:rPr>
          <w:u w:val="single"/>
        </w:rPr>
      </w:pPr>
      <w:r>
        <w:rPr>
          <w:u w:val="single"/>
        </w:rPr>
        <w:tab/>
      </w:r>
    </w:p>
  </w:footnote>
  <w:footnote w:type="continuationSeparator" w:id="0">
    <w:p w14:paraId="74773EB0" w14:textId="77777777" w:rsidR="005C18EF" w:rsidRPr="00AC3823" w:rsidRDefault="005C18EF" w:rsidP="00AC3823">
      <w:pPr>
        <w:pStyle w:val="Pieddepage"/>
        <w:tabs>
          <w:tab w:val="right" w:pos="2155"/>
        </w:tabs>
        <w:spacing w:after="80" w:line="240" w:lineRule="atLeast"/>
        <w:ind w:left="680"/>
        <w:rPr>
          <w:u w:val="single"/>
        </w:rPr>
      </w:pPr>
      <w:r>
        <w:rPr>
          <w:u w:val="single"/>
        </w:rPr>
        <w:tab/>
      </w:r>
    </w:p>
  </w:footnote>
  <w:footnote w:type="continuationNotice" w:id="1">
    <w:p w14:paraId="090F128E" w14:textId="77777777" w:rsidR="005C18EF" w:rsidRPr="00AC3823" w:rsidRDefault="005C18EF">
      <w:pPr>
        <w:spacing w:line="240" w:lineRule="auto"/>
        <w:rPr>
          <w:sz w:val="2"/>
          <w:szCs w:val="2"/>
        </w:rPr>
      </w:pPr>
    </w:p>
  </w:footnote>
  <w:footnote w:id="2">
    <w:p w14:paraId="30CD0491" w14:textId="056C1529" w:rsidR="006F5620" w:rsidRPr="0094220D" w:rsidRDefault="006F5620" w:rsidP="006F5620">
      <w:pPr>
        <w:pStyle w:val="Notedebasdepage"/>
      </w:pPr>
      <w:r>
        <w:rPr>
          <w:rStyle w:val="Appelnotedebasdep"/>
        </w:rPr>
        <w:tab/>
      </w:r>
      <w:r w:rsidRPr="0094220D">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2023 tel qu’il figure dans le projet de budget-programme pour 2023 (A/77/6 (Sect.20), tableau 20.6), le Forum mondial a pour mission d’élaborer, d’harmoniser et de mettre à jour les Règlements</w:t>
      </w:r>
      <w:r w:rsidR="002A6F8F">
        <w:rPr>
          <w:lang w:val="fr-FR"/>
        </w:rPr>
        <w:t xml:space="preserve"> </w:t>
      </w:r>
      <w:r>
        <w:rPr>
          <w:lang w:val="fr-FR"/>
        </w:rPr>
        <w:t>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2052" w14:textId="6E6C3158" w:rsidR="002C4E7A" w:rsidRPr="002C4E7A" w:rsidRDefault="002C4E7A">
    <w:pPr>
      <w:pStyle w:val="En-tte"/>
    </w:pPr>
    <w:fldSimple w:instr=" TITLE  \* MERGEFORMAT ">
      <w:r>
        <w:t>ECE/TRANS/WP.29/2023/43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5204" w14:textId="60CECD39" w:rsidR="002C4E7A" w:rsidRPr="002C4E7A" w:rsidRDefault="002C4E7A" w:rsidP="002C4E7A">
    <w:pPr>
      <w:pStyle w:val="En-tte"/>
      <w:jc w:val="right"/>
    </w:pPr>
    <w:fldSimple w:instr=" TITLE  \* MERGEFORMAT ">
      <w:r>
        <w:t>ECE/TRANS/WP.29/2023/43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6C72" w14:textId="4CF33C0E" w:rsidR="00896BBF" w:rsidRPr="00896BBF" w:rsidRDefault="00896BBF" w:rsidP="00896BBF">
    <w:r>
      <w:rPr>
        <w:noProof/>
      </w:rPr>
      <mc:AlternateContent>
        <mc:Choice Requires="wps">
          <w:drawing>
            <wp:anchor distT="0" distB="0" distL="114300" distR="114300" simplePos="0" relativeHeight="251663360" behindDoc="0" locked="0" layoutInCell="1" allowOverlap="1" wp14:anchorId="2A53B32A" wp14:editId="1B3CB8A7">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D9CECEC" w14:textId="77777777" w:rsidR="00896BBF" w:rsidRPr="002C4E7A" w:rsidRDefault="00896BBF" w:rsidP="00896BBF">
                          <w:pPr>
                            <w:pStyle w:val="En-tte"/>
                          </w:pPr>
                          <w:r>
                            <w:fldChar w:fldCharType="begin"/>
                          </w:r>
                          <w:r>
                            <w:instrText xml:space="preserve"> TITLE  \* MERGEFORMAT </w:instrText>
                          </w:r>
                          <w:r>
                            <w:fldChar w:fldCharType="separate"/>
                          </w:r>
                          <w:r>
                            <w:t>ECE/TRANS/WP.29/2023/43</w:t>
                          </w:r>
                          <w:r>
                            <w:fldChar w:fldCharType="end"/>
                          </w:r>
                        </w:p>
                        <w:p w14:paraId="0A82EE66" w14:textId="77777777" w:rsidR="00896BBF" w:rsidRDefault="00896BB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A53B32A" id="_x0000_t202" coordsize="21600,21600" o:spt="202" path="m,l,21600r21600,l21600,xe">
              <v:stroke joinstyle="miter"/>
              <v:path gradientshapeok="t" o:connecttype="rect"/>
            </v:shapetype>
            <v:shape id="Zone de texte 6" o:spid="_x0000_s1026"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8EQA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" fillcolor="#4f81bd [3204]" stroked="f" strokeweight=".5pt">
              <v:fill opacity="0"/>
              <v:path arrowok="t"/>
              <v:textbox style="layout-flow:vertical" inset="0,0,0,0">
                <w:txbxContent>
                  <w:p w14:paraId="0D9CECEC" w14:textId="77777777" w:rsidR="00896BBF" w:rsidRPr="002C4E7A" w:rsidRDefault="00896BBF" w:rsidP="00896BBF">
                    <w:pPr>
                      <w:pStyle w:val="En-tte"/>
                    </w:pPr>
                    <w:r>
                      <w:fldChar w:fldCharType="begin"/>
                    </w:r>
                    <w:r>
                      <w:instrText xml:space="preserve"> TITLE  \* MERGEFORMAT </w:instrText>
                    </w:r>
                    <w:r>
                      <w:fldChar w:fldCharType="separate"/>
                    </w:r>
                    <w:r>
                      <w:t>ECE/TRANS/WP.29/2023/43</w:t>
                    </w:r>
                    <w:r>
                      <w:fldChar w:fldCharType="end"/>
                    </w:r>
                  </w:p>
                  <w:p w14:paraId="0A82EE66" w14:textId="77777777" w:rsidR="00896BBF" w:rsidRDefault="00896BBF"/>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A9CA" w14:textId="76AAFA95" w:rsidR="00896BBF" w:rsidRPr="00896BBF" w:rsidRDefault="00896BBF" w:rsidP="00896BBF">
    <w:r>
      <w:rPr>
        <w:noProof/>
      </w:rPr>
      <mc:AlternateContent>
        <mc:Choice Requires="wps">
          <w:drawing>
            <wp:anchor distT="0" distB="0" distL="114300" distR="114300" simplePos="0" relativeHeight="251661312" behindDoc="0" locked="0" layoutInCell="1" allowOverlap="1" wp14:anchorId="185C2A88" wp14:editId="51D305F1">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C8BF360" w14:textId="77777777" w:rsidR="00896BBF" w:rsidRPr="002C4E7A" w:rsidRDefault="00896BBF" w:rsidP="00896BBF">
                          <w:pPr>
                            <w:pStyle w:val="En-tte"/>
                            <w:jc w:val="right"/>
                          </w:pPr>
                          <w:r>
                            <w:fldChar w:fldCharType="begin"/>
                          </w:r>
                          <w:r>
                            <w:instrText xml:space="preserve"> TITLE  \* MERGEFORMAT </w:instrText>
                          </w:r>
                          <w:r>
                            <w:fldChar w:fldCharType="separate"/>
                          </w:r>
                          <w:r>
                            <w:t>ECE/TRANS/WP.29/2023/43</w:t>
                          </w:r>
                          <w:r>
                            <w:fldChar w:fldCharType="end"/>
                          </w:r>
                        </w:p>
                        <w:p w14:paraId="7A9739F5" w14:textId="77777777" w:rsidR="00896BBF" w:rsidRDefault="00896BB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85C2A88" id="_x0000_t202" coordsize="21600,21600" o:spt="202" path="m,l,21600r21600,l21600,xe">
              <v:stroke joinstyle="miter"/>
              <v:path gradientshapeok="t" o:connecttype="rect"/>
            </v:shapetype>
            <v:shape id="Zone de texte 4"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2C8BF360" w14:textId="77777777" w:rsidR="00896BBF" w:rsidRPr="002C4E7A" w:rsidRDefault="00896BBF" w:rsidP="00896BBF">
                    <w:pPr>
                      <w:pStyle w:val="En-tte"/>
                      <w:jc w:val="right"/>
                    </w:pPr>
                    <w:r>
                      <w:fldChar w:fldCharType="begin"/>
                    </w:r>
                    <w:r>
                      <w:instrText xml:space="preserve"> TITLE  \* MERGEFORMAT </w:instrText>
                    </w:r>
                    <w:r>
                      <w:fldChar w:fldCharType="separate"/>
                    </w:r>
                    <w:r>
                      <w:t>ECE/TRANS/WP.29/2023/43</w:t>
                    </w:r>
                    <w:r>
                      <w:fldChar w:fldCharType="end"/>
                    </w:r>
                  </w:p>
                  <w:p w14:paraId="7A9739F5" w14:textId="77777777" w:rsidR="00896BBF" w:rsidRDefault="00896BBF"/>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8EF"/>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A6F8F"/>
    <w:rsid w:val="002C4E7A"/>
    <w:rsid w:val="002D7C93"/>
    <w:rsid w:val="00305801"/>
    <w:rsid w:val="003916DE"/>
    <w:rsid w:val="00421996"/>
    <w:rsid w:val="00441C3B"/>
    <w:rsid w:val="00446FE5"/>
    <w:rsid w:val="00452396"/>
    <w:rsid w:val="0047211F"/>
    <w:rsid w:val="00477EB2"/>
    <w:rsid w:val="004837D8"/>
    <w:rsid w:val="004910AD"/>
    <w:rsid w:val="004E2EED"/>
    <w:rsid w:val="004E468C"/>
    <w:rsid w:val="005505B7"/>
    <w:rsid w:val="00573BE5"/>
    <w:rsid w:val="00586ED3"/>
    <w:rsid w:val="00596AA9"/>
    <w:rsid w:val="005B5F08"/>
    <w:rsid w:val="005C18EF"/>
    <w:rsid w:val="006F5620"/>
    <w:rsid w:val="0071601D"/>
    <w:rsid w:val="007A62E6"/>
    <w:rsid w:val="007F20FA"/>
    <w:rsid w:val="0080684C"/>
    <w:rsid w:val="00871C75"/>
    <w:rsid w:val="008776DC"/>
    <w:rsid w:val="00896BBF"/>
    <w:rsid w:val="008D5EF9"/>
    <w:rsid w:val="009446C0"/>
    <w:rsid w:val="009705C8"/>
    <w:rsid w:val="009C1CF4"/>
    <w:rsid w:val="009F6B74"/>
    <w:rsid w:val="00A3029F"/>
    <w:rsid w:val="00A30353"/>
    <w:rsid w:val="00A6679D"/>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AE8"/>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F7E02"/>
  <w15:docId w15:val="{4BAA7CDB-3839-4655-B2E4-C64A4C29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5B5F08"/>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1FEBBE-F7A1-4C46-BC5F-087448249E89}"/>
</file>

<file path=customXml/itemProps2.xml><?xml version="1.0" encoding="utf-8"?>
<ds:datastoreItem xmlns:ds="http://schemas.openxmlformats.org/officeDocument/2006/customXml" ds:itemID="{FF352944-D375-43A6-B0B8-4F859AC4EE20}"/>
</file>

<file path=docProps/app.xml><?xml version="1.0" encoding="utf-8"?>
<Properties xmlns="http://schemas.openxmlformats.org/officeDocument/2006/extended-properties" xmlns:vt="http://schemas.openxmlformats.org/officeDocument/2006/docPropsVTypes">
  <Template>ECE_TRANS.dotm</Template>
  <TotalTime>0</TotalTime>
  <Pages>5</Pages>
  <Words>936</Words>
  <Characters>6552</Characters>
  <Application>Microsoft Office Word</Application>
  <DocSecurity>0</DocSecurity>
  <Lines>546</Lines>
  <Paragraphs>299</Paragraphs>
  <ScaleCrop>false</ScaleCrop>
  <HeadingPairs>
    <vt:vector size="2" baseType="variant">
      <vt:variant>
        <vt:lpstr>Titre</vt:lpstr>
      </vt:variant>
      <vt:variant>
        <vt:i4>1</vt:i4>
      </vt:variant>
    </vt:vector>
  </HeadingPairs>
  <TitlesOfParts>
    <vt:vector size="1" baseType="lpstr">
      <vt:lpstr>ECE/TRANS/WP.29/2023/43</vt:lpstr>
    </vt:vector>
  </TitlesOfParts>
  <Company>DCM</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ECE/TRANS/WP.29/2023/43</dc:title>
  <dc:subject/>
  <dc:creator>Nicolas MORIN</dc:creator>
  <cp:keywords/>
  <cp:lastModifiedBy>Nicolas Morin</cp:lastModifiedBy>
  <cp:revision>2</cp:revision>
  <cp:lastPrinted>2014-05-14T10:59:00Z</cp:lastPrinted>
  <dcterms:created xsi:type="dcterms:W3CDTF">2023-01-18T16:23:00Z</dcterms:created>
  <dcterms:modified xsi:type="dcterms:W3CDTF">2023-01-18T16:23:00Z</dcterms:modified>
</cp:coreProperties>
</file>