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333AC22C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61D4525" w14:textId="77777777" w:rsidR="00F35BAF" w:rsidRPr="00DB58B5" w:rsidRDefault="00F35BAF" w:rsidP="00A827B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BF2614C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8B9E0B" w14:textId="35EC682A" w:rsidR="00F35BAF" w:rsidRPr="00DB58B5" w:rsidRDefault="00A827BF" w:rsidP="00A827BF">
            <w:pPr>
              <w:jc w:val="right"/>
            </w:pPr>
            <w:r w:rsidRPr="00A827BF">
              <w:rPr>
                <w:sz w:val="40"/>
              </w:rPr>
              <w:t>ECE</w:t>
            </w:r>
            <w:r>
              <w:t>/TRANS/WP.29/2023/33</w:t>
            </w:r>
          </w:p>
        </w:tc>
      </w:tr>
      <w:tr w:rsidR="00F35BAF" w:rsidRPr="00DB58B5" w14:paraId="089578A4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037D1F8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2512DB27" wp14:editId="5F6E2C0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87F1BF2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3180992" w14:textId="77777777" w:rsidR="00F35BAF" w:rsidRDefault="00A827BF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007F664B" w14:textId="77777777" w:rsidR="00A827BF" w:rsidRDefault="00A827BF" w:rsidP="00A827BF">
            <w:pPr>
              <w:spacing w:line="240" w:lineRule="exact"/>
            </w:pPr>
            <w:r>
              <w:t>23 décembre 2022</w:t>
            </w:r>
          </w:p>
          <w:p w14:paraId="0D82418B" w14:textId="77777777" w:rsidR="00A827BF" w:rsidRDefault="00A827BF" w:rsidP="00A827BF">
            <w:pPr>
              <w:spacing w:line="240" w:lineRule="exact"/>
            </w:pPr>
            <w:r>
              <w:t>Français</w:t>
            </w:r>
          </w:p>
          <w:p w14:paraId="2F5FC857" w14:textId="008F7825" w:rsidR="00A827BF" w:rsidRPr="00DB58B5" w:rsidRDefault="00A827BF" w:rsidP="00A827BF">
            <w:pPr>
              <w:spacing w:line="240" w:lineRule="exact"/>
            </w:pPr>
            <w:r>
              <w:t>Original : anglais</w:t>
            </w:r>
          </w:p>
        </w:tc>
      </w:tr>
    </w:tbl>
    <w:p w14:paraId="6941E68B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203660D4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5DEC63F" w14:textId="77777777" w:rsidR="00A827BF" w:rsidRDefault="00A827BF" w:rsidP="00A827BF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2E683FEC" w14:textId="77777777" w:rsidR="00A827BF" w:rsidRPr="00D04A44" w:rsidRDefault="00A827BF" w:rsidP="00A827BF">
      <w:pPr>
        <w:spacing w:before="120"/>
        <w:rPr>
          <w:b/>
          <w:lang w:val="fr-FR"/>
        </w:rPr>
      </w:pPr>
      <w:r>
        <w:rPr>
          <w:b/>
          <w:bCs/>
          <w:lang w:val="fr-FR"/>
        </w:rPr>
        <w:t>189</w:t>
      </w:r>
      <w:r w:rsidRPr="00D81E0D">
        <w:rPr>
          <w:b/>
          <w:bCs/>
          <w:vertAlign w:val="superscript"/>
          <w:lang w:val="fr-FR"/>
        </w:rPr>
        <w:t>e</w:t>
      </w:r>
      <w:r w:rsidRPr="00D04A44">
        <w:rPr>
          <w:b/>
          <w:bCs/>
          <w:lang w:val="fr-FR"/>
        </w:rPr>
        <w:t xml:space="preserve"> session</w:t>
      </w:r>
    </w:p>
    <w:p w14:paraId="7068FCD3" w14:textId="77777777" w:rsidR="00A827BF" w:rsidRPr="00D04A44" w:rsidRDefault="00A827BF" w:rsidP="00A827BF">
      <w:pPr>
        <w:rPr>
          <w:bCs/>
          <w:lang w:val="fr-FR"/>
        </w:rPr>
      </w:pPr>
      <w:r w:rsidRPr="00D04A44">
        <w:rPr>
          <w:lang w:val="fr-FR"/>
        </w:rPr>
        <w:t xml:space="preserve">Genève, </w:t>
      </w:r>
      <w:r>
        <w:rPr>
          <w:lang w:val="fr-FR"/>
        </w:rPr>
        <w:t>7-9 mars 2023</w:t>
      </w:r>
    </w:p>
    <w:p w14:paraId="06B81E6C" w14:textId="77777777" w:rsidR="00A827BF" w:rsidRPr="00D04A44" w:rsidRDefault="00A827BF" w:rsidP="00A827BF">
      <w:pPr>
        <w:ind w:right="1134"/>
        <w:rPr>
          <w:bCs/>
          <w:lang w:val="fr-FR"/>
        </w:rPr>
      </w:pPr>
      <w:r w:rsidRPr="00D04A44">
        <w:rPr>
          <w:lang w:val="fr-FR"/>
        </w:rPr>
        <w:t xml:space="preserve">Point </w:t>
      </w:r>
      <w:r w:rsidRPr="001A30B6">
        <w:t xml:space="preserve"> </w:t>
      </w:r>
      <w:r>
        <w:t>4.9.9</w:t>
      </w:r>
      <w:r w:rsidRPr="00D04A44">
        <w:rPr>
          <w:lang w:val="fr-FR"/>
        </w:rPr>
        <w:t xml:space="preserve"> de l</w:t>
      </w:r>
      <w:r>
        <w:rPr>
          <w:lang w:val="fr-FR"/>
        </w:rPr>
        <w:t>’</w:t>
      </w:r>
      <w:r w:rsidRPr="00D04A44">
        <w:rPr>
          <w:lang w:val="fr-FR"/>
        </w:rPr>
        <w:t>ordre du jour provisoire</w:t>
      </w:r>
    </w:p>
    <w:p w14:paraId="6073BAC6" w14:textId="77777777" w:rsidR="00A827BF" w:rsidRDefault="00A827BF" w:rsidP="00A827BF">
      <w:pPr>
        <w:ind w:right="1467"/>
        <w:rPr>
          <w:b/>
          <w:bCs/>
          <w:lang w:val="fr-FR"/>
        </w:rPr>
      </w:pPr>
      <w:r>
        <w:rPr>
          <w:b/>
          <w:bCs/>
          <w:lang w:val="fr-FR"/>
        </w:rPr>
        <w:t>Accord de 1958 :</w:t>
      </w:r>
    </w:p>
    <w:p w14:paraId="3A8C921C" w14:textId="37F773C6" w:rsidR="00A827BF" w:rsidRPr="00D04A44" w:rsidRDefault="00A827BF" w:rsidP="00240154">
      <w:pPr>
        <w:rPr>
          <w:b/>
          <w:bCs/>
          <w:lang w:val="fr-FR"/>
        </w:rPr>
      </w:pPr>
      <w:r>
        <w:rPr>
          <w:b/>
          <w:bCs/>
          <w:lang w:val="fr-FR"/>
        </w:rPr>
        <w:t>Examen de projets d’amendements à des</w:t>
      </w:r>
      <w:r w:rsidR="00240154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Règlements ONU </w:t>
      </w:r>
      <w:r w:rsidR="00240154">
        <w:rPr>
          <w:b/>
          <w:bCs/>
          <w:lang w:val="fr-FR"/>
        </w:rPr>
        <w:br/>
      </w:r>
      <w:r>
        <w:rPr>
          <w:b/>
          <w:bCs/>
          <w:lang w:val="fr-FR"/>
        </w:rPr>
        <w:t>existants, soumis par le GRE</w:t>
      </w:r>
    </w:p>
    <w:p w14:paraId="3DCE1171" w14:textId="2B2138C4" w:rsidR="00A827BF" w:rsidRPr="00D04A44" w:rsidRDefault="00A827BF" w:rsidP="00A827BF">
      <w:pPr>
        <w:pStyle w:val="HChG"/>
        <w:rPr>
          <w:lang w:val="fr-FR"/>
        </w:rPr>
      </w:pPr>
      <w:r w:rsidRPr="00D04A44">
        <w:rPr>
          <w:lang w:val="fr-FR"/>
        </w:rPr>
        <w:tab/>
      </w:r>
      <w:r w:rsidRPr="00D04A44">
        <w:rPr>
          <w:lang w:val="fr-FR"/>
        </w:rPr>
        <w:tab/>
        <w:t xml:space="preserve">Proposition de complément </w:t>
      </w:r>
      <w:r>
        <w:rPr>
          <w:lang w:val="fr-FR"/>
        </w:rPr>
        <w:t xml:space="preserve">4 à la série 03 </w:t>
      </w:r>
      <w:r w:rsidRPr="00D04A44">
        <w:rPr>
          <w:lang w:val="fr-FR"/>
        </w:rPr>
        <w:t>d</w:t>
      </w:r>
      <w:r>
        <w:rPr>
          <w:lang w:val="fr-FR"/>
        </w:rPr>
        <w:t>’</w:t>
      </w:r>
      <w:r w:rsidRPr="00D04A44">
        <w:rPr>
          <w:lang w:val="fr-FR"/>
        </w:rPr>
        <w:t xml:space="preserve">amendements </w:t>
      </w:r>
      <w:r>
        <w:rPr>
          <w:lang w:val="fr-FR"/>
        </w:rPr>
        <w:br/>
      </w:r>
      <w:r w:rsidRPr="00D04A44">
        <w:rPr>
          <w:lang w:val="fr-FR"/>
        </w:rPr>
        <w:t>au Règlement ONU n</w:t>
      </w:r>
      <w:r w:rsidRPr="00D04A44">
        <w:rPr>
          <w:vertAlign w:val="superscript"/>
          <w:lang w:val="fr-FR"/>
        </w:rPr>
        <w:t>o</w:t>
      </w:r>
      <w:r w:rsidRPr="00D04A44">
        <w:rPr>
          <w:lang w:val="fr-FR"/>
        </w:rPr>
        <w:t xml:space="preserve"> 53 (Installation des dispositifs d</w:t>
      </w:r>
      <w:r>
        <w:rPr>
          <w:lang w:val="fr-FR"/>
        </w:rPr>
        <w:t>’</w:t>
      </w:r>
      <w:r w:rsidRPr="00D04A44">
        <w:rPr>
          <w:lang w:val="fr-FR"/>
        </w:rPr>
        <w:t xml:space="preserve">éclairage et de signalisation lumineuse </w:t>
      </w:r>
      <w:r>
        <w:rPr>
          <w:lang w:val="fr-FR"/>
        </w:rPr>
        <w:br/>
      </w:r>
      <w:r w:rsidRPr="00D04A44">
        <w:rPr>
          <w:lang w:val="fr-FR"/>
        </w:rPr>
        <w:t>sur les véhicules de la catégorie L</w:t>
      </w:r>
      <w:r w:rsidRPr="00D04A44">
        <w:rPr>
          <w:vertAlign w:val="subscript"/>
          <w:lang w:val="fr-FR"/>
        </w:rPr>
        <w:t>3</w:t>
      </w:r>
      <w:r w:rsidRPr="00D04A44">
        <w:rPr>
          <w:lang w:val="fr-FR"/>
        </w:rPr>
        <w:t>)</w:t>
      </w:r>
    </w:p>
    <w:p w14:paraId="257FEAA7" w14:textId="329E4D8A" w:rsidR="00A827BF" w:rsidRPr="00D04A44" w:rsidRDefault="00A827BF" w:rsidP="00A827BF">
      <w:pPr>
        <w:pStyle w:val="H1G"/>
        <w:rPr>
          <w:szCs w:val="24"/>
          <w:lang w:val="fr-FR"/>
        </w:rPr>
      </w:pPr>
      <w:r w:rsidRPr="00D04A44">
        <w:rPr>
          <w:lang w:val="fr-FR"/>
        </w:rPr>
        <w:tab/>
      </w:r>
      <w:r w:rsidRPr="00D04A44">
        <w:rPr>
          <w:lang w:val="fr-FR"/>
        </w:rPr>
        <w:tab/>
        <w:t xml:space="preserve">Communication </w:t>
      </w:r>
      <w:r>
        <w:rPr>
          <w:lang w:val="fr-FR"/>
        </w:rPr>
        <w:t xml:space="preserve">du Groupe de travail de l’éclairage </w:t>
      </w:r>
      <w:r>
        <w:rPr>
          <w:lang w:val="fr-FR"/>
        </w:rPr>
        <w:br/>
      </w:r>
      <w:r>
        <w:rPr>
          <w:lang w:val="fr-FR"/>
        </w:rPr>
        <w:t>et de la signalisation lumineuse</w:t>
      </w:r>
      <w:r w:rsidRPr="00987635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3759D0E6" w14:textId="7E117894" w:rsidR="00A827BF" w:rsidRDefault="00A827BF" w:rsidP="00A827BF">
      <w:pPr>
        <w:pStyle w:val="SingleTxt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D04A44">
        <w:rPr>
          <w:lang w:val="fr-FR"/>
        </w:rPr>
        <w:t>Le texte ci-après</w:t>
      </w:r>
      <w:r>
        <w:rPr>
          <w:lang w:val="fr-FR"/>
        </w:rPr>
        <w:t xml:space="preserve"> a été adopté par le Groupe de travail </w:t>
      </w:r>
      <w:r w:rsidRPr="00E023A1">
        <w:rPr>
          <w:lang w:val="fr-FR"/>
        </w:rPr>
        <w:t>de l</w:t>
      </w:r>
      <w:r>
        <w:rPr>
          <w:lang w:val="fr-FR"/>
        </w:rPr>
        <w:t>’</w:t>
      </w:r>
      <w:r w:rsidRPr="00E023A1">
        <w:rPr>
          <w:lang w:val="fr-FR"/>
        </w:rPr>
        <w:t>éclairage et de la signalisation lumineuse</w:t>
      </w:r>
      <w:r>
        <w:rPr>
          <w:lang w:val="fr-FR"/>
        </w:rPr>
        <w:t xml:space="preserve"> (GRE) à sa quatre-vingt-septième session (ECE/TRANS/WP.29/</w:t>
      </w:r>
      <w:r>
        <w:rPr>
          <w:lang w:val="fr-FR"/>
        </w:rPr>
        <w:t xml:space="preserve"> </w:t>
      </w:r>
      <w:r>
        <w:rPr>
          <w:lang w:val="fr-FR"/>
        </w:rPr>
        <w:t xml:space="preserve">GRE/87, par. 30). Il est fondé sur le document </w:t>
      </w:r>
      <w:r w:rsidRPr="00D81E0D">
        <w:rPr>
          <w:lang w:val="fr-FR"/>
        </w:rPr>
        <w:t>ECE/TRANS/WP.29/GRE/2022/23</w:t>
      </w:r>
      <w:r>
        <w:rPr>
          <w:lang w:val="fr-FR"/>
        </w:rPr>
        <w:t>. Il est soumis au Forum mondial de l’harmonisation des Règlements concernant les véhicules (WP.29) et au Comité d’administration de l’Accord de 1958 (AC.1) pour examen à leurs sessions de mars 2023.</w:t>
      </w:r>
    </w:p>
    <w:p w14:paraId="0BAFE54B" w14:textId="77777777" w:rsidR="00A827BF" w:rsidRDefault="00A827BF" w:rsidP="00A827BF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75FC2AA3" w14:textId="77777777" w:rsidR="00A827BF" w:rsidRPr="00D04A44" w:rsidRDefault="00A827BF" w:rsidP="00A827BF">
      <w:pPr>
        <w:pStyle w:val="SingleTxtG"/>
        <w:rPr>
          <w:lang w:val="fr-FR"/>
        </w:rPr>
      </w:pPr>
      <w:r w:rsidRPr="00987635">
        <w:rPr>
          <w:i/>
          <w:iCs/>
          <w:lang w:val="fr-FR"/>
        </w:rPr>
        <w:lastRenderedPageBreak/>
        <w:t>Ajouter le nouveau paragraphe 2.22</w:t>
      </w:r>
      <w:r w:rsidRPr="00D04A44">
        <w:rPr>
          <w:lang w:val="fr-FR"/>
        </w:rPr>
        <w:t>, libellé comme suit :</w:t>
      </w:r>
    </w:p>
    <w:p w14:paraId="65FC987D" w14:textId="77777777" w:rsidR="00A827BF" w:rsidRPr="00D04A44" w:rsidRDefault="00A827BF" w:rsidP="00A827BF">
      <w:pPr>
        <w:pStyle w:val="SingleTxtG"/>
        <w:ind w:left="2268" w:hanging="1134"/>
        <w:rPr>
          <w:bCs/>
          <w:iCs/>
          <w:lang w:val="fr-FR"/>
        </w:rPr>
      </w:pPr>
      <w:r w:rsidRPr="00987635">
        <w:rPr>
          <w:lang w:val="fr-FR"/>
        </w:rPr>
        <w:t>«</w:t>
      </w:r>
      <w:r>
        <w:rPr>
          <w:b/>
          <w:bCs/>
          <w:lang w:val="fr-FR"/>
        </w:rPr>
        <w:t> </w:t>
      </w:r>
      <w:r w:rsidRPr="00D81E0D">
        <w:rPr>
          <w:lang w:val="fr-FR"/>
        </w:rPr>
        <w:t>2.22</w:t>
      </w:r>
      <w:r w:rsidRPr="00E023A1">
        <w:rPr>
          <w:lang w:val="fr-FR"/>
        </w:rPr>
        <w:tab/>
      </w:r>
      <w:r w:rsidRPr="00D81E0D">
        <w:rPr>
          <w:lang w:val="fr-FR"/>
        </w:rPr>
        <w:t>“</w:t>
      </w:r>
      <w:r w:rsidRPr="00D81E0D">
        <w:rPr>
          <w:i/>
          <w:iCs/>
          <w:lang w:val="fr-FR"/>
        </w:rPr>
        <w:t>Signal avertisseur de risque de choc arrière</w:t>
      </w:r>
      <w:r w:rsidRPr="00D81E0D">
        <w:rPr>
          <w:lang w:val="fr-FR"/>
        </w:rPr>
        <w:t>”, un signal automatique émis par le véhicule aval à l</w:t>
      </w:r>
      <w:r>
        <w:rPr>
          <w:lang w:val="fr-FR"/>
        </w:rPr>
        <w:t>’</w:t>
      </w:r>
      <w:r w:rsidRPr="00D81E0D">
        <w:rPr>
          <w:lang w:val="fr-FR"/>
        </w:rPr>
        <w:t>intention du véhicule amont afin de l</w:t>
      </w:r>
      <w:r>
        <w:rPr>
          <w:lang w:val="fr-FR"/>
        </w:rPr>
        <w:t>’</w:t>
      </w:r>
      <w:r w:rsidRPr="00D81E0D">
        <w:rPr>
          <w:lang w:val="fr-FR"/>
        </w:rPr>
        <w:t>avertir qu</w:t>
      </w:r>
      <w:r>
        <w:rPr>
          <w:lang w:val="fr-FR"/>
        </w:rPr>
        <w:t>’</w:t>
      </w:r>
      <w:r w:rsidRPr="00D81E0D">
        <w:rPr>
          <w:lang w:val="fr-FR"/>
        </w:rPr>
        <w:t>il doit agir de toute urgence pour éviter une collision. ».</w:t>
      </w:r>
    </w:p>
    <w:p w14:paraId="2672D532" w14:textId="77777777" w:rsidR="00A827BF" w:rsidRPr="00D04A44" w:rsidRDefault="00A827BF" w:rsidP="00A827BF">
      <w:pPr>
        <w:pStyle w:val="SingleTxtG"/>
        <w:rPr>
          <w:bCs/>
          <w:i/>
          <w:lang w:val="fr-FR"/>
        </w:rPr>
      </w:pPr>
      <w:r w:rsidRPr="00D04A44">
        <w:rPr>
          <w:i/>
          <w:iCs/>
          <w:lang w:val="fr-FR"/>
        </w:rPr>
        <w:t>Paragraphe 5.13</w:t>
      </w:r>
      <w:r w:rsidRPr="00D04A44">
        <w:rPr>
          <w:lang w:val="fr-FR"/>
        </w:rPr>
        <w:t>, lire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1E699437" w14:textId="77777777" w:rsidR="00A827BF" w:rsidRPr="00D04A44" w:rsidRDefault="00A827BF" w:rsidP="00A827BF">
      <w:pPr>
        <w:pStyle w:val="SingleTxtG"/>
        <w:ind w:left="2268" w:hanging="1134"/>
        <w:rPr>
          <w:bCs/>
          <w:iCs/>
          <w:lang w:val="fr-FR"/>
        </w:rPr>
      </w:pPr>
      <w:r>
        <w:rPr>
          <w:lang w:val="fr-FR"/>
        </w:rPr>
        <w:t>« </w:t>
      </w:r>
      <w:r w:rsidRPr="00D04A44">
        <w:rPr>
          <w:lang w:val="fr-FR"/>
        </w:rPr>
        <w:t>5.13</w:t>
      </w:r>
      <w:r w:rsidRPr="00D04A44">
        <w:rPr>
          <w:lang w:val="fr-FR"/>
        </w:rPr>
        <w:tab/>
        <w:t xml:space="preserve">Couleur des feux </w:t>
      </w:r>
    </w:p>
    <w:p w14:paraId="5367CC89" w14:textId="77777777" w:rsidR="00A827BF" w:rsidRPr="00D04A44" w:rsidRDefault="00A827BF" w:rsidP="00A827BF">
      <w:pPr>
        <w:pStyle w:val="SingleTxtG"/>
        <w:ind w:left="2268"/>
        <w:rPr>
          <w:bCs/>
          <w:iCs/>
          <w:lang w:val="fr-FR"/>
        </w:rPr>
      </w:pPr>
      <w:r w:rsidRPr="00D04A44">
        <w:rPr>
          <w:lang w:val="fr-FR"/>
        </w:rPr>
        <w:tab/>
        <w:t>...</w:t>
      </w:r>
    </w:p>
    <w:p w14:paraId="501E7358" w14:textId="77777777" w:rsidR="00A827BF" w:rsidRPr="00D04A44" w:rsidRDefault="00A827BF" w:rsidP="00A827BF">
      <w:pPr>
        <w:pStyle w:val="SingleTxtG"/>
        <w:ind w:left="2268"/>
        <w:rPr>
          <w:bCs/>
          <w:iCs/>
          <w:lang w:val="fr-FR"/>
        </w:rPr>
      </w:pPr>
      <w:r w:rsidRPr="00E023A1">
        <w:rPr>
          <w:lang w:val="fr-FR"/>
        </w:rPr>
        <w:tab/>
      </w:r>
      <w:r w:rsidRPr="00D81E0D">
        <w:rPr>
          <w:lang w:val="fr-FR"/>
        </w:rPr>
        <w:t>Signal avertisseur de risque de choc arrière : jaune-auto</w:t>
      </w:r>
      <w:r w:rsidRPr="00E023A1">
        <w:rPr>
          <w:lang w:val="fr-FR"/>
        </w:rPr>
        <w:t>. </w:t>
      </w:r>
      <w:r>
        <w:rPr>
          <w:lang w:val="fr-FR"/>
        </w:rPr>
        <w:t>».</w:t>
      </w:r>
    </w:p>
    <w:p w14:paraId="3B3BCD10" w14:textId="77777777" w:rsidR="00A827BF" w:rsidRPr="00D04A44" w:rsidRDefault="00A827BF" w:rsidP="00A827BF">
      <w:pPr>
        <w:pStyle w:val="SingleTxtG"/>
        <w:rPr>
          <w:lang w:val="fr-FR"/>
        </w:rPr>
      </w:pPr>
      <w:r w:rsidRPr="00D04A44">
        <w:rPr>
          <w:i/>
          <w:iCs/>
          <w:lang w:val="fr-FR"/>
        </w:rPr>
        <w:t>Ajouter le nouveau paragraphe 5.15.8</w:t>
      </w:r>
      <w:r w:rsidRPr="00D04A44">
        <w:rPr>
          <w:lang w:val="fr-FR"/>
        </w:rPr>
        <w:t>, libellé comme suit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0036AD57" w14:textId="77777777" w:rsidR="00A827BF" w:rsidRPr="00D04A44" w:rsidRDefault="00A827BF" w:rsidP="00A827BF">
      <w:pPr>
        <w:pStyle w:val="SingleTxtG"/>
        <w:ind w:left="2268" w:hanging="1134"/>
        <w:rPr>
          <w:color w:val="1F497D"/>
          <w:lang w:val="fr-FR"/>
        </w:rPr>
      </w:pPr>
      <w:r>
        <w:rPr>
          <w:lang w:val="fr-FR"/>
        </w:rPr>
        <w:t>« </w:t>
      </w:r>
      <w:r w:rsidRPr="00D81E0D">
        <w:rPr>
          <w:lang w:val="fr-FR"/>
        </w:rPr>
        <w:t>5.15.8</w:t>
      </w:r>
      <w:r w:rsidRPr="00E023A1">
        <w:rPr>
          <w:lang w:val="fr-FR"/>
        </w:rPr>
        <w:tab/>
      </w:r>
      <w:r w:rsidRPr="00D81E0D">
        <w:rPr>
          <w:lang w:val="fr-FR"/>
        </w:rPr>
        <w:t>Signal avertisseur de risque de choc arrière (par. 6.17).</w:t>
      </w:r>
      <w:r>
        <w:rPr>
          <w:lang w:val="fr-FR"/>
        </w:rPr>
        <w:t> »</w:t>
      </w:r>
      <w:r w:rsidRPr="00D04A44">
        <w:rPr>
          <w:lang w:val="fr-FR"/>
        </w:rPr>
        <w:t>.</w:t>
      </w:r>
    </w:p>
    <w:p w14:paraId="4CA4A3DE" w14:textId="77777777" w:rsidR="00A827BF" w:rsidRPr="00D04A44" w:rsidRDefault="00A827BF" w:rsidP="00A827BF">
      <w:pPr>
        <w:pStyle w:val="SingleTxtG"/>
        <w:rPr>
          <w:bCs/>
          <w:i/>
          <w:lang w:val="fr-FR"/>
        </w:rPr>
      </w:pPr>
      <w:r w:rsidRPr="00D04A44">
        <w:rPr>
          <w:i/>
          <w:iCs/>
          <w:lang w:val="fr-FR"/>
        </w:rPr>
        <w:t>Paragraphe 6.9.2</w:t>
      </w:r>
      <w:r w:rsidRPr="00D04A44">
        <w:rPr>
          <w:lang w:val="fr-FR"/>
        </w:rPr>
        <w:t>, lire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632F5D81" w14:textId="77777777" w:rsidR="00A827BF" w:rsidRPr="00D04A44" w:rsidRDefault="00A827BF" w:rsidP="00A827BF">
      <w:pPr>
        <w:pStyle w:val="SingleTxtG"/>
        <w:ind w:left="2268" w:hanging="1134"/>
        <w:rPr>
          <w:bCs/>
          <w:iCs/>
          <w:lang w:val="fr-FR"/>
        </w:rPr>
      </w:pPr>
      <w:r>
        <w:rPr>
          <w:lang w:val="fr-FR"/>
        </w:rPr>
        <w:t>« </w:t>
      </w:r>
      <w:r w:rsidRPr="00D04A44">
        <w:rPr>
          <w:lang w:val="fr-FR"/>
        </w:rPr>
        <w:t>6.9.2</w:t>
      </w:r>
      <w:r>
        <w:rPr>
          <w:lang w:val="fr-FR"/>
        </w:rPr>
        <w:tab/>
      </w:r>
      <w:r w:rsidRPr="00D04A44">
        <w:rPr>
          <w:lang w:val="fr-FR"/>
        </w:rPr>
        <w:t>Branchements électriques</w:t>
      </w:r>
    </w:p>
    <w:p w14:paraId="2B230EA2" w14:textId="6FCEEB5C" w:rsidR="00A827BF" w:rsidRPr="00D04A44" w:rsidRDefault="00A827BF" w:rsidP="00A827BF">
      <w:pPr>
        <w:pStyle w:val="SingleTxtG"/>
        <w:ind w:left="2268"/>
        <w:rPr>
          <w:bCs/>
          <w:iCs/>
          <w:lang w:val="fr-FR"/>
        </w:rPr>
      </w:pPr>
      <w:r w:rsidRPr="00D04A44">
        <w:rPr>
          <w:lang w:val="fr-FR"/>
        </w:rPr>
        <w:tab/>
        <w:t>Le signal doit être actionné par une commande distincte permettant l</w:t>
      </w:r>
      <w:r>
        <w:rPr>
          <w:lang w:val="fr-FR"/>
        </w:rPr>
        <w:t>’</w:t>
      </w:r>
      <w:r w:rsidRPr="00D04A44">
        <w:rPr>
          <w:lang w:val="fr-FR"/>
        </w:rPr>
        <w:t>alimentation simultanée de tous les indicateurs de</w:t>
      </w:r>
      <w:r w:rsidR="00240154">
        <w:rPr>
          <w:lang w:val="fr-FR"/>
        </w:rPr>
        <w:t xml:space="preserve"> </w:t>
      </w:r>
      <w:r w:rsidRPr="00D04A44">
        <w:rPr>
          <w:lang w:val="fr-FR"/>
        </w:rPr>
        <w:t>direction. Il peut en outre se déclencher automatiquement lorsqu</w:t>
      </w:r>
      <w:r>
        <w:rPr>
          <w:lang w:val="fr-FR"/>
        </w:rPr>
        <w:t>’</w:t>
      </w:r>
      <w:r w:rsidRPr="00D04A44">
        <w:rPr>
          <w:lang w:val="fr-FR"/>
        </w:rPr>
        <w:t>un véhicule est impliqué dans une collision ou après la désactivation du signal de freinage d</w:t>
      </w:r>
      <w:r>
        <w:rPr>
          <w:lang w:val="fr-FR"/>
        </w:rPr>
        <w:t>’</w:t>
      </w:r>
      <w:r w:rsidRPr="00D04A44">
        <w:rPr>
          <w:lang w:val="fr-FR"/>
        </w:rPr>
        <w:t>urgence, comme il est spécifié au paragraphe 6.14 ci-dessous. Dans de tels cas, il peut être éteint manuellement.</w:t>
      </w:r>
    </w:p>
    <w:p w14:paraId="7AF51E7C" w14:textId="77777777" w:rsidR="00A827BF" w:rsidRPr="00D04A44" w:rsidRDefault="00A827BF" w:rsidP="00A827BF">
      <w:pPr>
        <w:pStyle w:val="SingleTxtG"/>
        <w:ind w:left="2268"/>
        <w:rPr>
          <w:bCs/>
          <w:i/>
          <w:lang w:val="fr-FR"/>
        </w:rPr>
      </w:pPr>
      <w:r w:rsidRPr="00D81E0D">
        <w:rPr>
          <w:lang w:val="fr-FR"/>
        </w:rPr>
        <w:t>Le signal de détresse peut également se déclencher automatiquement pour indiquer aux autres usagers de la route un risque de danger imminent tel qu</w:t>
      </w:r>
      <w:r>
        <w:rPr>
          <w:lang w:val="fr-FR"/>
        </w:rPr>
        <w:t>’</w:t>
      </w:r>
      <w:r w:rsidRPr="00D81E0D">
        <w:rPr>
          <w:lang w:val="fr-FR"/>
        </w:rPr>
        <w:t>il est défini par les Règlements ; dans ce cas, le signal doit rester allumé jusqu</w:t>
      </w:r>
      <w:r>
        <w:rPr>
          <w:lang w:val="fr-FR"/>
        </w:rPr>
        <w:t>’</w:t>
      </w:r>
      <w:r w:rsidRPr="00D81E0D">
        <w:rPr>
          <w:lang w:val="fr-FR"/>
        </w:rPr>
        <w:t>à ce qu</w:t>
      </w:r>
      <w:r>
        <w:rPr>
          <w:lang w:val="fr-FR"/>
        </w:rPr>
        <w:t>’</w:t>
      </w:r>
      <w:r w:rsidRPr="00D81E0D">
        <w:rPr>
          <w:lang w:val="fr-FR"/>
        </w:rPr>
        <w:t>il soit éteint manuellement ou automatiquement.</w:t>
      </w:r>
      <w:r>
        <w:rPr>
          <w:lang w:val="fr-FR"/>
        </w:rPr>
        <w:t> »</w:t>
      </w:r>
      <w:r w:rsidRPr="00D04A44">
        <w:rPr>
          <w:lang w:val="fr-FR"/>
        </w:rPr>
        <w:t>.</w:t>
      </w:r>
    </w:p>
    <w:p w14:paraId="289F7FBF" w14:textId="77777777" w:rsidR="00A827BF" w:rsidRPr="00D04A44" w:rsidRDefault="00A827BF" w:rsidP="00A827BF">
      <w:pPr>
        <w:pStyle w:val="SingleTxtG"/>
        <w:rPr>
          <w:bCs/>
          <w:i/>
          <w:lang w:val="fr-FR"/>
        </w:rPr>
      </w:pPr>
      <w:r w:rsidRPr="00D04A44">
        <w:rPr>
          <w:i/>
          <w:iCs/>
          <w:lang w:val="fr-FR"/>
        </w:rPr>
        <w:t>Ajouter le nouveau paragraphe 6.17</w:t>
      </w:r>
      <w:r>
        <w:rPr>
          <w:i/>
          <w:iCs/>
          <w:lang w:val="fr-FR"/>
        </w:rPr>
        <w:t xml:space="preserve"> et </w:t>
      </w:r>
      <w:r w:rsidRPr="00E023A1">
        <w:rPr>
          <w:i/>
          <w:iCs/>
          <w:lang w:val="fr-FR"/>
        </w:rPr>
        <w:t>les sous-paragraphes correspondants</w:t>
      </w:r>
      <w:r w:rsidRPr="00D04A44">
        <w:rPr>
          <w:lang w:val="fr-FR"/>
        </w:rPr>
        <w:t>, comme suit</w:t>
      </w:r>
      <w:r>
        <w:rPr>
          <w:lang w:val="fr-FR"/>
        </w:rPr>
        <w:t> </w:t>
      </w:r>
      <w:r w:rsidRPr="00D04A44">
        <w:rPr>
          <w:lang w:val="fr-FR"/>
        </w:rPr>
        <w:t>:</w:t>
      </w:r>
    </w:p>
    <w:p w14:paraId="09F4903E" w14:textId="77777777" w:rsidR="00A827BF" w:rsidRPr="00D04A44" w:rsidRDefault="00A827BF" w:rsidP="00A827BF">
      <w:pPr>
        <w:pStyle w:val="SingleTxtG"/>
        <w:ind w:left="2268" w:hanging="1134"/>
        <w:rPr>
          <w:b/>
          <w:iCs/>
          <w:lang w:val="fr-FR"/>
        </w:rPr>
      </w:pPr>
      <w:r w:rsidRPr="00987635">
        <w:rPr>
          <w:lang w:val="fr-FR"/>
        </w:rPr>
        <w:t>«</w:t>
      </w:r>
      <w:r>
        <w:rPr>
          <w:b/>
          <w:bCs/>
          <w:lang w:val="fr-FR"/>
        </w:rPr>
        <w:t> </w:t>
      </w:r>
      <w:r w:rsidRPr="00D81E0D">
        <w:rPr>
          <w:lang w:val="fr-FR"/>
        </w:rPr>
        <w:t>6.17</w:t>
      </w:r>
      <w:r w:rsidRPr="004B79D6">
        <w:rPr>
          <w:lang w:val="fr-FR"/>
        </w:rPr>
        <w:tab/>
      </w:r>
      <w:r w:rsidRPr="00D81E0D">
        <w:rPr>
          <w:lang w:val="fr-FR"/>
        </w:rPr>
        <w:t>Signal avertisseur de risque de choc arrière</w:t>
      </w:r>
      <w:r w:rsidRPr="00D04A44">
        <w:rPr>
          <w:lang w:val="fr-FR"/>
        </w:rPr>
        <w:t xml:space="preserve"> </w:t>
      </w:r>
    </w:p>
    <w:p w14:paraId="064E4370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6.17.1</w:t>
      </w:r>
      <w:r w:rsidRPr="004B79D6">
        <w:rPr>
          <w:lang w:val="fr-FR"/>
        </w:rPr>
        <w:tab/>
      </w:r>
      <w:r w:rsidRPr="00D81E0D">
        <w:rPr>
          <w:lang w:val="fr-FR"/>
        </w:rPr>
        <w:t>Présence</w:t>
      </w:r>
    </w:p>
    <w:p w14:paraId="037DD9E9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Facultative.</w:t>
      </w:r>
    </w:p>
    <w:p w14:paraId="0E1D784B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Le signal avertisseur de risque de choc arrière est obtenu par le fonctionnement simultané de tous les feux indicateurs de direction, comme il est décrit au paragraphe 6.17.7.</w:t>
      </w:r>
    </w:p>
    <w:p w14:paraId="1B9C9503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6.17.2</w:t>
      </w:r>
      <w:r w:rsidRPr="004B79D6">
        <w:rPr>
          <w:lang w:val="fr-FR"/>
        </w:rPr>
        <w:tab/>
      </w:r>
      <w:r w:rsidRPr="00D81E0D">
        <w:rPr>
          <w:lang w:val="fr-FR"/>
        </w:rPr>
        <w:t>Nombre</w:t>
      </w:r>
    </w:p>
    <w:p w14:paraId="610D5DAB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6.3.1.</w:t>
      </w:r>
    </w:p>
    <w:p w14:paraId="58CF5132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6.17.3</w:t>
      </w:r>
      <w:r w:rsidRPr="004B79D6">
        <w:rPr>
          <w:lang w:val="fr-FR"/>
        </w:rPr>
        <w:tab/>
      </w:r>
      <w:r w:rsidRPr="00D81E0D">
        <w:rPr>
          <w:lang w:val="fr-FR"/>
        </w:rPr>
        <w:t>Schéma d</w:t>
      </w:r>
      <w:r>
        <w:rPr>
          <w:lang w:val="fr-FR"/>
        </w:rPr>
        <w:t>’</w:t>
      </w:r>
      <w:r w:rsidRPr="00D81E0D">
        <w:rPr>
          <w:lang w:val="fr-FR"/>
        </w:rPr>
        <w:t>installation</w:t>
      </w:r>
    </w:p>
    <w:p w14:paraId="246AD078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6.3.2.</w:t>
      </w:r>
    </w:p>
    <w:p w14:paraId="30CC5540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6.17.4</w:t>
      </w:r>
      <w:r w:rsidRPr="004B79D6">
        <w:rPr>
          <w:lang w:val="fr-FR"/>
        </w:rPr>
        <w:tab/>
      </w:r>
      <w:r w:rsidRPr="00D81E0D">
        <w:rPr>
          <w:lang w:val="fr-FR"/>
        </w:rPr>
        <w:t>Emplacement</w:t>
      </w:r>
    </w:p>
    <w:p w14:paraId="29EF40EF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6.3.3.</w:t>
      </w:r>
    </w:p>
    <w:p w14:paraId="5A9ACBA4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6.17.5</w:t>
      </w:r>
      <w:r w:rsidRPr="004B79D6">
        <w:rPr>
          <w:lang w:val="fr-FR"/>
        </w:rPr>
        <w:tab/>
      </w:r>
      <w:r w:rsidRPr="00D81E0D">
        <w:rPr>
          <w:lang w:val="fr-FR"/>
        </w:rPr>
        <w:t>Visibilité géométrique</w:t>
      </w:r>
    </w:p>
    <w:p w14:paraId="7F8342F8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D81E0D">
        <w:rPr>
          <w:lang w:val="fr-FR"/>
        </w:rPr>
        <w:t>Voir le paragraphe 6.3.4.</w:t>
      </w:r>
    </w:p>
    <w:p w14:paraId="69AD0F9D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6.17.6</w:t>
      </w:r>
      <w:r w:rsidRPr="004B79D6">
        <w:rPr>
          <w:lang w:val="fr-FR"/>
        </w:rPr>
        <w:tab/>
      </w:r>
      <w:r w:rsidRPr="00D81E0D">
        <w:rPr>
          <w:lang w:val="fr-FR"/>
        </w:rPr>
        <w:t>Orientation</w:t>
      </w:r>
    </w:p>
    <w:p w14:paraId="2F3CED0D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4B79D6">
        <w:rPr>
          <w:lang w:val="fr-FR"/>
        </w:rPr>
        <w:tab/>
      </w:r>
      <w:r w:rsidRPr="00D81E0D">
        <w:rPr>
          <w:lang w:val="fr-FR"/>
        </w:rPr>
        <w:t>Voir le paragraphe 6.3.5.</w:t>
      </w:r>
    </w:p>
    <w:p w14:paraId="4F5EDE98" w14:textId="77777777" w:rsidR="00A827BF" w:rsidRPr="00D04A44" w:rsidRDefault="00A827BF" w:rsidP="00A827BF">
      <w:pPr>
        <w:pStyle w:val="SingleTxtG"/>
        <w:ind w:left="2268" w:hanging="1134"/>
        <w:rPr>
          <w:b/>
          <w:iCs/>
          <w:lang w:val="fr-FR"/>
        </w:rPr>
      </w:pPr>
      <w:r w:rsidRPr="00D81E0D">
        <w:rPr>
          <w:lang w:val="fr-FR"/>
        </w:rPr>
        <w:t>6.17.7</w:t>
      </w:r>
      <w:r w:rsidRPr="004B79D6">
        <w:rPr>
          <w:lang w:val="fr-FR"/>
        </w:rPr>
        <w:tab/>
      </w:r>
      <w:r w:rsidRPr="00D81E0D">
        <w:rPr>
          <w:lang w:val="fr-FR"/>
        </w:rPr>
        <w:t>Branchements électriques</w:t>
      </w:r>
    </w:p>
    <w:p w14:paraId="058E4304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 w:rsidRPr="00D04A44">
        <w:rPr>
          <w:lang w:val="fr-FR"/>
        </w:rPr>
        <w:tab/>
      </w:r>
      <w:r w:rsidRPr="00D81E0D">
        <w:rPr>
          <w:lang w:val="fr-FR"/>
        </w:rPr>
        <w:t>La conformité avec ces prescriptions doit être prouvée par le demandeur à l</w:t>
      </w:r>
      <w:r>
        <w:rPr>
          <w:lang w:val="fr-FR"/>
        </w:rPr>
        <w:t>’</w:t>
      </w:r>
      <w:r w:rsidRPr="00D81E0D">
        <w:rPr>
          <w:lang w:val="fr-FR"/>
        </w:rPr>
        <w:t>aide d</w:t>
      </w:r>
      <w:r>
        <w:rPr>
          <w:lang w:val="fr-FR"/>
        </w:rPr>
        <w:t>’</w:t>
      </w:r>
      <w:r w:rsidRPr="00D81E0D">
        <w:rPr>
          <w:lang w:val="fr-FR"/>
        </w:rPr>
        <w:t>une simulation ou de tout autre moyen de vérification agréé par le service technique responsable de l</w:t>
      </w:r>
      <w:r>
        <w:rPr>
          <w:lang w:val="fr-FR"/>
        </w:rPr>
        <w:t>’</w:t>
      </w:r>
      <w:r w:rsidRPr="00D81E0D">
        <w:rPr>
          <w:lang w:val="fr-FR"/>
        </w:rPr>
        <w:t>homologation de type.</w:t>
      </w:r>
    </w:p>
    <w:p w14:paraId="3DADA31B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6.17.7.1</w:t>
      </w:r>
      <w:r w:rsidRPr="004B79D6">
        <w:rPr>
          <w:lang w:val="fr-FR"/>
        </w:rPr>
        <w:tab/>
      </w:r>
      <w:r w:rsidRPr="00D81E0D">
        <w:rPr>
          <w:lang w:val="fr-FR"/>
        </w:rPr>
        <w:t>Tous les feux du signal avertisseur de risque de choc arrière doivent clignoter de façon synchrone à une fréquence de 4,0 </w:t>
      </w:r>
      <w:r w:rsidRPr="00D81E0D">
        <w:rPr>
          <w:lang w:val="fr-FR"/>
        </w:rPr>
        <w:sym w:font="Symbol" w:char="F0B1"/>
      </w:r>
      <w:r w:rsidRPr="00D81E0D">
        <w:rPr>
          <w:lang w:val="fr-FR"/>
        </w:rPr>
        <w:t> 1,0 Hz.</w:t>
      </w:r>
    </w:p>
    <w:p w14:paraId="4957148E" w14:textId="77777777" w:rsidR="00A827BF" w:rsidRPr="00D81E0D" w:rsidRDefault="00A827BF" w:rsidP="00A827BF">
      <w:pPr>
        <w:pStyle w:val="SingleTxtG"/>
        <w:ind w:left="2268" w:hanging="1134"/>
        <w:rPr>
          <w:iCs/>
          <w:spacing w:val="-2"/>
          <w:lang w:val="fr-FR"/>
        </w:rPr>
      </w:pPr>
      <w:r w:rsidRPr="00D81E0D">
        <w:rPr>
          <w:spacing w:val="-2"/>
          <w:lang w:val="fr-FR"/>
        </w:rPr>
        <w:lastRenderedPageBreak/>
        <w:t>6.17.7.1.1</w:t>
      </w:r>
      <w:r w:rsidRPr="004B79D6">
        <w:rPr>
          <w:spacing w:val="-2"/>
          <w:lang w:val="fr-FR"/>
        </w:rPr>
        <w:tab/>
      </w:r>
      <w:r w:rsidRPr="00D81E0D">
        <w:rPr>
          <w:spacing w:val="-2"/>
          <w:lang w:val="fr-FR"/>
        </w:rPr>
        <w:t>Toutefois, si l</w:t>
      </w:r>
      <w:r>
        <w:rPr>
          <w:spacing w:val="-2"/>
          <w:lang w:val="fr-FR"/>
        </w:rPr>
        <w:t>’</w:t>
      </w:r>
      <w:r w:rsidRPr="00D81E0D">
        <w:rPr>
          <w:spacing w:val="-2"/>
          <w:lang w:val="fr-FR"/>
        </w:rPr>
        <w:t>un de ces feux émettant vers l</w:t>
      </w:r>
      <w:r>
        <w:rPr>
          <w:spacing w:val="-2"/>
          <w:lang w:val="fr-FR"/>
        </w:rPr>
        <w:t>’</w:t>
      </w:r>
      <w:r w:rsidRPr="00D81E0D">
        <w:rPr>
          <w:spacing w:val="-2"/>
          <w:lang w:val="fr-FR"/>
        </w:rPr>
        <w:t>arrière du véhicule utilise des sources lumineuses à incandescence, cette fréquence est de 4,0 +0,0/-1,0 Hz.</w:t>
      </w:r>
    </w:p>
    <w:p w14:paraId="2CBC6BF2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6.17.7.2</w:t>
      </w:r>
      <w:r w:rsidRPr="004B79D6">
        <w:rPr>
          <w:lang w:val="fr-FR"/>
        </w:rPr>
        <w:tab/>
      </w:r>
      <w:r w:rsidRPr="00D81E0D">
        <w:rPr>
          <w:lang w:val="fr-FR"/>
        </w:rPr>
        <w:t>Le signal avertisseur de risque de choc arrière doit fonctionner indépendamment des autres feux.</w:t>
      </w:r>
    </w:p>
    <w:p w14:paraId="5385ED04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6.17.7.3</w:t>
      </w:r>
      <w:r w:rsidRPr="004B79D6">
        <w:rPr>
          <w:lang w:val="fr-FR"/>
        </w:rPr>
        <w:tab/>
      </w:r>
      <w:r w:rsidRPr="00D81E0D">
        <w:rPr>
          <w:lang w:val="fr-FR"/>
        </w:rPr>
        <w:t>Le signal avertisseur de risque de choc arrière doit être allumé et éteint automatiquement.</w:t>
      </w:r>
    </w:p>
    <w:p w14:paraId="53E2A4F1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6.17.7.4</w:t>
      </w:r>
      <w:r w:rsidRPr="004B79D6">
        <w:rPr>
          <w:lang w:val="fr-FR"/>
        </w:rPr>
        <w:tab/>
      </w:r>
      <w:r w:rsidRPr="00D81E0D">
        <w:rPr>
          <w:lang w:val="fr-FR"/>
        </w:rPr>
        <w:t>Le signal avertisseur de risque de choc arrière ne doit pas être allumé si les indicateurs de direction, le signal de détresse ou le signal de freinage d</w:t>
      </w:r>
      <w:r>
        <w:rPr>
          <w:lang w:val="fr-FR"/>
        </w:rPr>
        <w:t>’</w:t>
      </w:r>
      <w:r w:rsidRPr="00D81E0D">
        <w:rPr>
          <w:lang w:val="fr-FR"/>
        </w:rPr>
        <w:t>urgence sont activés.</w:t>
      </w:r>
    </w:p>
    <w:p w14:paraId="38DEA05F" w14:textId="77777777" w:rsidR="00A827BF" w:rsidRPr="006C468F" w:rsidRDefault="00A827BF" w:rsidP="00A827BF">
      <w:pPr>
        <w:pStyle w:val="SingleTxtG"/>
        <w:ind w:left="2268" w:hanging="1134"/>
        <w:rPr>
          <w:b/>
          <w:iCs/>
          <w:sz w:val="16"/>
          <w:szCs w:val="16"/>
          <w:lang w:val="fr-FR"/>
        </w:rPr>
      </w:pPr>
      <w:r w:rsidRPr="00D81E0D">
        <w:rPr>
          <w:lang w:val="fr-FR"/>
        </w:rPr>
        <w:t>6.17.7.5</w:t>
      </w:r>
      <w:r w:rsidRPr="004B79D6">
        <w:rPr>
          <w:lang w:val="fr-FR"/>
        </w:rPr>
        <w:tab/>
      </w:r>
      <w:r w:rsidRPr="00D81E0D">
        <w:rPr>
          <w:lang w:val="fr-FR"/>
        </w:rPr>
        <w:t>Le signal avertisseur de risque de choc arrière ne peut être allumé que dans les conditions suivantes :</w:t>
      </w:r>
    </w:p>
    <w:tbl>
      <w:tblPr>
        <w:tblW w:w="623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8"/>
        <w:gridCol w:w="3079"/>
      </w:tblGrid>
      <w:tr w:rsidR="00A827BF" w:rsidRPr="006C468F" w14:paraId="7E4FCD53" w14:textId="77777777" w:rsidTr="007B6C1D">
        <w:trPr>
          <w:trHeight w:val="274"/>
        </w:trPr>
        <w:tc>
          <w:tcPr>
            <w:tcW w:w="3158" w:type="dxa"/>
            <w:vAlign w:val="center"/>
          </w:tcPr>
          <w:p w14:paraId="4FBB28CA" w14:textId="77777777" w:rsidR="00A827BF" w:rsidRPr="00D81E0D" w:rsidRDefault="00A827BF" w:rsidP="007B6C1D">
            <w:pPr>
              <w:keepNext/>
              <w:spacing w:before="60" w:after="60"/>
              <w:ind w:left="57" w:right="57"/>
              <w:rPr>
                <w:rFonts w:eastAsia="Times New Roman"/>
                <w:i/>
                <w:snapToGrid w:val="0"/>
                <w:sz w:val="16"/>
                <w:szCs w:val="16"/>
                <w:lang w:val="fr-FR"/>
              </w:rPr>
            </w:pPr>
            <w:proofErr w:type="spellStart"/>
            <w:r w:rsidRPr="00D81E0D">
              <w:rPr>
                <w:i/>
                <w:iCs/>
                <w:sz w:val="16"/>
                <w:szCs w:val="16"/>
                <w:lang w:val="fr-FR"/>
              </w:rPr>
              <w:t>Vr</w:t>
            </w:r>
            <w:proofErr w:type="spellEnd"/>
          </w:p>
        </w:tc>
        <w:tc>
          <w:tcPr>
            <w:tcW w:w="3079" w:type="dxa"/>
            <w:vAlign w:val="center"/>
          </w:tcPr>
          <w:p w14:paraId="5A18A3C6" w14:textId="77777777" w:rsidR="00A827BF" w:rsidRPr="00D81E0D" w:rsidRDefault="00A827BF" w:rsidP="007B6C1D">
            <w:pPr>
              <w:keepNext/>
              <w:spacing w:before="60" w:after="60"/>
              <w:ind w:left="57" w:right="57"/>
              <w:rPr>
                <w:rFonts w:eastAsia="Times New Roman"/>
                <w:i/>
                <w:snapToGrid w:val="0"/>
                <w:sz w:val="16"/>
                <w:szCs w:val="16"/>
                <w:lang w:val="fr-FR"/>
              </w:rPr>
            </w:pPr>
            <w:r w:rsidRPr="00D81E0D">
              <w:rPr>
                <w:i/>
                <w:iCs/>
                <w:sz w:val="16"/>
                <w:szCs w:val="16"/>
                <w:lang w:val="fr-FR"/>
              </w:rPr>
              <w:t>Activation</w:t>
            </w:r>
          </w:p>
        </w:tc>
      </w:tr>
      <w:tr w:rsidR="00A827BF" w:rsidRPr="00D04A44" w14:paraId="4478F021" w14:textId="77777777" w:rsidTr="007B6C1D">
        <w:tc>
          <w:tcPr>
            <w:tcW w:w="3158" w:type="dxa"/>
          </w:tcPr>
          <w:p w14:paraId="5684E6A8" w14:textId="77777777" w:rsidR="00A827BF" w:rsidRPr="00240154" w:rsidRDefault="00A827BF" w:rsidP="007B6C1D">
            <w:pPr>
              <w:keepNext/>
              <w:spacing w:before="60" w:after="60" w:line="240" w:lineRule="exact"/>
              <w:ind w:left="57" w:right="57"/>
              <w:jc w:val="both"/>
              <w:rPr>
                <w:rFonts w:eastAsia="Times New Roman"/>
                <w:snapToGrid w:val="0"/>
                <w:sz w:val="18"/>
                <w:szCs w:val="18"/>
                <w:lang w:val="fr-FR"/>
              </w:rPr>
            </w:pPr>
            <w:proofErr w:type="spellStart"/>
            <w:r w:rsidRPr="00240154">
              <w:rPr>
                <w:sz w:val="18"/>
                <w:szCs w:val="18"/>
                <w:lang w:val="fr-FR"/>
              </w:rPr>
              <w:t>Vr</w:t>
            </w:r>
            <w:proofErr w:type="spellEnd"/>
            <w:r w:rsidRPr="00240154">
              <w:rPr>
                <w:sz w:val="18"/>
                <w:szCs w:val="18"/>
                <w:lang w:val="fr-FR"/>
              </w:rPr>
              <w:t xml:space="preserve"> &gt; 30 km/h</w:t>
            </w:r>
          </w:p>
        </w:tc>
        <w:tc>
          <w:tcPr>
            <w:tcW w:w="3079" w:type="dxa"/>
          </w:tcPr>
          <w:p w14:paraId="43919E76" w14:textId="77777777" w:rsidR="00A827BF" w:rsidRPr="00240154" w:rsidRDefault="00A827BF" w:rsidP="007B6C1D">
            <w:pPr>
              <w:keepNext/>
              <w:spacing w:before="60" w:after="60" w:line="240" w:lineRule="exact"/>
              <w:ind w:left="57" w:right="57"/>
              <w:jc w:val="both"/>
              <w:rPr>
                <w:rFonts w:eastAsia="Times New Roman"/>
                <w:snapToGrid w:val="0"/>
                <w:sz w:val="18"/>
                <w:szCs w:val="18"/>
                <w:lang w:val="fr-FR"/>
              </w:rPr>
            </w:pPr>
            <w:r w:rsidRPr="00240154">
              <w:rPr>
                <w:sz w:val="18"/>
                <w:szCs w:val="18"/>
                <w:lang w:val="fr-FR"/>
              </w:rPr>
              <w:t>TTC ≤ 1,4</w:t>
            </w:r>
          </w:p>
        </w:tc>
      </w:tr>
      <w:tr w:rsidR="00A827BF" w:rsidRPr="00D04A44" w14:paraId="20E040FD" w14:textId="77777777" w:rsidTr="007B6C1D">
        <w:tc>
          <w:tcPr>
            <w:tcW w:w="3158" w:type="dxa"/>
          </w:tcPr>
          <w:p w14:paraId="6EA104F7" w14:textId="77777777" w:rsidR="00A827BF" w:rsidRPr="00240154" w:rsidRDefault="00A827BF" w:rsidP="007B6C1D">
            <w:pPr>
              <w:keepNext/>
              <w:spacing w:before="60" w:after="60" w:line="240" w:lineRule="exact"/>
              <w:ind w:left="57" w:right="57"/>
              <w:jc w:val="both"/>
              <w:rPr>
                <w:rFonts w:eastAsia="Times New Roman"/>
                <w:snapToGrid w:val="0"/>
                <w:sz w:val="18"/>
                <w:szCs w:val="18"/>
                <w:lang w:val="fr-FR"/>
              </w:rPr>
            </w:pPr>
            <w:proofErr w:type="spellStart"/>
            <w:r w:rsidRPr="00240154">
              <w:rPr>
                <w:sz w:val="18"/>
                <w:szCs w:val="18"/>
                <w:lang w:val="fr-FR"/>
              </w:rPr>
              <w:t>Vr</w:t>
            </w:r>
            <w:proofErr w:type="spellEnd"/>
            <w:r w:rsidRPr="00240154">
              <w:rPr>
                <w:sz w:val="18"/>
                <w:szCs w:val="18"/>
                <w:lang w:val="fr-FR"/>
              </w:rPr>
              <w:t xml:space="preserve"> ≤ 30 km/h</w:t>
            </w:r>
          </w:p>
        </w:tc>
        <w:tc>
          <w:tcPr>
            <w:tcW w:w="3079" w:type="dxa"/>
          </w:tcPr>
          <w:p w14:paraId="324875E9" w14:textId="77777777" w:rsidR="00A827BF" w:rsidRPr="00240154" w:rsidRDefault="00A827BF" w:rsidP="007B6C1D">
            <w:pPr>
              <w:keepNext/>
              <w:spacing w:before="60" w:after="60" w:line="240" w:lineRule="exact"/>
              <w:ind w:left="57" w:right="57"/>
              <w:jc w:val="both"/>
              <w:rPr>
                <w:rFonts w:eastAsia="Times New Roman"/>
                <w:snapToGrid w:val="0"/>
                <w:sz w:val="18"/>
                <w:szCs w:val="18"/>
                <w:lang w:val="fr-FR"/>
              </w:rPr>
            </w:pPr>
            <w:r w:rsidRPr="00240154">
              <w:rPr>
                <w:sz w:val="18"/>
                <w:szCs w:val="18"/>
                <w:lang w:val="fr-FR"/>
              </w:rPr>
              <w:t xml:space="preserve">TTC ≤ 1,4 / 30 × </w:t>
            </w:r>
            <w:proofErr w:type="spellStart"/>
            <w:r w:rsidRPr="00240154">
              <w:rPr>
                <w:sz w:val="18"/>
                <w:szCs w:val="18"/>
                <w:lang w:val="fr-FR"/>
              </w:rPr>
              <w:t>Vr</w:t>
            </w:r>
            <w:proofErr w:type="spellEnd"/>
          </w:p>
        </w:tc>
      </w:tr>
    </w:tbl>
    <w:p w14:paraId="5629FF7A" w14:textId="77777777" w:rsidR="00A827BF" w:rsidRPr="00D81E0D" w:rsidRDefault="00A827BF" w:rsidP="00A827BF">
      <w:pPr>
        <w:pStyle w:val="SingleTxtG"/>
        <w:spacing w:before="120"/>
        <w:ind w:left="2268"/>
        <w:rPr>
          <w:iCs/>
          <w:lang w:val="fr-FR"/>
        </w:rPr>
      </w:pPr>
      <w:r>
        <w:rPr>
          <w:lang w:val="fr-FR"/>
        </w:rPr>
        <w:t xml:space="preserve">« </w:t>
      </w:r>
      <w:proofErr w:type="spellStart"/>
      <w:r w:rsidRPr="00D81E0D">
        <w:rPr>
          <w:lang w:val="fr-FR"/>
        </w:rPr>
        <w:t>Vr</w:t>
      </w:r>
      <w:proofErr w:type="spellEnd"/>
      <w:r w:rsidRPr="00D81E0D">
        <w:rPr>
          <w:lang w:val="fr-FR"/>
        </w:rPr>
        <w:t xml:space="preserve"> (vitesse relative)</w:t>
      </w:r>
      <w:r>
        <w:rPr>
          <w:lang w:val="fr-FR"/>
        </w:rPr>
        <w:t> »</w:t>
      </w:r>
      <w:r w:rsidRPr="00D81E0D">
        <w:rPr>
          <w:lang w:val="fr-FR"/>
        </w:rPr>
        <w:t> : différence entre la vitesse du véhicule équipé d</w:t>
      </w:r>
      <w:r>
        <w:rPr>
          <w:lang w:val="fr-FR"/>
        </w:rPr>
        <w:t>’</w:t>
      </w:r>
      <w:r w:rsidRPr="00D81E0D">
        <w:rPr>
          <w:lang w:val="fr-FR"/>
        </w:rPr>
        <w:t>un signal avertisseur de risque de choc arrière et la vitesse du véhicule qui le suit sur la même voie.</w:t>
      </w:r>
    </w:p>
    <w:p w14:paraId="243AD5CC" w14:textId="77777777" w:rsidR="00A827BF" w:rsidRPr="00D81E0D" w:rsidRDefault="00A827BF" w:rsidP="00A827BF">
      <w:pPr>
        <w:pStyle w:val="SingleTxtG"/>
        <w:ind w:left="2268"/>
        <w:rPr>
          <w:iCs/>
          <w:lang w:val="fr-FR"/>
        </w:rPr>
      </w:pPr>
      <w:r>
        <w:rPr>
          <w:lang w:val="fr-FR"/>
        </w:rPr>
        <w:t xml:space="preserve">« </w:t>
      </w:r>
      <w:r w:rsidRPr="00D81E0D">
        <w:rPr>
          <w:lang w:val="fr-FR"/>
        </w:rPr>
        <w:t>TTC (temps restant avant la collision)</w:t>
      </w:r>
      <w:r>
        <w:rPr>
          <w:lang w:val="fr-FR"/>
        </w:rPr>
        <w:t> »</w:t>
      </w:r>
      <w:r w:rsidRPr="00D81E0D">
        <w:rPr>
          <w:lang w:val="fr-FR"/>
        </w:rPr>
        <w:t> : valeur estimée du temps qui s</w:t>
      </w:r>
      <w:r>
        <w:rPr>
          <w:lang w:val="fr-FR"/>
        </w:rPr>
        <w:t>’</w:t>
      </w:r>
      <w:r w:rsidRPr="00D81E0D">
        <w:rPr>
          <w:lang w:val="fr-FR"/>
        </w:rPr>
        <w:t>écoulera jusqu</w:t>
      </w:r>
      <w:r>
        <w:rPr>
          <w:lang w:val="fr-FR"/>
        </w:rPr>
        <w:t>’</w:t>
      </w:r>
      <w:r w:rsidRPr="00D81E0D">
        <w:rPr>
          <w:lang w:val="fr-FR"/>
        </w:rPr>
        <w:t>à ce que le véhicule équipé du signal avertisseur de risque de choc arrière soit percuté par le véhicule qui le suit, dans l</w:t>
      </w:r>
      <w:r>
        <w:rPr>
          <w:lang w:val="fr-FR"/>
        </w:rPr>
        <w:t>’</w:t>
      </w:r>
      <w:r w:rsidRPr="00D81E0D">
        <w:rPr>
          <w:lang w:val="fr-FR"/>
        </w:rPr>
        <w:t>hypothèse où la vitesse relative au moment de l</w:t>
      </w:r>
      <w:r>
        <w:rPr>
          <w:lang w:val="fr-FR"/>
        </w:rPr>
        <w:t>’</w:t>
      </w:r>
      <w:r w:rsidRPr="00D81E0D">
        <w:rPr>
          <w:lang w:val="fr-FR"/>
        </w:rPr>
        <w:t>estimation reste constante.</w:t>
      </w:r>
    </w:p>
    <w:p w14:paraId="0028AADC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6.17.7.6</w:t>
      </w:r>
      <w:r w:rsidRPr="004B79D6">
        <w:rPr>
          <w:lang w:val="fr-FR"/>
        </w:rPr>
        <w:tab/>
      </w:r>
      <w:r w:rsidRPr="00D81E0D">
        <w:rPr>
          <w:lang w:val="fr-FR"/>
        </w:rPr>
        <w:t>La durée d</w:t>
      </w:r>
      <w:r>
        <w:rPr>
          <w:lang w:val="fr-FR"/>
        </w:rPr>
        <w:t>’</w:t>
      </w:r>
      <w:r w:rsidRPr="00D81E0D">
        <w:rPr>
          <w:lang w:val="fr-FR"/>
        </w:rPr>
        <w:t>allumage du signal avertisseur de risque de choc arrière ne doit pas dépasser 3 s.</w:t>
      </w:r>
    </w:p>
    <w:p w14:paraId="332F72CB" w14:textId="77777777" w:rsidR="00A827BF" w:rsidRPr="00D81E0D" w:rsidRDefault="00A827BF" w:rsidP="00A827BF">
      <w:pPr>
        <w:pStyle w:val="SingleTxtG"/>
        <w:ind w:left="2268" w:hanging="1134"/>
        <w:rPr>
          <w:iCs/>
          <w:lang w:val="fr-FR"/>
        </w:rPr>
      </w:pPr>
      <w:r w:rsidRPr="00D81E0D">
        <w:rPr>
          <w:lang w:val="fr-FR"/>
        </w:rPr>
        <w:t>6.17.8</w:t>
      </w:r>
      <w:r w:rsidRPr="004B79D6">
        <w:rPr>
          <w:lang w:val="fr-FR"/>
        </w:rPr>
        <w:tab/>
      </w:r>
      <w:r w:rsidRPr="00D81E0D">
        <w:rPr>
          <w:lang w:val="fr-FR"/>
        </w:rPr>
        <w:t>Témoin</w:t>
      </w:r>
    </w:p>
    <w:p w14:paraId="24633066" w14:textId="29DB0611" w:rsidR="00F9573C" w:rsidRDefault="00A827BF" w:rsidP="00A827BF">
      <w:pPr>
        <w:pStyle w:val="SingleTxtG"/>
        <w:ind w:left="2268"/>
        <w:rPr>
          <w:lang w:val="fr-FR"/>
        </w:rPr>
      </w:pPr>
      <w:r w:rsidRPr="00D81E0D">
        <w:rPr>
          <w:lang w:val="fr-FR"/>
        </w:rPr>
        <w:t>Facultatif.</w:t>
      </w:r>
      <w:r>
        <w:rPr>
          <w:b/>
          <w:bCs/>
          <w:lang w:val="fr-FR"/>
        </w:rPr>
        <w:t> </w:t>
      </w:r>
      <w:r w:rsidRPr="00A5460B">
        <w:rPr>
          <w:lang w:val="fr-FR"/>
        </w:rPr>
        <w:t>».</w:t>
      </w:r>
    </w:p>
    <w:p w14:paraId="5284943D" w14:textId="4C814812" w:rsidR="00A827BF" w:rsidRPr="00A827BF" w:rsidRDefault="00A827BF" w:rsidP="00A827BF">
      <w:pPr>
        <w:pStyle w:val="SingleTxtG"/>
        <w:spacing w:before="240" w:after="0"/>
        <w:jc w:val="center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827BF" w:rsidRPr="00A827BF" w:rsidSect="00A827B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BDD7" w14:textId="77777777" w:rsidR="00C92266" w:rsidRDefault="00C92266" w:rsidP="00F95C08">
      <w:pPr>
        <w:spacing w:line="240" w:lineRule="auto"/>
      </w:pPr>
    </w:p>
  </w:endnote>
  <w:endnote w:type="continuationSeparator" w:id="0">
    <w:p w14:paraId="0A543E06" w14:textId="77777777" w:rsidR="00C92266" w:rsidRPr="00AC3823" w:rsidRDefault="00C92266" w:rsidP="00AC3823">
      <w:pPr>
        <w:pStyle w:val="Pieddepage"/>
      </w:pPr>
    </w:p>
  </w:endnote>
  <w:endnote w:type="continuationNotice" w:id="1">
    <w:p w14:paraId="014D3D83" w14:textId="77777777" w:rsidR="00C92266" w:rsidRDefault="00C922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A1A4" w14:textId="4B8E9F2F" w:rsidR="00A827BF" w:rsidRPr="00A827BF" w:rsidRDefault="00A827BF" w:rsidP="00A827BF">
    <w:pPr>
      <w:pStyle w:val="Pieddepage"/>
      <w:tabs>
        <w:tab w:val="right" w:pos="9638"/>
      </w:tabs>
    </w:pPr>
    <w:r w:rsidRPr="00A827BF">
      <w:rPr>
        <w:b/>
        <w:sz w:val="18"/>
      </w:rPr>
      <w:fldChar w:fldCharType="begin"/>
    </w:r>
    <w:r w:rsidRPr="00A827BF">
      <w:rPr>
        <w:b/>
        <w:sz w:val="18"/>
      </w:rPr>
      <w:instrText xml:space="preserve"> PAGE  \* MERGEFORMAT </w:instrText>
    </w:r>
    <w:r w:rsidRPr="00A827BF">
      <w:rPr>
        <w:b/>
        <w:sz w:val="18"/>
      </w:rPr>
      <w:fldChar w:fldCharType="separate"/>
    </w:r>
    <w:r w:rsidRPr="00A827BF">
      <w:rPr>
        <w:b/>
        <w:noProof/>
        <w:sz w:val="18"/>
      </w:rPr>
      <w:t>2</w:t>
    </w:r>
    <w:r w:rsidRPr="00A827BF">
      <w:rPr>
        <w:b/>
        <w:sz w:val="18"/>
      </w:rPr>
      <w:fldChar w:fldCharType="end"/>
    </w:r>
    <w:r>
      <w:rPr>
        <w:b/>
        <w:sz w:val="18"/>
      </w:rPr>
      <w:tab/>
    </w:r>
    <w:r>
      <w:t>GE.22-29255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69E4" w14:textId="2958498E" w:rsidR="00A827BF" w:rsidRPr="00A827BF" w:rsidRDefault="00A827BF" w:rsidP="00A827BF">
    <w:pPr>
      <w:pStyle w:val="Pieddepage"/>
      <w:tabs>
        <w:tab w:val="right" w:pos="9638"/>
      </w:tabs>
      <w:rPr>
        <w:b/>
        <w:sz w:val="18"/>
      </w:rPr>
    </w:pPr>
    <w:r>
      <w:t>GE.22-29255</w:t>
    </w:r>
    <w:r>
      <w:tab/>
    </w:r>
    <w:r w:rsidRPr="00A827BF">
      <w:rPr>
        <w:b/>
        <w:sz w:val="18"/>
      </w:rPr>
      <w:fldChar w:fldCharType="begin"/>
    </w:r>
    <w:r w:rsidRPr="00A827BF">
      <w:rPr>
        <w:b/>
        <w:sz w:val="18"/>
      </w:rPr>
      <w:instrText xml:space="preserve"> PAGE  \* MERGEFORMAT </w:instrText>
    </w:r>
    <w:r w:rsidRPr="00A827BF">
      <w:rPr>
        <w:b/>
        <w:sz w:val="18"/>
      </w:rPr>
      <w:fldChar w:fldCharType="separate"/>
    </w:r>
    <w:r w:rsidRPr="00A827BF">
      <w:rPr>
        <w:b/>
        <w:noProof/>
        <w:sz w:val="18"/>
      </w:rPr>
      <w:t>3</w:t>
    </w:r>
    <w:r w:rsidRPr="00A827B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BE49" w14:textId="78E76E8C" w:rsidR="007F20FA" w:rsidRPr="00A827BF" w:rsidRDefault="00A827BF" w:rsidP="00A827BF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A1C4CE0" wp14:editId="4075E68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22-29255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4B94ABD" wp14:editId="410819A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110123    110123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DF9D" w14:textId="77777777" w:rsidR="00C92266" w:rsidRPr="00AC3823" w:rsidRDefault="00C9226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74C57DD" w14:textId="77777777" w:rsidR="00C92266" w:rsidRPr="00AC3823" w:rsidRDefault="00C92266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FAE6E0E" w14:textId="77777777" w:rsidR="00C92266" w:rsidRPr="00AC3823" w:rsidRDefault="00C92266">
      <w:pPr>
        <w:spacing w:line="240" w:lineRule="auto"/>
        <w:rPr>
          <w:sz w:val="2"/>
          <w:szCs w:val="2"/>
        </w:rPr>
      </w:pPr>
    </w:p>
  </w:footnote>
  <w:footnote w:id="2">
    <w:p w14:paraId="2ABD967A" w14:textId="4394FD4F" w:rsidR="00A827BF" w:rsidRDefault="00A827BF" w:rsidP="00A827BF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987635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944D0E">
        <w:rPr>
          <w:lang w:val="fr-FR"/>
        </w:rPr>
        <w:t>Conformément au programme de travail du Comité des transports intérieurs pour 202</w:t>
      </w:r>
      <w:r>
        <w:rPr>
          <w:lang w:val="fr-FR"/>
        </w:rPr>
        <w:t>3</w:t>
      </w:r>
      <w:r w:rsidRPr="00944D0E">
        <w:rPr>
          <w:lang w:val="fr-FR"/>
        </w:rPr>
        <w:t xml:space="preserve"> tel qu</w:t>
      </w:r>
      <w:r>
        <w:rPr>
          <w:lang w:val="fr-FR"/>
        </w:rPr>
        <w:t>’</w:t>
      </w:r>
      <w:r w:rsidRPr="00944D0E">
        <w:rPr>
          <w:lang w:val="fr-FR"/>
        </w:rPr>
        <w:t>il figure dans le projet de budget-programme pour 202</w:t>
      </w:r>
      <w:r>
        <w:rPr>
          <w:lang w:val="fr-FR"/>
        </w:rPr>
        <w:t>3</w:t>
      </w:r>
      <w:r w:rsidRPr="00944D0E">
        <w:rPr>
          <w:lang w:val="fr-FR"/>
        </w:rPr>
        <w:t xml:space="preserve"> (A/7</w:t>
      </w:r>
      <w:r>
        <w:rPr>
          <w:lang w:val="fr-FR"/>
        </w:rPr>
        <w:t>7</w:t>
      </w:r>
      <w:r w:rsidRPr="00944D0E">
        <w:rPr>
          <w:lang w:val="fr-FR"/>
        </w:rPr>
        <w:t xml:space="preserve">/6 (Sect. 20), </w:t>
      </w:r>
      <w:r>
        <w:rPr>
          <w:lang w:val="fr-FR"/>
        </w:rPr>
        <w:t xml:space="preserve">tableau </w:t>
      </w:r>
      <w:r w:rsidRPr="00944D0E">
        <w:rPr>
          <w:lang w:val="fr-FR"/>
        </w:rPr>
        <w:t>20.6), le Forum mondial a pour mission d</w:t>
      </w:r>
      <w:r>
        <w:rPr>
          <w:lang w:val="fr-FR"/>
        </w:rPr>
        <w:t>’</w:t>
      </w:r>
      <w:r w:rsidRPr="00944D0E">
        <w:rPr>
          <w:lang w:val="fr-FR"/>
        </w:rPr>
        <w:t>élaborer, d</w:t>
      </w:r>
      <w:r>
        <w:rPr>
          <w:lang w:val="fr-FR"/>
        </w:rPr>
        <w:t>’</w:t>
      </w:r>
      <w:r w:rsidRPr="00944D0E">
        <w:rPr>
          <w:lang w:val="fr-FR"/>
        </w:rPr>
        <w:t>harmoniser et de mettre à jour les Règlements ONU en vue d</w:t>
      </w:r>
      <w:r>
        <w:rPr>
          <w:lang w:val="fr-FR"/>
        </w:rPr>
        <w:t>’</w:t>
      </w:r>
      <w:r w:rsidRPr="00944D0E">
        <w:rPr>
          <w:lang w:val="fr-FR"/>
        </w:rPr>
        <w:t>améliorer les caractéristiques fonctionnelles des véhicules. Le présent document est soumis en vertu de ce mandat.</w:t>
      </w:r>
    </w:p>
    <w:p w14:paraId="6531D3BE" w14:textId="77777777" w:rsidR="00240154" w:rsidRPr="00987635" w:rsidRDefault="00240154" w:rsidP="00A827B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85F6" w14:textId="75E706E3" w:rsidR="00A827BF" w:rsidRPr="00A827BF" w:rsidRDefault="00A827BF">
    <w:pPr>
      <w:pStyle w:val="En-tte"/>
    </w:pPr>
    <w:fldSimple w:instr=" TITLE  \* MERGEFORMAT ">
      <w:r w:rsidR="00CE5773">
        <w:t>ECE/TRANS/WP.29/2023/33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BEEA" w14:textId="11B01B5B" w:rsidR="00A827BF" w:rsidRPr="00A827BF" w:rsidRDefault="00A827BF" w:rsidP="00A827BF">
    <w:pPr>
      <w:pStyle w:val="En-tte"/>
      <w:jc w:val="right"/>
    </w:pPr>
    <w:fldSimple w:instr=" TITLE  \* MERGEFORMAT ">
      <w:r w:rsidR="00CE5773">
        <w:t>ECE/TRANS/WP.29/2023/33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66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0154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827BF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2266"/>
    <w:rsid w:val="00C97039"/>
    <w:rsid w:val="00CE5773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E225B"/>
  <w15:docId w15:val="{83FDC6AF-C82B-4652-ABFC-585C372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"/>
    <w:basedOn w:val="Policepardfaut"/>
    <w:uiPriority w:val="99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Footnote Text Char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Footnote Text Char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A827BF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A827BF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3</Pages>
  <Words>594</Words>
  <Characters>4164</Characters>
  <Application>Microsoft Office Word</Application>
  <DocSecurity>0</DocSecurity>
  <Lines>347</Lines>
  <Paragraphs>190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ECE/TRANS/WP.29/2023/33</dc:title>
  <dc:subject/>
  <dc:creator>Maud DARICHE</dc:creator>
  <cp:keywords/>
  <cp:lastModifiedBy>Maud Dariche</cp:lastModifiedBy>
  <cp:revision>3</cp:revision>
  <cp:lastPrinted>2023-01-11T08:42:00Z</cp:lastPrinted>
  <dcterms:created xsi:type="dcterms:W3CDTF">2023-01-11T08:42:00Z</dcterms:created>
  <dcterms:modified xsi:type="dcterms:W3CDTF">2023-01-11T08:42:00Z</dcterms:modified>
</cp:coreProperties>
</file>