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AA078A0" w14:textId="77777777" w:rsidTr="00C97039">
        <w:trPr>
          <w:trHeight w:hRule="exact" w:val="851"/>
        </w:trPr>
        <w:tc>
          <w:tcPr>
            <w:tcW w:w="1276" w:type="dxa"/>
            <w:tcBorders>
              <w:bottom w:val="single" w:sz="4" w:space="0" w:color="auto"/>
            </w:tcBorders>
          </w:tcPr>
          <w:p w14:paraId="4D27C7D1" w14:textId="77777777" w:rsidR="00F35BAF" w:rsidRPr="00DB58B5" w:rsidRDefault="00F35BAF" w:rsidP="00664DB6"/>
        </w:tc>
        <w:tc>
          <w:tcPr>
            <w:tcW w:w="2268" w:type="dxa"/>
            <w:tcBorders>
              <w:bottom w:val="single" w:sz="4" w:space="0" w:color="auto"/>
            </w:tcBorders>
            <w:vAlign w:val="bottom"/>
          </w:tcPr>
          <w:p w14:paraId="0A29757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8D3112" w14:textId="285EDB62" w:rsidR="00F35BAF" w:rsidRPr="00DB58B5" w:rsidRDefault="00664DB6" w:rsidP="00664DB6">
            <w:pPr>
              <w:jc w:val="right"/>
            </w:pPr>
            <w:r w:rsidRPr="00664DB6">
              <w:rPr>
                <w:sz w:val="40"/>
              </w:rPr>
              <w:t>ECE</w:t>
            </w:r>
            <w:r>
              <w:t>/TRANS/WP.29/2023/29</w:t>
            </w:r>
          </w:p>
        </w:tc>
      </w:tr>
      <w:tr w:rsidR="00F35BAF" w:rsidRPr="00DB58B5" w14:paraId="11D21EC3" w14:textId="77777777" w:rsidTr="00C97039">
        <w:trPr>
          <w:trHeight w:hRule="exact" w:val="2835"/>
        </w:trPr>
        <w:tc>
          <w:tcPr>
            <w:tcW w:w="1276" w:type="dxa"/>
            <w:tcBorders>
              <w:top w:val="single" w:sz="4" w:space="0" w:color="auto"/>
              <w:bottom w:val="single" w:sz="12" w:space="0" w:color="auto"/>
            </w:tcBorders>
          </w:tcPr>
          <w:p w14:paraId="494059FB" w14:textId="77777777" w:rsidR="00F35BAF" w:rsidRPr="00DB58B5" w:rsidRDefault="00F35BAF" w:rsidP="00C97039">
            <w:pPr>
              <w:spacing w:before="120"/>
              <w:jc w:val="center"/>
            </w:pPr>
            <w:r>
              <w:rPr>
                <w:noProof/>
                <w:lang w:eastAsia="fr-CH"/>
              </w:rPr>
              <w:drawing>
                <wp:inline distT="0" distB="0" distL="0" distR="0" wp14:anchorId="6958241F" wp14:editId="756EA3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C8D37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FC63E8B" w14:textId="77777777" w:rsidR="00F35BAF" w:rsidRDefault="00664DB6" w:rsidP="00C97039">
            <w:pPr>
              <w:spacing w:before="240"/>
            </w:pPr>
            <w:r>
              <w:t>Distr. générale</w:t>
            </w:r>
          </w:p>
          <w:p w14:paraId="38F9EAF6" w14:textId="77777777" w:rsidR="00664DB6" w:rsidRDefault="00664DB6" w:rsidP="00664DB6">
            <w:pPr>
              <w:spacing w:line="240" w:lineRule="exact"/>
            </w:pPr>
            <w:r>
              <w:t>15 décembre 2022</w:t>
            </w:r>
          </w:p>
          <w:p w14:paraId="5D4EFEE4" w14:textId="77777777" w:rsidR="00664DB6" w:rsidRDefault="00664DB6" w:rsidP="00664DB6">
            <w:pPr>
              <w:spacing w:line="240" w:lineRule="exact"/>
            </w:pPr>
            <w:r>
              <w:t>Français</w:t>
            </w:r>
          </w:p>
          <w:p w14:paraId="6764670C" w14:textId="0F2453DA" w:rsidR="00664DB6" w:rsidRPr="00DB58B5" w:rsidRDefault="00664DB6" w:rsidP="00664DB6">
            <w:pPr>
              <w:spacing w:line="240" w:lineRule="exact"/>
            </w:pPr>
            <w:r>
              <w:t>Original : anglais</w:t>
            </w:r>
          </w:p>
        </w:tc>
      </w:tr>
    </w:tbl>
    <w:p w14:paraId="44F2EBCB" w14:textId="4CD522DF" w:rsidR="007F20FA" w:rsidRPr="000312C0" w:rsidRDefault="007F20FA" w:rsidP="007F20FA">
      <w:pPr>
        <w:spacing w:before="120"/>
        <w:rPr>
          <w:b/>
          <w:sz w:val="28"/>
          <w:szCs w:val="28"/>
        </w:rPr>
      </w:pPr>
      <w:r w:rsidRPr="000312C0">
        <w:rPr>
          <w:b/>
          <w:sz w:val="28"/>
          <w:szCs w:val="28"/>
        </w:rPr>
        <w:t>Commission économique pour l</w:t>
      </w:r>
      <w:r w:rsidR="004055B4">
        <w:rPr>
          <w:b/>
          <w:sz w:val="28"/>
          <w:szCs w:val="28"/>
        </w:rPr>
        <w:t>’</w:t>
      </w:r>
      <w:r w:rsidRPr="000312C0">
        <w:rPr>
          <w:b/>
          <w:sz w:val="28"/>
          <w:szCs w:val="28"/>
        </w:rPr>
        <w:t>Europe</w:t>
      </w:r>
    </w:p>
    <w:p w14:paraId="364C9321" w14:textId="77777777" w:rsidR="007F20FA" w:rsidRDefault="007F20FA" w:rsidP="007F20FA">
      <w:pPr>
        <w:spacing w:before="120"/>
        <w:rPr>
          <w:sz w:val="28"/>
          <w:szCs w:val="28"/>
        </w:rPr>
      </w:pPr>
      <w:r w:rsidRPr="00685843">
        <w:rPr>
          <w:sz w:val="28"/>
          <w:szCs w:val="28"/>
        </w:rPr>
        <w:t>Comité des transports intérieurs</w:t>
      </w:r>
    </w:p>
    <w:p w14:paraId="1C6CCA9A" w14:textId="6599D673" w:rsidR="00664DB6" w:rsidRDefault="00664DB6" w:rsidP="00AF0CB5">
      <w:pPr>
        <w:spacing w:before="120"/>
        <w:rPr>
          <w:b/>
          <w:sz w:val="24"/>
          <w:szCs w:val="24"/>
        </w:rPr>
      </w:pPr>
      <w:r w:rsidRPr="00685843">
        <w:rPr>
          <w:b/>
          <w:sz w:val="24"/>
          <w:szCs w:val="24"/>
        </w:rPr>
        <w:t>Forum mondial de l</w:t>
      </w:r>
      <w:r w:rsidR="004055B4">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4A5460C" w14:textId="3BC70EF6" w:rsidR="00664DB6" w:rsidRDefault="00664DB6" w:rsidP="00AF0CB5">
      <w:pPr>
        <w:spacing w:before="120" w:line="240" w:lineRule="exact"/>
        <w:rPr>
          <w:b/>
        </w:rPr>
      </w:pPr>
      <w:r>
        <w:rPr>
          <w:b/>
          <w:bCs/>
        </w:rPr>
        <w:t>189</w:t>
      </w:r>
      <w:r w:rsidRPr="0012133E">
        <w:rPr>
          <w:b/>
          <w:bCs/>
          <w:vertAlign w:val="superscript"/>
        </w:rPr>
        <w:t>e</w:t>
      </w:r>
      <w:r w:rsidRPr="005B0501">
        <w:rPr>
          <w:b/>
          <w:bCs/>
        </w:rPr>
        <w:t xml:space="preserve"> </w:t>
      </w:r>
      <w:r>
        <w:rPr>
          <w:b/>
        </w:rPr>
        <w:t>session</w:t>
      </w:r>
    </w:p>
    <w:p w14:paraId="237CF481" w14:textId="0447087A" w:rsidR="00664DB6" w:rsidRDefault="00664DB6" w:rsidP="00AF0CB5">
      <w:pPr>
        <w:spacing w:line="240" w:lineRule="exact"/>
      </w:pPr>
      <w:r>
        <w:t xml:space="preserve">Genève, </w:t>
      </w:r>
      <w:r>
        <w:t>7-9 mars 2023</w:t>
      </w:r>
    </w:p>
    <w:p w14:paraId="0BBCD0E8" w14:textId="72D9B952" w:rsidR="00664DB6" w:rsidRDefault="00664DB6" w:rsidP="00AF0CB5">
      <w:pPr>
        <w:spacing w:line="240" w:lineRule="exact"/>
      </w:pPr>
      <w:r>
        <w:t xml:space="preserve">Point </w:t>
      </w:r>
      <w:r>
        <w:t>4.9.5</w:t>
      </w:r>
      <w:r>
        <w:t xml:space="preserve"> de l</w:t>
      </w:r>
      <w:r w:rsidR="004055B4">
        <w:t>’</w:t>
      </w:r>
      <w:r>
        <w:t>ordre du jour provisoire</w:t>
      </w:r>
    </w:p>
    <w:p w14:paraId="63C7356D" w14:textId="24B733EC" w:rsidR="00664DB6" w:rsidRPr="005B0501" w:rsidRDefault="00664DB6" w:rsidP="00664DB6">
      <w:pPr>
        <w:rPr>
          <w:b/>
          <w:bCs/>
        </w:rPr>
      </w:pPr>
      <w:r>
        <w:rPr>
          <w:b/>
          <w:bCs/>
        </w:rPr>
        <w:t>Accord de 1958 :</w:t>
      </w:r>
      <w:r>
        <w:rPr>
          <w:b/>
          <w:bCs/>
        </w:rPr>
        <w:t xml:space="preserve"> </w:t>
      </w:r>
      <w:r>
        <w:rPr>
          <w:b/>
          <w:bCs/>
        </w:rPr>
        <w:br/>
      </w:r>
      <w:r w:rsidRPr="004E24C6">
        <w:rPr>
          <w:b/>
          <w:bCs/>
        </w:rPr>
        <w:t>Examen de projets d</w:t>
      </w:r>
      <w:r w:rsidR="004055B4">
        <w:rPr>
          <w:b/>
          <w:bCs/>
        </w:rPr>
        <w:t>’</w:t>
      </w:r>
      <w:r w:rsidRPr="004E24C6">
        <w:rPr>
          <w:b/>
          <w:bCs/>
        </w:rPr>
        <w:t xml:space="preserve">amendements à des Règlements ONU </w:t>
      </w:r>
      <w:r>
        <w:rPr>
          <w:b/>
          <w:bCs/>
        </w:rPr>
        <w:br/>
      </w:r>
      <w:r w:rsidRPr="004E24C6">
        <w:rPr>
          <w:b/>
          <w:bCs/>
        </w:rPr>
        <w:t>existants, soumis par</w:t>
      </w:r>
      <w:r>
        <w:rPr>
          <w:b/>
          <w:bCs/>
        </w:rPr>
        <w:t xml:space="preserve"> </w:t>
      </w:r>
      <w:r w:rsidRPr="004E24C6">
        <w:rPr>
          <w:b/>
          <w:bCs/>
        </w:rPr>
        <w:t>le GRE</w:t>
      </w:r>
    </w:p>
    <w:p w14:paraId="6C598411" w14:textId="0B33DA22" w:rsidR="00664DB6" w:rsidRPr="005B0501" w:rsidRDefault="00664DB6" w:rsidP="00664DB6">
      <w:pPr>
        <w:pStyle w:val="HChG"/>
      </w:pPr>
      <w:r w:rsidRPr="005B0501">
        <w:tab/>
      </w:r>
      <w:r w:rsidRPr="005B0501">
        <w:tab/>
      </w:r>
      <w:r w:rsidRPr="00313092">
        <w:t>Proposition de complément 5 à la série 07 d</w:t>
      </w:r>
      <w:r w:rsidR="004055B4">
        <w:t>’</w:t>
      </w:r>
      <w:r w:rsidRPr="00313092">
        <w:t>amendements au Règlement ONU n</w:t>
      </w:r>
      <w:r w:rsidRPr="0012133E">
        <w:rPr>
          <w:vertAlign w:val="superscript"/>
        </w:rPr>
        <w:t>o</w:t>
      </w:r>
      <w:r w:rsidR="004055B4">
        <w:t> </w:t>
      </w:r>
      <w:r w:rsidRPr="00313092">
        <w:t>48 (Installation des dispositifs d</w:t>
      </w:r>
      <w:r w:rsidR="004055B4">
        <w:t>’</w:t>
      </w:r>
      <w:r w:rsidRPr="00313092">
        <w:t>éclairage et de signalisation lumineuse)</w:t>
      </w:r>
    </w:p>
    <w:p w14:paraId="412C687A" w14:textId="78BCE148" w:rsidR="00664DB6" w:rsidRPr="005B0501" w:rsidRDefault="00664DB6" w:rsidP="00664DB6">
      <w:pPr>
        <w:pStyle w:val="H1G"/>
      </w:pPr>
      <w:r>
        <w:tab/>
      </w:r>
      <w:r>
        <w:tab/>
      </w:r>
      <w:r w:rsidRPr="005B0501">
        <w:t xml:space="preserve">Communication </w:t>
      </w:r>
      <w:r>
        <w:t xml:space="preserve">du </w:t>
      </w:r>
      <w:r w:rsidRPr="00140167">
        <w:t>Groupe de travail de l</w:t>
      </w:r>
      <w:r w:rsidR="004055B4">
        <w:t>’</w:t>
      </w:r>
      <w:r w:rsidRPr="00140167">
        <w:t xml:space="preserve">éclairage </w:t>
      </w:r>
      <w:r w:rsidR="004055B4">
        <w:br/>
      </w:r>
      <w:r w:rsidRPr="00140167">
        <w:t>et de la signalisation lumineuse</w:t>
      </w:r>
      <w:r w:rsidR="004055B4" w:rsidRPr="004055B4">
        <w:rPr>
          <w:rStyle w:val="Appelnotedebasdep"/>
          <w:b w:val="0"/>
          <w:bCs/>
          <w:sz w:val="20"/>
          <w:vertAlign w:val="baseline"/>
        </w:rPr>
        <w:footnoteReference w:customMarkFollows="1" w:id="2"/>
        <w:t>*</w:t>
      </w:r>
    </w:p>
    <w:p w14:paraId="24A6E83C" w14:textId="1A4CDFE6" w:rsidR="00F9573C" w:rsidRDefault="00664DB6" w:rsidP="00664DB6">
      <w:pPr>
        <w:pStyle w:val="SingleTxtG"/>
        <w:ind w:firstLine="567"/>
        <w:rPr>
          <w:lang w:val="fr-FR"/>
        </w:rPr>
      </w:pPr>
      <w:r w:rsidRPr="00A40469">
        <w:rPr>
          <w:lang w:val="fr-FR"/>
        </w:rPr>
        <w:t>Le texte ci-après, adopté par le Groupe de travail de l</w:t>
      </w:r>
      <w:r w:rsidR="004055B4">
        <w:rPr>
          <w:lang w:val="fr-FR"/>
        </w:rPr>
        <w:t>’</w:t>
      </w:r>
      <w:r w:rsidRPr="00A40469">
        <w:rPr>
          <w:lang w:val="fr-FR"/>
        </w:rPr>
        <w:t>éclairage et de la signalisation lumineuse (GRE) à sa quatre-vingt-septième session (ECE/TRANS/WP.29/GRE/87, par. 17, 18, 20 et 24), est fondé sur les documents ECE/TRANS/WP.29/GRE/2022/17, ECE/TRANS/WP.29/GRE/2022/18</w:t>
      </w:r>
      <w:r>
        <w:rPr>
          <w:lang w:val="fr-FR"/>
        </w:rPr>
        <w:t xml:space="preserve">, </w:t>
      </w:r>
      <w:r w:rsidRPr="00A40469">
        <w:rPr>
          <w:lang w:val="fr-FR"/>
        </w:rPr>
        <w:t>ECE/TRANS/WP.29/GRE/2022/20</w:t>
      </w:r>
      <w:r>
        <w:rPr>
          <w:lang w:val="fr-FR"/>
        </w:rPr>
        <w:t xml:space="preserve"> et </w:t>
      </w:r>
      <w:r w:rsidRPr="0012133E">
        <w:t>ECE/TRANS/</w:t>
      </w:r>
      <w:r w:rsidR="004055B4">
        <w:br/>
      </w:r>
      <w:r w:rsidRPr="0012133E">
        <w:t>WP.29/GRE/2022/</w:t>
      </w:r>
      <w:r w:rsidRPr="0012133E">
        <w:rPr>
          <w:lang w:val="fr-FR"/>
        </w:rPr>
        <w:t xml:space="preserve">24, ainsi que sur </w:t>
      </w:r>
      <w:r w:rsidRPr="003E07E0">
        <w:rPr>
          <w:lang w:val="fr-FR"/>
        </w:rPr>
        <w:t>le document informel GRE-</w:t>
      </w:r>
      <w:r w:rsidRPr="0012133E">
        <w:rPr>
          <w:lang w:val="fr-FR"/>
        </w:rPr>
        <w:t>87</w:t>
      </w:r>
      <w:r w:rsidRPr="0012133E">
        <w:t>-18</w:t>
      </w:r>
      <w:r w:rsidRPr="00A40469">
        <w:rPr>
          <w:lang w:val="fr-FR"/>
        </w:rPr>
        <w:t>. Il est soumis au Forum mondial de l</w:t>
      </w:r>
      <w:r w:rsidR="004055B4">
        <w:rPr>
          <w:lang w:val="fr-FR"/>
        </w:rPr>
        <w:t>’</w:t>
      </w:r>
      <w:r w:rsidRPr="00A40469">
        <w:rPr>
          <w:lang w:val="fr-FR"/>
        </w:rPr>
        <w:t>harmonisation des Règlements concernant les véhicules (WP.29) et au Comité d</w:t>
      </w:r>
      <w:r w:rsidR="004055B4">
        <w:rPr>
          <w:lang w:val="fr-FR"/>
        </w:rPr>
        <w:t>’</w:t>
      </w:r>
      <w:r w:rsidRPr="00A40469">
        <w:rPr>
          <w:lang w:val="fr-FR"/>
        </w:rPr>
        <w:t>administration de l</w:t>
      </w:r>
      <w:r w:rsidR="004055B4">
        <w:rPr>
          <w:lang w:val="fr-FR"/>
        </w:rPr>
        <w:t>’</w:t>
      </w:r>
      <w:r w:rsidRPr="00A40469">
        <w:rPr>
          <w:lang w:val="fr-FR"/>
        </w:rPr>
        <w:t>Accord de 1958 (AC.1) pour examen à leurs sessions de mars 2023.</w:t>
      </w:r>
    </w:p>
    <w:p w14:paraId="088360BF" w14:textId="68CA954D" w:rsidR="00664DB6" w:rsidRDefault="00664DB6" w:rsidP="00664DB6">
      <w:pPr>
        <w:rPr>
          <w:lang w:val="fr-FR"/>
        </w:rPr>
      </w:pPr>
      <w:r>
        <w:rPr>
          <w:lang w:val="fr-FR"/>
        </w:rPr>
        <w:br w:type="page"/>
      </w:r>
    </w:p>
    <w:p w14:paraId="6603204C" w14:textId="77777777" w:rsidR="00664DB6" w:rsidRPr="005B0501" w:rsidRDefault="00664DB6" w:rsidP="000C3E1C">
      <w:pPr>
        <w:pStyle w:val="SingleTxtG"/>
      </w:pPr>
      <w:r w:rsidRPr="000C3E1C">
        <w:rPr>
          <w:i/>
        </w:rPr>
        <w:lastRenderedPageBreak/>
        <w:t>Paragraphe 2.3.11</w:t>
      </w:r>
      <w:r w:rsidRPr="005B0501">
        <w:t>, lire :</w:t>
      </w:r>
    </w:p>
    <w:p w14:paraId="20FB0144" w14:textId="4EC5EBBD" w:rsidR="00664DB6" w:rsidRPr="005B0501" w:rsidRDefault="00664DB6" w:rsidP="000819DB">
      <w:pPr>
        <w:pStyle w:val="SingleTxtG"/>
        <w:ind w:left="2268" w:hanging="1134"/>
        <w:rPr>
          <w:rFonts w:eastAsia="Calibri"/>
          <w:lang w:eastAsia="fr-FR"/>
        </w:rPr>
      </w:pPr>
      <w:r w:rsidRPr="005B0501">
        <w:t>«</w:t>
      </w:r>
      <w:r>
        <w:t> </w:t>
      </w:r>
      <w:r w:rsidRPr="005B0501">
        <w:t>2.3.11</w:t>
      </w:r>
      <w:r w:rsidRPr="005B0501">
        <w:tab/>
      </w:r>
      <w:r w:rsidRPr="005B0501">
        <w:rPr>
          <w:rFonts w:eastAsia="Calibri"/>
          <w:lang w:eastAsia="fr-FR"/>
        </w:rPr>
        <w:t>“</w:t>
      </w:r>
      <w:r w:rsidRPr="005B0501">
        <w:rPr>
          <w:rFonts w:eastAsia="Calibri"/>
          <w:i/>
          <w:lang w:eastAsia="fr-FR"/>
        </w:rPr>
        <w:t>Arrêt d</w:t>
      </w:r>
      <w:r w:rsidR="004055B4">
        <w:rPr>
          <w:rFonts w:eastAsia="Calibri"/>
          <w:i/>
          <w:lang w:eastAsia="fr-FR"/>
        </w:rPr>
        <w:t>’</w:t>
      </w:r>
      <w:r w:rsidRPr="005B0501">
        <w:rPr>
          <w:rFonts w:eastAsia="Calibri"/>
          <w:i/>
          <w:lang w:eastAsia="fr-FR"/>
        </w:rPr>
        <w:t>un véhicule</w:t>
      </w:r>
      <w:r w:rsidRPr="005B0501">
        <w:rPr>
          <w:rFonts w:eastAsia="Calibri"/>
          <w:lang w:eastAsia="fr-FR"/>
        </w:rPr>
        <w:t>”</w:t>
      </w:r>
    </w:p>
    <w:p w14:paraId="586C58A1" w14:textId="61426D86" w:rsidR="00664DB6" w:rsidRPr="005B0501" w:rsidRDefault="00664DB6" w:rsidP="000819DB">
      <w:pPr>
        <w:pStyle w:val="SingleTxtG"/>
        <w:ind w:left="2268" w:hanging="1134"/>
        <w:rPr>
          <w:rFonts w:eastAsia="Calibri"/>
        </w:rPr>
      </w:pPr>
      <w:r w:rsidRPr="005B0501">
        <w:rPr>
          <w:rFonts w:eastAsia="Calibri"/>
          <w:lang w:eastAsia="fr-FR"/>
        </w:rPr>
        <w:t>2.3.11</w:t>
      </w:r>
      <w:r w:rsidRPr="005B0501">
        <w:rPr>
          <w:rFonts w:eastAsia="Calibri"/>
        </w:rPr>
        <w:t>.1</w:t>
      </w:r>
      <w:r w:rsidRPr="005B0501">
        <w:rPr>
          <w:rFonts w:eastAsia="Calibri"/>
        </w:rPr>
        <w:tab/>
        <w:t>Pour un véhicule à moteur, la situation dans laquelle il se trouve lorsqu</w:t>
      </w:r>
      <w:r w:rsidR="004055B4">
        <w:rPr>
          <w:rFonts w:eastAsia="Calibri"/>
        </w:rPr>
        <w:t>’</w:t>
      </w:r>
      <w:r w:rsidRPr="005B0501">
        <w:rPr>
          <w:rFonts w:eastAsia="Calibri"/>
        </w:rPr>
        <w:t xml:space="preserve">il est </w:t>
      </w:r>
      <w:r w:rsidRPr="00295078">
        <w:t>immobile</w:t>
      </w:r>
      <w:r w:rsidRPr="005B0501">
        <w:rPr>
          <w:rFonts w:eastAsia="Calibri"/>
        </w:rPr>
        <w:t>, que son système de propulsion est arrêté et que ses éléments mobiles sont dans la (les) position(s) normale(s) définie(s) au paragraphe</w:t>
      </w:r>
      <w:r>
        <w:rPr>
          <w:rFonts w:eastAsia="Calibri"/>
        </w:rPr>
        <w:t xml:space="preserve"> </w:t>
      </w:r>
      <w:r w:rsidRPr="005B0501">
        <w:rPr>
          <w:rFonts w:eastAsia="Calibri"/>
        </w:rPr>
        <w:t>2.3.9 ;</w:t>
      </w:r>
    </w:p>
    <w:p w14:paraId="4F910AE7" w14:textId="194A2E99" w:rsidR="00664DB6" w:rsidRDefault="00664DB6" w:rsidP="000819DB">
      <w:pPr>
        <w:pStyle w:val="SingleTxtG"/>
        <w:ind w:left="2268" w:hanging="1134"/>
      </w:pPr>
      <w:r w:rsidRPr="0012133E">
        <w:rPr>
          <w:rFonts w:eastAsia="Calibri"/>
        </w:rPr>
        <w:t>2.3.11.2</w:t>
      </w:r>
      <w:r w:rsidRPr="00610F46">
        <w:rPr>
          <w:rFonts w:eastAsia="Calibri"/>
        </w:rPr>
        <w:tab/>
      </w:r>
      <w:r w:rsidRPr="0012133E">
        <w:rPr>
          <w:rFonts w:eastAsia="Calibri"/>
        </w:rPr>
        <w:t>Pour une remorque, la situation dans laquelle se trouve la remorque lorsqu</w:t>
      </w:r>
      <w:r w:rsidR="004055B4">
        <w:rPr>
          <w:rFonts w:eastAsia="Calibri"/>
        </w:rPr>
        <w:t>’</w:t>
      </w:r>
      <w:r w:rsidRPr="0012133E">
        <w:rPr>
          <w:rFonts w:eastAsia="Calibri"/>
        </w:rPr>
        <w:t>elle est attelée à un véhicule à moteur se trouvant dans les conditions définies au paragraphe 2.3.11.1 et que ses éléments mobiles sont dans la (les) position(s) normale(s) définie(s) au paragraphe 2.3.9.</w:t>
      </w:r>
      <w:r>
        <w:t> </w:t>
      </w:r>
      <w:r w:rsidRPr="005B0501">
        <w:t>»</w:t>
      </w:r>
      <w:r>
        <w:t>.</w:t>
      </w:r>
    </w:p>
    <w:p w14:paraId="0A5C27C6" w14:textId="567AA7E4" w:rsidR="00664DB6" w:rsidRPr="0012133E" w:rsidRDefault="00664DB6" w:rsidP="000819DB">
      <w:pPr>
        <w:pStyle w:val="SingleTxtG"/>
      </w:pPr>
      <w:r w:rsidRPr="0012133E">
        <w:rPr>
          <w:i/>
          <w:iCs/>
        </w:rPr>
        <w:t>Paragraphe 5.5.3</w:t>
      </w:r>
      <w:r w:rsidRPr="0012133E">
        <w:t>, lire</w:t>
      </w:r>
      <w:r w:rsidR="00410AA2">
        <w:t> </w:t>
      </w:r>
      <w:r w:rsidRPr="0012133E">
        <w:t>:</w:t>
      </w:r>
    </w:p>
    <w:p w14:paraId="0C6E80F8" w14:textId="44A78E09" w:rsidR="00664DB6" w:rsidRPr="0012133E" w:rsidRDefault="00664DB6" w:rsidP="000819DB">
      <w:pPr>
        <w:pStyle w:val="SingleTxtG"/>
        <w:ind w:left="2268" w:hanging="1134"/>
      </w:pPr>
      <w:r w:rsidRPr="0012133E">
        <w:t>«</w:t>
      </w:r>
      <w:r w:rsidR="004055B4">
        <w:t> </w:t>
      </w:r>
      <w:r w:rsidRPr="0012133E">
        <w:t>5.5.3</w:t>
      </w:r>
      <w:r w:rsidRPr="0012133E">
        <w:tab/>
        <w:t xml:space="preserve">Satisfaire aux mêmes prescriptions </w:t>
      </w:r>
      <w:r w:rsidRPr="000819DB">
        <w:rPr>
          <w:rFonts w:eastAsia="Calibri"/>
        </w:rPr>
        <w:t>colorimétriques</w:t>
      </w:r>
      <w:r w:rsidR="00410AA2">
        <w:rPr>
          <w:rFonts w:eastAsia="Calibri"/>
        </w:rPr>
        <w:t> </w:t>
      </w:r>
      <w:r w:rsidRPr="0012133E">
        <w:t>; ».</w:t>
      </w:r>
    </w:p>
    <w:p w14:paraId="065659C1" w14:textId="15B4C56D" w:rsidR="00664DB6" w:rsidRPr="0012133E" w:rsidRDefault="00664DB6" w:rsidP="000819DB">
      <w:pPr>
        <w:pStyle w:val="SingleTxtG"/>
      </w:pPr>
      <w:r w:rsidRPr="0012133E">
        <w:rPr>
          <w:i/>
          <w:iCs/>
        </w:rPr>
        <w:t>Paragraphe 5.5.4</w:t>
      </w:r>
      <w:r w:rsidRPr="0012133E">
        <w:t>, lire</w:t>
      </w:r>
      <w:r w:rsidR="004055B4">
        <w:t> :</w:t>
      </w:r>
    </w:p>
    <w:p w14:paraId="39BDE24F" w14:textId="53CF3FE6" w:rsidR="00664DB6" w:rsidRPr="005B0501" w:rsidRDefault="004055B4" w:rsidP="000819DB">
      <w:pPr>
        <w:pStyle w:val="SingleTxtG"/>
        <w:ind w:left="2268" w:hanging="1134"/>
        <w:rPr>
          <w:b/>
          <w:bCs/>
        </w:rPr>
      </w:pPr>
      <w:r>
        <w:t>« </w:t>
      </w:r>
      <w:r w:rsidR="00664DB6" w:rsidRPr="0012133E">
        <w:t>5.5.4</w:t>
      </w:r>
      <w:r w:rsidR="00664DB6" w:rsidRPr="0012133E">
        <w:tab/>
        <w:t>Avoir des caractéristiques photométriques sensiblement identiques. Cette exigence ne s</w:t>
      </w:r>
      <w:r>
        <w:t>’</w:t>
      </w:r>
      <w:r w:rsidR="00664DB6" w:rsidRPr="0012133E">
        <w:t>applique pas à une paire assortie pour une fonction et/ou un AFS.</w:t>
      </w:r>
      <w:r w:rsidR="00664DB6">
        <w:t> </w:t>
      </w:r>
      <w:r w:rsidR="00664DB6" w:rsidRPr="0012133E">
        <w:t>».</w:t>
      </w:r>
    </w:p>
    <w:p w14:paraId="449FB615" w14:textId="77777777" w:rsidR="00664DB6" w:rsidRPr="00612B6F" w:rsidRDefault="00664DB6" w:rsidP="000819DB">
      <w:pPr>
        <w:pStyle w:val="SingleTxtG"/>
      </w:pPr>
      <w:r w:rsidRPr="004E58D6">
        <w:rPr>
          <w:i/>
          <w:iCs/>
        </w:rPr>
        <w:t>Paragraphe</w:t>
      </w:r>
      <w:r w:rsidRPr="005B0501">
        <w:rPr>
          <w:i/>
        </w:rPr>
        <w:t xml:space="preserve"> 5.9.2</w:t>
      </w:r>
      <w:r w:rsidRPr="005B0501">
        <w:t>, lire :</w:t>
      </w:r>
    </w:p>
    <w:p w14:paraId="3E19251C" w14:textId="77777777" w:rsidR="00664DB6" w:rsidRPr="005B0501" w:rsidRDefault="00664DB6" w:rsidP="000819DB">
      <w:pPr>
        <w:pStyle w:val="SingleTxtG"/>
        <w:ind w:left="2268" w:hanging="1134"/>
      </w:pPr>
      <w:r w:rsidRPr="005B0501">
        <w:t>«</w:t>
      </w:r>
      <w:r>
        <w:t> </w:t>
      </w:r>
      <w:r w:rsidRPr="005B0501">
        <w:t>5.9.2</w:t>
      </w:r>
      <w:r w:rsidRPr="005B0501">
        <w:tab/>
        <w:t xml:space="preserve">Les caractéristiques photométriques de chaque </w:t>
      </w:r>
      <w:r w:rsidRPr="000819DB">
        <w:rPr>
          <w:rFonts w:eastAsia="Calibri"/>
        </w:rPr>
        <w:t>feu</w:t>
      </w:r>
      <w:r w:rsidRPr="005B0501">
        <w:t xml:space="preserve"> peuvent varier :</w:t>
      </w:r>
    </w:p>
    <w:p w14:paraId="65B18913" w14:textId="77777777" w:rsidR="00664DB6" w:rsidRPr="005B0501" w:rsidRDefault="00664DB6" w:rsidP="000819DB">
      <w:pPr>
        <w:pStyle w:val="SingleTxtG"/>
        <w:ind w:left="2835" w:hanging="567"/>
      </w:pPr>
      <w:r w:rsidRPr="005B0501">
        <w:t>a)</w:t>
      </w:r>
      <w:r w:rsidRPr="005B0501">
        <w:tab/>
        <w:t>En fonction de la luminosité ;</w:t>
      </w:r>
    </w:p>
    <w:p w14:paraId="66E478F0" w14:textId="4EF75A81" w:rsidR="00664DB6" w:rsidRPr="005B0501" w:rsidRDefault="00664DB6" w:rsidP="000819DB">
      <w:pPr>
        <w:pStyle w:val="SingleTxtG"/>
        <w:ind w:left="2835" w:hanging="567"/>
      </w:pPr>
      <w:r w:rsidRPr="005B0501">
        <w:t>b)</w:t>
      </w:r>
      <w:r w:rsidRPr="005B0501">
        <w:tab/>
        <w:t>Du fait de l</w:t>
      </w:r>
      <w:r w:rsidR="004055B4">
        <w:t>’</w:t>
      </w:r>
      <w:r w:rsidRPr="005B0501">
        <w:t>allumage ou de l</w:t>
      </w:r>
      <w:r w:rsidR="004055B4">
        <w:t>’</w:t>
      </w:r>
      <w:r w:rsidRPr="005B0501">
        <w:t>extinction d</w:t>
      </w:r>
      <w:r w:rsidR="004055B4">
        <w:t>’</w:t>
      </w:r>
      <w:r w:rsidRPr="005B0501">
        <w:t>autres feux ; ou</w:t>
      </w:r>
    </w:p>
    <w:p w14:paraId="660083A0" w14:textId="014B5FF2" w:rsidR="00664DB6" w:rsidRPr="005B0501" w:rsidRDefault="00664DB6" w:rsidP="000819DB">
      <w:pPr>
        <w:pStyle w:val="SingleTxtG"/>
        <w:ind w:left="2835" w:hanging="567"/>
      </w:pPr>
      <w:r w:rsidRPr="005B0501">
        <w:t>c)</w:t>
      </w:r>
      <w:r w:rsidRPr="005B0501">
        <w:tab/>
        <w:t>Lorsque le feu ser</w:t>
      </w:r>
      <w:r>
        <w:t>t</w:t>
      </w:r>
      <w:r w:rsidRPr="005B0501">
        <w:t xml:space="preserve"> à assurer une autre fonction d</w:t>
      </w:r>
      <w:r w:rsidR="004055B4">
        <w:t>’</w:t>
      </w:r>
      <w:r w:rsidRPr="005B0501">
        <w:t>éclairage ;</w:t>
      </w:r>
    </w:p>
    <w:p w14:paraId="3CC6754E" w14:textId="77777777" w:rsidR="00664DB6" w:rsidRPr="005B0501" w:rsidRDefault="00664DB6" w:rsidP="000819DB">
      <w:pPr>
        <w:pStyle w:val="SingleTxtG"/>
        <w:ind w:left="2268"/>
        <w:rPr>
          <w:b/>
          <w:bCs/>
        </w:rPr>
      </w:pPr>
      <w:r w:rsidRPr="0012133E">
        <w:t>à condition que toute variation des caractéristiques photométriques soit conforme aux prescriptions techniques relatives au feu concerné.</w:t>
      </w:r>
      <w:r>
        <w:t> </w:t>
      </w:r>
      <w:r w:rsidRPr="005B0501">
        <w:t>».</w:t>
      </w:r>
    </w:p>
    <w:p w14:paraId="248F058F" w14:textId="77777777" w:rsidR="00664DB6" w:rsidRPr="005B0501" w:rsidRDefault="00664DB6" w:rsidP="000819DB">
      <w:pPr>
        <w:pStyle w:val="SingleTxtG"/>
        <w:rPr>
          <w:szCs w:val="16"/>
        </w:rPr>
      </w:pPr>
      <w:r w:rsidRPr="004E58D6">
        <w:rPr>
          <w:i/>
          <w:iCs/>
        </w:rPr>
        <w:t>Paragraphe</w:t>
      </w:r>
      <w:r w:rsidRPr="005B0501">
        <w:rPr>
          <w:i/>
          <w:szCs w:val="16"/>
        </w:rPr>
        <w:t xml:space="preserve"> 5.21.1</w:t>
      </w:r>
      <w:r w:rsidRPr="00F8218B">
        <w:rPr>
          <w:iCs/>
          <w:szCs w:val="16"/>
        </w:rPr>
        <w:t xml:space="preserve">, </w:t>
      </w:r>
      <w:r w:rsidRPr="005B0501">
        <w:rPr>
          <w:szCs w:val="16"/>
        </w:rPr>
        <w:t>modification sans objet en français.</w:t>
      </w:r>
    </w:p>
    <w:p w14:paraId="1DD4F8B9" w14:textId="77777777" w:rsidR="00664DB6" w:rsidRDefault="00664DB6" w:rsidP="000819DB">
      <w:pPr>
        <w:pStyle w:val="SingleTxtG"/>
        <w:rPr>
          <w:szCs w:val="16"/>
        </w:rPr>
      </w:pPr>
      <w:bookmarkStart w:id="0" w:name="_Hlk112858524"/>
      <w:r w:rsidRPr="004E58D6">
        <w:rPr>
          <w:i/>
          <w:iCs/>
        </w:rPr>
        <w:t>Paragraphe</w:t>
      </w:r>
      <w:r w:rsidRPr="005B0501">
        <w:rPr>
          <w:i/>
          <w:szCs w:val="16"/>
        </w:rPr>
        <w:t xml:space="preserve"> 6.1.8</w:t>
      </w:r>
      <w:r>
        <w:rPr>
          <w:i/>
          <w:szCs w:val="16"/>
        </w:rPr>
        <w:t xml:space="preserve">, </w:t>
      </w:r>
      <w:r w:rsidRPr="005B0501">
        <w:rPr>
          <w:szCs w:val="16"/>
        </w:rPr>
        <w:t>modification sans objet en français</w:t>
      </w:r>
      <w:r>
        <w:rPr>
          <w:szCs w:val="16"/>
        </w:rPr>
        <w:t>.</w:t>
      </w:r>
    </w:p>
    <w:p w14:paraId="286F1C46" w14:textId="6A45A52B" w:rsidR="00664DB6" w:rsidRPr="00CB1AE1" w:rsidRDefault="00664DB6" w:rsidP="00CB1AE1">
      <w:pPr>
        <w:pStyle w:val="SingleTxtG"/>
        <w:rPr>
          <w:i/>
          <w:szCs w:val="16"/>
        </w:rPr>
      </w:pPr>
      <w:r w:rsidRPr="004E58D6">
        <w:rPr>
          <w:i/>
          <w:iCs/>
        </w:rPr>
        <w:t>Paragraphe</w:t>
      </w:r>
      <w:r w:rsidRPr="005B0501">
        <w:rPr>
          <w:i/>
          <w:szCs w:val="16"/>
        </w:rPr>
        <w:t xml:space="preserve"> 6.1.8</w:t>
      </w:r>
      <w:r>
        <w:rPr>
          <w:i/>
          <w:szCs w:val="16"/>
        </w:rPr>
        <w:t xml:space="preserve">.1, </w:t>
      </w:r>
      <w:r w:rsidRPr="0012133E">
        <w:rPr>
          <w:iCs/>
          <w:szCs w:val="16"/>
        </w:rPr>
        <w:t xml:space="preserve">remplacer </w:t>
      </w:r>
      <w:r>
        <w:rPr>
          <w:iCs/>
          <w:szCs w:val="16"/>
        </w:rPr>
        <w:t>« </w:t>
      </w:r>
      <w:r w:rsidRPr="0012133E">
        <w:rPr>
          <w:iCs/>
          <w:szCs w:val="16"/>
        </w:rPr>
        <w:t>6.1.7.1</w:t>
      </w:r>
      <w:r>
        <w:rPr>
          <w:iCs/>
          <w:szCs w:val="16"/>
        </w:rPr>
        <w:t> »</w:t>
      </w:r>
      <w:r w:rsidRPr="0012133E">
        <w:rPr>
          <w:iCs/>
          <w:szCs w:val="16"/>
        </w:rPr>
        <w:t xml:space="preserve"> par </w:t>
      </w:r>
      <w:r>
        <w:rPr>
          <w:iCs/>
          <w:szCs w:val="16"/>
        </w:rPr>
        <w:t>« </w:t>
      </w:r>
      <w:r w:rsidRPr="0012133E">
        <w:rPr>
          <w:iCs/>
          <w:szCs w:val="16"/>
        </w:rPr>
        <w:t>6.1.7.2</w:t>
      </w:r>
      <w:r>
        <w:rPr>
          <w:iCs/>
          <w:szCs w:val="16"/>
        </w:rPr>
        <w:t> »</w:t>
      </w:r>
      <w:r w:rsidRPr="0012133E">
        <w:rPr>
          <w:iCs/>
          <w:szCs w:val="16"/>
        </w:rPr>
        <w:t>.</w:t>
      </w:r>
    </w:p>
    <w:p w14:paraId="119EBFAF" w14:textId="0CDE5304" w:rsidR="00664DB6" w:rsidRPr="00CB1AE1" w:rsidRDefault="00664DB6" w:rsidP="00CB1AE1">
      <w:pPr>
        <w:pStyle w:val="SingleTxtG"/>
        <w:rPr>
          <w:iCs/>
        </w:rPr>
      </w:pPr>
      <w:r w:rsidRPr="004E58D6">
        <w:rPr>
          <w:i/>
          <w:iCs/>
        </w:rPr>
        <w:t>Paragraphe</w:t>
      </w:r>
      <w:r>
        <w:rPr>
          <w:i/>
          <w:iCs/>
        </w:rPr>
        <w:t>s</w:t>
      </w:r>
      <w:r w:rsidRPr="005B0501">
        <w:rPr>
          <w:i/>
        </w:rPr>
        <w:t xml:space="preserve"> 6.1.9.3.1</w:t>
      </w:r>
      <w:r>
        <w:rPr>
          <w:i/>
        </w:rPr>
        <w:t xml:space="preserve"> et 6.1.9.3.1.1</w:t>
      </w:r>
      <w:r w:rsidRPr="00F8218B">
        <w:rPr>
          <w:iCs/>
        </w:rPr>
        <w:t>,</w:t>
      </w:r>
      <w:r>
        <w:rPr>
          <w:iCs/>
        </w:rPr>
        <w:t xml:space="preserve"> remplacer « 6.1.7.1 » par « 6.1.7.2 ».</w:t>
      </w:r>
      <w:bookmarkEnd w:id="0"/>
    </w:p>
    <w:p w14:paraId="4C0751DD" w14:textId="30F45F1A" w:rsidR="00664DB6" w:rsidRPr="00CB1AE1" w:rsidRDefault="00664DB6" w:rsidP="00CB1AE1">
      <w:pPr>
        <w:pStyle w:val="SingleTxtG"/>
        <w:rPr>
          <w:iCs/>
        </w:rPr>
      </w:pPr>
      <w:r w:rsidRPr="004E58D6">
        <w:rPr>
          <w:i/>
          <w:iCs/>
        </w:rPr>
        <w:t>Paragraphe</w:t>
      </w:r>
      <w:r w:rsidRPr="005B0501">
        <w:rPr>
          <w:i/>
        </w:rPr>
        <w:t xml:space="preserve"> 6.1.9.3.2</w:t>
      </w:r>
      <w:r w:rsidRPr="00315386">
        <w:rPr>
          <w:iCs/>
        </w:rPr>
        <w:t xml:space="preserve">, </w:t>
      </w:r>
      <w:r>
        <w:rPr>
          <w:iCs/>
        </w:rPr>
        <w:t>remplacer « 6.1.7.1 » par « 6.1.7.2 ».</w:t>
      </w:r>
    </w:p>
    <w:p w14:paraId="56E399FE" w14:textId="29F14116" w:rsidR="00664DB6" w:rsidRPr="00CB1AE1" w:rsidRDefault="00664DB6" w:rsidP="00CB1AE1">
      <w:pPr>
        <w:pStyle w:val="SingleTxtG"/>
      </w:pPr>
      <w:r w:rsidRPr="004E58D6">
        <w:rPr>
          <w:i/>
          <w:iCs/>
        </w:rPr>
        <w:t>Paragraphe</w:t>
      </w:r>
      <w:r w:rsidRPr="005B0501">
        <w:rPr>
          <w:i/>
        </w:rPr>
        <w:t xml:space="preserve"> 6.1.9.3.4</w:t>
      </w:r>
      <w:r>
        <w:rPr>
          <w:i/>
        </w:rPr>
        <w:t xml:space="preserve"> a)</w:t>
      </w:r>
      <w:r w:rsidRPr="00315386">
        <w:rPr>
          <w:iCs/>
        </w:rPr>
        <w:t>,</w:t>
      </w:r>
      <w:r w:rsidRPr="005B0501">
        <w:t xml:space="preserve"> </w:t>
      </w:r>
      <w:r>
        <w:t>remplacer « 6.1.7.1 » par « 6.1.7.2 ».</w:t>
      </w:r>
    </w:p>
    <w:p w14:paraId="73A9650F" w14:textId="5E9AEDDD" w:rsidR="00664DB6" w:rsidRPr="00CB1AE1" w:rsidRDefault="00664DB6" w:rsidP="00CB1AE1">
      <w:pPr>
        <w:pStyle w:val="SingleTxtG"/>
        <w:rPr>
          <w:iCs/>
        </w:rPr>
      </w:pPr>
      <w:r w:rsidRPr="004E58D6">
        <w:rPr>
          <w:i/>
          <w:iCs/>
        </w:rPr>
        <w:t>Paragraphe</w:t>
      </w:r>
      <w:r w:rsidRPr="005B0501">
        <w:rPr>
          <w:i/>
        </w:rPr>
        <w:t xml:space="preserve"> 6.1.9.3.5</w:t>
      </w:r>
      <w:r w:rsidRPr="003B0359">
        <w:rPr>
          <w:iCs/>
        </w:rPr>
        <w:t>,</w:t>
      </w:r>
      <w:r>
        <w:rPr>
          <w:iCs/>
        </w:rPr>
        <w:t xml:space="preserve"> remplacer « 6.1.7.1 » par « 6.1.7.2 ».</w:t>
      </w:r>
    </w:p>
    <w:p w14:paraId="4496D2D5" w14:textId="77777777" w:rsidR="00664DB6" w:rsidRPr="00D40E57" w:rsidRDefault="00664DB6" w:rsidP="000819DB">
      <w:pPr>
        <w:pStyle w:val="SingleTxtG"/>
      </w:pPr>
      <w:r w:rsidRPr="00D40E57">
        <w:rPr>
          <w:i/>
          <w:iCs/>
          <w:lang w:val="fr-FR"/>
        </w:rPr>
        <w:t>Paragraphe 6.2.8.2</w:t>
      </w:r>
      <w:r w:rsidRPr="00D40E57">
        <w:rPr>
          <w:lang w:val="fr-FR"/>
        </w:rPr>
        <w:t>, lire</w:t>
      </w:r>
      <w:r>
        <w:rPr>
          <w:lang w:val="fr-FR"/>
        </w:rPr>
        <w:t> </w:t>
      </w:r>
      <w:r w:rsidRPr="00D40E57">
        <w:rPr>
          <w:lang w:val="fr-FR"/>
        </w:rPr>
        <w:t>:</w:t>
      </w:r>
    </w:p>
    <w:p w14:paraId="6922FBE2" w14:textId="4970478D" w:rsidR="00664DB6" w:rsidRPr="00D40E57" w:rsidRDefault="00664DB6" w:rsidP="000819DB">
      <w:pPr>
        <w:pStyle w:val="SingleTxtG"/>
        <w:ind w:left="2268" w:hanging="1134"/>
      </w:pPr>
      <w:r w:rsidRPr="00D40E57">
        <w:t>« 6.2.8.2</w:t>
      </w:r>
      <w:r w:rsidRPr="00D40E57">
        <w:tab/>
        <w:t>La présence d</w:t>
      </w:r>
      <w:r w:rsidR="004055B4">
        <w:t>’</w:t>
      </w:r>
      <w:r w:rsidRPr="00D40E57">
        <w:t xml:space="preserve">un témoin optique de </w:t>
      </w:r>
      <w:r w:rsidRPr="0012133E">
        <w:t>défaut de</w:t>
      </w:r>
      <w:r w:rsidRPr="00730B2A">
        <w:t xml:space="preserve"> </w:t>
      </w:r>
      <w:r w:rsidRPr="000819DB">
        <w:rPr>
          <w:rFonts w:eastAsia="Calibri"/>
        </w:rPr>
        <w:t>fonctionnement</w:t>
      </w:r>
      <w:r w:rsidRPr="00D40E57">
        <w:t>, clignotant ou non, est obligatoire</w:t>
      </w:r>
      <w:r>
        <w:t> </w:t>
      </w:r>
      <w:r w:rsidRPr="00D40E57">
        <w:t>:</w:t>
      </w:r>
    </w:p>
    <w:p w14:paraId="7E260A61" w14:textId="7E8497A0" w:rsidR="00664DB6" w:rsidRPr="00D40E57" w:rsidRDefault="00664DB6" w:rsidP="00CB1AE1">
      <w:pPr>
        <w:pStyle w:val="SingleTxtG"/>
        <w:ind w:left="2835" w:hanging="567"/>
      </w:pPr>
      <w:r w:rsidRPr="00D40E57">
        <w:rPr>
          <w:lang w:val="fr-FR"/>
        </w:rPr>
        <w:t>a)</w:t>
      </w:r>
      <w:r w:rsidRPr="00D40E57">
        <w:rPr>
          <w:lang w:val="fr-FR"/>
        </w:rPr>
        <w:tab/>
        <w:t>Si l</w:t>
      </w:r>
      <w:r w:rsidR="004055B4">
        <w:rPr>
          <w:lang w:val="fr-FR"/>
        </w:rPr>
        <w:t>’</w:t>
      </w:r>
      <w:r w:rsidRPr="00D40E57">
        <w:rPr>
          <w:lang w:val="fr-FR"/>
        </w:rPr>
        <w:t>éclairage de virage est obtenu au moyen d</w:t>
      </w:r>
      <w:r w:rsidR="004055B4">
        <w:rPr>
          <w:lang w:val="fr-FR"/>
        </w:rPr>
        <w:t>’</w:t>
      </w:r>
      <w:r w:rsidRPr="00D40E57">
        <w:rPr>
          <w:lang w:val="fr-FR"/>
        </w:rPr>
        <w:t>un déplacement de l</w:t>
      </w:r>
      <w:r w:rsidR="004055B4">
        <w:rPr>
          <w:lang w:val="fr-FR"/>
        </w:rPr>
        <w:t>’</w:t>
      </w:r>
      <w:r w:rsidRPr="00D40E57">
        <w:rPr>
          <w:lang w:val="fr-FR"/>
        </w:rPr>
        <w:t>ensemble du faisceau ou du coude de la ligne de coupure</w:t>
      </w:r>
      <w:r>
        <w:rPr>
          <w:lang w:val="fr-FR"/>
        </w:rPr>
        <w:t> </w:t>
      </w:r>
      <w:r w:rsidRPr="00D40E57">
        <w:rPr>
          <w:lang w:val="fr-FR"/>
        </w:rPr>
        <w:t>; ou</w:t>
      </w:r>
    </w:p>
    <w:p w14:paraId="1469200E" w14:textId="50E78D54" w:rsidR="00664DB6" w:rsidRPr="00D40E57" w:rsidRDefault="00664DB6" w:rsidP="00CB1AE1">
      <w:pPr>
        <w:pStyle w:val="SingleTxtG"/>
        <w:ind w:left="2835" w:hanging="567"/>
      </w:pPr>
      <w:r w:rsidRPr="00D40E57">
        <w:rPr>
          <w:lang w:val="fr-FR"/>
        </w:rPr>
        <w:t>b)</w:t>
      </w:r>
      <w:r w:rsidRPr="00D40E57">
        <w:rPr>
          <w:lang w:val="fr-FR"/>
        </w:rPr>
        <w:tab/>
        <w:t xml:space="preserve">Si le faisceau de croisement principal est </w:t>
      </w:r>
      <w:r w:rsidRPr="00CB1AE1">
        <w:t>produit</w:t>
      </w:r>
      <w:r w:rsidRPr="00D40E57">
        <w:rPr>
          <w:lang w:val="fr-FR"/>
        </w:rPr>
        <w:t xml:space="preserve"> par un ou plusieurs modules DEL, sauf si leur branchement électrique est tel que la défaillance d</w:t>
      </w:r>
      <w:r w:rsidR="004055B4">
        <w:rPr>
          <w:lang w:val="fr-FR"/>
        </w:rPr>
        <w:t>’</w:t>
      </w:r>
      <w:r w:rsidRPr="00D40E57">
        <w:rPr>
          <w:lang w:val="fr-FR"/>
        </w:rPr>
        <w:t>un quelconque des modules DEL cause l</w:t>
      </w:r>
      <w:r w:rsidR="004055B4">
        <w:rPr>
          <w:lang w:val="fr-FR"/>
        </w:rPr>
        <w:t>’</w:t>
      </w:r>
      <w:r w:rsidRPr="00D40E57">
        <w:rPr>
          <w:lang w:val="fr-FR"/>
        </w:rPr>
        <w:t>extinction de tous.</w:t>
      </w:r>
    </w:p>
    <w:p w14:paraId="1FFF7375" w14:textId="684E9DAA" w:rsidR="00664DB6" w:rsidRPr="00D40E57" w:rsidRDefault="00664DB6" w:rsidP="00CB1AE1">
      <w:pPr>
        <w:pStyle w:val="SingleTxtG"/>
        <w:ind w:left="2268"/>
      </w:pPr>
      <w:r w:rsidRPr="00D40E57">
        <w:rPr>
          <w:lang w:val="fr-FR"/>
        </w:rPr>
        <w:t xml:space="preserve">Il doit </w:t>
      </w:r>
      <w:r w:rsidRPr="00CB1AE1">
        <w:t>s</w:t>
      </w:r>
      <w:r w:rsidR="004055B4">
        <w:t>’</w:t>
      </w:r>
      <w:r w:rsidRPr="00CB1AE1">
        <w:t>activer</w:t>
      </w:r>
      <w:r>
        <w:rPr>
          <w:lang w:val="fr-FR"/>
        </w:rPr>
        <w:t> </w:t>
      </w:r>
      <w:r w:rsidRPr="00D40E57">
        <w:rPr>
          <w:lang w:val="fr-FR"/>
        </w:rPr>
        <w:t>:</w:t>
      </w:r>
    </w:p>
    <w:p w14:paraId="25FD1617" w14:textId="77777777" w:rsidR="00664DB6" w:rsidRPr="00D40E57" w:rsidRDefault="00664DB6" w:rsidP="00CB1AE1">
      <w:pPr>
        <w:pStyle w:val="SingleTxtG"/>
        <w:ind w:left="2835" w:hanging="567"/>
      </w:pPr>
      <w:r w:rsidRPr="00D40E57">
        <w:rPr>
          <w:lang w:val="fr-FR"/>
        </w:rPr>
        <w:t>a)</w:t>
      </w:r>
      <w:r w:rsidRPr="00D40E57">
        <w:rPr>
          <w:lang w:val="fr-FR"/>
        </w:rPr>
        <w:tab/>
        <w:t xml:space="preserve">En cas de déplacement incorrect du </w:t>
      </w:r>
      <w:r w:rsidRPr="00CB1AE1">
        <w:t>coude</w:t>
      </w:r>
      <w:r w:rsidRPr="00D40E57">
        <w:rPr>
          <w:lang w:val="fr-FR"/>
        </w:rPr>
        <w:t xml:space="preserve"> de la ligne de coupure</w:t>
      </w:r>
      <w:r>
        <w:rPr>
          <w:lang w:val="fr-FR"/>
        </w:rPr>
        <w:t> </w:t>
      </w:r>
      <w:r w:rsidRPr="00D40E57">
        <w:rPr>
          <w:lang w:val="fr-FR"/>
        </w:rPr>
        <w:t>; ou</w:t>
      </w:r>
    </w:p>
    <w:p w14:paraId="794527E0" w14:textId="1313BB30" w:rsidR="00664DB6" w:rsidRPr="00D40E57" w:rsidRDefault="00664DB6" w:rsidP="00CB1AE1">
      <w:pPr>
        <w:pStyle w:val="SingleTxtG"/>
        <w:ind w:left="2835" w:hanging="567"/>
      </w:pPr>
      <w:r w:rsidRPr="00D40E57">
        <w:rPr>
          <w:lang w:val="fr-FR"/>
        </w:rPr>
        <w:t>b)</w:t>
      </w:r>
      <w:r w:rsidRPr="00D40E57">
        <w:rPr>
          <w:lang w:val="fr-FR"/>
        </w:rPr>
        <w:tab/>
        <w:t>En cas de défaillance du module ou d</w:t>
      </w:r>
      <w:r w:rsidR="004055B4">
        <w:rPr>
          <w:lang w:val="fr-FR"/>
        </w:rPr>
        <w:t>’</w:t>
      </w:r>
      <w:r w:rsidRPr="00D40E57">
        <w:rPr>
          <w:lang w:val="fr-FR"/>
        </w:rPr>
        <w:t>un quelconque des modules produisant le faisceau de croisement principal, sauf si leur branchement électrique est tel que la défaillance d</w:t>
      </w:r>
      <w:r w:rsidR="004055B4">
        <w:rPr>
          <w:lang w:val="fr-FR"/>
        </w:rPr>
        <w:t>’</w:t>
      </w:r>
      <w:r w:rsidRPr="00D40E57">
        <w:rPr>
          <w:lang w:val="fr-FR"/>
        </w:rPr>
        <w:t>un quelconque des modules DEL cause l</w:t>
      </w:r>
      <w:r w:rsidR="004055B4">
        <w:rPr>
          <w:lang w:val="fr-FR"/>
        </w:rPr>
        <w:t>’</w:t>
      </w:r>
      <w:r w:rsidRPr="00D40E57">
        <w:rPr>
          <w:lang w:val="fr-FR"/>
        </w:rPr>
        <w:t>extinction de tous.</w:t>
      </w:r>
    </w:p>
    <w:p w14:paraId="6D17AD11" w14:textId="77777777" w:rsidR="00664DB6" w:rsidRPr="005B0501" w:rsidRDefault="00664DB6" w:rsidP="00CB1AE1">
      <w:pPr>
        <w:pStyle w:val="SingleTxtG"/>
        <w:ind w:left="2268"/>
      </w:pPr>
      <w:r w:rsidRPr="00D40E57">
        <w:lastRenderedPageBreak/>
        <w:t>Il doit rester activé aussi longtemps que dure la défaillance. Il peut être désactivé temporairement, mais doit être remis en fonction chaque fois que le dispositif qui met le moteur en marche ou le coupe est activé ou désactivé.</w:t>
      </w:r>
      <w:r>
        <w:t> </w:t>
      </w:r>
      <w:r w:rsidRPr="00D40E57">
        <w:t>».</w:t>
      </w:r>
    </w:p>
    <w:p w14:paraId="40574635" w14:textId="77777777" w:rsidR="00664DB6" w:rsidRPr="005B0501" w:rsidRDefault="00664DB6" w:rsidP="000819DB">
      <w:pPr>
        <w:pStyle w:val="SingleTxtG"/>
        <w:rPr>
          <w:szCs w:val="16"/>
        </w:rPr>
      </w:pPr>
      <w:r w:rsidRPr="004E58D6">
        <w:rPr>
          <w:i/>
          <w:iCs/>
        </w:rPr>
        <w:t>Paragraphe</w:t>
      </w:r>
      <w:r w:rsidRPr="005B0501">
        <w:rPr>
          <w:i/>
          <w:szCs w:val="16"/>
        </w:rPr>
        <w:t xml:space="preserve"> 6.2.9</w:t>
      </w:r>
      <w:r w:rsidRPr="003B0359">
        <w:rPr>
          <w:iCs/>
          <w:szCs w:val="16"/>
        </w:rPr>
        <w:t xml:space="preserve">, </w:t>
      </w:r>
      <w:r w:rsidRPr="005B0501">
        <w:rPr>
          <w:szCs w:val="16"/>
        </w:rPr>
        <w:t>lire :</w:t>
      </w:r>
    </w:p>
    <w:p w14:paraId="6F2D41C8" w14:textId="77777777" w:rsidR="00664DB6" w:rsidRPr="005B0501" w:rsidRDefault="00664DB6" w:rsidP="000819DB">
      <w:pPr>
        <w:pStyle w:val="SingleTxtG"/>
        <w:ind w:left="2268" w:hanging="1134"/>
      </w:pPr>
      <w:r w:rsidRPr="005B0501">
        <w:t>«</w:t>
      </w:r>
      <w:r>
        <w:t> </w:t>
      </w:r>
      <w:r w:rsidRPr="005B0501">
        <w:rPr>
          <w:rFonts w:eastAsia="Calibri"/>
        </w:rPr>
        <w:t>6.2.9</w:t>
      </w:r>
      <w:r w:rsidRPr="005B0501">
        <w:rPr>
          <w:rFonts w:eastAsia="Calibri"/>
        </w:rPr>
        <w:tab/>
      </w:r>
      <w:r w:rsidRPr="00295078">
        <w:t>Autres</w:t>
      </w:r>
      <w:r w:rsidRPr="005B0501">
        <w:rPr>
          <w:rFonts w:eastAsia="Calibri"/>
          <w:lang w:eastAsia="fr-FR"/>
        </w:rPr>
        <w:t xml:space="preserve"> prescriptions</w:t>
      </w:r>
    </w:p>
    <w:p w14:paraId="36419064" w14:textId="77777777" w:rsidR="00664DB6" w:rsidRPr="005B0501" w:rsidRDefault="00664DB6" w:rsidP="000819DB">
      <w:pPr>
        <w:pStyle w:val="SingleTxtG"/>
        <w:ind w:left="2268" w:hanging="1134"/>
        <w:rPr>
          <w:szCs w:val="16"/>
        </w:rPr>
      </w:pPr>
      <w:r w:rsidRPr="0012133E">
        <w:t>6.2.9.1</w:t>
      </w:r>
      <w:r w:rsidRPr="005B0501">
        <w:tab/>
        <w:t xml:space="preserve">Les prescriptions du paragraphe 5.5.2 ne sont pas </w:t>
      </w:r>
      <w:r w:rsidRPr="000819DB">
        <w:rPr>
          <w:rFonts w:eastAsia="Calibri"/>
        </w:rPr>
        <w:t>applicables</w:t>
      </w:r>
      <w:r w:rsidRPr="005B0501">
        <w:t xml:space="preserve"> aux feux de croisement.</w:t>
      </w:r>
    </w:p>
    <w:p w14:paraId="0C4D1430" w14:textId="47016C4C" w:rsidR="00664DB6" w:rsidRPr="005B0501" w:rsidRDefault="00664DB6" w:rsidP="000819DB">
      <w:pPr>
        <w:pStyle w:val="SingleTxtG"/>
        <w:ind w:left="2268" w:hanging="1134"/>
        <w:rPr>
          <w:szCs w:val="16"/>
        </w:rPr>
      </w:pPr>
      <w:r w:rsidRPr="0012133E">
        <w:t>6.2.9.2</w:t>
      </w:r>
      <w:r w:rsidRPr="005B0501">
        <w:tab/>
      </w:r>
      <w:r w:rsidRPr="005B0501">
        <w:rPr>
          <w:rFonts w:eastAsia="Calibri"/>
          <w:lang w:eastAsia="fr-FR"/>
        </w:rPr>
        <w:t>Les feux de croisement munis d</w:t>
      </w:r>
      <w:r w:rsidR="004055B4">
        <w:rPr>
          <w:rFonts w:eastAsia="Calibri"/>
          <w:lang w:eastAsia="fr-FR"/>
        </w:rPr>
        <w:t>’</w:t>
      </w:r>
      <w:r w:rsidRPr="005B0501">
        <w:rPr>
          <w:rFonts w:eastAsia="Calibri"/>
          <w:lang w:eastAsia="fr-FR"/>
        </w:rPr>
        <w:t>une source lumineuse ou d</w:t>
      </w:r>
      <w:r w:rsidR="004055B4">
        <w:rPr>
          <w:rFonts w:eastAsia="Calibri"/>
          <w:lang w:eastAsia="fr-FR"/>
        </w:rPr>
        <w:t>’</w:t>
      </w:r>
      <w:r w:rsidRPr="005B0501">
        <w:rPr>
          <w:rFonts w:eastAsia="Calibri"/>
          <w:lang w:eastAsia="fr-FR"/>
        </w:rPr>
        <w:t xml:space="preserve">un ou de plusieurs </w:t>
      </w:r>
      <w:r w:rsidRPr="00295078">
        <w:t>modules</w:t>
      </w:r>
      <w:r w:rsidRPr="005B0501">
        <w:rPr>
          <w:rFonts w:eastAsia="Calibri"/>
          <w:lang w:eastAsia="fr-FR"/>
        </w:rPr>
        <w:t xml:space="preserve"> DEL produisant le faisceau de croisement principal ayant un flux lumineux objectif total supérieur à 2</w:t>
      </w:r>
      <w:r>
        <w:rPr>
          <w:rFonts w:eastAsia="Calibri"/>
          <w:lang w:eastAsia="fr-FR"/>
        </w:rPr>
        <w:t> </w:t>
      </w:r>
      <w:r w:rsidRPr="005B0501">
        <w:rPr>
          <w:rFonts w:eastAsia="Calibri"/>
          <w:lang w:eastAsia="fr-FR"/>
        </w:rPr>
        <w:t xml:space="preserve">000 lm </w:t>
      </w:r>
      <w:r w:rsidRPr="0012133E">
        <w:rPr>
          <w:rFonts w:eastAsia="Calibri"/>
          <w:lang w:eastAsia="fr-FR"/>
        </w:rPr>
        <w:t>pour chaque feu</w:t>
      </w:r>
      <w:r w:rsidRPr="00443C5D">
        <w:rPr>
          <w:rFonts w:eastAsia="Calibri"/>
          <w:lang w:eastAsia="fr-FR"/>
        </w:rPr>
        <w:t xml:space="preserve"> </w:t>
      </w:r>
      <w:r w:rsidRPr="005B0501">
        <w:rPr>
          <w:rFonts w:eastAsia="Calibri"/>
          <w:lang w:eastAsia="fr-FR"/>
        </w:rPr>
        <w:t xml:space="preserve">ne peuvent être installés que si un ou plusieurs nettoie-projecteurs conformes au Règlement </w:t>
      </w:r>
      <w:r w:rsidRPr="005B0501">
        <w:rPr>
          <w:rFonts w:eastAsia="MS Mincho"/>
        </w:rPr>
        <w:t>n</w:t>
      </w:r>
      <w:r w:rsidRPr="005B0501">
        <w:rPr>
          <w:rFonts w:eastAsia="MS Mincho"/>
          <w:vertAlign w:val="superscript"/>
        </w:rPr>
        <w:t>o</w:t>
      </w:r>
      <w:r w:rsidRPr="005B0501">
        <w:rPr>
          <w:rFonts w:eastAsia="MS Mincho"/>
        </w:rPr>
        <w:t> </w:t>
      </w:r>
      <w:r w:rsidRPr="005B0501">
        <w:rPr>
          <w:rFonts w:eastAsia="Calibri"/>
        </w:rPr>
        <w:t>45</w:t>
      </w:r>
      <w:r w:rsidRPr="00443C5D">
        <w:rPr>
          <w:rFonts w:eastAsia="Calibri"/>
          <w:sz w:val="18"/>
          <w:szCs w:val="18"/>
          <w:vertAlign w:val="superscript"/>
        </w:rPr>
        <w:t>11</w:t>
      </w:r>
      <w:r w:rsidRPr="005B0501">
        <w:rPr>
          <w:rFonts w:eastAsia="Calibri"/>
          <w:lang w:eastAsia="fr-FR"/>
        </w:rPr>
        <w:t xml:space="preserve"> le sont également.</w:t>
      </w:r>
    </w:p>
    <w:p w14:paraId="040C3056" w14:textId="3C828E09" w:rsidR="00664DB6" w:rsidRPr="005B0501" w:rsidRDefault="00664DB6" w:rsidP="000819DB">
      <w:pPr>
        <w:pStyle w:val="SingleTxtG"/>
        <w:ind w:left="2268" w:hanging="1134"/>
      </w:pPr>
      <w:r w:rsidRPr="0012133E">
        <w:t>6.2.9.3</w:t>
      </w:r>
      <w:r w:rsidRPr="005B0501">
        <w:tab/>
        <w:t>En ce qui concerne l</w:t>
      </w:r>
      <w:r w:rsidR="004055B4">
        <w:t>’</w:t>
      </w:r>
      <w:r w:rsidRPr="005B0501">
        <w:t>inclinaison verticale, les prescriptions du paragraphe</w:t>
      </w:r>
      <w:r w:rsidR="00443C5D">
        <w:t> </w:t>
      </w:r>
      <w:r w:rsidRPr="005B0501">
        <w:t>6.2.6.2.2</w:t>
      </w:r>
      <w:r>
        <w:t xml:space="preserve"> ci-dessus</w:t>
      </w:r>
      <w:r w:rsidRPr="005B0501">
        <w:t xml:space="preserve"> ne s</w:t>
      </w:r>
      <w:r w:rsidR="004055B4">
        <w:t>’</w:t>
      </w:r>
      <w:r w:rsidRPr="005B0501">
        <w:t>appliquent pas aux feux de croisement munis d</w:t>
      </w:r>
      <w:r w:rsidR="004055B4">
        <w:t>’</w:t>
      </w:r>
      <w:r w:rsidRPr="005B0501">
        <w:t>une source lumineuse ou d</w:t>
      </w:r>
      <w:r w:rsidR="004055B4">
        <w:t>’</w:t>
      </w:r>
      <w:r w:rsidRPr="005B0501">
        <w:t xml:space="preserve">un ou de plusieurs modules DEL produisant le faisceau de croisement principal et ayant un flux </w:t>
      </w:r>
      <w:r w:rsidRPr="000819DB">
        <w:rPr>
          <w:rFonts w:eastAsia="Calibri"/>
        </w:rPr>
        <w:t>lumineux</w:t>
      </w:r>
      <w:r w:rsidRPr="005B0501">
        <w:t xml:space="preserve"> objectif supérieur à 2</w:t>
      </w:r>
      <w:r>
        <w:t> </w:t>
      </w:r>
      <w:r w:rsidRPr="005B0501">
        <w:t>000</w:t>
      </w:r>
      <w:r>
        <w:t xml:space="preserve"> </w:t>
      </w:r>
      <w:r w:rsidRPr="005B0501">
        <w:t xml:space="preserve">lm </w:t>
      </w:r>
      <w:r w:rsidRPr="0012133E">
        <w:t>pour chaque feu</w:t>
      </w:r>
      <w:r w:rsidRPr="005B0501">
        <w:t>.</w:t>
      </w:r>
    </w:p>
    <w:p w14:paraId="62A6FDE0" w14:textId="5C09E35B" w:rsidR="00664DB6" w:rsidRPr="005B0501" w:rsidRDefault="00664DB6" w:rsidP="00CB1AE1">
      <w:pPr>
        <w:pStyle w:val="SingleTxtG"/>
        <w:ind w:left="2268"/>
      </w:pPr>
      <w:r w:rsidRPr="005B0501">
        <w:t>Dans le cas des lampes à incandescence pour lesquelles plus d</w:t>
      </w:r>
      <w:r w:rsidR="004055B4">
        <w:t>’</w:t>
      </w:r>
      <w:r w:rsidRPr="005B0501">
        <w:t>une tension d</w:t>
      </w:r>
      <w:r w:rsidR="004055B4">
        <w:t>’</w:t>
      </w:r>
      <w:r w:rsidRPr="005B0501">
        <w:t>essai est prescrite, on applique la valeur du flux lumineux objectif correspondant au faisceau de croisement principal, indiquée sur la fiche de communication relative à l</w:t>
      </w:r>
      <w:r w:rsidR="004055B4">
        <w:t>’</w:t>
      </w:r>
      <w:r w:rsidRPr="005B0501">
        <w:t>homologation de type du dispositif.</w:t>
      </w:r>
    </w:p>
    <w:p w14:paraId="3B6661C7" w14:textId="24D7FB97" w:rsidR="00664DB6" w:rsidRPr="005B0501" w:rsidRDefault="00664DB6" w:rsidP="00CB1AE1">
      <w:pPr>
        <w:pStyle w:val="SingleTxtG"/>
        <w:ind w:left="2268"/>
        <w:rPr>
          <w:bCs/>
          <w:szCs w:val="16"/>
        </w:rPr>
      </w:pPr>
      <w:r w:rsidRPr="005B0501">
        <w:t>Dans le cas de feux de croisement équipés d</w:t>
      </w:r>
      <w:r w:rsidR="004055B4">
        <w:t>’</w:t>
      </w:r>
      <w:r w:rsidRPr="005B0501">
        <w:t xml:space="preserve">une source lumineuse homologuée, </w:t>
      </w:r>
      <w:r>
        <w:t>on applique la valeur du</w:t>
      </w:r>
      <w:r w:rsidRPr="005B0501">
        <w:t xml:space="preserve"> flux lumineux objectif qui, à la tension d</w:t>
      </w:r>
      <w:r w:rsidR="004055B4">
        <w:t>’</w:t>
      </w:r>
      <w:r w:rsidRPr="005B0501">
        <w:t>essai pertinente, figure dans la fiche de renseignements pertinente du Règlement en vertu duquel la source lumineuse appliquée a été homologuée, sans tenir compte des tolérances applicables au flux lumineux objectif prescrit dans cette fiche de renseignements.</w:t>
      </w:r>
    </w:p>
    <w:p w14:paraId="61C1DC3E" w14:textId="34C70968" w:rsidR="00664DB6" w:rsidRPr="005B0501" w:rsidRDefault="00664DB6" w:rsidP="000819DB">
      <w:pPr>
        <w:pStyle w:val="SingleTxtG"/>
        <w:ind w:left="2268" w:hanging="1134"/>
      </w:pPr>
      <w:r w:rsidRPr="0012133E">
        <w:t>6.2.9.4</w:t>
      </w:r>
      <w:r w:rsidRPr="005B0501">
        <w:tab/>
        <w:t>L</w:t>
      </w:r>
      <w:r w:rsidR="004055B4">
        <w:t>’</w:t>
      </w:r>
      <w:r w:rsidRPr="005B0501">
        <w:t>éclairage de virage ne peut être obtenu qu</w:t>
      </w:r>
      <w:r w:rsidR="004055B4">
        <w:t>’</w:t>
      </w:r>
      <w:r w:rsidRPr="005B0501">
        <w:t xml:space="preserve">au moyen de feux de croisement conformes aux Règlements ONU </w:t>
      </w:r>
      <w:r w:rsidRPr="005B0501">
        <w:rPr>
          <w:rFonts w:eastAsia="MS Mincho"/>
        </w:rPr>
        <w:t>n</w:t>
      </w:r>
      <w:r w:rsidRPr="005B0501">
        <w:rPr>
          <w:rFonts w:eastAsia="MS Mincho"/>
          <w:vertAlign w:val="superscript"/>
        </w:rPr>
        <w:t>o</w:t>
      </w:r>
      <w:r>
        <w:rPr>
          <w:rFonts w:eastAsia="MS Mincho"/>
          <w:vertAlign w:val="superscript"/>
        </w:rPr>
        <w:t>s</w:t>
      </w:r>
      <w:r w:rsidRPr="005B0501">
        <w:rPr>
          <w:rFonts w:eastAsia="MS Mincho"/>
        </w:rPr>
        <w:t> </w:t>
      </w:r>
      <w:r w:rsidRPr="005B0501">
        <w:t>98, 112 ou 149.</w:t>
      </w:r>
    </w:p>
    <w:p w14:paraId="652B2544" w14:textId="170DD71F" w:rsidR="00664DB6" w:rsidRPr="005B0501" w:rsidRDefault="00664DB6" w:rsidP="00CB1AE1">
      <w:pPr>
        <w:pStyle w:val="SingleTxtG"/>
        <w:ind w:left="2268"/>
        <w:rPr>
          <w:bCs/>
          <w:szCs w:val="16"/>
        </w:rPr>
      </w:pPr>
      <w:r w:rsidRPr="005B0501">
        <w:t>Si l</w:t>
      </w:r>
      <w:r w:rsidR="004055B4">
        <w:t>’</w:t>
      </w:r>
      <w:r w:rsidRPr="005B0501">
        <w:t>éclairage de virage est obtenu au moyen d</w:t>
      </w:r>
      <w:r w:rsidR="004055B4">
        <w:t>’</w:t>
      </w:r>
      <w:r w:rsidRPr="005B0501">
        <w:t>un mouvement horizontal de l</w:t>
      </w:r>
      <w:r w:rsidR="004055B4">
        <w:t>’</w:t>
      </w:r>
      <w:r w:rsidRPr="005B0501">
        <w:t>ensemble du feu ou du coude de la ligne de coupure, il ne doit pouvoir fonctionner que si le véhicule est en marche avant, sauf lors d</w:t>
      </w:r>
      <w:r w:rsidR="004055B4">
        <w:t>’</w:t>
      </w:r>
      <w:r w:rsidRPr="005B0501">
        <w:t>un virage à droite dans la circulation à droite (ou d</w:t>
      </w:r>
      <w:r w:rsidR="004055B4">
        <w:t>’</w:t>
      </w:r>
      <w:r w:rsidRPr="005B0501">
        <w:t>un virage à gauche dans la circulation à gauche).</w:t>
      </w:r>
      <w:r>
        <w:t> </w:t>
      </w:r>
      <w:r w:rsidRPr="005B0501">
        <w:t>».</w:t>
      </w:r>
    </w:p>
    <w:p w14:paraId="43418D60" w14:textId="77777777" w:rsidR="00664DB6" w:rsidRPr="005B0501" w:rsidRDefault="00664DB6" w:rsidP="000819DB">
      <w:pPr>
        <w:pStyle w:val="SingleTxtG"/>
        <w:rPr>
          <w:i/>
          <w:iCs/>
        </w:rPr>
      </w:pPr>
      <w:r w:rsidRPr="005B0501">
        <w:rPr>
          <w:i/>
          <w:iCs/>
        </w:rPr>
        <w:t>Paragraphe 6.3.5, note de bas de page 13</w:t>
      </w:r>
      <w:r w:rsidRPr="003B0359">
        <w:t xml:space="preserve">, </w:t>
      </w:r>
      <w:r w:rsidRPr="005B0501">
        <w:t>supprimer</w:t>
      </w:r>
      <w:r w:rsidRPr="005B0501">
        <w:rPr>
          <w:i/>
          <w:iCs/>
        </w:rPr>
        <w:t>.</w:t>
      </w:r>
    </w:p>
    <w:p w14:paraId="44D97663" w14:textId="77777777" w:rsidR="00664DB6" w:rsidRDefault="00664DB6" w:rsidP="000819DB">
      <w:pPr>
        <w:pStyle w:val="SingleTxtG"/>
        <w:rPr>
          <w:i/>
          <w:iCs/>
        </w:rPr>
      </w:pPr>
      <w:r w:rsidRPr="005B0501">
        <w:rPr>
          <w:i/>
          <w:iCs/>
        </w:rPr>
        <w:t xml:space="preserve">Paragraphe 6.3.6.1.1, appel de </w:t>
      </w:r>
      <w:r>
        <w:rPr>
          <w:i/>
          <w:iCs/>
        </w:rPr>
        <w:t xml:space="preserve">note </w:t>
      </w:r>
      <w:r w:rsidRPr="005B0501">
        <w:rPr>
          <w:i/>
          <w:iCs/>
        </w:rPr>
        <w:t>de bas de page 13</w:t>
      </w:r>
      <w:r w:rsidRPr="003B0359">
        <w:t>,</w:t>
      </w:r>
      <w:r w:rsidRPr="005B0501">
        <w:rPr>
          <w:i/>
          <w:iCs/>
        </w:rPr>
        <w:t xml:space="preserve"> </w:t>
      </w:r>
      <w:r w:rsidRPr="005B0501">
        <w:t>supprimer</w:t>
      </w:r>
      <w:r w:rsidRPr="005B0501">
        <w:rPr>
          <w:i/>
          <w:iCs/>
        </w:rPr>
        <w:t>.</w:t>
      </w:r>
    </w:p>
    <w:p w14:paraId="659F9DFD" w14:textId="77777777" w:rsidR="00664DB6" w:rsidRPr="00D40E57" w:rsidRDefault="00664DB6" w:rsidP="000819DB">
      <w:pPr>
        <w:pStyle w:val="SingleTxtG"/>
      </w:pPr>
      <w:r w:rsidRPr="00D40E57">
        <w:rPr>
          <w:i/>
          <w:iCs/>
          <w:lang w:val="fr-FR"/>
        </w:rPr>
        <w:t>Paragraphe 6.3.8</w:t>
      </w:r>
      <w:r w:rsidRPr="00D40E57">
        <w:rPr>
          <w:lang w:val="fr-FR"/>
        </w:rPr>
        <w:t>, lire</w:t>
      </w:r>
      <w:r>
        <w:rPr>
          <w:lang w:val="fr-FR"/>
        </w:rPr>
        <w:t> </w:t>
      </w:r>
      <w:r w:rsidRPr="00D40E57">
        <w:rPr>
          <w:lang w:val="fr-FR"/>
        </w:rPr>
        <w:t>:</w:t>
      </w:r>
    </w:p>
    <w:p w14:paraId="377CCD93" w14:textId="77777777" w:rsidR="00664DB6" w:rsidRPr="00D40E57" w:rsidRDefault="00664DB6" w:rsidP="000819DB">
      <w:pPr>
        <w:pStyle w:val="SingleTxtG"/>
        <w:ind w:left="2268" w:hanging="1134"/>
        <w:rPr>
          <w:lang w:val="fr-FR"/>
        </w:rPr>
      </w:pPr>
      <w:r w:rsidRPr="00D40E57">
        <w:rPr>
          <w:lang w:val="fr-FR"/>
        </w:rPr>
        <w:t>« 6.3.8</w:t>
      </w:r>
      <w:r w:rsidRPr="00D40E57">
        <w:rPr>
          <w:lang w:val="fr-FR"/>
        </w:rPr>
        <w:tab/>
      </w:r>
      <w:r>
        <w:rPr>
          <w:lang w:val="fr-FR"/>
        </w:rPr>
        <w:tab/>
      </w:r>
      <w:r w:rsidRPr="000819DB">
        <w:rPr>
          <w:rFonts w:eastAsia="Calibri"/>
        </w:rPr>
        <w:t>Témoin</w:t>
      </w:r>
    </w:p>
    <w:p w14:paraId="49E75200" w14:textId="3E6F67B6" w:rsidR="00664DB6" w:rsidRPr="00D40E57" w:rsidRDefault="00664DB6" w:rsidP="00CB1AE1">
      <w:pPr>
        <w:pStyle w:val="SingleTxtG"/>
        <w:ind w:left="2268"/>
      </w:pPr>
      <w:r w:rsidRPr="00D40E57">
        <w:rPr>
          <w:lang w:val="fr-FR"/>
        </w:rPr>
        <w:t>Témoin d</w:t>
      </w:r>
      <w:r w:rsidR="004055B4">
        <w:rPr>
          <w:lang w:val="fr-FR"/>
        </w:rPr>
        <w:t>’</w:t>
      </w:r>
      <w:r w:rsidRPr="00D40E57">
        <w:rPr>
          <w:lang w:val="fr-FR"/>
        </w:rPr>
        <w:t xml:space="preserve">enclenchement </w:t>
      </w:r>
      <w:r w:rsidRPr="00CB1AE1">
        <w:t>obligatoire</w:t>
      </w:r>
      <w:r>
        <w:rPr>
          <w:lang w:val="fr-FR"/>
        </w:rPr>
        <w:t>.</w:t>
      </w:r>
      <w:r w:rsidRPr="00D40E57">
        <w:rPr>
          <w:lang w:val="fr-FR"/>
        </w:rPr>
        <w:t> ».</w:t>
      </w:r>
    </w:p>
    <w:p w14:paraId="4A419C6C" w14:textId="77777777" w:rsidR="00664DB6" w:rsidRPr="00D40E57" w:rsidRDefault="00664DB6" w:rsidP="000819DB">
      <w:pPr>
        <w:pStyle w:val="SingleTxtG"/>
      </w:pPr>
      <w:r w:rsidRPr="00D40E57">
        <w:rPr>
          <w:i/>
          <w:iCs/>
          <w:lang w:val="fr-FR"/>
        </w:rPr>
        <w:t>Paragraphe 6.4.8</w:t>
      </w:r>
      <w:r w:rsidRPr="00D40E57">
        <w:rPr>
          <w:lang w:val="fr-FR"/>
        </w:rPr>
        <w:t>, lire</w:t>
      </w:r>
      <w:r>
        <w:rPr>
          <w:lang w:val="fr-FR"/>
        </w:rPr>
        <w:t> </w:t>
      </w:r>
      <w:r w:rsidRPr="00D40E57">
        <w:rPr>
          <w:lang w:val="fr-FR"/>
        </w:rPr>
        <w:t>:</w:t>
      </w:r>
    </w:p>
    <w:p w14:paraId="521AAD94" w14:textId="77777777" w:rsidR="00664DB6" w:rsidRPr="00D40E57" w:rsidRDefault="00664DB6" w:rsidP="000819DB">
      <w:pPr>
        <w:pStyle w:val="SingleTxtG"/>
        <w:ind w:left="2268" w:hanging="1134"/>
      </w:pPr>
      <w:r w:rsidRPr="00D40E57">
        <w:rPr>
          <w:lang w:val="fr-FR"/>
        </w:rPr>
        <w:t>« 6.4.8</w:t>
      </w:r>
      <w:r w:rsidRPr="00D40E57">
        <w:rPr>
          <w:lang w:val="fr-FR"/>
        </w:rPr>
        <w:tab/>
      </w:r>
      <w:r>
        <w:rPr>
          <w:lang w:val="fr-FR"/>
        </w:rPr>
        <w:tab/>
      </w:r>
      <w:r w:rsidRPr="00D40E57">
        <w:rPr>
          <w:lang w:val="fr-FR"/>
        </w:rPr>
        <w:t>Témoin</w:t>
      </w:r>
    </w:p>
    <w:p w14:paraId="6481F881" w14:textId="0AC4EBF9" w:rsidR="00664DB6" w:rsidRPr="005B0501" w:rsidRDefault="00664DB6" w:rsidP="00CB1AE1">
      <w:pPr>
        <w:pStyle w:val="SingleTxtG"/>
        <w:ind w:left="2268"/>
        <w:rPr>
          <w:i/>
          <w:iCs/>
        </w:rPr>
      </w:pPr>
      <w:r w:rsidRPr="004E4892">
        <w:t>Témoin</w:t>
      </w:r>
      <w:r w:rsidRPr="00D40E57">
        <w:rPr>
          <w:lang w:val="fr-FR"/>
        </w:rPr>
        <w:t xml:space="preserve"> facultatif</w:t>
      </w:r>
      <w:r>
        <w:rPr>
          <w:lang w:val="fr-FR"/>
        </w:rPr>
        <w:t xml:space="preserve"> ; </w:t>
      </w:r>
      <w:r w:rsidRPr="0012133E">
        <w:rPr>
          <w:lang w:val="fr-FR"/>
        </w:rPr>
        <w:t xml:space="preserve">toutefois, un témoin de défaut de </w:t>
      </w:r>
      <w:r w:rsidRPr="00CB1AE1">
        <w:t>fonctionnement</w:t>
      </w:r>
      <w:r w:rsidRPr="0012133E">
        <w:rPr>
          <w:lang w:val="fr-FR"/>
        </w:rPr>
        <w:t xml:space="preserve"> est obligatoire s</w:t>
      </w:r>
      <w:r w:rsidR="004055B4">
        <w:rPr>
          <w:lang w:val="fr-FR"/>
        </w:rPr>
        <w:t>’</w:t>
      </w:r>
      <w:r w:rsidRPr="0012133E">
        <w:rPr>
          <w:lang w:val="fr-FR"/>
        </w:rPr>
        <w:t>il est prescrit par le Règlement applicable au dispositif</w:t>
      </w:r>
      <w:r w:rsidRPr="00143FDF">
        <w:rPr>
          <w:lang w:val="fr-FR"/>
        </w:rPr>
        <w:t>.</w:t>
      </w:r>
      <w:r w:rsidRPr="00D40E57">
        <w:rPr>
          <w:lang w:val="fr-FR"/>
        </w:rPr>
        <w:t> ».</w:t>
      </w:r>
    </w:p>
    <w:p w14:paraId="692762B9" w14:textId="77777777" w:rsidR="00664DB6" w:rsidRPr="005B0501" w:rsidRDefault="00664DB6" w:rsidP="000819DB">
      <w:pPr>
        <w:pStyle w:val="SingleTxtG"/>
        <w:rPr>
          <w:szCs w:val="16"/>
        </w:rPr>
      </w:pPr>
      <w:r w:rsidRPr="004E58D6">
        <w:rPr>
          <w:i/>
          <w:iCs/>
        </w:rPr>
        <w:t>Paragraphe</w:t>
      </w:r>
      <w:r w:rsidRPr="005B0501">
        <w:rPr>
          <w:i/>
          <w:szCs w:val="16"/>
        </w:rPr>
        <w:t xml:space="preserve"> 6.5.7</w:t>
      </w:r>
      <w:r w:rsidRPr="003B0359">
        <w:rPr>
          <w:iCs/>
          <w:szCs w:val="16"/>
        </w:rPr>
        <w:t>,</w:t>
      </w:r>
      <w:r w:rsidRPr="005B0501">
        <w:rPr>
          <w:szCs w:val="16"/>
        </w:rPr>
        <w:t xml:space="preserve"> lire :</w:t>
      </w:r>
    </w:p>
    <w:p w14:paraId="270348B2" w14:textId="77777777" w:rsidR="00664DB6" w:rsidRPr="005B0501" w:rsidRDefault="00664DB6" w:rsidP="000819DB">
      <w:pPr>
        <w:pStyle w:val="SingleTxtG"/>
        <w:ind w:left="2268" w:hanging="1134"/>
        <w:rPr>
          <w:rFonts w:eastAsia="Calibri"/>
        </w:rPr>
      </w:pPr>
      <w:r w:rsidRPr="005B0501">
        <w:t>«</w:t>
      </w:r>
      <w:r>
        <w:t> </w:t>
      </w:r>
      <w:r w:rsidRPr="005B0501">
        <w:rPr>
          <w:rFonts w:eastAsia="Calibri"/>
        </w:rPr>
        <w:t>6.5.7</w:t>
      </w:r>
      <w:r w:rsidRPr="005B0501">
        <w:rPr>
          <w:rFonts w:eastAsia="Calibri"/>
        </w:rPr>
        <w:tab/>
      </w:r>
      <w:r w:rsidRPr="00295078">
        <w:t>Connexions</w:t>
      </w:r>
      <w:r w:rsidRPr="005B0501">
        <w:rPr>
          <w:rFonts w:eastAsia="Calibri"/>
        </w:rPr>
        <w:t xml:space="preserve"> électriques</w:t>
      </w:r>
    </w:p>
    <w:p w14:paraId="4408A74F" w14:textId="1445385C" w:rsidR="00664DB6" w:rsidRDefault="00664DB6" w:rsidP="00CB1AE1">
      <w:pPr>
        <w:pStyle w:val="SingleTxtG"/>
        <w:ind w:left="2268"/>
      </w:pPr>
      <w:r w:rsidRPr="005B0501">
        <w:t>L</w:t>
      </w:r>
      <w:r w:rsidR="004055B4">
        <w:t>’</w:t>
      </w:r>
      <w:r w:rsidRPr="005B0501">
        <w:t>allumage des feux indicateurs de direction est indépendant de celui des autres feux. Tous les feux indicateurs de direction situés sur un même côté du véhicule sont allumés et éteints au moyen de la même commande et doivent clignoter de façon synchrone.</w:t>
      </w:r>
    </w:p>
    <w:p w14:paraId="1B0768F4" w14:textId="3211E8C2" w:rsidR="00664DB6" w:rsidRDefault="00664DB6" w:rsidP="00CB1AE1">
      <w:pPr>
        <w:pStyle w:val="SingleTxtG"/>
        <w:ind w:left="2268"/>
        <w:rPr>
          <w:rFonts w:eastAsia="Calibri"/>
        </w:rPr>
      </w:pPr>
      <w:r w:rsidRPr="005B0501">
        <w:rPr>
          <w:rFonts w:eastAsia="Calibri"/>
        </w:rPr>
        <w:lastRenderedPageBreak/>
        <w:t>Sur les véhicules des catégories M</w:t>
      </w:r>
      <w:r w:rsidRPr="005B0501">
        <w:rPr>
          <w:rFonts w:eastAsia="Calibri"/>
          <w:vertAlign w:val="subscript"/>
        </w:rPr>
        <w:t>1</w:t>
      </w:r>
      <w:r w:rsidRPr="005B0501">
        <w:rPr>
          <w:rFonts w:eastAsia="Calibri"/>
        </w:rPr>
        <w:t xml:space="preserve"> et N</w:t>
      </w:r>
      <w:r w:rsidRPr="005B0501">
        <w:rPr>
          <w:rFonts w:eastAsia="Calibri"/>
          <w:vertAlign w:val="subscript"/>
        </w:rPr>
        <w:t>1</w:t>
      </w:r>
      <w:r w:rsidRPr="005B0501">
        <w:rPr>
          <w:rFonts w:eastAsia="Calibri"/>
        </w:rPr>
        <w:t xml:space="preserve"> de moins de 6 m de long présentant une configuration conforme au paragraphe 6.5.5.2 ci-dessus, les feux de position latéraux jaune</w:t>
      </w:r>
      <w:r>
        <w:rPr>
          <w:rFonts w:eastAsia="Calibri"/>
        </w:rPr>
        <w:t>-</w:t>
      </w:r>
      <w:r w:rsidRPr="005B0501">
        <w:rPr>
          <w:rFonts w:eastAsia="Calibri"/>
        </w:rPr>
        <w:t>auto, lorsqu</w:t>
      </w:r>
      <w:r w:rsidR="004055B4">
        <w:rPr>
          <w:rFonts w:eastAsia="Calibri"/>
        </w:rPr>
        <w:t>’</w:t>
      </w:r>
      <w:r w:rsidRPr="005B0501">
        <w:rPr>
          <w:rFonts w:eastAsia="Calibri"/>
        </w:rPr>
        <w:t xml:space="preserve">ils existent, </w:t>
      </w:r>
      <w:r w:rsidRPr="00CB1AE1">
        <w:t>doivent</w:t>
      </w:r>
      <w:r w:rsidRPr="005B0501">
        <w:rPr>
          <w:rFonts w:eastAsia="Calibri"/>
        </w:rPr>
        <w:t xml:space="preserve"> aussi clignoter de façon synchrone avec les feux indicateurs de direction.</w:t>
      </w:r>
    </w:p>
    <w:p w14:paraId="065217A9" w14:textId="5D527ABC" w:rsidR="00664DB6" w:rsidRPr="0012133E" w:rsidRDefault="00664DB6" w:rsidP="00CB1AE1">
      <w:pPr>
        <w:pStyle w:val="SingleTxtG"/>
        <w:ind w:left="2268"/>
        <w:rPr>
          <w:rFonts w:eastAsia="Calibri"/>
        </w:rPr>
      </w:pPr>
      <w:r w:rsidRPr="0012133E">
        <w:rPr>
          <w:rFonts w:eastAsia="Calibri"/>
        </w:rPr>
        <w:t>Un indicateur de direction qui peut être activé dans des modes différents (statique ou séquentiel) ne doit pas pouvoir passer d</w:t>
      </w:r>
      <w:r w:rsidR="004055B4">
        <w:rPr>
          <w:rFonts w:eastAsia="Calibri"/>
        </w:rPr>
        <w:t>’</w:t>
      </w:r>
      <w:r w:rsidRPr="0012133E">
        <w:rPr>
          <w:rFonts w:eastAsia="Calibri"/>
        </w:rPr>
        <w:t>un mode à l</w:t>
      </w:r>
      <w:r w:rsidR="004055B4">
        <w:rPr>
          <w:rFonts w:eastAsia="Calibri"/>
        </w:rPr>
        <w:t>’</w:t>
      </w:r>
      <w:r w:rsidRPr="0012133E">
        <w:rPr>
          <w:rFonts w:eastAsia="Calibri"/>
        </w:rPr>
        <w:t>autre lorsqu</w:t>
      </w:r>
      <w:r w:rsidR="004055B4">
        <w:rPr>
          <w:rFonts w:eastAsia="Calibri"/>
        </w:rPr>
        <w:t>’</w:t>
      </w:r>
      <w:r w:rsidRPr="0012133E">
        <w:rPr>
          <w:rFonts w:eastAsia="Calibri"/>
        </w:rPr>
        <w:t>il est activé.</w:t>
      </w:r>
    </w:p>
    <w:p w14:paraId="166258A8" w14:textId="40ADFD02" w:rsidR="00664DB6" w:rsidRPr="005B0501" w:rsidRDefault="00664DB6" w:rsidP="00CB1AE1">
      <w:pPr>
        <w:pStyle w:val="SingleTxtG"/>
        <w:ind w:left="2268"/>
        <w:rPr>
          <w:b/>
          <w:bCs/>
          <w:sz w:val="16"/>
          <w:szCs w:val="16"/>
        </w:rPr>
      </w:pPr>
      <w:r w:rsidRPr="0012133E">
        <w:rPr>
          <w:rFonts w:eastAsia="Calibri"/>
        </w:rPr>
        <w:t xml:space="preserve">Lorsque deux feux facultatifs (catégorie 2a ou 2b) </w:t>
      </w:r>
      <w:r w:rsidRPr="00CB1AE1">
        <w:t>équipent</w:t>
      </w:r>
      <w:r w:rsidRPr="0012133E">
        <w:rPr>
          <w:rFonts w:eastAsia="Calibri"/>
        </w:rPr>
        <w:t xml:space="preserve"> des véhicules des catégories M</w:t>
      </w:r>
      <w:r w:rsidRPr="0012133E">
        <w:rPr>
          <w:rFonts w:eastAsia="Calibri"/>
          <w:vertAlign w:val="subscript"/>
        </w:rPr>
        <w:t>2</w:t>
      </w:r>
      <w:r w:rsidRPr="0012133E">
        <w:rPr>
          <w:rFonts w:eastAsia="Calibri"/>
        </w:rPr>
        <w:t>, M</w:t>
      </w:r>
      <w:r w:rsidRPr="0012133E">
        <w:rPr>
          <w:rFonts w:eastAsia="Calibri"/>
          <w:vertAlign w:val="subscript"/>
        </w:rPr>
        <w:t>3</w:t>
      </w:r>
      <w:r w:rsidRPr="0012133E">
        <w:rPr>
          <w:rFonts w:eastAsia="Calibri"/>
        </w:rPr>
        <w:t>, N</w:t>
      </w:r>
      <w:r w:rsidRPr="0012133E">
        <w:rPr>
          <w:rFonts w:eastAsia="Calibri"/>
          <w:vertAlign w:val="subscript"/>
        </w:rPr>
        <w:t>2</w:t>
      </w:r>
      <w:r w:rsidRPr="0012133E">
        <w:rPr>
          <w:rFonts w:eastAsia="Calibri"/>
        </w:rPr>
        <w:t xml:space="preserve"> ou N</w:t>
      </w:r>
      <w:r w:rsidRPr="0012133E">
        <w:rPr>
          <w:rFonts w:eastAsia="Calibri"/>
          <w:vertAlign w:val="subscript"/>
        </w:rPr>
        <w:t>3</w:t>
      </w:r>
      <w:r w:rsidRPr="0012133E">
        <w:rPr>
          <w:rFonts w:eastAsia="Calibri"/>
        </w:rPr>
        <w:t>, ils doivent fonctionner sur le même mode que les autres feux indicateurs de direction arrière (catégorie 2a ou 2b), c</w:t>
      </w:r>
      <w:r w:rsidR="004055B4">
        <w:rPr>
          <w:rFonts w:eastAsia="Calibri"/>
        </w:rPr>
        <w:t>’</w:t>
      </w:r>
      <w:r w:rsidRPr="0012133E">
        <w:rPr>
          <w:rFonts w:eastAsia="Calibri"/>
        </w:rPr>
        <w:t>est</w:t>
      </w:r>
      <w:r>
        <w:rPr>
          <w:rFonts w:eastAsia="Calibri"/>
        </w:rPr>
        <w:t>-</w:t>
      </w:r>
      <w:r w:rsidRPr="0012133E">
        <w:rPr>
          <w:rFonts w:eastAsia="Calibri"/>
        </w:rPr>
        <w:t>à</w:t>
      </w:r>
      <w:r>
        <w:rPr>
          <w:rFonts w:eastAsia="Calibri"/>
        </w:rPr>
        <w:t>-</w:t>
      </w:r>
      <w:r w:rsidRPr="0012133E">
        <w:rPr>
          <w:rFonts w:eastAsia="Calibri"/>
        </w:rPr>
        <w:t>dire en mode statique ou en mode séquentiel.</w:t>
      </w:r>
      <w:r>
        <w:t> </w:t>
      </w:r>
      <w:r w:rsidRPr="005B0501">
        <w:t>»</w:t>
      </w:r>
      <w:r w:rsidRPr="005B0501">
        <w:rPr>
          <w:rFonts w:eastAsia="Calibri"/>
        </w:rPr>
        <w:t>.</w:t>
      </w:r>
    </w:p>
    <w:p w14:paraId="55EFE997" w14:textId="77777777" w:rsidR="00664DB6" w:rsidRDefault="00664DB6" w:rsidP="000819DB">
      <w:pPr>
        <w:pStyle w:val="SingleTxtG"/>
        <w:rPr>
          <w:i/>
          <w:iCs/>
        </w:rPr>
      </w:pPr>
      <w:r w:rsidRPr="005B0501">
        <w:rPr>
          <w:i/>
          <w:iCs/>
        </w:rPr>
        <w:t xml:space="preserve">Paragraphe 6.5.8, appel de </w:t>
      </w:r>
      <w:r>
        <w:rPr>
          <w:i/>
          <w:iCs/>
        </w:rPr>
        <w:t xml:space="preserve">note </w:t>
      </w:r>
      <w:r w:rsidRPr="005B0501">
        <w:rPr>
          <w:i/>
          <w:iCs/>
        </w:rPr>
        <w:t>de bas de page 13</w:t>
      </w:r>
      <w:r w:rsidRPr="003B0359">
        <w:t>,</w:t>
      </w:r>
      <w:r w:rsidRPr="005B0501">
        <w:rPr>
          <w:i/>
          <w:iCs/>
        </w:rPr>
        <w:t xml:space="preserve"> </w:t>
      </w:r>
      <w:r w:rsidRPr="005B0501">
        <w:t>supprimer</w:t>
      </w:r>
      <w:r w:rsidRPr="005B0501">
        <w:rPr>
          <w:i/>
          <w:iCs/>
        </w:rPr>
        <w:t>.</w:t>
      </w:r>
    </w:p>
    <w:p w14:paraId="6FE12769" w14:textId="77777777" w:rsidR="00664DB6" w:rsidRDefault="00664DB6" w:rsidP="000819DB">
      <w:pPr>
        <w:pStyle w:val="SingleTxtG"/>
        <w:rPr>
          <w:lang w:val="fr-FR"/>
        </w:rPr>
      </w:pPr>
      <w:r w:rsidRPr="00D40E57">
        <w:rPr>
          <w:i/>
          <w:iCs/>
          <w:lang w:val="fr-FR"/>
        </w:rPr>
        <w:t>Paragraphe 6.6.8</w:t>
      </w:r>
      <w:r>
        <w:rPr>
          <w:i/>
          <w:iCs/>
          <w:lang w:val="fr-FR"/>
        </w:rPr>
        <w:t>,</w:t>
      </w:r>
      <w:r w:rsidRPr="00D40E57">
        <w:rPr>
          <w:lang w:val="fr-FR"/>
        </w:rPr>
        <w:t xml:space="preserve"> </w:t>
      </w:r>
      <w:r>
        <w:rPr>
          <w:lang w:val="fr-FR"/>
        </w:rPr>
        <w:t xml:space="preserve">modification </w:t>
      </w:r>
      <w:r w:rsidRPr="00D40E57">
        <w:rPr>
          <w:lang w:val="fr-FR"/>
        </w:rPr>
        <w:t>sans objet en français</w:t>
      </w:r>
      <w:r>
        <w:rPr>
          <w:lang w:val="fr-FR"/>
        </w:rPr>
        <w:t>.</w:t>
      </w:r>
    </w:p>
    <w:p w14:paraId="2BB1D404" w14:textId="77777777" w:rsidR="00664DB6" w:rsidRPr="00D40E57" w:rsidRDefault="00664DB6" w:rsidP="000819DB">
      <w:pPr>
        <w:pStyle w:val="SingleTxtG"/>
      </w:pPr>
      <w:r w:rsidRPr="00D40E57">
        <w:rPr>
          <w:i/>
          <w:iCs/>
          <w:lang w:val="fr-FR"/>
        </w:rPr>
        <w:t>Paragraphe 6.7.8</w:t>
      </w:r>
      <w:r w:rsidRPr="00D40E57">
        <w:rPr>
          <w:lang w:val="fr-FR"/>
        </w:rPr>
        <w:t>, lire</w:t>
      </w:r>
      <w:r>
        <w:rPr>
          <w:lang w:val="fr-FR"/>
        </w:rPr>
        <w:t> </w:t>
      </w:r>
      <w:r w:rsidRPr="00D40E57">
        <w:rPr>
          <w:lang w:val="fr-FR"/>
        </w:rPr>
        <w:t>:</w:t>
      </w:r>
    </w:p>
    <w:p w14:paraId="601F7471" w14:textId="77777777" w:rsidR="00664DB6" w:rsidRPr="00D40E57" w:rsidRDefault="00664DB6" w:rsidP="000819DB">
      <w:pPr>
        <w:pStyle w:val="SingleTxtG"/>
        <w:ind w:left="2268" w:hanging="1134"/>
      </w:pPr>
      <w:r w:rsidRPr="00D40E57">
        <w:rPr>
          <w:lang w:val="fr-FR"/>
        </w:rPr>
        <w:t>« 6.7.8</w:t>
      </w:r>
      <w:r w:rsidRPr="00D40E57">
        <w:rPr>
          <w:lang w:val="fr-FR"/>
        </w:rPr>
        <w:tab/>
      </w:r>
      <w:r>
        <w:rPr>
          <w:lang w:val="fr-FR"/>
        </w:rPr>
        <w:tab/>
      </w:r>
      <w:r w:rsidRPr="00D40E57">
        <w:rPr>
          <w:lang w:val="fr-FR"/>
        </w:rPr>
        <w:t>Témoin</w:t>
      </w:r>
    </w:p>
    <w:p w14:paraId="31C30ED5" w14:textId="5F45DE20" w:rsidR="00664DB6" w:rsidRPr="00D40E57" w:rsidRDefault="00664DB6" w:rsidP="00CB1AE1">
      <w:pPr>
        <w:pStyle w:val="SingleTxtG"/>
        <w:ind w:left="2268"/>
        <w:rPr>
          <w:i/>
          <w:strike/>
        </w:rPr>
      </w:pPr>
      <w:r w:rsidRPr="00D40E57">
        <w:rPr>
          <w:lang w:val="fr-FR"/>
        </w:rPr>
        <w:t xml:space="preserve">Facultatif, mais un témoin de défaut de </w:t>
      </w:r>
      <w:r w:rsidRPr="00CB1AE1">
        <w:t>fonctionnement</w:t>
      </w:r>
      <w:r w:rsidRPr="00D40E57">
        <w:rPr>
          <w:lang w:val="fr-FR"/>
        </w:rPr>
        <w:t xml:space="preserve"> est obligatoire s</w:t>
      </w:r>
      <w:r w:rsidR="004055B4">
        <w:rPr>
          <w:lang w:val="fr-FR"/>
        </w:rPr>
        <w:t>’</w:t>
      </w:r>
      <w:r w:rsidRPr="00D40E57">
        <w:rPr>
          <w:lang w:val="fr-FR"/>
        </w:rPr>
        <w:t xml:space="preserve">il est prescrit par le </w:t>
      </w:r>
      <w:r>
        <w:rPr>
          <w:lang w:val="fr-FR"/>
        </w:rPr>
        <w:t>R</w:t>
      </w:r>
      <w:r w:rsidRPr="00D40E57">
        <w:rPr>
          <w:lang w:val="fr-FR"/>
        </w:rPr>
        <w:t>èglement applicable au dispositif.</w:t>
      </w:r>
      <w:r>
        <w:rPr>
          <w:lang w:val="fr-FR"/>
        </w:rPr>
        <w:t> </w:t>
      </w:r>
      <w:r w:rsidRPr="00D40E57">
        <w:rPr>
          <w:lang w:val="fr-FR"/>
        </w:rPr>
        <w:t>».</w:t>
      </w:r>
    </w:p>
    <w:p w14:paraId="231CDDEB" w14:textId="77777777" w:rsidR="00664DB6" w:rsidRPr="00D40E57" w:rsidRDefault="00664DB6" w:rsidP="000819DB">
      <w:pPr>
        <w:pStyle w:val="SingleTxtG"/>
      </w:pPr>
      <w:r w:rsidRPr="00D40E57">
        <w:rPr>
          <w:i/>
          <w:iCs/>
          <w:lang w:val="fr-FR"/>
        </w:rPr>
        <w:t>Paragraphe 6.9.8</w:t>
      </w:r>
      <w:r>
        <w:rPr>
          <w:i/>
          <w:iCs/>
          <w:lang w:val="fr-FR"/>
        </w:rPr>
        <w:t>,</w:t>
      </w:r>
      <w:r w:rsidRPr="00D40E57">
        <w:t xml:space="preserve"> </w:t>
      </w:r>
      <w:r>
        <w:rPr>
          <w:lang w:val="fr-FR"/>
        </w:rPr>
        <w:t xml:space="preserve">modification </w:t>
      </w:r>
      <w:r w:rsidRPr="00D40E57">
        <w:rPr>
          <w:lang w:val="fr-FR"/>
        </w:rPr>
        <w:t>sans objet en français.</w:t>
      </w:r>
    </w:p>
    <w:p w14:paraId="257A405D" w14:textId="77777777" w:rsidR="00664DB6" w:rsidRPr="00D40E57" w:rsidRDefault="00664DB6" w:rsidP="000819DB">
      <w:pPr>
        <w:pStyle w:val="SingleTxtG"/>
      </w:pPr>
      <w:r w:rsidRPr="00D40E57">
        <w:rPr>
          <w:i/>
          <w:iCs/>
          <w:lang w:val="fr-FR"/>
        </w:rPr>
        <w:t>Paragraphe 6.10.8</w:t>
      </w:r>
      <w:r>
        <w:rPr>
          <w:i/>
          <w:iCs/>
          <w:lang w:val="fr-FR"/>
        </w:rPr>
        <w:t>,</w:t>
      </w:r>
      <w:r w:rsidRPr="00D40E57">
        <w:t xml:space="preserve"> </w:t>
      </w:r>
      <w:r>
        <w:rPr>
          <w:lang w:val="fr-FR"/>
        </w:rPr>
        <w:t xml:space="preserve">modification </w:t>
      </w:r>
      <w:r w:rsidRPr="00D40E57">
        <w:rPr>
          <w:lang w:val="fr-FR"/>
        </w:rPr>
        <w:t>sans objet en français.</w:t>
      </w:r>
    </w:p>
    <w:p w14:paraId="5E03E7E8" w14:textId="77777777" w:rsidR="00664DB6" w:rsidRPr="00D40E57" w:rsidRDefault="00664DB6" w:rsidP="000819DB">
      <w:pPr>
        <w:pStyle w:val="SingleTxtG"/>
      </w:pPr>
      <w:r w:rsidRPr="00D40E57">
        <w:rPr>
          <w:i/>
          <w:iCs/>
          <w:lang w:val="fr-FR"/>
        </w:rPr>
        <w:t>Paragraphe 6.11.8</w:t>
      </w:r>
      <w:r w:rsidRPr="00D40E57">
        <w:rPr>
          <w:lang w:val="fr-FR"/>
        </w:rPr>
        <w:t>, lire</w:t>
      </w:r>
      <w:r>
        <w:rPr>
          <w:lang w:val="fr-FR"/>
        </w:rPr>
        <w:t> </w:t>
      </w:r>
      <w:r w:rsidRPr="00D40E57">
        <w:rPr>
          <w:lang w:val="fr-FR"/>
        </w:rPr>
        <w:t>:</w:t>
      </w:r>
    </w:p>
    <w:p w14:paraId="56E48AFE" w14:textId="77777777" w:rsidR="00664DB6" w:rsidRPr="00D40E57" w:rsidRDefault="00664DB6" w:rsidP="000819DB">
      <w:pPr>
        <w:pStyle w:val="SingleTxtG"/>
        <w:ind w:left="2268" w:hanging="1134"/>
      </w:pPr>
      <w:r w:rsidRPr="00D40E57">
        <w:rPr>
          <w:lang w:val="fr-FR"/>
        </w:rPr>
        <w:t>« 6.11.8</w:t>
      </w:r>
      <w:r w:rsidRPr="00D40E57">
        <w:rPr>
          <w:lang w:val="fr-FR"/>
        </w:rPr>
        <w:tab/>
        <w:t>Témoin</w:t>
      </w:r>
    </w:p>
    <w:p w14:paraId="18B518B4" w14:textId="16F7412D" w:rsidR="00664DB6" w:rsidRPr="00D40E57" w:rsidRDefault="00664DB6" w:rsidP="00CB1AE1">
      <w:pPr>
        <w:pStyle w:val="SingleTxtG"/>
        <w:ind w:left="2268"/>
      </w:pPr>
      <w:r w:rsidRPr="00D40E57">
        <w:rPr>
          <w:lang w:val="fr-FR"/>
        </w:rPr>
        <w:t>Témoin d</w:t>
      </w:r>
      <w:r w:rsidR="004055B4">
        <w:rPr>
          <w:lang w:val="fr-FR"/>
        </w:rPr>
        <w:t>’</w:t>
      </w:r>
      <w:r w:rsidRPr="00D40E57">
        <w:rPr>
          <w:lang w:val="fr-FR"/>
        </w:rPr>
        <w:t xml:space="preserve">enclenchement </w:t>
      </w:r>
      <w:r w:rsidRPr="00CB1AE1">
        <w:t>obligatoire</w:t>
      </w:r>
      <w:r>
        <w:rPr>
          <w:lang w:val="fr-FR"/>
        </w:rPr>
        <w:t>.</w:t>
      </w:r>
    </w:p>
    <w:p w14:paraId="7681707A" w14:textId="68E4A682" w:rsidR="00664DB6" w:rsidRPr="00D40E57" w:rsidRDefault="00664DB6" w:rsidP="00CB1AE1">
      <w:pPr>
        <w:pStyle w:val="SingleTxtG"/>
        <w:ind w:left="2268"/>
      </w:pPr>
      <w:r w:rsidRPr="0012133E">
        <w:rPr>
          <w:lang w:val="fr-FR"/>
        </w:rPr>
        <w:t xml:space="preserve">Un témoin de défaut de fonctionnement est </w:t>
      </w:r>
      <w:r w:rsidRPr="00CB1AE1">
        <w:t>obligatoire</w:t>
      </w:r>
      <w:r w:rsidRPr="0012133E">
        <w:rPr>
          <w:lang w:val="fr-FR"/>
        </w:rPr>
        <w:t xml:space="preserve"> s</w:t>
      </w:r>
      <w:r w:rsidR="004055B4">
        <w:rPr>
          <w:lang w:val="fr-FR"/>
        </w:rPr>
        <w:t>’</w:t>
      </w:r>
      <w:r w:rsidRPr="0012133E">
        <w:rPr>
          <w:lang w:val="fr-FR"/>
        </w:rPr>
        <w:t>il est prescrit par le Règlement applicable au dispositif</w:t>
      </w:r>
      <w:r w:rsidRPr="00D40E57">
        <w:rPr>
          <w:lang w:val="fr-FR"/>
        </w:rPr>
        <w:t>. </w:t>
      </w:r>
      <w:r w:rsidRPr="004E6BB4">
        <w:rPr>
          <w:lang w:val="fr-FR"/>
        </w:rPr>
        <w:t>».</w:t>
      </w:r>
    </w:p>
    <w:p w14:paraId="5EC4F646" w14:textId="77777777" w:rsidR="00664DB6" w:rsidRPr="00D40E57" w:rsidRDefault="00664DB6" w:rsidP="000819DB">
      <w:pPr>
        <w:pStyle w:val="SingleTxtG"/>
      </w:pPr>
      <w:r w:rsidRPr="004E6BB4">
        <w:rPr>
          <w:i/>
          <w:iCs/>
          <w:lang w:val="fr-FR"/>
        </w:rPr>
        <w:t>Paragraphe</w:t>
      </w:r>
      <w:r w:rsidRPr="00D40E57">
        <w:rPr>
          <w:i/>
          <w:iCs/>
          <w:lang w:val="fr-FR"/>
        </w:rPr>
        <w:t xml:space="preserve"> 6.12.8</w:t>
      </w:r>
      <w:r w:rsidRPr="00D40E57">
        <w:rPr>
          <w:lang w:val="fr-FR"/>
        </w:rPr>
        <w:t>, lire</w:t>
      </w:r>
      <w:r>
        <w:rPr>
          <w:lang w:val="fr-FR"/>
        </w:rPr>
        <w:t> </w:t>
      </w:r>
      <w:r w:rsidRPr="00D40E57">
        <w:rPr>
          <w:lang w:val="fr-FR"/>
        </w:rPr>
        <w:t>:</w:t>
      </w:r>
    </w:p>
    <w:p w14:paraId="4528C24E" w14:textId="77777777" w:rsidR="00664DB6" w:rsidRPr="00D40E57" w:rsidRDefault="00664DB6" w:rsidP="000819DB">
      <w:pPr>
        <w:pStyle w:val="SingleTxtG"/>
        <w:ind w:left="2268" w:hanging="1134"/>
      </w:pPr>
      <w:r w:rsidRPr="00D40E57">
        <w:rPr>
          <w:lang w:val="fr-FR"/>
        </w:rPr>
        <w:t>« 6.12.8</w:t>
      </w:r>
      <w:r w:rsidRPr="00D40E57">
        <w:rPr>
          <w:lang w:val="fr-FR"/>
        </w:rPr>
        <w:tab/>
        <w:t>Témoin</w:t>
      </w:r>
    </w:p>
    <w:p w14:paraId="47B3133C" w14:textId="2096ED55" w:rsidR="00664DB6" w:rsidRPr="00D40E57" w:rsidRDefault="00664DB6" w:rsidP="00CB1AE1">
      <w:pPr>
        <w:pStyle w:val="SingleTxtG"/>
        <w:ind w:left="2268"/>
      </w:pPr>
      <w:r w:rsidRPr="00D40E57">
        <w:rPr>
          <w:lang w:val="fr-FR"/>
        </w:rPr>
        <w:t>Témoin d</w:t>
      </w:r>
      <w:r w:rsidR="004055B4">
        <w:rPr>
          <w:lang w:val="fr-FR"/>
        </w:rPr>
        <w:t>’</w:t>
      </w:r>
      <w:r w:rsidRPr="00D40E57">
        <w:rPr>
          <w:lang w:val="fr-FR"/>
        </w:rPr>
        <w:t>enclenchement facultatif. S</w:t>
      </w:r>
      <w:r w:rsidR="004055B4">
        <w:rPr>
          <w:lang w:val="fr-FR"/>
        </w:rPr>
        <w:t>’</w:t>
      </w:r>
      <w:r w:rsidRPr="00D40E57">
        <w:rPr>
          <w:lang w:val="fr-FR"/>
        </w:rPr>
        <w:t>il existe, il ne doit pas pouvoir être confondu avec le témoin des feux de position avant et arrière.</w:t>
      </w:r>
    </w:p>
    <w:p w14:paraId="3BF5CA07" w14:textId="1190ACCD" w:rsidR="00664DB6" w:rsidRPr="00AB25A1" w:rsidRDefault="00664DB6" w:rsidP="00CB1AE1">
      <w:pPr>
        <w:pStyle w:val="SingleTxtG"/>
        <w:ind w:left="2268"/>
      </w:pPr>
      <w:r w:rsidRPr="0012133E">
        <w:rPr>
          <w:lang w:val="fr-FR"/>
        </w:rPr>
        <w:t>Toutefois, un témoin de défaut de fonctionnement est obligatoire s</w:t>
      </w:r>
      <w:r w:rsidR="004055B4">
        <w:rPr>
          <w:lang w:val="fr-FR"/>
        </w:rPr>
        <w:t>’</w:t>
      </w:r>
      <w:r w:rsidRPr="0012133E">
        <w:rPr>
          <w:lang w:val="fr-FR"/>
        </w:rPr>
        <w:t>il est prescrit par le Règlement applicable au dispositif</w:t>
      </w:r>
      <w:r w:rsidRPr="00D40E57">
        <w:rPr>
          <w:lang w:val="fr-FR"/>
        </w:rPr>
        <w:t>. </w:t>
      </w:r>
      <w:r w:rsidRPr="004E6BB4">
        <w:rPr>
          <w:lang w:val="fr-FR"/>
        </w:rPr>
        <w:t>».</w:t>
      </w:r>
    </w:p>
    <w:p w14:paraId="5F54313A" w14:textId="77777777" w:rsidR="00664DB6" w:rsidRPr="00D40E57" w:rsidRDefault="00664DB6" w:rsidP="000819DB">
      <w:pPr>
        <w:pStyle w:val="SingleTxtG"/>
      </w:pPr>
      <w:r w:rsidRPr="00D40E57">
        <w:rPr>
          <w:i/>
          <w:iCs/>
          <w:lang w:val="fr-FR"/>
        </w:rPr>
        <w:t>Paragraphe 6.18.8</w:t>
      </w:r>
      <w:r w:rsidRPr="00D40E57">
        <w:rPr>
          <w:lang w:val="fr-FR"/>
        </w:rPr>
        <w:t>, lire</w:t>
      </w:r>
      <w:r>
        <w:rPr>
          <w:lang w:val="fr-FR"/>
        </w:rPr>
        <w:t> </w:t>
      </w:r>
      <w:r w:rsidRPr="00D40E57">
        <w:rPr>
          <w:lang w:val="fr-FR"/>
        </w:rPr>
        <w:t>:</w:t>
      </w:r>
    </w:p>
    <w:p w14:paraId="3BF1713C" w14:textId="77777777" w:rsidR="00664DB6" w:rsidRPr="00D40E57" w:rsidRDefault="00664DB6" w:rsidP="000819DB">
      <w:pPr>
        <w:pStyle w:val="SingleTxtG"/>
        <w:ind w:left="2268" w:hanging="1134"/>
      </w:pPr>
      <w:r w:rsidRPr="00D40E57">
        <w:rPr>
          <w:lang w:val="fr-FR"/>
        </w:rPr>
        <w:t>« 6.18.8</w:t>
      </w:r>
      <w:r w:rsidRPr="00D40E57">
        <w:rPr>
          <w:lang w:val="fr-FR"/>
        </w:rPr>
        <w:tab/>
        <w:t>Témoin</w:t>
      </w:r>
    </w:p>
    <w:p w14:paraId="3891EB9B" w14:textId="5AD656A7" w:rsidR="00664DB6" w:rsidRPr="00D40E57" w:rsidRDefault="00664DB6" w:rsidP="00CB1AE1">
      <w:pPr>
        <w:pStyle w:val="SingleTxtG"/>
        <w:ind w:left="2268"/>
      </w:pPr>
      <w:r>
        <w:rPr>
          <w:lang w:val="fr-FR"/>
        </w:rPr>
        <w:t>F</w:t>
      </w:r>
      <w:r w:rsidRPr="00D40E57">
        <w:rPr>
          <w:lang w:val="fr-FR"/>
        </w:rPr>
        <w:t>acultatif</w:t>
      </w:r>
      <w:r>
        <w:rPr>
          <w:lang w:val="fr-FR"/>
        </w:rPr>
        <w:t xml:space="preserve"> ; </w:t>
      </w:r>
      <w:r w:rsidRPr="00D40E57">
        <w:rPr>
          <w:lang w:val="fr-FR"/>
        </w:rPr>
        <w:t>s</w:t>
      </w:r>
      <w:r w:rsidR="004055B4">
        <w:rPr>
          <w:lang w:val="fr-FR"/>
        </w:rPr>
        <w:t>’</w:t>
      </w:r>
      <w:r w:rsidRPr="00D40E57">
        <w:rPr>
          <w:lang w:val="fr-FR"/>
        </w:rPr>
        <w:t xml:space="preserve">il existe, sa fonction doit être </w:t>
      </w:r>
      <w:r w:rsidRPr="00CB1AE1">
        <w:t>assurée</w:t>
      </w:r>
      <w:r w:rsidRPr="00D40E57">
        <w:rPr>
          <w:lang w:val="fr-FR"/>
        </w:rPr>
        <w:t xml:space="preserve"> par le témoin prescrit pour les feux de position avant et arrière.</w:t>
      </w:r>
    </w:p>
    <w:p w14:paraId="510866DC" w14:textId="538514E5" w:rsidR="00664DB6" w:rsidRPr="005B0501" w:rsidRDefault="00664DB6" w:rsidP="00CB1AE1">
      <w:pPr>
        <w:pStyle w:val="SingleTxtG"/>
        <w:ind w:left="2268"/>
        <w:rPr>
          <w:i/>
          <w:iCs/>
        </w:rPr>
      </w:pPr>
      <w:r w:rsidRPr="0012133E">
        <w:rPr>
          <w:lang w:val="fr-FR"/>
        </w:rPr>
        <w:t xml:space="preserve">Toutefois, un témoin de défaut de </w:t>
      </w:r>
      <w:r w:rsidRPr="00CB1AE1">
        <w:t>fonctionnement</w:t>
      </w:r>
      <w:r w:rsidRPr="0012133E">
        <w:rPr>
          <w:lang w:val="fr-FR"/>
        </w:rPr>
        <w:t xml:space="preserve"> est obligatoire s</w:t>
      </w:r>
      <w:r w:rsidR="004055B4">
        <w:rPr>
          <w:lang w:val="fr-FR"/>
        </w:rPr>
        <w:t>’</w:t>
      </w:r>
      <w:r w:rsidRPr="0012133E">
        <w:rPr>
          <w:lang w:val="fr-FR"/>
        </w:rPr>
        <w:t>il est prescrit par le Règlement applicable au dispositif</w:t>
      </w:r>
      <w:r w:rsidRPr="00D40E57">
        <w:rPr>
          <w:lang w:val="fr-FR"/>
        </w:rPr>
        <w:t>. </w:t>
      </w:r>
      <w:r w:rsidRPr="004E6BB4">
        <w:rPr>
          <w:lang w:val="fr-FR"/>
        </w:rPr>
        <w:t>».</w:t>
      </w:r>
    </w:p>
    <w:p w14:paraId="4A5EDFB0" w14:textId="77777777" w:rsidR="00664DB6" w:rsidRPr="005B0501" w:rsidRDefault="00664DB6" w:rsidP="000819DB">
      <w:pPr>
        <w:pStyle w:val="SingleTxtG"/>
      </w:pPr>
      <w:r w:rsidRPr="004E58D6">
        <w:rPr>
          <w:i/>
          <w:iCs/>
        </w:rPr>
        <w:t>Paragraphe</w:t>
      </w:r>
      <w:r w:rsidRPr="005B0501">
        <w:rPr>
          <w:i/>
          <w:szCs w:val="16"/>
        </w:rPr>
        <w:t xml:space="preserve"> 6.18.9</w:t>
      </w:r>
      <w:r w:rsidRPr="003B0359">
        <w:rPr>
          <w:iCs/>
          <w:szCs w:val="16"/>
        </w:rPr>
        <w:t>,</w:t>
      </w:r>
      <w:r w:rsidRPr="005B0501">
        <w:rPr>
          <w:szCs w:val="16"/>
        </w:rPr>
        <w:t xml:space="preserve"> lire :</w:t>
      </w:r>
    </w:p>
    <w:p w14:paraId="34B82DA4" w14:textId="77777777" w:rsidR="00664DB6" w:rsidRPr="005B0501" w:rsidRDefault="00664DB6" w:rsidP="000819DB">
      <w:pPr>
        <w:pStyle w:val="SingleTxtG"/>
        <w:ind w:left="2268" w:hanging="1134"/>
      </w:pPr>
      <w:r w:rsidRPr="005B0501">
        <w:t>«</w:t>
      </w:r>
      <w:r>
        <w:t> </w:t>
      </w:r>
      <w:r w:rsidRPr="005B0501">
        <w:t>6.18.9</w:t>
      </w:r>
      <w:r w:rsidRPr="005B0501">
        <w:tab/>
        <w:t>Autres prescriptions</w:t>
      </w:r>
    </w:p>
    <w:p w14:paraId="18BBCA17" w14:textId="77777777" w:rsidR="00664DB6" w:rsidRDefault="00664DB6" w:rsidP="00CB1AE1">
      <w:pPr>
        <w:pStyle w:val="SingleTxtG"/>
        <w:ind w:left="2268"/>
      </w:pPr>
      <w:r w:rsidRPr="005B0501">
        <w:t>Si les feux de position latéraux les plus en arrière sont combinés avec des feux de position arrière eux-mêmes mutuellement incorporés aux feux de brouillard arrière ou aux feux-stop, leurs caractéristiques photométriques peuvent être modifiées pendant tout le temps où sont allumés les feux de brouillard arrière ou les feux-stop.</w:t>
      </w:r>
    </w:p>
    <w:p w14:paraId="7744A234" w14:textId="3B3AD2EC" w:rsidR="00664DB6" w:rsidRDefault="00664DB6" w:rsidP="00CB1AE1">
      <w:pPr>
        <w:pStyle w:val="SingleTxtG"/>
        <w:ind w:left="2268"/>
      </w:pPr>
      <w:r w:rsidRPr="005B0501">
        <w:t xml:space="preserve">Les feux de position latéraux arrière doivent être </w:t>
      </w:r>
      <w:r>
        <w:t>jaune-auto</w:t>
      </w:r>
      <w:r w:rsidRPr="005B0501">
        <w:t xml:space="preserve"> s</w:t>
      </w:r>
      <w:r w:rsidR="004055B4">
        <w:t>’</w:t>
      </w:r>
      <w:r w:rsidRPr="005B0501">
        <w:t>ils clignotent avec le feu de position arrière.</w:t>
      </w:r>
    </w:p>
    <w:p w14:paraId="1F0F9A88" w14:textId="40DC124B" w:rsidR="00664DB6" w:rsidRPr="005B0501" w:rsidRDefault="00664DB6" w:rsidP="00CB1AE1">
      <w:pPr>
        <w:pStyle w:val="SingleTxtG"/>
        <w:ind w:left="2268"/>
        <w:rPr>
          <w:b/>
        </w:rPr>
      </w:pPr>
      <w:r w:rsidRPr="0012133E">
        <w:lastRenderedPageBreak/>
        <w:t>Si un feu de position latéral facultatif est groupé ou combiné avec un feu de position lui-même mutuellement incorporé ou groupé avec le feu indicateur de direction, les branchements électriques du feu de position latéral du côté correspondant du véhicule peuvent être conçus de telle sorte que le feu de position latéral soit éteint pendant la totalité de la période d</w:t>
      </w:r>
      <w:r w:rsidR="004055B4">
        <w:t>’</w:t>
      </w:r>
      <w:r w:rsidRPr="0012133E">
        <w:t>activation du feu indicateur de direction (autant pendant les phases d</w:t>
      </w:r>
      <w:r w:rsidR="004055B4">
        <w:t>’</w:t>
      </w:r>
      <w:r w:rsidRPr="0012133E">
        <w:t>allumage que pendant les phases d</w:t>
      </w:r>
      <w:r w:rsidR="004055B4">
        <w:t>’</w:t>
      </w:r>
      <w:r w:rsidRPr="0012133E">
        <w:t>extinction).</w:t>
      </w:r>
      <w:r>
        <w:t> </w:t>
      </w:r>
      <w:r w:rsidRPr="005B0501">
        <w:t>»</w:t>
      </w:r>
      <w:r>
        <w:t>.</w:t>
      </w:r>
    </w:p>
    <w:p w14:paraId="34A80DC7" w14:textId="77777777" w:rsidR="00664DB6" w:rsidRPr="0012133E" w:rsidRDefault="00664DB6" w:rsidP="000819DB">
      <w:pPr>
        <w:pStyle w:val="SingleTxtG"/>
        <w:rPr>
          <w:szCs w:val="16"/>
        </w:rPr>
      </w:pPr>
      <w:r w:rsidRPr="004E58D6">
        <w:rPr>
          <w:i/>
          <w:iCs/>
        </w:rPr>
        <w:t>Paragraphe</w:t>
      </w:r>
      <w:r w:rsidRPr="005B0501">
        <w:rPr>
          <w:i/>
          <w:szCs w:val="16"/>
        </w:rPr>
        <w:t xml:space="preserve"> 6.19</w:t>
      </w:r>
      <w:r w:rsidRPr="003B0359">
        <w:rPr>
          <w:iCs/>
          <w:szCs w:val="16"/>
        </w:rPr>
        <w:t>,</w:t>
      </w:r>
      <w:r w:rsidRPr="005B0501">
        <w:rPr>
          <w:szCs w:val="16"/>
        </w:rPr>
        <w:t xml:space="preserve"> modification sans objet en français.</w:t>
      </w:r>
    </w:p>
    <w:p w14:paraId="2E2551E0" w14:textId="77777777" w:rsidR="00664DB6" w:rsidRPr="005B0501" w:rsidRDefault="00664DB6" w:rsidP="000819DB">
      <w:pPr>
        <w:pStyle w:val="SingleTxtG"/>
        <w:rPr>
          <w:szCs w:val="16"/>
        </w:rPr>
      </w:pPr>
      <w:r w:rsidRPr="004E58D6">
        <w:rPr>
          <w:i/>
          <w:iCs/>
        </w:rPr>
        <w:t>Paragraphe</w:t>
      </w:r>
      <w:r w:rsidRPr="005B0501">
        <w:rPr>
          <w:i/>
          <w:szCs w:val="16"/>
        </w:rPr>
        <w:t xml:space="preserve"> 6.19.7.2</w:t>
      </w:r>
      <w:r w:rsidRPr="003B0359">
        <w:rPr>
          <w:iCs/>
          <w:szCs w:val="16"/>
        </w:rPr>
        <w:t>,</w:t>
      </w:r>
      <w:r w:rsidRPr="005B0501">
        <w:rPr>
          <w:szCs w:val="16"/>
        </w:rPr>
        <w:t xml:space="preserve"> modification sans objet en français.</w:t>
      </w:r>
    </w:p>
    <w:p w14:paraId="68C2DC42" w14:textId="77777777" w:rsidR="00664DB6" w:rsidRPr="005B0501" w:rsidRDefault="00664DB6" w:rsidP="000819DB">
      <w:pPr>
        <w:pStyle w:val="SingleTxtG"/>
      </w:pPr>
      <w:r w:rsidRPr="004E58D6">
        <w:rPr>
          <w:i/>
          <w:iCs/>
        </w:rPr>
        <w:t>Paragraphe</w:t>
      </w:r>
      <w:r w:rsidRPr="005B0501">
        <w:rPr>
          <w:i/>
        </w:rPr>
        <w:t xml:space="preserve"> 6.20</w:t>
      </w:r>
      <w:r w:rsidRPr="003B0359">
        <w:rPr>
          <w:iCs/>
        </w:rPr>
        <w:t xml:space="preserve">, </w:t>
      </w:r>
      <w:r w:rsidRPr="005B0501">
        <w:rPr>
          <w:rFonts w:eastAsia="MS Mincho"/>
        </w:rPr>
        <w:t>lire :</w:t>
      </w:r>
    </w:p>
    <w:p w14:paraId="1688C0AC" w14:textId="5B850CB2" w:rsidR="00664DB6" w:rsidRDefault="00664DB6" w:rsidP="000819DB">
      <w:pPr>
        <w:pStyle w:val="SingleTxtG"/>
        <w:ind w:left="2268" w:hanging="1134"/>
        <w:rPr>
          <w:snapToGrid w:val="0"/>
        </w:rPr>
      </w:pPr>
      <w:r w:rsidRPr="005B0501">
        <w:t>«</w:t>
      </w:r>
      <w:r>
        <w:t> </w:t>
      </w:r>
      <w:r w:rsidRPr="005B0501">
        <w:rPr>
          <w:snapToGrid w:val="0"/>
        </w:rPr>
        <w:t>6.20</w:t>
      </w:r>
      <w:r w:rsidRPr="005B0501">
        <w:rPr>
          <w:snapToGrid w:val="0"/>
        </w:rPr>
        <w:tab/>
        <w:t>Feu d</w:t>
      </w:r>
      <w:r w:rsidR="004055B4">
        <w:rPr>
          <w:snapToGrid w:val="0"/>
        </w:rPr>
        <w:t>’</w:t>
      </w:r>
      <w:r w:rsidRPr="005B0501">
        <w:rPr>
          <w:snapToGrid w:val="0"/>
        </w:rPr>
        <w:t xml:space="preserve">angle (Règlement ONU </w:t>
      </w:r>
      <w:r w:rsidRPr="005B0501">
        <w:rPr>
          <w:rFonts w:eastAsia="MS Mincho"/>
        </w:rPr>
        <w:t>n</w:t>
      </w:r>
      <w:r w:rsidRPr="005B0501">
        <w:rPr>
          <w:rFonts w:eastAsia="MS Mincho"/>
          <w:vertAlign w:val="superscript"/>
        </w:rPr>
        <w:t>o</w:t>
      </w:r>
      <w:r w:rsidRPr="005B0501">
        <w:rPr>
          <w:rFonts w:eastAsia="MS Mincho"/>
        </w:rPr>
        <w:t> </w:t>
      </w:r>
      <w:r w:rsidRPr="005B0501">
        <w:rPr>
          <w:snapToGrid w:val="0"/>
        </w:rPr>
        <w:t xml:space="preserve">119 ou </w:t>
      </w:r>
      <w:r w:rsidRPr="0012133E">
        <w:rPr>
          <w:snapToGrid w:val="0"/>
        </w:rPr>
        <w:t>149</w:t>
      </w:r>
      <w:r w:rsidRPr="005B0501">
        <w:rPr>
          <w:snapToGrid w:val="0"/>
        </w:rPr>
        <w:t>)</w:t>
      </w:r>
      <w:r>
        <w:t> </w:t>
      </w:r>
      <w:r w:rsidRPr="005B0501">
        <w:t>»</w:t>
      </w:r>
      <w:r w:rsidRPr="005B0501">
        <w:rPr>
          <w:snapToGrid w:val="0"/>
        </w:rPr>
        <w:t>.</w:t>
      </w:r>
    </w:p>
    <w:p w14:paraId="17544128" w14:textId="77777777" w:rsidR="00664DB6" w:rsidRPr="00D40E57" w:rsidRDefault="00664DB6" w:rsidP="000819DB">
      <w:pPr>
        <w:pStyle w:val="SingleTxtG"/>
      </w:pPr>
      <w:r w:rsidRPr="00D40E57">
        <w:rPr>
          <w:i/>
          <w:iCs/>
          <w:lang w:val="fr-FR"/>
        </w:rPr>
        <w:t>Paragraphe 6.20.8</w:t>
      </w:r>
      <w:r w:rsidRPr="00D40E57">
        <w:rPr>
          <w:lang w:val="fr-FR"/>
        </w:rPr>
        <w:t>, lire</w:t>
      </w:r>
      <w:r>
        <w:rPr>
          <w:lang w:val="fr-FR"/>
        </w:rPr>
        <w:t> </w:t>
      </w:r>
      <w:r w:rsidRPr="00D40E57">
        <w:rPr>
          <w:lang w:val="fr-FR"/>
        </w:rPr>
        <w:t>:</w:t>
      </w:r>
    </w:p>
    <w:p w14:paraId="165457A0" w14:textId="77777777" w:rsidR="00664DB6" w:rsidRPr="00D40E57" w:rsidRDefault="00664DB6" w:rsidP="000819DB">
      <w:pPr>
        <w:pStyle w:val="SingleTxtG"/>
        <w:ind w:left="2268" w:hanging="1134"/>
      </w:pPr>
      <w:r w:rsidRPr="00D40E57">
        <w:rPr>
          <w:lang w:val="fr-FR"/>
        </w:rPr>
        <w:t>« 6.20.8</w:t>
      </w:r>
      <w:r w:rsidRPr="00D40E57">
        <w:rPr>
          <w:lang w:val="fr-FR"/>
        </w:rPr>
        <w:tab/>
      </w:r>
      <w:r w:rsidRPr="000819DB">
        <w:t>Témoin</w:t>
      </w:r>
    </w:p>
    <w:p w14:paraId="3CB26287" w14:textId="61EB66ED" w:rsidR="00664DB6" w:rsidRPr="0012133E" w:rsidRDefault="00664DB6" w:rsidP="00CB1AE1">
      <w:pPr>
        <w:pStyle w:val="SingleTxtG"/>
        <w:ind w:left="2268"/>
      </w:pPr>
      <w:r w:rsidRPr="00D40E57">
        <w:rPr>
          <w:lang w:val="fr-FR"/>
        </w:rPr>
        <w:t xml:space="preserve">Aucun. </w:t>
      </w:r>
      <w:r w:rsidRPr="0012133E">
        <w:rPr>
          <w:lang w:val="fr-FR"/>
        </w:rPr>
        <w:t xml:space="preserve">Toutefois, un témoin de défaut de fonctionnement est obligatoire </w:t>
      </w:r>
      <w:r w:rsidRPr="00CB1AE1">
        <w:t>s</w:t>
      </w:r>
      <w:r w:rsidR="004055B4">
        <w:t>’</w:t>
      </w:r>
      <w:r w:rsidRPr="00CB1AE1">
        <w:t>il</w:t>
      </w:r>
      <w:r w:rsidRPr="0012133E">
        <w:rPr>
          <w:lang w:val="fr-FR"/>
        </w:rPr>
        <w:t xml:space="preserve"> est prescrit par le Règlement applicable au dispositif</w:t>
      </w:r>
      <w:r w:rsidRPr="00C82DC9">
        <w:rPr>
          <w:lang w:val="fr-FR"/>
        </w:rPr>
        <w:t>.</w:t>
      </w:r>
      <w:r w:rsidRPr="00D40E57">
        <w:rPr>
          <w:lang w:val="fr-FR"/>
        </w:rPr>
        <w:t> </w:t>
      </w:r>
      <w:r w:rsidRPr="004E6BB4">
        <w:rPr>
          <w:lang w:val="fr-FR"/>
        </w:rPr>
        <w:t>».</w:t>
      </w:r>
    </w:p>
    <w:p w14:paraId="227AA0DF" w14:textId="77777777" w:rsidR="00664DB6" w:rsidRPr="005B0501" w:rsidRDefault="00664DB6" w:rsidP="000819DB">
      <w:pPr>
        <w:pStyle w:val="SingleTxtG"/>
      </w:pPr>
      <w:r w:rsidRPr="005B0501">
        <w:rPr>
          <w:i/>
          <w:iCs/>
        </w:rPr>
        <w:t>Paragraphe 6.22.4.1.2,</w:t>
      </w:r>
      <w:r>
        <w:rPr>
          <w:i/>
          <w:iCs/>
        </w:rPr>
        <w:t xml:space="preserve"> </w:t>
      </w:r>
      <w:r w:rsidRPr="0012133E">
        <w:t>la note de bas de page 14 devient la note de bas de page 13.</w:t>
      </w:r>
    </w:p>
    <w:p w14:paraId="557A5DF5" w14:textId="77777777" w:rsidR="00664DB6" w:rsidRPr="005B0501" w:rsidRDefault="00664DB6" w:rsidP="000819DB">
      <w:pPr>
        <w:pStyle w:val="SingleTxtG"/>
      </w:pPr>
      <w:r w:rsidRPr="004E58D6">
        <w:rPr>
          <w:i/>
          <w:iCs/>
        </w:rPr>
        <w:t>Paragraphe</w:t>
      </w:r>
      <w:r w:rsidRPr="005B0501">
        <w:rPr>
          <w:i/>
        </w:rPr>
        <w:t xml:space="preserve"> 6.22.7.4.3</w:t>
      </w:r>
      <w:r w:rsidRPr="005B0501">
        <w:t>, lire :</w:t>
      </w:r>
    </w:p>
    <w:p w14:paraId="52735CC4" w14:textId="77777777" w:rsidR="00664DB6" w:rsidRPr="005B0501" w:rsidRDefault="00664DB6" w:rsidP="000819DB">
      <w:pPr>
        <w:pStyle w:val="SingleTxtG"/>
        <w:ind w:left="2268" w:hanging="1134"/>
        <w:rPr>
          <w:lang w:eastAsia="fr-FR"/>
        </w:rPr>
      </w:pPr>
      <w:r w:rsidRPr="005B0501">
        <w:t>«</w:t>
      </w:r>
      <w:r>
        <w:t> </w:t>
      </w:r>
      <w:r w:rsidRPr="005B0501">
        <w:t>6.22.7.4.3</w:t>
      </w:r>
      <w:r w:rsidRPr="005B0501">
        <w:tab/>
      </w:r>
      <w:r w:rsidRPr="005B0501">
        <w:rPr>
          <w:lang w:eastAsia="fr-FR"/>
        </w:rPr>
        <w:t>Le ou les modes de la classe</w:t>
      </w:r>
      <w:r>
        <w:rPr>
          <w:lang w:eastAsia="fr-FR"/>
        </w:rPr>
        <w:t xml:space="preserve"> </w:t>
      </w:r>
      <w:r w:rsidRPr="005B0501">
        <w:rPr>
          <w:lang w:eastAsia="fr-FR"/>
        </w:rPr>
        <w:t xml:space="preserve">E du faisceau de croisement ne doivent fonctionner que si la vitesse du véhicule dépasse </w:t>
      </w:r>
      <w:r w:rsidRPr="005B0501">
        <w:rPr>
          <w:rFonts w:eastAsia="Calibri"/>
          <w:lang w:eastAsia="fr-FR"/>
        </w:rPr>
        <w:t>6</w:t>
      </w:r>
      <w:r w:rsidRPr="005B0501">
        <w:rPr>
          <w:lang w:eastAsia="fr-FR"/>
        </w:rPr>
        <w:t>0 km/h et une ou plusieurs des conditions ci-dessous sont automatiquement détectées :</w:t>
      </w:r>
    </w:p>
    <w:p w14:paraId="2EBAA019" w14:textId="73D37844" w:rsidR="00664DB6" w:rsidRDefault="00664DB6" w:rsidP="00CB1AE1">
      <w:pPr>
        <w:pStyle w:val="SingleTxtG"/>
        <w:ind w:left="2835" w:hanging="567"/>
        <w:rPr>
          <w:rFonts w:eastAsia="Calibri"/>
          <w:lang w:eastAsia="fr-FR"/>
        </w:rPr>
      </w:pPr>
      <w:r w:rsidRPr="005B0501">
        <w:t>a)</w:t>
      </w:r>
      <w:r w:rsidRPr="005B0501">
        <w:tab/>
      </w:r>
      <w:r w:rsidRPr="005B0501">
        <w:rPr>
          <w:lang w:eastAsia="fr-FR"/>
        </w:rPr>
        <w:t xml:space="preserve">Les caractéristiques de la route </w:t>
      </w:r>
      <w:r w:rsidRPr="005B0501">
        <w:t>correspondent</w:t>
      </w:r>
      <w:r w:rsidRPr="005B0501">
        <w:rPr>
          <w:lang w:eastAsia="fr-FR"/>
        </w:rPr>
        <w:t xml:space="preserve"> à celles d</w:t>
      </w:r>
      <w:r w:rsidR="004055B4">
        <w:rPr>
          <w:lang w:eastAsia="fr-FR"/>
        </w:rPr>
        <w:t>’</w:t>
      </w:r>
      <w:r w:rsidRPr="005B0501">
        <w:rPr>
          <w:lang w:eastAsia="fr-FR"/>
        </w:rPr>
        <w:t>une autoroute</w:t>
      </w:r>
      <w:r w:rsidRPr="004C0D3A">
        <w:rPr>
          <w:rFonts w:eastAsia="Calibri"/>
          <w:sz w:val="18"/>
          <w:szCs w:val="18"/>
          <w:vertAlign w:val="superscript"/>
          <w:lang w:eastAsia="fr-FR"/>
        </w:rPr>
        <w:t>14</w:t>
      </w:r>
      <w:r w:rsidRPr="005B0501">
        <w:t xml:space="preserve"> </w:t>
      </w:r>
      <w:r w:rsidRPr="005B0501">
        <w:rPr>
          <w:lang w:eastAsia="fr-FR"/>
        </w:rPr>
        <w:t>ou la vitesse du véhicule dépasse 110 km/h (application du signal E)</w:t>
      </w:r>
      <w:r w:rsidRPr="005B0501">
        <w:rPr>
          <w:rFonts w:eastAsia="Calibri"/>
          <w:lang w:eastAsia="fr-FR"/>
        </w:rPr>
        <w:t> ;</w:t>
      </w:r>
    </w:p>
    <w:p w14:paraId="489CB134" w14:textId="4C3C37F8" w:rsidR="00664DB6" w:rsidRPr="005B0501" w:rsidRDefault="00664DB6" w:rsidP="00CB1AE1">
      <w:pPr>
        <w:pStyle w:val="SingleTxtG"/>
        <w:ind w:left="2835" w:hanging="567"/>
      </w:pPr>
      <w:r w:rsidRPr="005B0501">
        <w:t>b)</w:t>
      </w:r>
      <w:r w:rsidRPr="005B0501">
        <w:tab/>
      </w:r>
      <w:r w:rsidRPr="005B0501">
        <w:rPr>
          <w:lang w:eastAsia="fr-FR"/>
        </w:rPr>
        <w:t>Lorsqu</w:t>
      </w:r>
      <w:r w:rsidR="004055B4">
        <w:rPr>
          <w:lang w:eastAsia="fr-FR"/>
        </w:rPr>
        <w:t>’</w:t>
      </w:r>
      <w:r w:rsidRPr="005B0501">
        <w:rPr>
          <w:lang w:eastAsia="fr-FR"/>
        </w:rPr>
        <w:t>un mode de la classe</w:t>
      </w:r>
      <w:r>
        <w:rPr>
          <w:lang w:eastAsia="fr-FR"/>
        </w:rPr>
        <w:t xml:space="preserve"> </w:t>
      </w:r>
      <w:r w:rsidRPr="005B0501">
        <w:rPr>
          <w:lang w:eastAsia="fr-FR"/>
        </w:rPr>
        <w:t>E du faisceau de croisement est conforme, d</w:t>
      </w:r>
      <w:r w:rsidR="004055B4">
        <w:rPr>
          <w:lang w:eastAsia="fr-FR"/>
        </w:rPr>
        <w:t>’</w:t>
      </w:r>
      <w:r w:rsidRPr="005B0501">
        <w:rPr>
          <w:lang w:eastAsia="fr-FR"/>
        </w:rPr>
        <w:t>après les documents d</w:t>
      </w:r>
      <w:r w:rsidR="004055B4">
        <w:rPr>
          <w:lang w:eastAsia="fr-FR"/>
        </w:rPr>
        <w:t>’</w:t>
      </w:r>
      <w:r w:rsidRPr="005B0501">
        <w:rPr>
          <w:lang w:eastAsia="fr-FR"/>
        </w:rPr>
        <w:t>homologation ou la fiche de communication du système, à un ensemble de données du tableau</w:t>
      </w:r>
      <w:r>
        <w:rPr>
          <w:lang w:eastAsia="fr-FR"/>
        </w:rPr>
        <w:t xml:space="preserve"> </w:t>
      </w:r>
      <w:r w:rsidRPr="005B0501">
        <w:rPr>
          <w:lang w:eastAsia="fr-FR"/>
        </w:rPr>
        <w:t>6 de</w:t>
      </w:r>
      <w:r>
        <w:rPr>
          <w:lang w:eastAsia="fr-FR"/>
        </w:rPr>
        <w:t xml:space="preserve"> </w:t>
      </w:r>
      <w:r w:rsidRPr="005B0501">
        <w:rPr>
          <w:lang w:eastAsia="fr-FR"/>
        </w:rPr>
        <w:t>l</w:t>
      </w:r>
      <w:r w:rsidR="004055B4">
        <w:rPr>
          <w:lang w:eastAsia="fr-FR"/>
        </w:rPr>
        <w:t>’</w:t>
      </w:r>
      <w:r w:rsidRPr="005B0501">
        <w:rPr>
          <w:lang w:eastAsia="fr-FR"/>
        </w:rPr>
        <w:t>annexe</w:t>
      </w:r>
      <w:r>
        <w:rPr>
          <w:lang w:eastAsia="fr-FR"/>
        </w:rPr>
        <w:t xml:space="preserve"> </w:t>
      </w:r>
      <w:r w:rsidRPr="005B0501">
        <w:rPr>
          <w:lang w:eastAsia="fr-FR"/>
        </w:rPr>
        <w:t xml:space="preserve">3 du Règlement </w:t>
      </w:r>
      <w:r w:rsidRPr="005B0501">
        <w:rPr>
          <w:rFonts w:eastAsia="Calibri"/>
          <w:lang w:eastAsia="fr-FR"/>
        </w:rPr>
        <w:t xml:space="preserve">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123</w:t>
      </w:r>
      <w:r w:rsidRPr="005B0501">
        <w:rPr>
          <w:rFonts w:eastAsia="Calibri"/>
          <w:lang w:eastAsia="fr-FR"/>
        </w:rPr>
        <w:t xml:space="preserve"> </w:t>
      </w:r>
      <w:r w:rsidRPr="005B0501">
        <w:rPr>
          <w:lang w:eastAsia="fr-FR"/>
        </w:rPr>
        <w:t>o</w:t>
      </w:r>
      <w:r w:rsidRPr="005B0501">
        <w:rPr>
          <w:rFonts w:eastAsia="Calibri"/>
          <w:lang w:eastAsia="fr-FR"/>
        </w:rPr>
        <w:t>u</w:t>
      </w:r>
      <w:r w:rsidRPr="005B0501">
        <w:rPr>
          <w:lang w:eastAsia="fr-FR"/>
        </w:rPr>
        <w:t xml:space="preserve"> du tableau </w:t>
      </w:r>
      <w:r w:rsidRPr="005B0501">
        <w:rPr>
          <w:rFonts w:eastAsia="Calibri"/>
          <w:lang w:eastAsia="fr-FR"/>
        </w:rPr>
        <w:t xml:space="preserve">14 </w:t>
      </w:r>
      <w:r w:rsidRPr="005B0501">
        <w:rPr>
          <w:lang w:eastAsia="fr-FR"/>
        </w:rPr>
        <w:t xml:space="preserve">du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149.</w:t>
      </w:r>
    </w:p>
    <w:p w14:paraId="43275F6F" w14:textId="77777777" w:rsidR="00664DB6" w:rsidRPr="0012133E" w:rsidRDefault="00664DB6" w:rsidP="004C0D3A">
      <w:pPr>
        <w:pStyle w:val="SingleTxtG"/>
        <w:ind w:left="2835"/>
      </w:pPr>
      <w:r w:rsidRPr="0012133E">
        <w:t>Ensemble de données E1 : vitesse du véhicule supérieure à 100 km/h (application du signal E1) ;</w:t>
      </w:r>
    </w:p>
    <w:p w14:paraId="5884F353" w14:textId="77777777" w:rsidR="00664DB6" w:rsidRPr="0012133E" w:rsidRDefault="00664DB6" w:rsidP="004C0D3A">
      <w:pPr>
        <w:pStyle w:val="SingleTxtG"/>
        <w:ind w:left="2835"/>
      </w:pPr>
      <w:r w:rsidRPr="0012133E">
        <w:t>Ensemble de données E2 : vitesse du véhicule supérieure à 90 km/h (application du signal E2) ;</w:t>
      </w:r>
    </w:p>
    <w:p w14:paraId="7F77945C" w14:textId="77777777" w:rsidR="00664DB6" w:rsidRPr="005B0501" w:rsidRDefault="00664DB6" w:rsidP="004C0D3A">
      <w:pPr>
        <w:pStyle w:val="SingleTxtG"/>
        <w:ind w:left="2835"/>
        <w:rPr>
          <w:i/>
          <w:iCs/>
        </w:rPr>
      </w:pPr>
      <w:r w:rsidRPr="0012133E">
        <w:t>Ensemble de données E3 : vitesse du véhicule supérieure à 80 km/h (application du signal E3).</w:t>
      </w:r>
      <w:r w:rsidRPr="007C6E2A">
        <w:rPr>
          <w:b/>
          <w:bCs/>
        </w:rPr>
        <w:t> </w:t>
      </w:r>
      <w:r w:rsidRPr="005B0501">
        <w:t>»</w:t>
      </w:r>
      <w:r>
        <w:t>.</w:t>
      </w:r>
    </w:p>
    <w:p w14:paraId="36A38776" w14:textId="3866840F" w:rsidR="00664DB6" w:rsidRPr="00CB1AE1" w:rsidRDefault="00664DB6" w:rsidP="00CB1AE1">
      <w:pPr>
        <w:pStyle w:val="SingleTxtG"/>
        <w:rPr>
          <w:i/>
          <w:iCs/>
        </w:rPr>
      </w:pPr>
      <w:r w:rsidRPr="005B0501">
        <w:rPr>
          <w:i/>
          <w:iCs/>
        </w:rPr>
        <w:t xml:space="preserve">Paragraphe 6.22.7.4.5, </w:t>
      </w:r>
      <w:r w:rsidRPr="0012133E">
        <w:t xml:space="preserve">la note de bas de page 16 devient la note de bas de </w:t>
      </w:r>
      <w:r w:rsidRPr="00CB1AE1">
        <w:rPr>
          <w:szCs w:val="16"/>
        </w:rPr>
        <w:t>page</w:t>
      </w:r>
      <w:r w:rsidRPr="0012133E">
        <w:t xml:space="preserve"> 15.</w:t>
      </w:r>
    </w:p>
    <w:p w14:paraId="3A90798F" w14:textId="77777777" w:rsidR="00664DB6" w:rsidRPr="005B0501" w:rsidRDefault="00664DB6" w:rsidP="000819DB">
      <w:pPr>
        <w:pStyle w:val="SingleTxtG"/>
      </w:pPr>
      <w:r w:rsidRPr="004E58D6">
        <w:rPr>
          <w:i/>
          <w:iCs/>
        </w:rPr>
        <w:t>Paragraphe</w:t>
      </w:r>
      <w:r w:rsidRPr="005B0501">
        <w:rPr>
          <w:i/>
          <w:szCs w:val="16"/>
        </w:rPr>
        <w:t xml:space="preserve"> 6.22.9.1</w:t>
      </w:r>
      <w:r w:rsidRPr="007C6E2A">
        <w:rPr>
          <w:iCs/>
          <w:szCs w:val="16"/>
        </w:rPr>
        <w:t xml:space="preserve">, </w:t>
      </w:r>
      <w:r w:rsidRPr="005B0501">
        <w:rPr>
          <w:szCs w:val="16"/>
        </w:rPr>
        <w:t>lire :</w:t>
      </w:r>
    </w:p>
    <w:p w14:paraId="5394258F" w14:textId="3BDF999C" w:rsidR="00664DB6" w:rsidRPr="005B0501" w:rsidRDefault="00664DB6" w:rsidP="000819DB">
      <w:pPr>
        <w:pStyle w:val="SingleTxtG"/>
        <w:ind w:left="2268" w:hanging="1134"/>
      </w:pPr>
      <w:r w:rsidRPr="005B0501">
        <w:t>«</w:t>
      </w:r>
      <w:r>
        <w:t> </w:t>
      </w:r>
      <w:r w:rsidRPr="005B0501">
        <w:t>6.22.9.1</w:t>
      </w:r>
      <w:r w:rsidRPr="005B0501">
        <w:tab/>
        <w:t>Le</w:t>
      </w:r>
      <w:r w:rsidRPr="005B0501">
        <w:rPr>
          <w:lang w:eastAsia="fr-FR"/>
        </w:rPr>
        <w:t xml:space="preserve"> montage d</w:t>
      </w:r>
      <w:r w:rsidR="004055B4">
        <w:rPr>
          <w:lang w:eastAsia="fr-FR"/>
        </w:rPr>
        <w:t>’</w:t>
      </w:r>
      <w:r w:rsidRPr="005B0501">
        <w:rPr>
          <w:lang w:eastAsia="fr-FR"/>
        </w:rPr>
        <w:t>un système AFS n</w:t>
      </w:r>
      <w:r w:rsidR="004055B4">
        <w:rPr>
          <w:lang w:eastAsia="fr-FR"/>
        </w:rPr>
        <w:t>’</w:t>
      </w:r>
      <w:r w:rsidRPr="005B0501">
        <w:rPr>
          <w:lang w:eastAsia="fr-FR"/>
        </w:rPr>
        <w:t>est autorisé que si le véhicule est aussi équipé de dispositifs de nettoyage des projecteurs conformes au Règlement</w:t>
      </w:r>
      <w:r>
        <w:rPr>
          <w:lang w:eastAsia="fr-FR"/>
        </w:rPr>
        <w:t xml:space="preserve"> </w:t>
      </w:r>
      <w:r w:rsidRPr="005B0501">
        <w:rPr>
          <w:lang w:eastAsia="fr-FR"/>
        </w:rPr>
        <w:t xml:space="preserve">ONU </w:t>
      </w:r>
      <w:r w:rsidRPr="005B0501">
        <w:rPr>
          <w:rFonts w:eastAsia="MS Mincho"/>
        </w:rPr>
        <w:t>n</w:t>
      </w:r>
      <w:r w:rsidRPr="005B0501">
        <w:rPr>
          <w:rFonts w:eastAsia="MS Mincho"/>
          <w:vertAlign w:val="superscript"/>
        </w:rPr>
        <w:t>o</w:t>
      </w:r>
      <w:r w:rsidRPr="005B0501">
        <w:rPr>
          <w:rFonts w:eastAsia="MS Mincho"/>
        </w:rPr>
        <w:t> </w:t>
      </w:r>
      <w:r w:rsidRPr="005B0501">
        <w:t>45</w:t>
      </w:r>
      <w:r w:rsidR="004C0D3A" w:rsidRPr="004C0D3A">
        <w:rPr>
          <w:strike/>
          <w:sz w:val="18"/>
          <w:szCs w:val="18"/>
          <w:vertAlign w:val="superscript"/>
        </w:rPr>
        <w:t>17</w:t>
      </w:r>
      <w:r w:rsidRPr="0012133E">
        <w:rPr>
          <w:sz w:val="18"/>
          <w:szCs w:val="18"/>
          <w:vertAlign w:val="superscript"/>
        </w:rPr>
        <w:t>16</w:t>
      </w:r>
      <w:r w:rsidRPr="005B0501">
        <w:rPr>
          <w:lang w:eastAsia="fr-FR"/>
        </w:rPr>
        <w:t>, au moins sur les unités d</w:t>
      </w:r>
      <w:r w:rsidR="004055B4">
        <w:rPr>
          <w:lang w:eastAsia="fr-FR"/>
        </w:rPr>
        <w:t>’</w:t>
      </w:r>
      <w:r w:rsidRPr="005B0501">
        <w:rPr>
          <w:lang w:eastAsia="fr-FR"/>
        </w:rPr>
        <w:t>éclairage énumérées au point</w:t>
      </w:r>
      <w:r>
        <w:rPr>
          <w:lang w:eastAsia="fr-FR"/>
        </w:rPr>
        <w:t xml:space="preserve"> </w:t>
      </w:r>
      <w:r w:rsidRPr="005B0501">
        <w:rPr>
          <w:lang w:eastAsia="fr-FR"/>
        </w:rPr>
        <w:t>9.2.3 de la fiche de communication conforme au modèle de l</w:t>
      </w:r>
      <w:r w:rsidR="004055B4">
        <w:rPr>
          <w:lang w:eastAsia="fr-FR"/>
        </w:rPr>
        <w:t>’</w:t>
      </w:r>
      <w:r w:rsidRPr="005B0501">
        <w:rPr>
          <w:lang w:eastAsia="fr-FR"/>
        </w:rPr>
        <w:t>annexe</w:t>
      </w:r>
      <w:r>
        <w:rPr>
          <w:lang w:eastAsia="fr-FR"/>
        </w:rPr>
        <w:t xml:space="preserve"> </w:t>
      </w:r>
      <w:r w:rsidRPr="005B0501">
        <w:rPr>
          <w:lang w:eastAsia="fr-FR"/>
        </w:rPr>
        <w:t xml:space="preserve">1 du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123</w:t>
      </w:r>
      <w:r>
        <w:rPr>
          <w:lang w:eastAsia="fr-FR"/>
        </w:rPr>
        <w:t xml:space="preserve">, </w:t>
      </w:r>
      <w:r w:rsidRPr="005B0501">
        <w:rPr>
          <w:lang w:eastAsia="fr-FR"/>
        </w:rPr>
        <w:t>au point</w:t>
      </w:r>
      <w:r w:rsidRPr="005B0501">
        <w:rPr>
          <w:b/>
          <w:bCs/>
          <w:lang w:eastAsia="fr-FR"/>
        </w:rPr>
        <w:t xml:space="preserve"> </w:t>
      </w:r>
      <w:r w:rsidRPr="0012133E">
        <w:rPr>
          <w:bCs/>
          <w:iCs/>
          <w:kern w:val="2"/>
          <w:lang w:eastAsia="ja-JP"/>
        </w:rPr>
        <w:t>9.3.2.3</w:t>
      </w:r>
      <w:r w:rsidRPr="005B0501">
        <w:rPr>
          <w:b/>
          <w:iCs/>
          <w:kern w:val="2"/>
          <w:lang w:eastAsia="ja-JP"/>
        </w:rPr>
        <w:t xml:space="preserve"> </w:t>
      </w:r>
      <w:r w:rsidRPr="0012133E">
        <w:rPr>
          <w:bCs/>
          <w:iCs/>
          <w:kern w:val="2"/>
          <w:lang w:eastAsia="ja-JP"/>
        </w:rPr>
        <w:t xml:space="preserve">de la fiche de communication conforme au modèle </w:t>
      </w:r>
      <w:r w:rsidRPr="005B0501">
        <w:rPr>
          <w:bCs/>
          <w:iCs/>
          <w:kern w:val="2"/>
          <w:lang w:eastAsia="ja-JP"/>
        </w:rPr>
        <w:t>de l</w:t>
      </w:r>
      <w:r w:rsidR="004055B4">
        <w:rPr>
          <w:bCs/>
          <w:iCs/>
          <w:kern w:val="2"/>
          <w:lang w:eastAsia="ja-JP"/>
        </w:rPr>
        <w:t>’</w:t>
      </w:r>
      <w:r w:rsidRPr="005B0501">
        <w:rPr>
          <w:bCs/>
          <w:iCs/>
          <w:kern w:val="2"/>
          <w:lang w:eastAsia="ja-JP"/>
        </w:rPr>
        <w:t>annexe 1</w:t>
      </w:r>
      <w:r w:rsidRPr="004C0D3A">
        <w:rPr>
          <w:bCs/>
          <w:iCs/>
          <w:kern w:val="2"/>
          <w:lang w:eastAsia="ja-JP"/>
        </w:rPr>
        <w:t xml:space="preserve"> </w:t>
      </w:r>
      <w:r w:rsidRPr="0012133E">
        <w:rPr>
          <w:bCs/>
          <w:iCs/>
          <w:kern w:val="2"/>
          <w:lang w:eastAsia="ja-JP"/>
        </w:rPr>
        <w:t>de</w:t>
      </w:r>
      <w:r w:rsidRPr="00C23550">
        <w:rPr>
          <w:bCs/>
          <w:iCs/>
          <w:kern w:val="2"/>
          <w:lang w:eastAsia="ja-JP"/>
        </w:rPr>
        <w:t xml:space="preserve"> </w:t>
      </w:r>
      <w:r w:rsidRPr="0012133E">
        <w:rPr>
          <w:bCs/>
          <w:iCs/>
          <w:kern w:val="2"/>
          <w:lang w:eastAsia="ja-JP"/>
        </w:rPr>
        <w:t>la série 00 d</w:t>
      </w:r>
      <w:r w:rsidR="004055B4">
        <w:rPr>
          <w:bCs/>
          <w:iCs/>
          <w:kern w:val="2"/>
          <w:lang w:eastAsia="ja-JP"/>
        </w:rPr>
        <w:t>’</w:t>
      </w:r>
      <w:r w:rsidRPr="0012133E">
        <w:rPr>
          <w:bCs/>
          <w:iCs/>
          <w:kern w:val="2"/>
          <w:lang w:eastAsia="ja-JP"/>
        </w:rPr>
        <w:t>amendements au</w:t>
      </w:r>
      <w:r w:rsidRPr="00C23550">
        <w:rPr>
          <w:bCs/>
          <w:iCs/>
          <w:kern w:val="2"/>
          <w:lang w:eastAsia="ja-JP"/>
        </w:rPr>
        <w:t xml:space="preserve"> Règlement ONU </w:t>
      </w:r>
      <w:r w:rsidRPr="00765BA1">
        <w:rPr>
          <w:rFonts w:eastAsia="MS Mincho"/>
          <w:bCs/>
        </w:rPr>
        <w:t>n</w:t>
      </w:r>
      <w:r w:rsidRPr="00765BA1">
        <w:rPr>
          <w:rFonts w:eastAsia="MS Mincho"/>
          <w:bCs/>
          <w:vertAlign w:val="superscript"/>
        </w:rPr>
        <w:t>o</w:t>
      </w:r>
      <w:r w:rsidRPr="00765BA1">
        <w:rPr>
          <w:rFonts w:eastAsia="MS Mincho"/>
          <w:bCs/>
        </w:rPr>
        <w:t> </w:t>
      </w:r>
      <w:r w:rsidRPr="00C23550">
        <w:rPr>
          <w:bCs/>
          <w:iCs/>
          <w:kern w:val="2"/>
          <w:lang w:eastAsia="ja-JP"/>
        </w:rPr>
        <w:t>149</w:t>
      </w:r>
      <w:r w:rsidRPr="00765BA1">
        <w:rPr>
          <w:bCs/>
        </w:rPr>
        <w:t xml:space="preserve">, </w:t>
      </w:r>
      <w:r w:rsidRPr="0012133E">
        <w:rPr>
          <w:bCs/>
          <w:iCs/>
          <w:kern w:val="2"/>
          <w:lang w:eastAsia="ja-JP"/>
        </w:rPr>
        <w:t>ou au point 9.2.2.3 de la fiche de communication conforme au modèle de l</w:t>
      </w:r>
      <w:r w:rsidR="004055B4">
        <w:rPr>
          <w:bCs/>
          <w:iCs/>
          <w:kern w:val="2"/>
          <w:lang w:eastAsia="ja-JP"/>
        </w:rPr>
        <w:t>’</w:t>
      </w:r>
      <w:r w:rsidRPr="0012133E">
        <w:rPr>
          <w:bCs/>
          <w:iCs/>
          <w:kern w:val="2"/>
          <w:lang w:eastAsia="ja-JP"/>
        </w:rPr>
        <w:t>annexe 1 de la série 01 d</w:t>
      </w:r>
      <w:r w:rsidR="004055B4">
        <w:rPr>
          <w:bCs/>
          <w:iCs/>
          <w:kern w:val="2"/>
          <w:lang w:eastAsia="ja-JP"/>
        </w:rPr>
        <w:t>’</w:t>
      </w:r>
      <w:r w:rsidRPr="0012133E">
        <w:rPr>
          <w:bCs/>
          <w:iCs/>
          <w:kern w:val="2"/>
          <w:lang w:eastAsia="ja-JP"/>
        </w:rPr>
        <w:t xml:space="preserve">amendements au Règlement ONU </w:t>
      </w:r>
      <w:r w:rsidRPr="0012133E">
        <w:rPr>
          <w:rFonts w:eastAsia="MS Mincho"/>
          <w:bCs/>
        </w:rPr>
        <w:t>n</w:t>
      </w:r>
      <w:r w:rsidRPr="0012133E">
        <w:rPr>
          <w:rFonts w:eastAsia="MS Mincho"/>
          <w:bCs/>
          <w:vertAlign w:val="superscript"/>
        </w:rPr>
        <w:t>o</w:t>
      </w:r>
      <w:r w:rsidRPr="00765BA1">
        <w:rPr>
          <w:rFonts w:eastAsia="MS Mincho"/>
          <w:bCs/>
        </w:rPr>
        <w:t> </w:t>
      </w:r>
      <w:r w:rsidRPr="0012133E">
        <w:rPr>
          <w:bCs/>
          <w:iCs/>
          <w:kern w:val="2"/>
          <w:lang w:eastAsia="ja-JP"/>
        </w:rPr>
        <w:t>149</w:t>
      </w:r>
      <w:r w:rsidRPr="005B0501">
        <w:rPr>
          <w:lang w:eastAsia="fr-FR"/>
        </w:rPr>
        <w:t>, si le flux lumineux normal total des sources lumineuses de ces unités d</w:t>
      </w:r>
      <w:r w:rsidR="004055B4">
        <w:rPr>
          <w:lang w:eastAsia="fr-FR"/>
        </w:rPr>
        <w:t>’</w:t>
      </w:r>
      <w:r w:rsidRPr="005B0501">
        <w:rPr>
          <w:lang w:eastAsia="fr-FR"/>
        </w:rPr>
        <w:t>éclairage dépasse 2</w:t>
      </w:r>
      <w:r>
        <w:rPr>
          <w:lang w:eastAsia="fr-FR"/>
        </w:rPr>
        <w:t> </w:t>
      </w:r>
      <w:r w:rsidRPr="005B0501">
        <w:rPr>
          <w:lang w:eastAsia="fr-FR"/>
        </w:rPr>
        <w:t>000</w:t>
      </w:r>
      <w:r>
        <w:rPr>
          <w:lang w:eastAsia="fr-FR"/>
        </w:rPr>
        <w:t xml:space="preserve"> </w:t>
      </w:r>
      <w:r w:rsidRPr="005B0501">
        <w:rPr>
          <w:lang w:eastAsia="fr-FR"/>
        </w:rPr>
        <w:t xml:space="preserve">lm par côté, et si ces unités contribuent au faisceau de croisement (élémentaire) </w:t>
      </w:r>
      <w:r>
        <w:rPr>
          <w:lang w:eastAsia="fr-FR"/>
        </w:rPr>
        <w:t xml:space="preserve">de la </w:t>
      </w:r>
      <w:r w:rsidRPr="005B0501">
        <w:rPr>
          <w:lang w:eastAsia="fr-FR"/>
        </w:rPr>
        <w:t>classe</w:t>
      </w:r>
      <w:r>
        <w:rPr>
          <w:lang w:eastAsia="fr-FR"/>
        </w:rPr>
        <w:t xml:space="preserve"> </w:t>
      </w:r>
      <w:r w:rsidRPr="005B0501">
        <w:rPr>
          <w:lang w:eastAsia="fr-FR"/>
        </w:rPr>
        <w:t>C.</w:t>
      </w:r>
      <w:r>
        <w:t> </w:t>
      </w:r>
      <w:r w:rsidRPr="005B0501">
        <w:t>»</w:t>
      </w:r>
      <w:r>
        <w:t>.</w:t>
      </w:r>
    </w:p>
    <w:p w14:paraId="7571CB25" w14:textId="77777777" w:rsidR="00664DB6" w:rsidRPr="005B0501" w:rsidRDefault="00664DB6" w:rsidP="004C0D3A">
      <w:pPr>
        <w:pStyle w:val="SingleTxtG"/>
        <w:keepNext/>
      </w:pPr>
      <w:r w:rsidRPr="004E58D6">
        <w:rPr>
          <w:i/>
          <w:iCs/>
        </w:rPr>
        <w:lastRenderedPageBreak/>
        <w:t>Paragraphe</w:t>
      </w:r>
      <w:r w:rsidRPr="005B0501">
        <w:rPr>
          <w:i/>
        </w:rPr>
        <w:t xml:space="preserve"> 6.24.9.1</w:t>
      </w:r>
      <w:r w:rsidRPr="007C6E2A">
        <w:rPr>
          <w:iCs/>
        </w:rPr>
        <w:t>,</w:t>
      </w:r>
      <w:r w:rsidRPr="005B0501">
        <w:t xml:space="preserve"> lire :</w:t>
      </w:r>
    </w:p>
    <w:p w14:paraId="298B2F5F" w14:textId="5A649B18" w:rsidR="00664DB6" w:rsidRPr="005B0501" w:rsidRDefault="00664DB6" w:rsidP="004C0D3A">
      <w:pPr>
        <w:pStyle w:val="SingleTxtG"/>
        <w:keepNext/>
        <w:ind w:left="2268" w:hanging="1134"/>
        <w:rPr>
          <w:rFonts w:eastAsia="Calibri"/>
          <w:iCs/>
          <w:kern w:val="2"/>
          <w:lang w:eastAsia="ja-JP"/>
        </w:rPr>
      </w:pPr>
      <w:r w:rsidRPr="005B0501">
        <w:t>«</w:t>
      </w:r>
      <w:r>
        <w:t> </w:t>
      </w:r>
      <w:r w:rsidRPr="005B0501">
        <w:rPr>
          <w:rFonts w:eastAsia="Calibri"/>
          <w:iCs/>
          <w:kern w:val="2"/>
          <w:lang w:eastAsia="ja-JP"/>
        </w:rPr>
        <w:t>6.24.9.1</w:t>
      </w:r>
      <w:r w:rsidRPr="005B0501">
        <w:rPr>
          <w:rFonts w:eastAsia="Calibri"/>
          <w:iCs/>
          <w:kern w:val="2"/>
          <w:lang w:eastAsia="ja-JP"/>
        </w:rPr>
        <w:tab/>
      </w:r>
      <w:r w:rsidRPr="00295078">
        <w:t>Le</w:t>
      </w:r>
      <w:r w:rsidRPr="005B0501">
        <w:rPr>
          <w:rFonts w:eastAsia="Calibri"/>
          <w:iCs/>
          <w:kern w:val="2"/>
          <w:lang w:eastAsia="ja-JP"/>
        </w:rPr>
        <w:t xml:space="preserve"> feu de courtoisie extérieur ne peut être allumé que si le véhicule est à l</w:t>
      </w:r>
      <w:r w:rsidR="004055B4">
        <w:rPr>
          <w:rFonts w:eastAsia="Calibri"/>
          <w:iCs/>
          <w:kern w:val="2"/>
          <w:lang w:eastAsia="ja-JP"/>
        </w:rPr>
        <w:t>’</w:t>
      </w:r>
      <w:r w:rsidRPr="005B0501">
        <w:rPr>
          <w:rFonts w:eastAsia="Calibri"/>
          <w:iCs/>
          <w:kern w:val="2"/>
          <w:lang w:eastAsia="ja-JP"/>
        </w:rPr>
        <w:t xml:space="preserve">arrêt et </w:t>
      </w:r>
      <w:r>
        <w:rPr>
          <w:rFonts w:eastAsia="Calibri"/>
          <w:iCs/>
          <w:kern w:val="2"/>
          <w:lang w:eastAsia="ja-JP"/>
        </w:rPr>
        <w:t>si</w:t>
      </w:r>
      <w:r w:rsidRPr="005B0501">
        <w:rPr>
          <w:rFonts w:eastAsia="Calibri"/>
          <w:iCs/>
          <w:kern w:val="2"/>
          <w:lang w:eastAsia="ja-JP"/>
        </w:rPr>
        <w:t xml:space="preserve"> l</w:t>
      </w:r>
      <w:r w:rsidR="004055B4">
        <w:rPr>
          <w:rFonts w:eastAsia="Calibri"/>
          <w:iCs/>
          <w:kern w:val="2"/>
          <w:lang w:eastAsia="ja-JP"/>
        </w:rPr>
        <w:t>’</w:t>
      </w:r>
      <w:r w:rsidRPr="005B0501">
        <w:rPr>
          <w:rFonts w:eastAsia="Calibri"/>
          <w:iCs/>
          <w:kern w:val="2"/>
          <w:lang w:eastAsia="ja-JP"/>
        </w:rPr>
        <w:t>une au moins des conditions suivantes est remplie :</w:t>
      </w:r>
    </w:p>
    <w:p w14:paraId="5BA51CC3" w14:textId="77777777" w:rsidR="00664DB6" w:rsidRDefault="00664DB6" w:rsidP="004C0D3A">
      <w:pPr>
        <w:pStyle w:val="SingleTxtG"/>
        <w:keepNext/>
        <w:ind w:left="2835" w:hanging="567"/>
      </w:pPr>
      <w:r w:rsidRPr="005B0501">
        <w:t>a)</w:t>
      </w:r>
      <w:r w:rsidRPr="005B0501">
        <w:tab/>
        <w:t xml:space="preserve">Le système de </w:t>
      </w:r>
      <w:r w:rsidRPr="005B0501">
        <w:rPr>
          <w:lang w:eastAsia="fr-FR"/>
        </w:rPr>
        <w:t>propulsion</w:t>
      </w:r>
      <w:r w:rsidRPr="005B0501">
        <w:t xml:space="preserve"> est arrêté ;</w:t>
      </w:r>
    </w:p>
    <w:p w14:paraId="684D4917" w14:textId="44CDA41F" w:rsidR="00664DB6" w:rsidRDefault="00664DB6" w:rsidP="004C0D3A">
      <w:pPr>
        <w:pStyle w:val="SingleTxtG"/>
        <w:keepNext/>
        <w:ind w:left="2835" w:hanging="567"/>
        <w:rPr>
          <w:rFonts w:eastAsia="Calibri"/>
        </w:rPr>
      </w:pPr>
      <w:r w:rsidRPr="005B0501">
        <w:rPr>
          <w:rFonts w:eastAsia="Calibri"/>
        </w:rPr>
        <w:t>b)</w:t>
      </w:r>
      <w:r w:rsidRPr="005B0501">
        <w:rPr>
          <w:rFonts w:eastAsia="Calibri"/>
        </w:rPr>
        <w:tab/>
        <w:t>La porte du conducteur ou l</w:t>
      </w:r>
      <w:r w:rsidR="004055B4">
        <w:rPr>
          <w:rFonts w:eastAsia="Calibri"/>
        </w:rPr>
        <w:t>’</w:t>
      </w:r>
      <w:r w:rsidRPr="005B0501">
        <w:rPr>
          <w:rFonts w:eastAsia="Calibri"/>
        </w:rPr>
        <w:t>une des portes des passagers est ouverte ; ou</w:t>
      </w:r>
    </w:p>
    <w:p w14:paraId="77F9F8E7" w14:textId="77777777" w:rsidR="00664DB6" w:rsidRPr="005B0501" w:rsidRDefault="00664DB6" w:rsidP="00CB1AE1">
      <w:pPr>
        <w:pStyle w:val="SingleTxtG"/>
        <w:ind w:left="2835" w:hanging="567"/>
        <w:rPr>
          <w:rFonts w:eastAsia="Calibri"/>
        </w:rPr>
      </w:pPr>
      <w:r w:rsidRPr="005B0501">
        <w:rPr>
          <w:rFonts w:eastAsia="Calibri"/>
        </w:rPr>
        <w:t>c)</w:t>
      </w:r>
      <w:r w:rsidRPr="005B0501">
        <w:rPr>
          <w:rFonts w:eastAsia="Calibri"/>
        </w:rPr>
        <w:tab/>
        <w:t xml:space="preserve">Une porte du compartiment de </w:t>
      </w:r>
      <w:r w:rsidRPr="00CB1AE1">
        <w:rPr>
          <w:lang w:eastAsia="fr-FR"/>
        </w:rPr>
        <w:t>chargement</w:t>
      </w:r>
      <w:r w:rsidRPr="005B0501">
        <w:rPr>
          <w:rFonts w:eastAsia="Calibri"/>
        </w:rPr>
        <w:t xml:space="preserve"> est ouverte.</w:t>
      </w:r>
    </w:p>
    <w:p w14:paraId="5480F12F" w14:textId="3E118FA2" w:rsidR="00664DB6" w:rsidRDefault="00664DB6" w:rsidP="00CB1AE1">
      <w:pPr>
        <w:pStyle w:val="SingleTxtG"/>
        <w:ind w:left="2268"/>
        <w:rPr>
          <w:lang w:eastAsia="ja-JP"/>
        </w:rPr>
      </w:pPr>
      <w:r w:rsidRPr="0012133E">
        <w:rPr>
          <w:lang w:eastAsia="ja-JP"/>
        </w:rPr>
        <w:t xml:space="preserve">Les dispositions du paragraphe 5.10 doivent être respectées </w:t>
      </w:r>
      <w:r w:rsidRPr="0012133E">
        <w:t>dans</w:t>
      </w:r>
      <w:r w:rsidRPr="0012133E">
        <w:rPr>
          <w:lang w:eastAsia="ja-JP"/>
        </w:rPr>
        <w:t xml:space="preserve"> toutes les positions d</w:t>
      </w:r>
      <w:r w:rsidR="004055B4">
        <w:rPr>
          <w:lang w:eastAsia="ja-JP"/>
        </w:rPr>
        <w:t>’</w:t>
      </w:r>
      <w:r w:rsidRPr="0012133E">
        <w:rPr>
          <w:lang w:eastAsia="ja-JP"/>
        </w:rPr>
        <w:t>utilisation fixes.</w:t>
      </w:r>
      <w:r>
        <w:t> </w:t>
      </w:r>
      <w:r w:rsidRPr="005B0501">
        <w:t>»</w:t>
      </w:r>
      <w:r w:rsidRPr="005B0501">
        <w:rPr>
          <w:lang w:eastAsia="ja-JP"/>
        </w:rPr>
        <w:t>.</w:t>
      </w:r>
    </w:p>
    <w:p w14:paraId="71B16D0A" w14:textId="77777777" w:rsidR="00664DB6" w:rsidRPr="005B0501" w:rsidRDefault="00664DB6" w:rsidP="000819DB">
      <w:pPr>
        <w:pStyle w:val="SingleTxtG"/>
        <w:rPr>
          <w:bCs/>
        </w:rPr>
      </w:pPr>
      <w:r>
        <w:rPr>
          <w:i/>
        </w:rPr>
        <w:t xml:space="preserve">Paragraphe </w:t>
      </w:r>
      <w:r>
        <w:rPr>
          <w:rFonts w:hint="eastAsia"/>
          <w:i/>
        </w:rPr>
        <w:t>6.24.9.2</w:t>
      </w:r>
      <w:r>
        <w:rPr>
          <w:i/>
        </w:rPr>
        <w:t xml:space="preserve">, </w:t>
      </w:r>
      <w:r w:rsidRPr="005B0501">
        <w:rPr>
          <w:szCs w:val="16"/>
        </w:rPr>
        <w:t>modification sans objet en français</w:t>
      </w:r>
      <w:r>
        <w:rPr>
          <w:szCs w:val="16"/>
        </w:rPr>
        <w:t>.</w:t>
      </w:r>
    </w:p>
    <w:p w14:paraId="3EB11816" w14:textId="77777777" w:rsidR="00664DB6" w:rsidRDefault="00664DB6" w:rsidP="000819DB">
      <w:pPr>
        <w:pStyle w:val="SingleTxtG"/>
        <w:rPr>
          <w:i/>
          <w:iCs/>
        </w:rPr>
      </w:pPr>
      <w:r w:rsidRPr="005B0501">
        <w:rPr>
          <w:i/>
          <w:iCs/>
        </w:rPr>
        <w:t xml:space="preserve">Paragraphe 12.2, </w:t>
      </w:r>
      <w:r>
        <w:rPr>
          <w:i/>
          <w:iCs/>
        </w:rPr>
        <w:t xml:space="preserve">la </w:t>
      </w:r>
      <w:r w:rsidRPr="005B0501">
        <w:rPr>
          <w:i/>
          <w:iCs/>
        </w:rPr>
        <w:t>note de bas de page 18</w:t>
      </w:r>
      <w:r>
        <w:rPr>
          <w:i/>
          <w:iCs/>
        </w:rPr>
        <w:t xml:space="preserve"> devient la note de bas de page 17.</w:t>
      </w:r>
    </w:p>
    <w:p w14:paraId="3523C7DD" w14:textId="77777777" w:rsidR="00664DB6" w:rsidRDefault="00664DB6" w:rsidP="000819DB">
      <w:pPr>
        <w:pStyle w:val="SingleTxtG"/>
        <w:rPr>
          <w:i/>
          <w:szCs w:val="16"/>
        </w:rPr>
      </w:pPr>
      <w:bookmarkStart w:id="1" w:name="_Toc338161448"/>
      <w:r w:rsidRPr="004E58D6">
        <w:rPr>
          <w:i/>
          <w:iCs/>
        </w:rPr>
        <w:t>Annexe</w:t>
      </w:r>
      <w:r w:rsidRPr="005B0501">
        <w:rPr>
          <w:i/>
          <w:szCs w:val="16"/>
        </w:rPr>
        <w:t xml:space="preserve"> </w:t>
      </w:r>
      <w:r>
        <w:rPr>
          <w:i/>
          <w:szCs w:val="16"/>
        </w:rPr>
        <w:t>1,</w:t>
      </w:r>
    </w:p>
    <w:p w14:paraId="38B72FA5" w14:textId="77777777" w:rsidR="00664DB6" w:rsidRDefault="00664DB6" w:rsidP="000819DB">
      <w:pPr>
        <w:pStyle w:val="SingleTxtG"/>
        <w:rPr>
          <w:rFonts w:eastAsia="MS Mincho"/>
          <w:szCs w:val="16"/>
        </w:rPr>
      </w:pPr>
      <w:r>
        <w:rPr>
          <w:i/>
          <w:iCs/>
        </w:rPr>
        <w:t>Point 9.</w:t>
      </w:r>
      <w:r w:rsidRPr="005B0501">
        <w:rPr>
          <w:i/>
          <w:szCs w:val="16"/>
        </w:rPr>
        <w:t>2</w:t>
      </w:r>
      <w:bookmarkStart w:id="2" w:name="_Toc338161449"/>
      <w:bookmarkEnd w:id="1"/>
      <w:r w:rsidRPr="007C6E2A">
        <w:rPr>
          <w:iCs/>
          <w:szCs w:val="16"/>
        </w:rPr>
        <w:t>,</w:t>
      </w:r>
      <w:r w:rsidRPr="007C6E2A">
        <w:rPr>
          <w:rFonts w:eastAsia="MS Mincho"/>
          <w:iCs/>
          <w:szCs w:val="16"/>
        </w:rPr>
        <w:t xml:space="preserve"> </w:t>
      </w:r>
      <w:r w:rsidRPr="005B0501">
        <w:rPr>
          <w:rFonts w:eastAsia="MS Mincho"/>
          <w:szCs w:val="16"/>
        </w:rPr>
        <w:t>lire :</w:t>
      </w:r>
    </w:p>
    <w:p w14:paraId="66AB95EB" w14:textId="5E455717" w:rsidR="00664DB6" w:rsidRPr="00D40E57" w:rsidRDefault="00664DB6" w:rsidP="004C0D3A">
      <w:pPr>
        <w:tabs>
          <w:tab w:val="left" w:pos="1985"/>
          <w:tab w:val="left" w:pos="4962"/>
          <w:tab w:val="left" w:leader="dot" w:pos="8505"/>
        </w:tabs>
        <w:kinsoku/>
        <w:overflowPunct/>
        <w:autoSpaceDE/>
        <w:autoSpaceDN/>
        <w:adjustRightInd/>
        <w:snapToGrid/>
        <w:spacing w:after="120"/>
        <w:ind w:left="1973" w:right="1134" w:hanging="839"/>
      </w:pPr>
      <w:r w:rsidRPr="00D40E57">
        <w:rPr>
          <w:lang w:val="fr-FR"/>
        </w:rPr>
        <w:t>« 9.2</w:t>
      </w:r>
      <w:r w:rsidRPr="00D40E57">
        <w:rPr>
          <w:lang w:val="fr-FR"/>
        </w:rPr>
        <w:tab/>
      </w:r>
      <w:r w:rsidRPr="0016718E">
        <w:rPr>
          <w:lang w:val="fr-FR"/>
        </w:rPr>
        <w:t>Feux</w:t>
      </w:r>
      <w:r w:rsidRPr="00D40E57">
        <w:rPr>
          <w:lang w:val="fr-FR"/>
        </w:rPr>
        <w:t xml:space="preserve"> de </w:t>
      </w:r>
      <w:r w:rsidRPr="000819DB">
        <w:rPr>
          <w:lang w:eastAsia="fr-FR"/>
        </w:rPr>
        <w:t>croisement</w:t>
      </w:r>
      <w:r>
        <w:rPr>
          <w:lang w:val="fr-FR"/>
        </w:rPr>
        <w:t xml:space="preserve"> : </w:t>
      </w:r>
      <w:r w:rsidR="004C0D3A">
        <w:rPr>
          <w:lang w:val="fr-FR"/>
        </w:rPr>
        <w:tab/>
      </w:r>
      <w:r w:rsidRPr="00D40E57">
        <w:rPr>
          <w:lang w:val="fr-FR"/>
        </w:rPr>
        <w:t>Oui/Non</w:t>
      </w:r>
      <w:r w:rsidRPr="00D40E57">
        <w:rPr>
          <w:vertAlign w:val="superscript"/>
          <w:lang w:val="fr-FR"/>
        </w:rPr>
        <w:t>2</w:t>
      </w:r>
      <w:r w:rsidR="004C0D3A" w:rsidRPr="004C0D3A">
        <w:rPr>
          <w:lang w:val="fr-FR"/>
        </w:rPr>
        <w:tab/>
      </w:r>
    </w:p>
    <w:p w14:paraId="782441EA" w14:textId="77777777" w:rsidR="004C0D3A" w:rsidRDefault="00664DB6" w:rsidP="004C0D3A">
      <w:pPr>
        <w:pStyle w:val="SingleTxtG"/>
        <w:spacing w:after="0"/>
        <w:ind w:left="1985" w:hanging="851"/>
        <w:rPr>
          <w:lang w:val="fr-FR"/>
        </w:rPr>
      </w:pPr>
      <w:r w:rsidRPr="00056953">
        <w:rPr>
          <w:lang w:val="fr-FR"/>
        </w:rPr>
        <w:t>9.2.1</w:t>
      </w:r>
      <w:r w:rsidRPr="00056953">
        <w:rPr>
          <w:lang w:val="fr-FR"/>
        </w:rPr>
        <w:tab/>
      </w:r>
      <w:bookmarkStart w:id="3" w:name="_Hlk112400686"/>
      <w:r w:rsidRPr="00056953">
        <w:t>Témoin</w:t>
      </w:r>
      <w:r w:rsidRPr="00056953">
        <w:rPr>
          <w:lang w:val="fr-FR"/>
        </w:rPr>
        <w:t xml:space="preserve"> de défaut de </w:t>
      </w:r>
      <w:r w:rsidRPr="000819DB">
        <w:rPr>
          <w:lang w:eastAsia="fr-FR"/>
        </w:rPr>
        <w:t>fonctionnement</w:t>
      </w:r>
      <w:r w:rsidRPr="00056953">
        <w:rPr>
          <w:lang w:val="fr-FR"/>
        </w:rPr>
        <w:t xml:space="preserve"> tel que prescrit par le Règlement applicable au dispositif et/ou témoin de défaut de fonctionnement de la fonction d</w:t>
      </w:r>
      <w:r w:rsidR="004055B4">
        <w:rPr>
          <w:lang w:val="fr-FR"/>
        </w:rPr>
        <w:t>’</w:t>
      </w:r>
      <w:r w:rsidRPr="00056953">
        <w:rPr>
          <w:lang w:val="fr-FR"/>
        </w:rPr>
        <w:t>éclairage de virage tel que prescrit au paragraphe 6.2.8.1, installé </w:t>
      </w:r>
      <w:bookmarkEnd w:id="3"/>
      <w:r w:rsidRPr="00056953">
        <w:rPr>
          <w:lang w:val="fr-FR"/>
        </w:rPr>
        <w:t>:</w:t>
      </w:r>
    </w:p>
    <w:p w14:paraId="5FA3556D" w14:textId="5FF0FAF7" w:rsidR="00664DB6" w:rsidRDefault="00664DB6" w:rsidP="008C268D">
      <w:pPr>
        <w:pStyle w:val="SingleTxtG"/>
        <w:tabs>
          <w:tab w:val="right" w:leader="dot" w:pos="8505"/>
        </w:tabs>
        <w:ind w:left="2835" w:hanging="851"/>
        <w:rPr>
          <w:lang w:val="fr-FR"/>
        </w:rPr>
      </w:pPr>
      <w:r w:rsidRPr="00056953">
        <w:rPr>
          <w:lang w:val="fr-FR"/>
        </w:rPr>
        <w:t>Oui/Non</w:t>
      </w:r>
      <w:r w:rsidRPr="00056953">
        <w:rPr>
          <w:vertAlign w:val="superscript"/>
          <w:lang w:val="fr-FR"/>
        </w:rPr>
        <w:t>2</w:t>
      </w:r>
      <w:r w:rsidR="008C268D">
        <w:rPr>
          <w:lang w:val="fr-FR"/>
        </w:rPr>
        <w:tab/>
      </w:r>
      <w:r w:rsidR="008C268D" w:rsidRPr="008C268D">
        <w:rPr>
          <w:lang w:val="fr-FR"/>
        </w:rPr>
        <w:tab/>
      </w:r>
      <w:r>
        <w:rPr>
          <w:lang w:val="fr-FR"/>
        </w:rPr>
        <w:t> </w:t>
      </w:r>
      <w:r w:rsidRPr="00D40E57">
        <w:rPr>
          <w:lang w:val="fr-FR"/>
        </w:rPr>
        <w:t>».</w:t>
      </w:r>
    </w:p>
    <w:p w14:paraId="18111682" w14:textId="77777777" w:rsidR="00664DB6" w:rsidRPr="00D40E57" w:rsidRDefault="00664DB6" w:rsidP="000819DB">
      <w:pPr>
        <w:pStyle w:val="SingleTxtG"/>
      </w:pPr>
      <w:r>
        <w:rPr>
          <w:i/>
          <w:iCs/>
          <w:lang w:val="fr-FR"/>
        </w:rPr>
        <w:t>P</w:t>
      </w:r>
      <w:r w:rsidRPr="00D40E57">
        <w:rPr>
          <w:i/>
          <w:iCs/>
          <w:lang w:val="fr-FR"/>
        </w:rPr>
        <w:t>oint 9.4</w:t>
      </w:r>
      <w:r w:rsidRPr="00D40E57">
        <w:rPr>
          <w:lang w:val="fr-FR"/>
        </w:rPr>
        <w:t>, lire</w:t>
      </w:r>
      <w:r>
        <w:rPr>
          <w:lang w:val="fr-FR"/>
        </w:rPr>
        <w:t> </w:t>
      </w:r>
      <w:r w:rsidRPr="00D40E57">
        <w:rPr>
          <w:lang w:val="fr-FR"/>
        </w:rPr>
        <w:t>:</w:t>
      </w:r>
    </w:p>
    <w:p w14:paraId="62993FE2" w14:textId="21759C62" w:rsidR="00664DB6" w:rsidRPr="00D40E57" w:rsidRDefault="00664DB6" w:rsidP="004C0D3A">
      <w:pPr>
        <w:tabs>
          <w:tab w:val="left" w:pos="1985"/>
          <w:tab w:val="left" w:pos="4962"/>
          <w:tab w:val="left" w:leader="dot" w:pos="8505"/>
        </w:tabs>
        <w:kinsoku/>
        <w:overflowPunct/>
        <w:autoSpaceDE/>
        <w:autoSpaceDN/>
        <w:adjustRightInd/>
        <w:snapToGrid/>
        <w:spacing w:after="120"/>
        <w:ind w:left="1973" w:right="1134" w:hanging="839"/>
      </w:pPr>
      <w:r w:rsidRPr="00D40E57">
        <w:rPr>
          <w:lang w:val="fr-FR"/>
        </w:rPr>
        <w:t>« 9.4</w:t>
      </w:r>
      <w:r w:rsidRPr="00D40E57">
        <w:rPr>
          <w:lang w:val="fr-FR"/>
        </w:rPr>
        <w:tab/>
        <w:t>Feux de marche arrière</w:t>
      </w:r>
      <w:r>
        <w:rPr>
          <w:lang w:val="fr-FR"/>
        </w:rPr>
        <w:t> </w:t>
      </w:r>
      <w:r w:rsidRPr="00D40E57">
        <w:rPr>
          <w:lang w:val="fr-FR"/>
        </w:rPr>
        <w:t>:</w:t>
      </w:r>
      <w:r w:rsidR="004C0D3A">
        <w:rPr>
          <w:lang w:val="fr-FR"/>
        </w:rPr>
        <w:tab/>
      </w:r>
      <w:r w:rsidRPr="00D40E57">
        <w:rPr>
          <w:lang w:val="fr-FR"/>
        </w:rPr>
        <w:t>Oui/Non</w:t>
      </w:r>
      <w:r w:rsidRPr="00D40E57">
        <w:rPr>
          <w:vertAlign w:val="superscript"/>
          <w:lang w:val="fr-FR"/>
        </w:rPr>
        <w:t>2</w:t>
      </w:r>
      <w:r>
        <w:rPr>
          <w:lang w:val="fr-FR"/>
        </w:rPr>
        <w:tab/>
      </w:r>
    </w:p>
    <w:p w14:paraId="445FEBC7" w14:textId="77777777" w:rsidR="008C268D" w:rsidRDefault="00664DB6" w:rsidP="008C268D">
      <w:pPr>
        <w:pStyle w:val="SingleTxtG"/>
        <w:spacing w:after="0"/>
        <w:ind w:left="1985" w:hanging="851"/>
      </w:pPr>
      <w:r w:rsidRPr="0012133E">
        <w:rPr>
          <w:lang w:val="fr-FR"/>
        </w:rPr>
        <w:t>9.4.1</w:t>
      </w:r>
      <w:r w:rsidRPr="0012133E">
        <w:rPr>
          <w:lang w:val="fr-FR"/>
        </w:rPr>
        <w:tab/>
        <w:t xml:space="preserve">Témoin de défaut de </w:t>
      </w:r>
      <w:r w:rsidRPr="000819DB">
        <w:rPr>
          <w:lang w:eastAsia="fr-FR"/>
        </w:rPr>
        <w:t>fonctionnement</w:t>
      </w:r>
      <w:r w:rsidRPr="0012133E">
        <w:rPr>
          <w:lang w:val="fr-FR"/>
        </w:rPr>
        <w:t xml:space="preserve"> tel que prescrit par le Règlement applicable au dispositif, installé</w:t>
      </w:r>
      <w:r w:rsidRPr="00AE4354">
        <w:rPr>
          <w:lang w:val="fr-FR"/>
        </w:rPr>
        <w:t> :</w:t>
      </w:r>
      <w:r w:rsidRPr="00AE4354">
        <w:t xml:space="preserve"> </w:t>
      </w:r>
    </w:p>
    <w:p w14:paraId="2C34A5F5" w14:textId="64022BA3" w:rsidR="00664DB6" w:rsidRPr="00D40E57" w:rsidRDefault="00664DB6" w:rsidP="008C268D">
      <w:pPr>
        <w:pStyle w:val="SingleTxtG"/>
        <w:tabs>
          <w:tab w:val="right" w:leader="dot" w:pos="8505"/>
        </w:tabs>
        <w:ind w:left="2835" w:hanging="851"/>
      </w:pPr>
      <w:r w:rsidRPr="0012133E">
        <w:rPr>
          <w:lang w:val="fr-FR"/>
        </w:rPr>
        <w:t>Oui/Non</w:t>
      </w:r>
      <w:r w:rsidRPr="0012133E">
        <w:rPr>
          <w:vertAlign w:val="superscript"/>
          <w:lang w:val="fr-FR"/>
        </w:rPr>
        <w:t>2</w:t>
      </w:r>
      <w:r w:rsidRPr="0012133E">
        <w:rPr>
          <w:lang w:val="fr-FR"/>
        </w:rPr>
        <w:tab/>
      </w:r>
      <w:r w:rsidR="008C268D">
        <w:rPr>
          <w:lang w:val="fr-FR"/>
        </w:rPr>
        <w:tab/>
      </w:r>
      <w:r w:rsidRPr="00D40E57">
        <w:rPr>
          <w:lang w:val="fr-FR"/>
        </w:rPr>
        <w:t> ».</w:t>
      </w:r>
    </w:p>
    <w:p w14:paraId="7ACF6E35" w14:textId="77777777" w:rsidR="00664DB6" w:rsidRPr="00D40E57" w:rsidRDefault="00664DB6" w:rsidP="000819DB">
      <w:pPr>
        <w:pStyle w:val="SingleTxtG"/>
      </w:pPr>
      <w:r>
        <w:rPr>
          <w:i/>
          <w:iCs/>
          <w:lang w:val="fr-FR"/>
        </w:rPr>
        <w:t>P</w:t>
      </w:r>
      <w:r w:rsidRPr="00D40E57">
        <w:rPr>
          <w:i/>
          <w:iCs/>
          <w:lang w:val="fr-FR"/>
        </w:rPr>
        <w:t>oint 9.13</w:t>
      </w:r>
      <w:r w:rsidRPr="00D40E57">
        <w:rPr>
          <w:lang w:val="fr-FR"/>
        </w:rPr>
        <w:t>, lire</w:t>
      </w:r>
      <w:r>
        <w:rPr>
          <w:lang w:val="fr-FR"/>
        </w:rPr>
        <w:t> </w:t>
      </w:r>
      <w:r w:rsidRPr="00D40E57">
        <w:rPr>
          <w:lang w:val="fr-FR"/>
        </w:rPr>
        <w:t>:</w:t>
      </w:r>
    </w:p>
    <w:p w14:paraId="02C3EF07" w14:textId="700A221D" w:rsidR="00664DB6" w:rsidRPr="00D40E57" w:rsidRDefault="00664DB6" w:rsidP="008C268D">
      <w:pPr>
        <w:tabs>
          <w:tab w:val="left" w:pos="1985"/>
          <w:tab w:val="left" w:pos="4962"/>
          <w:tab w:val="left" w:leader="dot" w:pos="8505"/>
        </w:tabs>
        <w:kinsoku/>
        <w:overflowPunct/>
        <w:autoSpaceDE/>
        <w:autoSpaceDN/>
        <w:adjustRightInd/>
        <w:snapToGrid/>
        <w:spacing w:after="120"/>
        <w:ind w:left="1973" w:right="1134" w:hanging="839"/>
      </w:pPr>
      <w:r w:rsidRPr="00D40E57">
        <w:rPr>
          <w:lang w:val="fr-FR"/>
        </w:rPr>
        <w:t>« 9.13</w:t>
      </w:r>
      <w:r w:rsidRPr="00D40E57">
        <w:rPr>
          <w:lang w:val="fr-FR"/>
        </w:rPr>
        <w:tab/>
        <w:t>Feux de brouillard arrière</w:t>
      </w:r>
      <w:r>
        <w:rPr>
          <w:lang w:val="fr-FR"/>
        </w:rPr>
        <w:t> </w:t>
      </w:r>
      <w:r w:rsidRPr="00D40E57">
        <w:rPr>
          <w:lang w:val="fr-FR"/>
        </w:rPr>
        <w:t xml:space="preserve">: </w:t>
      </w:r>
      <w:r w:rsidR="008C268D">
        <w:rPr>
          <w:lang w:val="fr-FR"/>
        </w:rPr>
        <w:tab/>
      </w:r>
      <w:r w:rsidRPr="000819DB">
        <w:rPr>
          <w:lang w:eastAsia="fr-FR"/>
        </w:rPr>
        <w:t>Oui</w:t>
      </w:r>
      <w:r w:rsidRPr="00D40E57">
        <w:rPr>
          <w:lang w:val="fr-FR"/>
        </w:rPr>
        <w:t>/</w:t>
      </w:r>
      <w:r>
        <w:rPr>
          <w:lang w:val="fr-FR"/>
        </w:rPr>
        <w:t>N</w:t>
      </w:r>
      <w:r w:rsidRPr="00D40E57">
        <w:rPr>
          <w:lang w:val="fr-FR"/>
        </w:rPr>
        <w:t>on</w:t>
      </w:r>
      <w:r w:rsidRPr="00D40E57">
        <w:rPr>
          <w:vertAlign w:val="superscript"/>
          <w:lang w:val="fr-FR"/>
        </w:rPr>
        <w:t>2</w:t>
      </w:r>
      <w:r w:rsidRPr="0089708C">
        <w:rPr>
          <w:lang w:val="fr-FR"/>
        </w:rPr>
        <w:tab/>
      </w:r>
    </w:p>
    <w:p w14:paraId="610DC11E" w14:textId="77777777" w:rsidR="008C268D" w:rsidRDefault="00664DB6" w:rsidP="008C268D">
      <w:pPr>
        <w:pStyle w:val="SingleTxtG"/>
        <w:spacing w:after="0"/>
        <w:ind w:left="1985" w:hanging="851"/>
        <w:rPr>
          <w:lang w:val="fr-FR"/>
        </w:rPr>
      </w:pPr>
      <w:r w:rsidRPr="0012133E">
        <w:rPr>
          <w:lang w:val="fr-FR"/>
        </w:rPr>
        <w:t>9.13.1</w:t>
      </w:r>
      <w:r w:rsidRPr="0012133E">
        <w:rPr>
          <w:lang w:val="fr-FR"/>
        </w:rPr>
        <w:tab/>
        <w:t xml:space="preserve">Témoin de défaut de </w:t>
      </w:r>
      <w:r w:rsidRPr="000819DB">
        <w:rPr>
          <w:lang w:eastAsia="fr-FR"/>
        </w:rPr>
        <w:t>fonctionnement</w:t>
      </w:r>
      <w:r w:rsidRPr="0012133E">
        <w:rPr>
          <w:lang w:val="fr-FR"/>
        </w:rPr>
        <w:t xml:space="preserve"> tel que prescrit par le Règlement applicable au dispositif, installé :</w:t>
      </w:r>
    </w:p>
    <w:p w14:paraId="31B5981D" w14:textId="5F3A39BF" w:rsidR="00664DB6" w:rsidRPr="00D40E57" w:rsidRDefault="00664DB6" w:rsidP="008C268D">
      <w:pPr>
        <w:pStyle w:val="SingleTxtG"/>
        <w:tabs>
          <w:tab w:val="right" w:leader="dot" w:pos="8505"/>
        </w:tabs>
        <w:ind w:left="2835" w:hanging="851"/>
      </w:pPr>
      <w:r w:rsidRPr="0012133E">
        <w:rPr>
          <w:lang w:val="fr-FR"/>
        </w:rPr>
        <w:t>Oui/Non</w:t>
      </w:r>
      <w:r w:rsidRPr="0012133E">
        <w:rPr>
          <w:vertAlign w:val="superscript"/>
          <w:lang w:val="fr-FR"/>
        </w:rPr>
        <w:t>2</w:t>
      </w:r>
      <w:r w:rsidRPr="0012133E">
        <w:rPr>
          <w:lang w:val="fr-FR"/>
        </w:rPr>
        <w:tab/>
      </w:r>
      <w:r w:rsidR="008C268D">
        <w:rPr>
          <w:lang w:val="fr-FR"/>
        </w:rPr>
        <w:tab/>
      </w:r>
      <w:r w:rsidRPr="00D40E57">
        <w:rPr>
          <w:lang w:val="fr-FR"/>
        </w:rPr>
        <w:t> ».</w:t>
      </w:r>
    </w:p>
    <w:p w14:paraId="1E996FB3" w14:textId="77777777" w:rsidR="00664DB6" w:rsidRPr="00D40E57" w:rsidRDefault="00664DB6" w:rsidP="000819DB">
      <w:pPr>
        <w:pStyle w:val="SingleTxtG"/>
      </w:pPr>
      <w:r>
        <w:rPr>
          <w:i/>
          <w:iCs/>
          <w:lang w:val="fr-FR"/>
        </w:rPr>
        <w:t>P</w:t>
      </w:r>
      <w:r w:rsidRPr="00D40E57">
        <w:rPr>
          <w:i/>
          <w:iCs/>
          <w:lang w:val="fr-FR"/>
        </w:rPr>
        <w:t>oint 9.14</w:t>
      </w:r>
      <w:r w:rsidRPr="00D40E57">
        <w:rPr>
          <w:lang w:val="fr-FR"/>
        </w:rPr>
        <w:t>, lire</w:t>
      </w:r>
      <w:r>
        <w:rPr>
          <w:lang w:val="fr-FR"/>
        </w:rPr>
        <w:t> </w:t>
      </w:r>
      <w:r w:rsidRPr="00D40E57">
        <w:rPr>
          <w:lang w:val="fr-FR"/>
        </w:rPr>
        <w:t>:</w:t>
      </w:r>
    </w:p>
    <w:p w14:paraId="7F5EE45D" w14:textId="6419B472" w:rsidR="00664DB6" w:rsidRPr="00D40E57" w:rsidRDefault="00664DB6" w:rsidP="008C268D">
      <w:pPr>
        <w:tabs>
          <w:tab w:val="left" w:pos="1985"/>
          <w:tab w:val="left" w:pos="4962"/>
          <w:tab w:val="left" w:leader="dot" w:pos="8505"/>
        </w:tabs>
        <w:kinsoku/>
        <w:overflowPunct/>
        <w:autoSpaceDE/>
        <w:autoSpaceDN/>
        <w:adjustRightInd/>
        <w:snapToGrid/>
        <w:spacing w:after="120"/>
        <w:ind w:left="1973" w:right="1134" w:hanging="839"/>
      </w:pPr>
      <w:r w:rsidRPr="00D40E57">
        <w:rPr>
          <w:lang w:val="fr-FR"/>
        </w:rPr>
        <w:t>« 9.14</w:t>
      </w:r>
      <w:r w:rsidRPr="00D40E57">
        <w:rPr>
          <w:lang w:val="fr-FR"/>
        </w:rPr>
        <w:tab/>
        <w:t xml:space="preserve">Feux de </w:t>
      </w:r>
      <w:r w:rsidRPr="008C268D">
        <w:rPr>
          <w:lang w:val="fr-FR"/>
        </w:rPr>
        <w:t>stationnement</w:t>
      </w:r>
      <w:r>
        <w:rPr>
          <w:lang w:val="fr-FR"/>
        </w:rPr>
        <w:t> </w:t>
      </w:r>
      <w:r w:rsidRPr="00D40E57">
        <w:rPr>
          <w:lang w:val="fr-FR"/>
        </w:rPr>
        <w:t>:</w:t>
      </w:r>
      <w:r w:rsidR="008C268D">
        <w:rPr>
          <w:lang w:val="fr-FR"/>
        </w:rPr>
        <w:tab/>
      </w:r>
      <w:r w:rsidRPr="00D40E57">
        <w:rPr>
          <w:lang w:val="fr-FR"/>
        </w:rPr>
        <w:t>Oui/Non</w:t>
      </w:r>
      <w:r w:rsidRPr="00D40E57">
        <w:rPr>
          <w:vertAlign w:val="superscript"/>
          <w:lang w:val="fr-FR"/>
        </w:rPr>
        <w:t>2</w:t>
      </w:r>
      <w:r>
        <w:rPr>
          <w:lang w:val="fr-FR"/>
        </w:rPr>
        <w:tab/>
      </w:r>
    </w:p>
    <w:p w14:paraId="3A563A96" w14:textId="77777777" w:rsidR="008C268D" w:rsidRDefault="00664DB6" w:rsidP="008C268D">
      <w:pPr>
        <w:pStyle w:val="SingleTxtG"/>
        <w:spacing w:after="0"/>
        <w:ind w:left="1985" w:hanging="851"/>
        <w:rPr>
          <w:lang w:val="fr-FR"/>
        </w:rPr>
      </w:pPr>
      <w:r w:rsidRPr="0012133E">
        <w:rPr>
          <w:lang w:val="fr-FR"/>
        </w:rPr>
        <w:t>9.14.1</w:t>
      </w:r>
      <w:r w:rsidRPr="0012133E">
        <w:rPr>
          <w:lang w:val="fr-FR"/>
        </w:rPr>
        <w:tab/>
        <w:t xml:space="preserve">Témoin de défaut de </w:t>
      </w:r>
      <w:r w:rsidRPr="000819DB">
        <w:rPr>
          <w:lang w:eastAsia="fr-FR"/>
        </w:rPr>
        <w:t>fonctionnement</w:t>
      </w:r>
      <w:r w:rsidRPr="0012133E">
        <w:rPr>
          <w:lang w:val="fr-FR"/>
        </w:rPr>
        <w:t xml:space="preserve"> tel que prescrit par le Règlement applicable au dispositif, installé : </w:t>
      </w:r>
    </w:p>
    <w:p w14:paraId="766BC8C8" w14:textId="6B0C943E" w:rsidR="00664DB6" w:rsidRPr="00D40E57" w:rsidRDefault="00664DB6" w:rsidP="008C268D">
      <w:pPr>
        <w:pStyle w:val="SingleTxtG"/>
        <w:tabs>
          <w:tab w:val="right" w:leader="dot" w:pos="8505"/>
        </w:tabs>
        <w:ind w:left="2835" w:hanging="851"/>
      </w:pPr>
      <w:r w:rsidRPr="0012133E">
        <w:rPr>
          <w:lang w:val="fr-FR"/>
        </w:rPr>
        <w:t>Oui/Non</w:t>
      </w:r>
      <w:r w:rsidRPr="0012133E">
        <w:rPr>
          <w:vertAlign w:val="superscript"/>
          <w:lang w:val="fr-FR"/>
        </w:rPr>
        <w:t>2</w:t>
      </w:r>
      <w:r w:rsidRPr="0012133E">
        <w:rPr>
          <w:lang w:val="fr-FR"/>
        </w:rPr>
        <w:tab/>
      </w:r>
      <w:r w:rsidR="008C268D">
        <w:rPr>
          <w:lang w:val="fr-FR"/>
        </w:rPr>
        <w:tab/>
      </w:r>
      <w:r w:rsidRPr="00D40E57">
        <w:rPr>
          <w:lang w:val="fr-FR"/>
        </w:rPr>
        <w:t> ».</w:t>
      </w:r>
    </w:p>
    <w:p w14:paraId="20028A62" w14:textId="77777777" w:rsidR="00664DB6" w:rsidRPr="00D40E57" w:rsidRDefault="00664DB6" w:rsidP="000819DB">
      <w:pPr>
        <w:pStyle w:val="SingleTxtG"/>
      </w:pPr>
      <w:r>
        <w:rPr>
          <w:i/>
          <w:iCs/>
          <w:lang w:val="fr-FR"/>
        </w:rPr>
        <w:t>P</w:t>
      </w:r>
      <w:r w:rsidRPr="00D40E57">
        <w:rPr>
          <w:i/>
          <w:iCs/>
          <w:lang w:val="fr-FR"/>
        </w:rPr>
        <w:t>oint 9.20</w:t>
      </w:r>
      <w:r w:rsidRPr="00D40E57">
        <w:rPr>
          <w:lang w:val="fr-FR"/>
        </w:rPr>
        <w:t>, lire</w:t>
      </w:r>
      <w:r>
        <w:rPr>
          <w:lang w:val="fr-FR"/>
        </w:rPr>
        <w:t> </w:t>
      </w:r>
      <w:r w:rsidRPr="00D40E57">
        <w:rPr>
          <w:lang w:val="fr-FR"/>
        </w:rPr>
        <w:t>:</w:t>
      </w:r>
    </w:p>
    <w:p w14:paraId="1C839078" w14:textId="7E825F10" w:rsidR="00664DB6" w:rsidRPr="00D40E57" w:rsidRDefault="00664DB6" w:rsidP="008C268D">
      <w:pPr>
        <w:tabs>
          <w:tab w:val="left" w:pos="1985"/>
          <w:tab w:val="left" w:pos="4962"/>
          <w:tab w:val="left" w:leader="dot" w:pos="8505"/>
        </w:tabs>
        <w:kinsoku/>
        <w:overflowPunct/>
        <w:autoSpaceDE/>
        <w:autoSpaceDN/>
        <w:adjustRightInd/>
        <w:snapToGrid/>
        <w:spacing w:after="120"/>
        <w:ind w:left="1973" w:right="1134" w:hanging="839"/>
      </w:pPr>
      <w:r w:rsidRPr="00D40E57">
        <w:rPr>
          <w:lang w:val="fr-FR"/>
        </w:rPr>
        <w:t>« 9.20</w:t>
      </w:r>
      <w:r w:rsidRPr="00D40E57">
        <w:rPr>
          <w:lang w:val="fr-FR"/>
        </w:rPr>
        <w:tab/>
        <w:t>Feux de position latéraux</w:t>
      </w:r>
      <w:r>
        <w:rPr>
          <w:lang w:val="fr-FR"/>
        </w:rPr>
        <w:t> </w:t>
      </w:r>
      <w:r w:rsidRPr="00D40E57">
        <w:rPr>
          <w:lang w:val="fr-FR"/>
        </w:rPr>
        <w:t xml:space="preserve">: </w:t>
      </w:r>
      <w:r w:rsidR="008C268D">
        <w:rPr>
          <w:lang w:val="fr-FR"/>
        </w:rPr>
        <w:tab/>
      </w:r>
      <w:r>
        <w:rPr>
          <w:lang w:val="fr-FR"/>
        </w:rPr>
        <w:t>O</w:t>
      </w:r>
      <w:r w:rsidRPr="00D40E57">
        <w:rPr>
          <w:lang w:val="fr-FR"/>
        </w:rPr>
        <w:t>ui/</w:t>
      </w:r>
      <w:r>
        <w:rPr>
          <w:lang w:val="fr-FR"/>
        </w:rPr>
        <w:t>N</w:t>
      </w:r>
      <w:r w:rsidRPr="00D40E57">
        <w:rPr>
          <w:lang w:val="fr-FR"/>
        </w:rPr>
        <w:t>on</w:t>
      </w:r>
      <w:r w:rsidRPr="00D40E57">
        <w:rPr>
          <w:vertAlign w:val="superscript"/>
          <w:lang w:val="fr-FR"/>
        </w:rPr>
        <w:t>2</w:t>
      </w:r>
      <w:r>
        <w:rPr>
          <w:lang w:val="fr-FR"/>
        </w:rPr>
        <w:tab/>
      </w:r>
    </w:p>
    <w:p w14:paraId="6DD200D1" w14:textId="77777777" w:rsidR="008C268D" w:rsidRDefault="00664DB6" w:rsidP="008C268D">
      <w:pPr>
        <w:pStyle w:val="SingleTxtG"/>
        <w:spacing w:after="0"/>
        <w:ind w:left="1985" w:hanging="851"/>
        <w:rPr>
          <w:lang w:val="fr-FR"/>
        </w:rPr>
      </w:pPr>
      <w:bookmarkStart w:id="4" w:name="_Hlk98166645"/>
      <w:r w:rsidRPr="0012133E">
        <w:rPr>
          <w:lang w:val="fr-FR"/>
        </w:rPr>
        <w:t>9.20.1</w:t>
      </w:r>
      <w:r w:rsidRPr="0012133E">
        <w:rPr>
          <w:lang w:val="fr-FR"/>
        </w:rPr>
        <w:tab/>
        <w:t xml:space="preserve">Témoin de défaut de </w:t>
      </w:r>
      <w:r w:rsidRPr="000819DB">
        <w:rPr>
          <w:lang w:eastAsia="fr-FR"/>
        </w:rPr>
        <w:t>fonctionnement</w:t>
      </w:r>
      <w:r w:rsidRPr="0012133E">
        <w:rPr>
          <w:lang w:val="fr-FR"/>
        </w:rPr>
        <w:t xml:space="preserve"> tel que prescrit par le Règlement applicable au dispositif, installé : </w:t>
      </w:r>
    </w:p>
    <w:p w14:paraId="7E4A0E47" w14:textId="6DE1B547" w:rsidR="00664DB6" w:rsidRPr="00D40E57" w:rsidRDefault="00664DB6" w:rsidP="008C268D">
      <w:pPr>
        <w:pStyle w:val="SingleTxtG"/>
        <w:tabs>
          <w:tab w:val="right" w:leader="dot" w:pos="8505"/>
        </w:tabs>
        <w:ind w:left="2835" w:hanging="851"/>
      </w:pPr>
      <w:r w:rsidRPr="0012133E">
        <w:rPr>
          <w:lang w:val="fr-FR"/>
        </w:rPr>
        <w:t>Oui/Non</w:t>
      </w:r>
      <w:r w:rsidRPr="0012133E">
        <w:rPr>
          <w:vertAlign w:val="superscript"/>
          <w:lang w:val="fr-FR"/>
        </w:rPr>
        <w:t>2</w:t>
      </w:r>
      <w:r w:rsidRPr="0012133E">
        <w:rPr>
          <w:lang w:val="fr-FR"/>
        </w:rPr>
        <w:tab/>
      </w:r>
      <w:r w:rsidR="008C268D">
        <w:rPr>
          <w:lang w:val="fr-FR"/>
        </w:rPr>
        <w:tab/>
      </w:r>
      <w:r w:rsidRPr="00D40E57">
        <w:rPr>
          <w:lang w:val="fr-FR"/>
        </w:rPr>
        <w:t> ».</w:t>
      </w:r>
    </w:p>
    <w:bookmarkEnd w:id="4"/>
    <w:p w14:paraId="7A12ACF4" w14:textId="77777777" w:rsidR="00664DB6" w:rsidRPr="00D40E57" w:rsidRDefault="00664DB6" w:rsidP="000819DB">
      <w:pPr>
        <w:pStyle w:val="SingleTxtG"/>
      </w:pPr>
      <w:r>
        <w:rPr>
          <w:i/>
          <w:iCs/>
          <w:lang w:val="fr-FR"/>
        </w:rPr>
        <w:t>P</w:t>
      </w:r>
      <w:r w:rsidRPr="00D40E57">
        <w:rPr>
          <w:i/>
          <w:iCs/>
          <w:lang w:val="fr-FR"/>
        </w:rPr>
        <w:t>oint 9.23</w:t>
      </w:r>
      <w:r w:rsidRPr="00D40E57">
        <w:rPr>
          <w:lang w:val="fr-FR"/>
        </w:rPr>
        <w:t>, lire</w:t>
      </w:r>
      <w:r>
        <w:rPr>
          <w:lang w:val="fr-FR"/>
        </w:rPr>
        <w:t> </w:t>
      </w:r>
      <w:r w:rsidRPr="00D40E57">
        <w:rPr>
          <w:lang w:val="fr-FR"/>
        </w:rPr>
        <w:t>:</w:t>
      </w:r>
    </w:p>
    <w:p w14:paraId="398213E3" w14:textId="1A075923" w:rsidR="00664DB6" w:rsidRPr="00D40E57" w:rsidRDefault="00664DB6" w:rsidP="008C268D">
      <w:pPr>
        <w:tabs>
          <w:tab w:val="left" w:pos="1985"/>
          <w:tab w:val="left" w:pos="4962"/>
          <w:tab w:val="left" w:leader="dot" w:pos="8505"/>
        </w:tabs>
        <w:kinsoku/>
        <w:overflowPunct/>
        <w:autoSpaceDE/>
        <w:autoSpaceDN/>
        <w:adjustRightInd/>
        <w:snapToGrid/>
        <w:spacing w:after="120"/>
        <w:ind w:left="1973" w:right="1134" w:hanging="839"/>
      </w:pPr>
      <w:r w:rsidRPr="00D40E57">
        <w:rPr>
          <w:lang w:val="fr-FR"/>
        </w:rPr>
        <w:t>« 9.23</w:t>
      </w:r>
      <w:r w:rsidRPr="00D40E57">
        <w:rPr>
          <w:lang w:val="fr-FR"/>
        </w:rPr>
        <w:tab/>
        <w:t>Feux d</w:t>
      </w:r>
      <w:r w:rsidR="004055B4">
        <w:rPr>
          <w:lang w:val="fr-FR"/>
        </w:rPr>
        <w:t>’</w:t>
      </w:r>
      <w:r w:rsidRPr="00D40E57">
        <w:rPr>
          <w:lang w:val="fr-FR"/>
        </w:rPr>
        <w:t>angle</w:t>
      </w:r>
      <w:r>
        <w:rPr>
          <w:lang w:val="fr-FR"/>
        </w:rPr>
        <w:t> </w:t>
      </w:r>
      <w:r w:rsidRPr="00D40E57">
        <w:rPr>
          <w:lang w:val="fr-FR"/>
        </w:rPr>
        <w:t xml:space="preserve">: </w:t>
      </w:r>
      <w:r w:rsidR="008C268D">
        <w:rPr>
          <w:lang w:val="fr-FR"/>
        </w:rPr>
        <w:tab/>
      </w:r>
      <w:r w:rsidRPr="00D40E57">
        <w:rPr>
          <w:lang w:val="fr-FR"/>
        </w:rPr>
        <w:t>Oui/</w:t>
      </w:r>
      <w:r w:rsidRPr="000819DB">
        <w:rPr>
          <w:lang w:eastAsia="fr-FR"/>
        </w:rPr>
        <w:t>Non</w:t>
      </w:r>
      <w:r w:rsidRPr="000819DB">
        <w:rPr>
          <w:vertAlign w:val="superscript"/>
          <w:lang w:eastAsia="fr-FR"/>
        </w:rPr>
        <w:t>2</w:t>
      </w:r>
      <w:r w:rsidRPr="00DE1931">
        <w:rPr>
          <w:lang w:val="fr-FR"/>
        </w:rPr>
        <w:tab/>
      </w:r>
    </w:p>
    <w:p w14:paraId="704AEA74" w14:textId="77777777" w:rsidR="008C268D" w:rsidRDefault="00664DB6" w:rsidP="008C268D">
      <w:pPr>
        <w:pStyle w:val="SingleTxtG"/>
        <w:spacing w:after="0"/>
        <w:ind w:left="1985" w:hanging="851"/>
        <w:rPr>
          <w:lang w:val="fr-FR"/>
        </w:rPr>
      </w:pPr>
      <w:r w:rsidRPr="0012133E">
        <w:rPr>
          <w:lang w:val="fr-FR"/>
        </w:rPr>
        <w:t>9.23.1</w:t>
      </w:r>
      <w:r w:rsidRPr="0012133E">
        <w:rPr>
          <w:lang w:val="fr-FR"/>
        </w:rPr>
        <w:tab/>
        <w:t xml:space="preserve">Témoin de défaut de </w:t>
      </w:r>
      <w:r w:rsidRPr="008C268D">
        <w:rPr>
          <w:lang w:val="fr-FR"/>
        </w:rPr>
        <w:t>fonctionnement</w:t>
      </w:r>
      <w:r w:rsidRPr="0012133E">
        <w:rPr>
          <w:lang w:val="fr-FR"/>
        </w:rPr>
        <w:t xml:space="preserve"> tel que prescrit par le Règlement applicable au dispositif, installé : </w:t>
      </w:r>
    </w:p>
    <w:p w14:paraId="4E41C00F" w14:textId="34114BFD" w:rsidR="00664DB6" w:rsidRDefault="00664DB6" w:rsidP="008C268D">
      <w:pPr>
        <w:pStyle w:val="SingleTxtG"/>
        <w:tabs>
          <w:tab w:val="right" w:leader="dot" w:pos="8505"/>
        </w:tabs>
        <w:ind w:left="2835" w:hanging="851"/>
        <w:rPr>
          <w:lang w:val="fr-FR"/>
        </w:rPr>
      </w:pPr>
      <w:r w:rsidRPr="0012133E">
        <w:rPr>
          <w:lang w:val="fr-FR"/>
        </w:rPr>
        <w:t>Oui/Non</w:t>
      </w:r>
      <w:r w:rsidRPr="0012133E">
        <w:rPr>
          <w:vertAlign w:val="superscript"/>
          <w:lang w:val="fr-FR"/>
        </w:rPr>
        <w:t>2</w:t>
      </w:r>
      <w:r w:rsidR="008C268D">
        <w:rPr>
          <w:vertAlign w:val="superscript"/>
          <w:lang w:val="fr-FR"/>
        </w:rPr>
        <w:tab/>
      </w:r>
      <w:r w:rsidRPr="008C268D">
        <w:rPr>
          <w:lang w:val="fr-FR"/>
        </w:rPr>
        <w:tab/>
      </w:r>
      <w:r w:rsidRPr="00D40E57">
        <w:rPr>
          <w:lang w:val="fr-FR"/>
        </w:rPr>
        <w:t> ».</w:t>
      </w:r>
    </w:p>
    <w:p w14:paraId="4B71DC0F" w14:textId="77777777" w:rsidR="00664DB6" w:rsidRPr="005B0501" w:rsidRDefault="00664DB6" w:rsidP="008C268D">
      <w:pPr>
        <w:pStyle w:val="SingleTxtG"/>
        <w:keepNext/>
        <w:rPr>
          <w:rFonts w:eastAsia="MS Mincho"/>
          <w:szCs w:val="16"/>
        </w:rPr>
      </w:pPr>
      <w:r w:rsidRPr="0012133E">
        <w:rPr>
          <w:i/>
          <w:iCs/>
          <w:lang w:val="fr-FR"/>
        </w:rPr>
        <w:lastRenderedPageBreak/>
        <w:t>Annexe 2</w:t>
      </w:r>
      <w:r>
        <w:rPr>
          <w:lang w:val="fr-FR"/>
        </w:rPr>
        <w:t>, lire :</w:t>
      </w:r>
    </w:p>
    <w:p w14:paraId="6A1418C4" w14:textId="52286C00" w:rsidR="00664DB6" w:rsidRPr="005B0501" w:rsidRDefault="00664DB6" w:rsidP="008C268D">
      <w:pPr>
        <w:pStyle w:val="HChG"/>
      </w:pPr>
      <w:r w:rsidRPr="005B0501">
        <w:tab/>
      </w:r>
      <w:r w:rsidRPr="005B0501">
        <w:tab/>
      </w:r>
      <w:r w:rsidRPr="00CB1AE1">
        <w:rPr>
          <w:b w:val="0"/>
          <w:sz w:val="20"/>
        </w:rPr>
        <w:t>« </w:t>
      </w:r>
      <w:r w:rsidRPr="005B0501">
        <w:t>E</w:t>
      </w:r>
      <w:r w:rsidRPr="005B0501">
        <w:rPr>
          <w:lang w:eastAsia="fr-FR"/>
        </w:rPr>
        <w:t>xemples de marques d</w:t>
      </w:r>
      <w:r w:rsidR="004055B4">
        <w:rPr>
          <w:lang w:eastAsia="fr-FR"/>
        </w:rPr>
        <w:t>’</w:t>
      </w:r>
      <w:r w:rsidRPr="005B0501">
        <w:rPr>
          <w:lang w:eastAsia="fr-FR"/>
        </w:rPr>
        <w:t>homologation</w:t>
      </w:r>
    </w:p>
    <w:p w14:paraId="200717EF" w14:textId="77777777" w:rsidR="00664DB6" w:rsidRPr="005B0501" w:rsidRDefault="00664DB6" w:rsidP="00CB1AE1">
      <w:pPr>
        <w:pStyle w:val="SingleTxtG"/>
      </w:pPr>
      <w:r w:rsidRPr="005B0501">
        <w:t xml:space="preserve">Modèle A </w:t>
      </w:r>
      <w:r w:rsidRPr="005B0501">
        <w:br/>
      </w:r>
      <w:bookmarkEnd w:id="2"/>
      <w:r w:rsidRPr="005B0501">
        <w:t>(</w:t>
      </w:r>
      <w:r w:rsidRPr="005B0501">
        <w:rPr>
          <w:lang w:eastAsia="fr-FR"/>
        </w:rPr>
        <w:t>Voir par. 4.4 du présent Règlement</w:t>
      </w:r>
      <w:r w:rsidRPr="005B0501">
        <w:t>)</w:t>
      </w:r>
    </w:p>
    <w:p w14:paraId="4B2DE18C" w14:textId="77777777" w:rsidR="00664DB6" w:rsidRDefault="00664DB6" w:rsidP="00CB1AE1">
      <w:pPr>
        <w:pStyle w:val="SingleTxtG"/>
      </w:pPr>
      <w:r w:rsidRPr="005B0501">
        <w:rPr>
          <w:noProof/>
          <w:lang w:eastAsia="fr-CH"/>
        </w:rPr>
        <mc:AlternateContent>
          <mc:Choice Requires="wps">
            <w:drawing>
              <wp:anchor distT="0" distB="0" distL="114300" distR="114300" simplePos="0" relativeHeight="251659264" behindDoc="0" locked="0" layoutInCell="1" allowOverlap="1" wp14:anchorId="54B34DBD" wp14:editId="7EDC5CB4">
                <wp:simplePos x="0" y="0"/>
                <wp:positionH relativeFrom="column">
                  <wp:posOffset>2762250</wp:posOffset>
                </wp:positionH>
                <wp:positionV relativeFrom="paragraph">
                  <wp:posOffset>422910</wp:posOffset>
                </wp:positionV>
                <wp:extent cx="1943100" cy="3429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4D486" w14:textId="77777777" w:rsidR="00664DB6" w:rsidRPr="00A1709C" w:rsidRDefault="00664DB6" w:rsidP="00664DB6">
                            <w:pPr>
                              <w:rPr>
                                <w:rFonts w:ascii="Arial" w:hAnsi="Arial" w:cs="Arial"/>
                                <w:sz w:val="40"/>
                                <w:szCs w:val="40"/>
                              </w:rPr>
                            </w:pPr>
                            <w:r w:rsidRPr="00A1709C">
                              <w:rPr>
                                <w:rFonts w:ascii="Arial" w:hAnsi="Arial" w:cs="Arial"/>
                                <w:sz w:val="40"/>
                                <w:szCs w:val="40"/>
                              </w:rPr>
                              <w:t xml:space="preserve">48 R </w:t>
                            </w:r>
                            <w:r>
                              <w:rPr>
                                <w:rFonts w:ascii="Arial" w:hAnsi="Arial" w:cs="Arial"/>
                                <w:sz w:val="40"/>
                                <w:szCs w:val="40"/>
                              </w:rPr>
                              <w:t xml:space="preserve">- </w:t>
                            </w:r>
                            <w:r w:rsidRPr="00A1709C">
                              <w:rPr>
                                <w:rFonts w:ascii="Arial" w:hAnsi="Arial" w:cs="Arial"/>
                                <w:sz w:val="40"/>
                                <w:szCs w:val="40"/>
                              </w:rPr>
                              <w:t>0</w:t>
                            </w:r>
                            <w:r>
                              <w:rPr>
                                <w:rFonts w:ascii="Arial" w:hAnsi="Arial" w:cs="Arial"/>
                                <w:sz w:val="40"/>
                                <w:szCs w:val="40"/>
                              </w:rPr>
                              <w:t>7</w:t>
                            </w:r>
                            <w:r w:rsidRPr="00A1709C">
                              <w:rPr>
                                <w:rFonts w:ascii="Arial" w:hAnsi="Arial" w:cs="Arial"/>
                                <w:sz w:val="40"/>
                                <w:szCs w:val="40"/>
                              </w:rPr>
                              <w:t xml:space="preserve"> 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34DBD" id="_x0000_t202" coordsize="21600,21600" o:spt="202" path="m,l,21600r21600,l21600,xe">
                <v:stroke joinstyle="miter"/>
                <v:path gradientshapeok="t" o:connecttype="rect"/>
              </v:shapetype>
              <v:shape id="Zone de texte 5" o:spid="_x0000_s1026" type="#_x0000_t202" style="position:absolute;left:0;text-align:left;margin-left:217.5pt;margin-top:33.3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" stroked="f">
                <v:textbox inset="0,0,0,0">
                  <w:txbxContent>
                    <w:p w14:paraId="79D4D486" w14:textId="77777777" w:rsidR="00664DB6" w:rsidRPr="00A1709C" w:rsidRDefault="00664DB6" w:rsidP="00664DB6">
                      <w:pPr>
                        <w:rPr>
                          <w:rFonts w:ascii="Arial" w:hAnsi="Arial" w:cs="Arial"/>
                          <w:sz w:val="40"/>
                          <w:szCs w:val="40"/>
                        </w:rPr>
                      </w:pPr>
                      <w:r w:rsidRPr="00A1709C">
                        <w:rPr>
                          <w:rFonts w:ascii="Arial" w:hAnsi="Arial" w:cs="Arial"/>
                          <w:sz w:val="40"/>
                          <w:szCs w:val="40"/>
                        </w:rPr>
                        <w:t xml:space="preserve">48 R </w:t>
                      </w:r>
                      <w:r>
                        <w:rPr>
                          <w:rFonts w:ascii="Arial" w:hAnsi="Arial" w:cs="Arial"/>
                          <w:sz w:val="40"/>
                          <w:szCs w:val="40"/>
                        </w:rPr>
                        <w:t xml:space="preserve">- </w:t>
                      </w:r>
                      <w:r w:rsidRPr="00A1709C">
                        <w:rPr>
                          <w:rFonts w:ascii="Arial" w:hAnsi="Arial" w:cs="Arial"/>
                          <w:sz w:val="40"/>
                          <w:szCs w:val="40"/>
                        </w:rPr>
                        <w:t>0</w:t>
                      </w:r>
                      <w:r>
                        <w:rPr>
                          <w:rFonts w:ascii="Arial" w:hAnsi="Arial" w:cs="Arial"/>
                          <w:sz w:val="40"/>
                          <w:szCs w:val="40"/>
                        </w:rPr>
                        <w:t>7</w:t>
                      </w:r>
                      <w:r w:rsidRPr="00A1709C">
                        <w:rPr>
                          <w:rFonts w:ascii="Arial" w:hAnsi="Arial" w:cs="Arial"/>
                          <w:sz w:val="40"/>
                          <w:szCs w:val="40"/>
                        </w:rPr>
                        <w:t xml:space="preserve"> 2439</w:t>
                      </w:r>
                    </w:p>
                  </w:txbxContent>
                </v:textbox>
              </v:shape>
            </w:pict>
          </mc:Fallback>
        </mc:AlternateContent>
      </w:r>
      <w:r w:rsidRPr="005B0501">
        <w:object w:dxaOrig="8430" w:dyaOrig="1586" w14:anchorId="6389A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7pt;height:85.2pt" o:ole="" o:bordertopcolor="this" o:borderleftcolor="this" o:borderbottomcolor="this" o:borderrightcolor="this">
            <v:imagedata r:id="rId8" o:title="" cropleft="2865f" cropright="2688f"/>
            <o:lock v:ext="edit" aspectratio="f"/>
          </v:shape>
          <o:OLEObject Type="Embed" ProgID="Word.Picture.8" ShapeID="_x0000_i1025" DrawAspect="Content" ObjectID="_1735565763" r:id="rId9"/>
        </w:object>
      </w:r>
    </w:p>
    <w:p w14:paraId="3A329AC4" w14:textId="1A4F2C00" w:rsidR="00664DB6" w:rsidRPr="005B0501" w:rsidRDefault="00664DB6" w:rsidP="00CB1AE1">
      <w:pPr>
        <w:pStyle w:val="SingleTxtG"/>
        <w:jc w:val="right"/>
      </w:pPr>
      <w:r w:rsidRPr="005B0501">
        <w:t>a = 8 mm min.</w:t>
      </w:r>
    </w:p>
    <w:p w14:paraId="4268220D" w14:textId="2AC1FC84" w:rsidR="00664DB6" w:rsidRPr="005B0501" w:rsidRDefault="00664DB6" w:rsidP="00CB1AE1">
      <w:pPr>
        <w:pStyle w:val="SingleTxtG"/>
        <w:ind w:firstLine="567"/>
      </w:pPr>
      <w:r w:rsidRPr="005B0501">
        <w:rPr>
          <w:lang w:eastAsia="fr-FR"/>
        </w:rPr>
        <w:t>La marque d</w:t>
      </w:r>
      <w:r w:rsidR="004055B4">
        <w:rPr>
          <w:lang w:eastAsia="fr-FR"/>
        </w:rPr>
        <w:t>’</w:t>
      </w:r>
      <w:r w:rsidRPr="005B0501">
        <w:rPr>
          <w:lang w:eastAsia="fr-FR"/>
        </w:rPr>
        <w:t>homologation ci-dessus, apposée sur un véhicule, indique que le type de ce véhicule a été homologué aux Pays-Bas (E 4), en ce qui concerne l</w:t>
      </w:r>
      <w:r w:rsidR="004055B4">
        <w:rPr>
          <w:lang w:eastAsia="fr-FR"/>
        </w:rPr>
        <w:t>’</w:t>
      </w:r>
      <w:r w:rsidRPr="005B0501">
        <w:rPr>
          <w:lang w:eastAsia="fr-FR"/>
        </w:rPr>
        <w:t>installation de dispositifs d</w:t>
      </w:r>
      <w:r w:rsidR="004055B4">
        <w:rPr>
          <w:lang w:eastAsia="fr-FR"/>
        </w:rPr>
        <w:t>’</w:t>
      </w:r>
      <w:r w:rsidRPr="005B0501">
        <w:rPr>
          <w:lang w:eastAsia="fr-FR"/>
        </w:rPr>
        <w:t xml:space="preserve">éclairage et de signalisation lumineuse, en application du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48 tel que modifié par la série</w:t>
      </w:r>
      <w:r>
        <w:rPr>
          <w:lang w:eastAsia="fr-FR"/>
        </w:rPr>
        <w:t xml:space="preserve"> </w:t>
      </w:r>
      <w:r w:rsidRPr="005B0501">
        <w:rPr>
          <w:lang w:eastAsia="fr-FR"/>
        </w:rPr>
        <w:t>07 d</w:t>
      </w:r>
      <w:r w:rsidR="004055B4">
        <w:rPr>
          <w:lang w:eastAsia="fr-FR"/>
        </w:rPr>
        <w:t>’</w:t>
      </w:r>
      <w:r w:rsidRPr="005B0501">
        <w:rPr>
          <w:lang w:eastAsia="fr-FR"/>
        </w:rPr>
        <w:t>amendements. Le numéro d</w:t>
      </w:r>
      <w:r w:rsidR="004055B4">
        <w:rPr>
          <w:lang w:eastAsia="fr-FR"/>
        </w:rPr>
        <w:t>’</w:t>
      </w:r>
      <w:r w:rsidRPr="005B0501">
        <w:rPr>
          <w:lang w:eastAsia="fr-FR"/>
        </w:rPr>
        <w:t>homologation indique que l</w:t>
      </w:r>
      <w:r w:rsidR="004055B4">
        <w:rPr>
          <w:lang w:eastAsia="fr-FR"/>
        </w:rPr>
        <w:t>’</w:t>
      </w:r>
      <w:r w:rsidRPr="005B0501">
        <w:rPr>
          <w:lang w:eastAsia="fr-FR"/>
        </w:rPr>
        <w:t xml:space="preserve">homologation a été accordée conformément aux prescriptions du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48 tel que modifié par la série</w:t>
      </w:r>
      <w:r>
        <w:rPr>
          <w:lang w:eastAsia="fr-FR"/>
        </w:rPr>
        <w:t xml:space="preserve"> </w:t>
      </w:r>
      <w:r w:rsidRPr="005B0501">
        <w:rPr>
          <w:lang w:eastAsia="fr-FR"/>
        </w:rPr>
        <w:t>07 d</w:t>
      </w:r>
      <w:r w:rsidR="004055B4">
        <w:rPr>
          <w:lang w:eastAsia="fr-FR"/>
        </w:rPr>
        <w:t>’</w:t>
      </w:r>
      <w:r w:rsidRPr="005B0501">
        <w:rPr>
          <w:lang w:eastAsia="fr-FR"/>
        </w:rPr>
        <w:t>amendements.</w:t>
      </w:r>
    </w:p>
    <w:p w14:paraId="2FEF2630" w14:textId="59CC960B" w:rsidR="00664DB6" w:rsidRPr="005B0501" w:rsidRDefault="00664DB6" w:rsidP="00CB1AE1">
      <w:pPr>
        <w:pStyle w:val="SingleTxtG"/>
      </w:pPr>
      <w:r w:rsidRPr="005B0501">
        <w:rPr>
          <w:lang w:eastAsia="fr-FR"/>
        </w:rPr>
        <w:t>Modèle</w:t>
      </w:r>
      <w:r w:rsidRPr="005B0501">
        <w:t xml:space="preserve"> B </w:t>
      </w:r>
      <w:r w:rsidRPr="005B0501">
        <w:br/>
        <w:t>(</w:t>
      </w:r>
      <w:r w:rsidRPr="005B0501">
        <w:rPr>
          <w:lang w:eastAsia="fr-FR"/>
        </w:rPr>
        <w:t>Voir par. 4.5 du présent Règlement</w:t>
      </w:r>
      <w:r w:rsidRPr="005B0501">
        <w:t>)</w:t>
      </w:r>
    </w:p>
    <w:p w14:paraId="0498D4A3" w14:textId="18A50435" w:rsidR="00664DB6" w:rsidRDefault="008C268D" w:rsidP="00CB1AE1">
      <w:pPr>
        <w:pStyle w:val="SingleTxtG"/>
      </w:pPr>
      <w:r w:rsidRPr="00B77901">
        <w:rPr>
          <w:noProof/>
          <w:lang w:val="it-IT" w:eastAsia="it-IT"/>
        </w:rPr>
        <mc:AlternateContent>
          <mc:Choice Requires="wps">
            <w:drawing>
              <wp:anchor distT="0" distB="0" distL="114300" distR="114300" simplePos="0" relativeHeight="251662336" behindDoc="0" locked="0" layoutInCell="1" allowOverlap="1" wp14:anchorId="0C956E84" wp14:editId="77B6F905">
                <wp:simplePos x="0" y="0"/>
                <wp:positionH relativeFrom="column">
                  <wp:posOffset>3589020</wp:posOffset>
                </wp:positionH>
                <wp:positionV relativeFrom="paragraph">
                  <wp:posOffset>119380</wp:posOffset>
                </wp:positionV>
                <wp:extent cx="365760" cy="266700"/>
                <wp:effectExtent l="0" t="0" r="0" b="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6700"/>
                        </a:xfrm>
                        <a:prstGeom prst="rect">
                          <a:avLst/>
                        </a:prstGeom>
                        <a:solidFill>
                          <a:srgbClr val="FFFFFF"/>
                        </a:solidFill>
                        <a:ln>
                          <a:noFill/>
                        </a:ln>
                      </wps:spPr>
                      <wps:txbx>
                        <w:txbxContent>
                          <w:p w14:paraId="408CE740" w14:textId="20BD0794" w:rsidR="008C268D" w:rsidRPr="00612B6F" w:rsidRDefault="008C268D" w:rsidP="008C268D">
                            <w:pPr>
                              <w:rPr>
                                <w:rFonts w:ascii="Arial" w:hAnsi="Arial"/>
                                <w:sz w:val="44"/>
                                <w:szCs w:val="44"/>
                                <w:lang w:eastAsia="ja-JP"/>
                              </w:rPr>
                            </w:pPr>
                            <w:r w:rsidRPr="00612B6F">
                              <w:rPr>
                                <w:rFonts w:ascii="Arial" w:hAnsi="Arial"/>
                                <w:sz w:val="44"/>
                                <w:szCs w:val="44"/>
                              </w:rPr>
                              <w:t>0</w:t>
                            </w:r>
                            <w:r w:rsidRPr="00612B6F">
                              <w:rPr>
                                <w:rFonts w:ascii="Arial" w:hAnsi="Arial"/>
                                <w:sz w:val="44"/>
                                <w:szCs w:val="4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56E84" id="Casella di testo 148" o:spid="_x0000_s1027" type="#_x0000_t202" style="position:absolute;left:0;text-align:left;margin-left:282.6pt;margin-top:9.4pt;width:28.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" stroked="f">
                <v:textbox inset="0,0,0,0">
                  <w:txbxContent>
                    <w:p w14:paraId="408CE740" w14:textId="20BD0794" w:rsidR="008C268D" w:rsidRPr="00612B6F" w:rsidRDefault="008C268D" w:rsidP="008C268D">
                      <w:pPr>
                        <w:rPr>
                          <w:rFonts w:ascii="Arial" w:hAnsi="Arial"/>
                          <w:sz w:val="44"/>
                          <w:szCs w:val="44"/>
                          <w:lang w:eastAsia="ja-JP"/>
                        </w:rPr>
                      </w:pPr>
                      <w:r w:rsidRPr="00612B6F">
                        <w:rPr>
                          <w:rFonts w:ascii="Arial" w:hAnsi="Arial"/>
                          <w:sz w:val="44"/>
                          <w:szCs w:val="44"/>
                        </w:rPr>
                        <w:t>0</w:t>
                      </w:r>
                      <w:r w:rsidRPr="00612B6F">
                        <w:rPr>
                          <w:rFonts w:ascii="Arial" w:hAnsi="Arial"/>
                          <w:sz w:val="44"/>
                          <w:szCs w:val="44"/>
                        </w:rPr>
                        <w:t>7</w:t>
                      </w:r>
                    </w:p>
                  </w:txbxContent>
                </v:textbox>
              </v:shape>
            </w:pict>
          </mc:Fallback>
        </mc:AlternateContent>
      </w:r>
      <w:r w:rsidRPr="00B77901">
        <w:rPr>
          <w:noProof/>
          <w:lang w:val="it-IT" w:eastAsia="it-IT"/>
        </w:rPr>
        <w:drawing>
          <wp:inline distT="0" distB="0" distL="0" distR="0" wp14:anchorId="32C3808E" wp14:editId="766A57B3">
            <wp:extent cx="4781550" cy="863604"/>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9156" cy="868590"/>
                    </a:xfrm>
                    <a:prstGeom prst="rect">
                      <a:avLst/>
                    </a:prstGeom>
                    <a:noFill/>
                    <a:ln>
                      <a:noFill/>
                    </a:ln>
                  </pic:spPr>
                </pic:pic>
              </a:graphicData>
            </a:graphic>
          </wp:inline>
        </w:drawing>
      </w:r>
    </w:p>
    <w:p w14:paraId="7622127B" w14:textId="77777777" w:rsidR="00664DB6" w:rsidRPr="005B0501" w:rsidRDefault="00664DB6" w:rsidP="00CB1AE1">
      <w:pPr>
        <w:pStyle w:val="SingleTxtG"/>
        <w:jc w:val="right"/>
      </w:pPr>
      <w:r w:rsidRPr="005B0501">
        <w:rPr>
          <w:noProof/>
          <w:lang w:eastAsia="fr-CH"/>
        </w:rPr>
        <mc:AlternateContent>
          <mc:Choice Requires="wps">
            <w:drawing>
              <wp:anchor distT="0" distB="0" distL="114300" distR="114300" simplePos="0" relativeHeight="251660288" behindDoc="0" locked="0" layoutInCell="1" allowOverlap="1" wp14:anchorId="6B067C9B" wp14:editId="72E74310">
                <wp:simplePos x="0" y="0"/>
                <wp:positionH relativeFrom="column">
                  <wp:posOffset>-2513965</wp:posOffset>
                </wp:positionH>
                <wp:positionV relativeFrom="paragraph">
                  <wp:posOffset>16510</wp:posOffset>
                </wp:positionV>
                <wp:extent cx="1440180" cy="372110"/>
                <wp:effectExtent l="0" t="0" r="26670" b="2794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72110"/>
                        </a:xfrm>
                        <a:prstGeom prst="rect">
                          <a:avLst/>
                        </a:prstGeom>
                        <a:solidFill>
                          <a:srgbClr val="FFFFFF"/>
                        </a:solidFill>
                        <a:ln w="12700">
                          <a:solidFill>
                            <a:srgbClr val="000000"/>
                          </a:solidFill>
                          <a:miter lim="800000"/>
                          <a:headEnd/>
                          <a:tailEnd/>
                        </a:ln>
                      </wps:spPr>
                      <wps:txbx>
                        <w:txbxContent>
                          <w:p w14:paraId="510C0767" w14:textId="77777777" w:rsidR="00664DB6" w:rsidRPr="002218D4" w:rsidRDefault="00664DB6" w:rsidP="00664DB6">
                            <w:pPr>
                              <w:spacing w:line="300" w:lineRule="atLeast"/>
                              <w:rPr>
                                <w:rFonts w:ascii="Arial" w:hAnsi="Arial" w:cs="Arial"/>
                                <w:sz w:val="48"/>
                                <w:szCs w:val="48"/>
                              </w:rPr>
                            </w:pPr>
                            <w:r w:rsidRPr="002218D4">
                              <w:rPr>
                                <w:rFonts w:ascii="Arial" w:hAnsi="Arial" w:cs="Arial"/>
                                <w:sz w:val="48"/>
                                <w:szCs w:val="48"/>
                              </w:rPr>
                              <w:t>04 2439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7C9B" id="Zone de texte 11" o:spid="_x0000_s1028" type="#_x0000_t202" style="position:absolute;left:0;text-align:left;margin-left:-197.95pt;margin-top:1.3pt;width:113.4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" strokeweight="1pt">
                <v:textbox>
                  <w:txbxContent>
                    <w:p w14:paraId="510C0767" w14:textId="77777777" w:rsidR="00664DB6" w:rsidRPr="002218D4" w:rsidRDefault="00664DB6" w:rsidP="00664DB6">
                      <w:pPr>
                        <w:spacing w:line="300" w:lineRule="atLeast"/>
                        <w:rPr>
                          <w:rFonts w:ascii="Arial" w:hAnsi="Arial" w:cs="Arial"/>
                          <w:sz w:val="48"/>
                          <w:szCs w:val="48"/>
                        </w:rPr>
                      </w:pPr>
                      <w:r w:rsidRPr="002218D4">
                        <w:rPr>
                          <w:rFonts w:ascii="Arial" w:hAnsi="Arial" w:cs="Arial"/>
                          <w:sz w:val="48"/>
                          <w:szCs w:val="48"/>
                        </w:rPr>
                        <w:t>04 2439</w:t>
                      </w:r>
                    </w:p>
                  </w:txbxContent>
                </v:textbox>
              </v:shape>
            </w:pict>
          </mc:Fallback>
        </mc:AlternateContent>
      </w:r>
      <w:r w:rsidRPr="005B0501">
        <w:t>a = 8 mm min.</w:t>
      </w:r>
    </w:p>
    <w:p w14:paraId="142BEB67" w14:textId="2919FE3B" w:rsidR="00664DB6" w:rsidRPr="005B0501" w:rsidRDefault="00664DB6" w:rsidP="00CB1AE1">
      <w:pPr>
        <w:pStyle w:val="SingleTxtG"/>
        <w:ind w:firstLine="567"/>
        <w:rPr>
          <w:lang w:eastAsia="fr-FR"/>
        </w:rPr>
      </w:pPr>
      <w:bookmarkStart w:id="5" w:name="_Toc338161453"/>
      <w:bookmarkEnd w:id="5"/>
      <w:r w:rsidRPr="005B0501">
        <w:rPr>
          <w:lang w:eastAsia="fr-FR"/>
        </w:rPr>
        <w:t>La marque d</w:t>
      </w:r>
      <w:r w:rsidR="004055B4">
        <w:rPr>
          <w:lang w:eastAsia="fr-FR"/>
        </w:rPr>
        <w:t>’</w:t>
      </w:r>
      <w:r w:rsidRPr="005B0501">
        <w:rPr>
          <w:lang w:eastAsia="fr-FR"/>
        </w:rPr>
        <w:t>homologation ci-dessus, apposée sur un véhicule, indique que le type de ce véhicule a été homologué aux Pays-Bas (E 4), en application du Règlement</w:t>
      </w:r>
      <w:r>
        <w:rPr>
          <w:lang w:eastAsia="fr-FR"/>
        </w:rPr>
        <w:t xml:space="preserve"> </w:t>
      </w:r>
      <w:r w:rsidRPr="005B0501">
        <w:rPr>
          <w:lang w:eastAsia="fr-FR"/>
        </w:rPr>
        <w:t xml:space="preserve">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48 tel que modifié par la série</w:t>
      </w:r>
      <w:r>
        <w:rPr>
          <w:lang w:eastAsia="fr-FR"/>
        </w:rPr>
        <w:t xml:space="preserve"> </w:t>
      </w:r>
      <w:r w:rsidRPr="005B0501">
        <w:rPr>
          <w:lang w:eastAsia="fr-FR"/>
        </w:rPr>
        <w:t>07 d</w:t>
      </w:r>
      <w:r w:rsidR="004055B4">
        <w:rPr>
          <w:lang w:eastAsia="fr-FR"/>
        </w:rPr>
        <w:t>’</w:t>
      </w:r>
      <w:r w:rsidRPr="005B0501">
        <w:rPr>
          <w:lang w:eastAsia="fr-FR"/>
        </w:rPr>
        <w:t>amendements et du Règlement</w:t>
      </w:r>
      <w:r>
        <w:rPr>
          <w:lang w:eastAsia="fr-FR"/>
        </w:rPr>
        <w:t xml:space="preserve"> </w:t>
      </w:r>
      <w:r w:rsidRPr="005B0501">
        <w:rPr>
          <w:lang w:eastAsia="fr-FR"/>
        </w:rPr>
        <w:t xml:space="preserve">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33</w:t>
      </w:r>
      <w:r w:rsidRPr="005B0501">
        <w:rPr>
          <w:sz w:val="18"/>
          <w:szCs w:val="18"/>
          <w:vertAlign w:val="superscript"/>
          <w:lang w:eastAsia="fr-FR"/>
        </w:rPr>
        <w:t>1</w:t>
      </w:r>
      <w:r w:rsidRPr="005B0501">
        <w:rPr>
          <w:lang w:eastAsia="fr-FR"/>
        </w:rPr>
        <w:t>. Le numéro d</w:t>
      </w:r>
      <w:r w:rsidR="004055B4">
        <w:rPr>
          <w:lang w:eastAsia="fr-FR"/>
        </w:rPr>
        <w:t>’</w:t>
      </w:r>
      <w:r w:rsidRPr="005B0501">
        <w:rPr>
          <w:lang w:eastAsia="fr-FR"/>
        </w:rPr>
        <w:t>homologation indique qu</w:t>
      </w:r>
      <w:r w:rsidR="004055B4">
        <w:rPr>
          <w:lang w:eastAsia="fr-FR"/>
        </w:rPr>
        <w:t>’</w:t>
      </w:r>
      <w:r w:rsidRPr="005B0501">
        <w:rPr>
          <w:lang w:eastAsia="fr-FR"/>
        </w:rPr>
        <w:t xml:space="preserve">aux dates auxquelles les homologations respectives ont été accordées, le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48 avait déjà été modifié par la série</w:t>
      </w:r>
      <w:r>
        <w:rPr>
          <w:lang w:eastAsia="fr-FR"/>
        </w:rPr>
        <w:t xml:space="preserve"> </w:t>
      </w:r>
      <w:r w:rsidRPr="005B0501">
        <w:rPr>
          <w:lang w:eastAsia="fr-FR"/>
        </w:rPr>
        <w:t>07 d</w:t>
      </w:r>
      <w:r w:rsidR="004055B4">
        <w:rPr>
          <w:lang w:eastAsia="fr-FR"/>
        </w:rPr>
        <w:t>’</w:t>
      </w:r>
      <w:r w:rsidRPr="005B0501">
        <w:rPr>
          <w:lang w:eastAsia="fr-FR"/>
        </w:rPr>
        <w:t xml:space="preserve">amendements et que le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33 était encore sous sa forme originale.</w:t>
      </w:r>
    </w:p>
    <w:p w14:paraId="73F2857D" w14:textId="77777777" w:rsidR="00664DB6" w:rsidRPr="005B0501" w:rsidRDefault="00664DB6" w:rsidP="00CB1AE1">
      <w:pPr>
        <w:pStyle w:val="SingleTxtG"/>
      </w:pPr>
      <w:r w:rsidRPr="005B0501">
        <w:t>________________</w:t>
      </w:r>
    </w:p>
    <w:p w14:paraId="39F7F9A8" w14:textId="22577EED" w:rsidR="00664DB6" w:rsidRPr="005B0501" w:rsidRDefault="00664DB6" w:rsidP="00A26AC7">
      <w:pPr>
        <w:pStyle w:val="SingleTxtG"/>
        <w:tabs>
          <w:tab w:val="left" w:pos="1247"/>
        </w:tabs>
      </w:pPr>
      <w:r w:rsidRPr="00C91959">
        <w:rPr>
          <w:sz w:val="18"/>
          <w:szCs w:val="18"/>
          <w:vertAlign w:val="superscript"/>
        </w:rPr>
        <w:t>1</w:t>
      </w:r>
      <w:r w:rsidRPr="00C91959">
        <w:rPr>
          <w:sz w:val="18"/>
          <w:szCs w:val="18"/>
        </w:rPr>
        <w:tab/>
        <w:t>Ce dernier numéro n</w:t>
      </w:r>
      <w:r w:rsidR="004055B4">
        <w:rPr>
          <w:sz w:val="18"/>
          <w:szCs w:val="18"/>
        </w:rPr>
        <w:t>’</w:t>
      </w:r>
      <w:r w:rsidRPr="00C91959">
        <w:rPr>
          <w:sz w:val="18"/>
          <w:szCs w:val="18"/>
        </w:rPr>
        <w:t>est donné qu</w:t>
      </w:r>
      <w:r w:rsidR="004055B4">
        <w:rPr>
          <w:sz w:val="18"/>
          <w:szCs w:val="18"/>
        </w:rPr>
        <w:t>’</w:t>
      </w:r>
      <w:r w:rsidRPr="00C91959">
        <w:rPr>
          <w:sz w:val="18"/>
          <w:szCs w:val="18"/>
        </w:rPr>
        <w:t>à titre d</w:t>
      </w:r>
      <w:r w:rsidR="004055B4">
        <w:rPr>
          <w:sz w:val="18"/>
          <w:szCs w:val="18"/>
        </w:rPr>
        <w:t>’</w:t>
      </w:r>
      <w:r w:rsidRPr="00C91959">
        <w:rPr>
          <w:sz w:val="18"/>
          <w:szCs w:val="18"/>
        </w:rPr>
        <w:t>exemple.</w:t>
      </w:r>
      <w:r>
        <w:t> </w:t>
      </w:r>
      <w:r w:rsidRPr="004B55BF">
        <w:t>».</w:t>
      </w:r>
    </w:p>
    <w:p w14:paraId="79317593" w14:textId="77777777" w:rsidR="00664DB6" w:rsidRPr="005B0501" w:rsidRDefault="00664DB6" w:rsidP="00C91959">
      <w:pPr>
        <w:pStyle w:val="SingleTxtG"/>
        <w:rPr>
          <w:b/>
        </w:rPr>
      </w:pPr>
      <w:r w:rsidRPr="004E58D6">
        <w:rPr>
          <w:i/>
          <w:iCs/>
        </w:rPr>
        <w:t>Annexe</w:t>
      </w:r>
      <w:r w:rsidRPr="005B0501">
        <w:rPr>
          <w:i/>
          <w:szCs w:val="16"/>
        </w:rPr>
        <w:t xml:space="preserve"> 6</w:t>
      </w:r>
      <w:r w:rsidRPr="005B0501">
        <w:rPr>
          <w:rFonts w:eastAsia="MS Mincho"/>
          <w:szCs w:val="16"/>
        </w:rPr>
        <w:t xml:space="preserve">, </w:t>
      </w:r>
      <w:r w:rsidRPr="005B0501">
        <w:rPr>
          <w:rFonts w:eastAsia="MS Mincho"/>
          <w:i/>
          <w:iCs/>
          <w:szCs w:val="16"/>
        </w:rPr>
        <w:t>paragraphe 5.4.3</w:t>
      </w:r>
      <w:r w:rsidRPr="00C262D0">
        <w:rPr>
          <w:rFonts w:eastAsia="MS Mincho"/>
          <w:szCs w:val="16"/>
        </w:rPr>
        <w:t xml:space="preserve">, </w:t>
      </w:r>
      <w:r w:rsidRPr="00C91959">
        <w:rPr>
          <w:szCs w:val="16"/>
        </w:rPr>
        <w:t>lire</w:t>
      </w:r>
      <w:r w:rsidRPr="005B0501">
        <w:rPr>
          <w:rFonts w:eastAsia="MS Mincho"/>
          <w:szCs w:val="16"/>
        </w:rPr>
        <w:t> :</w:t>
      </w:r>
    </w:p>
    <w:p w14:paraId="7978768B" w14:textId="280FAC75" w:rsidR="00664DB6" w:rsidRPr="005B0501" w:rsidRDefault="00664DB6" w:rsidP="000819DB">
      <w:pPr>
        <w:pStyle w:val="SingleTxtG"/>
        <w:ind w:left="2268" w:hanging="1134"/>
      </w:pPr>
      <w:r w:rsidRPr="005B0501">
        <w:t>«</w:t>
      </w:r>
      <w:r>
        <w:t> </w:t>
      </w:r>
      <w:r w:rsidRPr="005B0501">
        <w:t>5.4.3</w:t>
      </w:r>
      <w:r w:rsidRPr="005B0501">
        <w:tab/>
      </w:r>
      <w:r w:rsidRPr="005B0501">
        <w:tab/>
      </w:r>
      <w:r w:rsidRPr="00C262D0">
        <w:rPr>
          <w:rFonts w:eastAsia="Calibri"/>
        </w:rPr>
        <w:t>Véhicules</w:t>
      </w:r>
      <w:r w:rsidRPr="005B0501">
        <w:rPr>
          <w:lang w:eastAsia="fr-FR"/>
        </w:rPr>
        <w:t xml:space="preserve"> dont la suspension n</w:t>
      </w:r>
      <w:r w:rsidR="004055B4">
        <w:rPr>
          <w:lang w:eastAsia="fr-FR"/>
        </w:rPr>
        <w:t>’</w:t>
      </w:r>
      <w:r w:rsidRPr="005B0501">
        <w:rPr>
          <w:lang w:eastAsia="fr-FR"/>
        </w:rPr>
        <w:t>est pas classique et qui nécessitent la mise en</w:t>
      </w:r>
      <w:r>
        <w:rPr>
          <w:lang w:eastAsia="fr-FR"/>
        </w:rPr>
        <w:t xml:space="preserve"> </w:t>
      </w:r>
      <w:r w:rsidRPr="005B0501">
        <w:rPr>
          <w:lang w:eastAsia="fr-FR"/>
        </w:rPr>
        <w:t xml:space="preserve">marche du </w:t>
      </w:r>
      <w:r w:rsidRPr="005B0501">
        <w:t>système de propulsion.</w:t>
      </w:r>
    </w:p>
    <w:p w14:paraId="3ECE8975" w14:textId="7BA5EB7D" w:rsidR="00664DB6" w:rsidRDefault="00664DB6" w:rsidP="00C91959">
      <w:pPr>
        <w:pStyle w:val="SingleTxtG"/>
        <w:ind w:left="2268"/>
      </w:pPr>
      <w:r w:rsidRPr="0012133E">
        <w:rPr>
          <w:lang w:eastAsia="fr-FR"/>
        </w:rPr>
        <w:t xml:space="preserve">Avant de procéder à quelque mesure que </w:t>
      </w:r>
      <w:r w:rsidRPr="0012133E">
        <w:rPr>
          <w:lang w:eastAsia="ja-JP"/>
        </w:rPr>
        <w:t>ce</w:t>
      </w:r>
      <w:r w:rsidRPr="0012133E">
        <w:rPr>
          <w:lang w:eastAsia="fr-FR"/>
        </w:rPr>
        <w:t xml:space="preserve"> soit, attendre que le véhicule se soit immobilisé avec le moteur en marche.</w:t>
      </w:r>
      <w:r>
        <w:t> </w:t>
      </w:r>
      <w:r w:rsidRPr="005B0501">
        <w:t>».</w:t>
      </w:r>
    </w:p>
    <w:p w14:paraId="27480D5A" w14:textId="1690E43D" w:rsidR="00C91959" w:rsidRPr="00C91959" w:rsidRDefault="00C91959" w:rsidP="00C91959">
      <w:pPr>
        <w:pStyle w:val="SingleTxtG"/>
        <w:spacing w:before="240" w:after="0"/>
        <w:jc w:val="center"/>
        <w:rPr>
          <w:u w:val="single"/>
        </w:rPr>
      </w:pPr>
      <w:r>
        <w:rPr>
          <w:u w:val="single"/>
        </w:rPr>
        <w:tab/>
      </w:r>
      <w:r>
        <w:rPr>
          <w:u w:val="single"/>
        </w:rPr>
        <w:tab/>
      </w:r>
      <w:r>
        <w:rPr>
          <w:u w:val="single"/>
        </w:rPr>
        <w:tab/>
      </w:r>
      <w:r>
        <w:rPr>
          <w:u w:val="single"/>
        </w:rPr>
        <w:tab/>
      </w:r>
    </w:p>
    <w:sectPr w:rsidR="00C91959" w:rsidRPr="00C91959" w:rsidSect="00664DB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5239" w14:textId="77777777" w:rsidR="00D62DA5" w:rsidRDefault="00D62DA5" w:rsidP="00F95C08">
      <w:pPr>
        <w:spacing w:line="240" w:lineRule="auto"/>
      </w:pPr>
    </w:p>
  </w:endnote>
  <w:endnote w:type="continuationSeparator" w:id="0">
    <w:p w14:paraId="72B8689B" w14:textId="77777777" w:rsidR="00D62DA5" w:rsidRPr="00AC3823" w:rsidRDefault="00D62DA5" w:rsidP="00AC3823">
      <w:pPr>
        <w:pStyle w:val="Pieddepage"/>
      </w:pPr>
    </w:p>
  </w:endnote>
  <w:endnote w:type="continuationNotice" w:id="1">
    <w:p w14:paraId="27B0AAC0" w14:textId="77777777" w:rsidR="00D62DA5" w:rsidRDefault="00D62D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575C" w14:textId="28F013EA" w:rsidR="00664DB6" w:rsidRPr="00664DB6" w:rsidRDefault="00664DB6" w:rsidP="00664DB6">
    <w:pPr>
      <w:pStyle w:val="Pieddepage"/>
      <w:tabs>
        <w:tab w:val="right" w:pos="9638"/>
      </w:tabs>
    </w:pPr>
    <w:r w:rsidRPr="00664DB6">
      <w:rPr>
        <w:b/>
        <w:sz w:val="18"/>
      </w:rPr>
      <w:fldChar w:fldCharType="begin"/>
    </w:r>
    <w:r w:rsidRPr="00664DB6">
      <w:rPr>
        <w:b/>
        <w:sz w:val="18"/>
      </w:rPr>
      <w:instrText xml:space="preserve"> PAGE  \* MERGEFORMAT </w:instrText>
    </w:r>
    <w:r w:rsidRPr="00664DB6">
      <w:rPr>
        <w:b/>
        <w:sz w:val="18"/>
      </w:rPr>
      <w:fldChar w:fldCharType="separate"/>
    </w:r>
    <w:r w:rsidRPr="00664DB6">
      <w:rPr>
        <w:b/>
        <w:noProof/>
        <w:sz w:val="18"/>
      </w:rPr>
      <w:t>2</w:t>
    </w:r>
    <w:r w:rsidRPr="00664DB6">
      <w:rPr>
        <w:b/>
        <w:sz w:val="18"/>
      </w:rPr>
      <w:fldChar w:fldCharType="end"/>
    </w:r>
    <w:r>
      <w:rPr>
        <w:b/>
        <w:sz w:val="18"/>
      </w:rPr>
      <w:tab/>
    </w:r>
    <w:r>
      <w:t>GE.22-28611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A85E" w14:textId="77402775" w:rsidR="00664DB6" w:rsidRPr="00664DB6" w:rsidRDefault="00664DB6" w:rsidP="00664DB6">
    <w:pPr>
      <w:pStyle w:val="Pieddepage"/>
      <w:tabs>
        <w:tab w:val="right" w:pos="9638"/>
      </w:tabs>
      <w:rPr>
        <w:b/>
        <w:sz w:val="18"/>
      </w:rPr>
    </w:pPr>
    <w:r>
      <w:t>GE.22-28611</w:t>
    </w:r>
    <w:r>
      <w:tab/>
    </w:r>
    <w:r w:rsidRPr="00664DB6">
      <w:rPr>
        <w:b/>
        <w:sz w:val="18"/>
      </w:rPr>
      <w:fldChar w:fldCharType="begin"/>
    </w:r>
    <w:r w:rsidRPr="00664DB6">
      <w:rPr>
        <w:b/>
        <w:sz w:val="18"/>
      </w:rPr>
      <w:instrText xml:space="preserve"> PAGE  \* MERGEFORMAT </w:instrText>
    </w:r>
    <w:r w:rsidRPr="00664DB6">
      <w:rPr>
        <w:b/>
        <w:sz w:val="18"/>
      </w:rPr>
      <w:fldChar w:fldCharType="separate"/>
    </w:r>
    <w:r w:rsidRPr="00664DB6">
      <w:rPr>
        <w:b/>
        <w:noProof/>
        <w:sz w:val="18"/>
      </w:rPr>
      <w:t>3</w:t>
    </w:r>
    <w:r w:rsidRPr="00664D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4E1C" w14:textId="62D3DB09" w:rsidR="007F20FA" w:rsidRPr="00664DB6" w:rsidRDefault="00664DB6" w:rsidP="00664DB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333FD09" wp14:editId="5226BA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22-28611  (F)</w:t>
    </w:r>
    <w:r>
      <w:rPr>
        <w:noProof/>
        <w:sz w:val="20"/>
      </w:rPr>
      <w:drawing>
        <wp:anchor distT="0" distB="0" distL="114300" distR="114300" simplePos="0" relativeHeight="251660288" behindDoc="0" locked="0" layoutInCell="1" allowOverlap="1" wp14:anchorId="06E79A77" wp14:editId="3927F31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797">
      <w:rPr>
        <w:sz w:val="20"/>
      </w:rPr>
      <w:t xml:space="preserve">    180123    180123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022F" w14:textId="77777777" w:rsidR="00D62DA5" w:rsidRPr="00AC3823" w:rsidRDefault="00D62DA5" w:rsidP="00AC3823">
      <w:pPr>
        <w:pStyle w:val="Pieddepage"/>
        <w:tabs>
          <w:tab w:val="right" w:pos="2155"/>
        </w:tabs>
        <w:spacing w:after="80" w:line="240" w:lineRule="atLeast"/>
        <w:ind w:left="680"/>
        <w:rPr>
          <w:u w:val="single"/>
        </w:rPr>
      </w:pPr>
      <w:r>
        <w:rPr>
          <w:u w:val="single"/>
        </w:rPr>
        <w:tab/>
      </w:r>
    </w:p>
  </w:footnote>
  <w:footnote w:type="continuationSeparator" w:id="0">
    <w:p w14:paraId="4319D6A6" w14:textId="77777777" w:rsidR="00D62DA5" w:rsidRPr="00AC3823" w:rsidRDefault="00D62DA5" w:rsidP="00AC3823">
      <w:pPr>
        <w:pStyle w:val="Pieddepage"/>
        <w:tabs>
          <w:tab w:val="right" w:pos="2155"/>
        </w:tabs>
        <w:spacing w:after="80" w:line="240" w:lineRule="atLeast"/>
        <w:ind w:left="680"/>
        <w:rPr>
          <w:u w:val="single"/>
        </w:rPr>
      </w:pPr>
      <w:r>
        <w:rPr>
          <w:u w:val="single"/>
        </w:rPr>
        <w:tab/>
      </w:r>
    </w:p>
  </w:footnote>
  <w:footnote w:type="continuationNotice" w:id="1">
    <w:p w14:paraId="7B541002" w14:textId="77777777" w:rsidR="00D62DA5" w:rsidRPr="00AC3823" w:rsidRDefault="00D62DA5">
      <w:pPr>
        <w:spacing w:line="240" w:lineRule="auto"/>
        <w:rPr>
          <w:sz w:val="2"/>
          <w:szCs w:val="2"/>
        </w:rPr>
      </w:pPr>
    </w:p>
  </w:footnote>
  <w:footnote w:id="2">
    <w:p w14:paraId="4523EA02" w14:textId="54E1E28B" w:rsidR="004055B4" w:rsidRPr="004055B4" w:rsidRDefault="004055B4">
      <w:pPr>
        <w:pStyle w:val="Notedebasdepage"/>
      </w:pPr>
      <w:r>
        <w:rPr>
          <w:rStyle w:val="Appelnotedebasdep"/>
        </w:rPr>
        <w:tab/>
      </w:r>
      <w:r w:rsidRPr="004055B4">
        <w:rPr>
          <w:rStyle w:val="Appelnotedebasdep"/>
          <w:sz w:val="20"/>
          <w:vertAlign w:val="baseline"/>
        </w:rPr>
        <w:t>*</w:t>
      </w:r>
      <w:r>
        <w:rPr>
          <w:rStyle w:val="Appelnotedebasdep"/>
          <w:sz w:val="20"/>
          <w:vertAlign w:val="baseline"/>
        </w:rPr>
        <w:tab/>
      </w:r>
      <w:r w:rsidRPr="005B0501">
        <w:t>Conformément au programme de travail du Comité des transports intérieurs pour 202</w:t>
      </w:r>
      <w:r>
        <w:t>3</w:t>
      </w:r>
      <w:r w:rsidRPr="005B0501">
        <w:t xml:space="preserve"> tel qu</w:t>
      </w:r>
      <w:r>
        <w:t>’</w:t>
      </w:r>
      <w:r w:rsidRPr="005B0501">
        <w:t>il figure dans le projet de budget-programme pour 202</w:t>
      </w:r>
      <w:r>
        <w:t>3</w:t>
      </w:r>
      <w:r w:rsidRPr="005B0501">
        <w:t xml:space="preserve"> (A/7</w:t>
      </w:r>
      <w:r>
        <w:t>7</w:t>
      </w:r>
      <w:r w:rsidRPr="005B0501">
        <w:t>/6 (Sect.</w:t>
      </w:r>
      <w:r>
        <w:t> </w:t>
      </w:r>
      <w:r w:rsidRPr="005B0501">
        <w:t xml:space="preserve">20), </w:t>
      </w:r>
      <w:r>
        <w:t>tableau </w:t>
      </w:r>
      <w:r w:rsidRPr="005B0501">
        <w:t>20.</w:t>
      </w:r>
      <w:r>
        <w:t>6</w:t>
      </w:r>
      <w:r w:rsidRPr="005B0501">
        <w:t>), le Forum mondial a pour mission d</w:t>
      </w:r>
      <w:r>
        <w:t>’</w:t>
      </w:r>
      <w:r w:rsidRPr="005B0501">
        <w:t>élaborer, d</w:t>
      </w:r>
      <w:r>
        <w:t>’</w:t>
      </w:r>
      <w:r w:rsidRPr="005B0501">
        <w:t>harmoniser et de mettre à jour les Règlements ONU en vue d</w:t>
      </w:r>
      <w:r>
        <w:t>’</w:t>
      </w:r>
      <w:r w:rsidRPr="005B0501">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B2D9" w14:textId="41E26FA4" w:rsidR="00664DB6" w:rsidRPr="00664DB6" w:rsidRDefault="00664DB6">
    <w:pPr>
      <w:pStyle w:val="En-tte"/>
    </w:pPr>
    <w:fldSimple w:instr=" TITLE  \* MERGEFORMAT ">
      <w:r w:rsidR="00B92D75">
        <w:t>ECE/TRANS/WP.29/2023/29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E341" w14:textId="3F2C48B2" w:rsidR="00664DB6" w:rsidRPr="00664DB6" w:rsidRDefault="00664DB6" w:rsidP="00664DB6">
    <w:pPr>
      <w:pStyle w:val="En-tte"/>
      <w:jc w:val="right"/>
    </w:pPr>
    <w:fldSimple w:instr=" TITLE  \* MERGEFORMAT ">
      <w:r w:rsidR="00B92D75">
        <w:t>ECE/TRANS/WP.29/2023/29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A5"/>
    <w:rsid w:val="00017F94"/>
    <w:rsid w:val="00023842"/>
    <w:rsid w:val="000334F9"/>
    <w:rsid w:val="00045FEB"/>
    <w:rsid w:val="0007796D"/>
    <w:rsid w:val="000819DB"/>
    <w:rsid w:val="000B7790"/>
    <w:rsid w:val="000C3E1C"/>
    <w:rsid w:val="00111F2F"/>
    <w:rsid w:val="0014365E"/>
    <w:rsid w:val="00143C66"/>
    <w:rsid w:val="00176178"/>
    <w:rsid w:val="001F525A"/>
    <w:rsid w:val="00201148"/>
    <w:rsid w:val="002076AA"/>
    <w:rsid w:val="00223272"/>
    <w:rsid w:val="0024779E"/>
    <w:rsid w:val="00257168"/>
    <w:rsid w:val="002744B8"/>
    <w:rsid w:val="002832AC"/>
    <w:rsid w:val="002D7C93"/>
    <w:rsid w:val="00305801"/>
    <w:rsid w:val="003916DE"/>
    <w:rsid w:val="004055B4"/>
    <w:rsid w:val="00410AA2"/>
    <w:rsid w:val="00421996"/>
    <w:rsid w:val="00441C3B"/>
    <w:rsid w:val="00443C5D"/>
    <w:rsid w:val="00446FE5"/>
    <w:rsid w:val="00452396"/>
    <w:rsid w:val="00477EB2"/>
    <w:rsid w:val="004837D8"/>
    <w:rsid w:val="004C0D3A"/>
    <w:rsid w:val="004E2EED"/>
    <w:rsid w:val="004E468C"/>
    <w:rsid w:val="005505B7"/>
    <w:rsid w:val="00573BE5"/>
    <w:rsid w:val="00586ED3"/>
    <w:rsid w:val="00596AA9"/>
    <w:rsid w:val="00612B6F"/>
    <w:rsid w:val="00664DB6"/>
    <w:rsid w:val="0071601D"/>
    <w:rsid w:val="007A62E6"/>
    <w:rsid w:val="007F20FA"/>
    <w:rsid w:val="0080684C"/>
    <w:rsid w:val="00871C75"/>
    <w:rsid w:val="008776DC"/>
    <w:rsid w:val="008C268D"/>
    <w:rsid w:val="008D5EF9"/>
    <w:rsid w:val="009446C0"/>
    <w:rsid w:val="009705C8"/>
    <w:rsid w:val="009C1CF4"/>
    <w:rsid w:val="009F6B74"/>
    <w:rsid w:val="00A26AC7"/>
    <w:rsid w:val="00A3029F"/>
    <w:rsid w:val="00A30353"/>
    <w:rsid w:val="00AC3823"/>
    <w:rsid w:val="00AE323C"/>
    <w:rsid w:val="00AF0CB5"/>
    <w:rsid w:val="00B00181"/>
    <w:rsid w:val="00B00B0D"/>
    <w:rsid w:val="00B45F2E"/>
    <w:rsid w:val="00B765F7"/>
    <w:rsid w:val="00B77993"/>
    <w:rsid w:val="00B92D75"/>
    <w:rsid w:val="00BA0CA9"/>
    <w:rsid w:val="00C02897"/>
    <w:rsid w:val="00C91959"/>
    <w:rsid w:val="00C97039"/>
    <w:rsid w:val="00CB1AE1"/>
    <w:rsid w:val="00D3439C"/>
    <w:rsid w:val="00D62DA5"/>
    <w:rsid w:val="00D7622E"/>
    <w:rsid w:val="00DB1831"/>
    <w:rsid w:val="00DD3BFD"/>
    <w:rsid w:val="00DF6678"/>
    <w:rsid w:val="00E0299A"/>
    <w:rsid w:val="00E85C74"/>
    <w:rsid w:val="00EA6547"/>
    <w:rsid w:val="00ED7237"/>
    <w:rsid w:val="00EF2E22"/>
    <w:rsid w:val="00F35BAF"/>
    <w:rsid w:val="00F660DF"/>
    <w:rsid w:val="00F8579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135F2"/>
  <w15:docId w15:val="{41E56908-E161-42BF-A4BD-ADC44D29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F2E3E-265E-481E-B59E-3977F927A80D}"/>
</file>

<file path=customXml/itemProps2.xml><?xml version="1.0" encoding="utf-8"?>
<ds:datastoreItem xmlns:ds="http://schemas.openxmlformats.org/officeDocument/2006/customXml" ds:itemID="{E261BAA7-01F0-4109-98C1-EC60B8B6F6E3}"/>
</file>

<file path=docProps/app.xml><?xml version="1.0" encoding="utf-8"?>
<Properties xmlns="http://schemas.openxmlformats.org/officeDocument/2006/extended-properties" xmlns:vt="http://schemas.openxmlformats.org/officeDocument/2006/docPropsVTypes">
  <Template>ECE_TRANS.dotm</Template>
  <TotalTime>1</TotalTime>
  <Pages>7</Pages>
  <Words>1912</Words>
  <Characters>13387</Characters>
  <Application>Microsoft Office Word</Application>
  <DocSecurity>0</DocSecurity>
  <Lines>1115</Lines>
  <Paragraphs>611</Paragraphs>
  <ScaleCrop>false</ScaleCrop>
  <HeadingPairs>
    <vt:vector size="2" baseType="variant">
      <vt:variant>
        <vt:lpstr>Titre</vt:lpstr>
      </vt:variant>
      <vt:variant>
        <vt:i4>1</vt:i4>
      </vt:variant>
    </vt:vector>
  </HeadingPairs>
  <TitlesOfParts>
    <vt:vector size="1" baseType="lpstr">
      <vt:lpstr>ECE/TRANS/WP.29/2023/29</vt:lpstr>
    </vt:vector>
  </TitlesOfParts>
  <Company>DCM</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ECE/TRANS/WP.29/2023/29</dc:title>
  <dc:subject/>
  <dc:creator>Julien OKRZESIK</dc:creator>
  <cp:keywords/>
  <cp:lastModifiedBy>Julien Okrzesik</cp:lastModifiedBy>
  <cp:revision>3</cp:revision>
  <cp:lastPrinted>2023-01-18T15:48:00Z</cp:lastPrinted>
  <dcterms:created xsi:type="dcterms:W3CDTF">2023-01-18T15:48:00Z</dcterms:created>
  <dcterms:modified xsi:type="dcterms:W3CDTF">2023-01-18T15:49:00Z</dcterms:modified>
</cp:coreProperties>
</file>