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FF02F5" w14:paraId="60899346" w14:textId="77777777" w:rsidTr="00B20551">
        <w:trPr>
          <w:cantSplit/>
          <w:trHeight w:hRule="exact" w:val="851"/>
        </w:trPr>
        <w:tc>
          <w:tcPr>
            <w:tcW w:w="1276" w:type="dxa"/>
            <w:tcBorders>
              <w:bottom w:val="single" w:sz="4" w:space="0" w:color="auto"/>
            </w:tcBorders>
            <w:vAlign w:val="bottom"/>
          </w:tcPr>
          <w:p w14:paraId="60899343" w14:textId="77777777" w:rsidR="009E6CB7" w:rsidRPr="00FF02F5" w:rsidRDefault="009E6CB7" w:rsidP="00B20551">
            <w:pPr>
              <w:spacing w:after="80"/>
            </w:pPr>
          </w:p>
        </w:tc>
        <w:tc>
          <w:tcPr>
            <w:tcW w:w="2268" w:type="dxa"/>
            <w:tcBorders>
              <w:bottom w:val="single" w:sz="4" w:space="0" w:color="auto"/>
            </w:tcBorders>
            <w:vAlign w:val="bottom"/>
          </w:tcPr>
          <w:p w14:paraId="60899344" w14:textId="77777777" w:rsidR="009E6CB7" w:rsidRPr="00FF02F5" w:rsidRDefault="009E6CB7" w:rsidP="00B20551">
            <w:pPr>
              <w:spacing w:after="80" w:line="300" w:lineRule="exact"/>
              <w:rPr>
                <w:b/>
                <w:sz w:val="24"/>
                <w:szCs w:val="24"/>
              </w:rPr>
            </w:pPr>
            <w:r w:rsidRPr="00FF02F5">
              <w:rPr>
                <w:sz w:val="28"/>
                <w:szCs w:val="28"/>
              </w:rPr>
              <w:t>United Nations</w:t>
            </w:r>
          </w:p>
        </w:tc>
        <w:tc>
          <w:tcPr>
            <w:tcW w:w="6095" w:type="dxa"/>
            <w:gridSpan w:val="2"/>
            <w:tcBorders>
              <w:bottom w:val="single" w:sz="4" w:space="0" w:color="auto"/>
            </w:tcBorders>
            <w:vAlign w:val="bottom"/>
          </w:tcPr>
          <w:p w14:paraId="60899345" w14:textId="5CF8E88C" w:rsidR="009E6CB7" w:rsidRPr="00FF02F5" w:rsidRDefault="009C73C8" w:rsidP="00954785">
            <w:pPr>
              <w:jc w:val="right"/>
            </w:pPr>
            <w:r w:rsidRPr="009C73C8">
              <w:rPr>
                <w:sz w:val="40"/>
              </w:rPr>
              <w:t>ECE</w:t>
            </w:r>
            <w:r>
              <w:t>/TRANS/202</w:t>
            </w:r>
            <w:r w:rsidR="003307F0">
              <w:t>3</w:t>
            </w:r>
            <w:r>
              <w:t>/</w:t>
            </w:r>
            <w:r w:rsidR="00CA3581">
              <w:t>12</w:t>
            </w:r>
          </w:p>
        </w:tc>
      </w:tr>
      <w:tr w:rsidR="00FF02F5" w:rsidRPr="00FF02F5" w14:paraId="6089934D" w14:textId="77777777" w:rsidTr="00B20551">
        <w:trPr>
          <w:cantSplit/>
          <w:trHeight w:hRule="exact" w:val="2835"/>
        </w:trPr>
        <w:tc>
          <w:tcPr>
            <w:tcW w:w="1276" w:type="dxa"/>
            <w:tcBorders>
              <w:top w:val="single" w:sz="4" w:space="0" w:color="auto"/>
              <w:bottom w:val="single" w:sz="12" w:space="0" w:color="auto"/>
            </w:tcBorders>
          </w:tcPr>
          <w:p w14:paraId="60899347" w14:textId="77777777" w:rsidR="009E6CB7" w:rsidRPr="00FF02F5" w:rsidRDefault="00686A48" w:rsidP="00B20551">
            <w:pPr>
              <w:spacing w:before="120"/>
            </w:pPr>
            <w:r w:rsidRPr="00FF02F5">
              <w:rPr>
                <w:noProof/>
                <w:lang w:val="fr-CH" w:eastAsia="fr-CH"/>
              </w:rPr>
              <w:drawing>
                <wp:inline distT="0" distB="0" distL="0" distR="0" wp14:anchorId="60899353" wp14:editId="6089935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0899348" w14:textId="77777777" w:rsidR="009E6CB7" w:rsidRPr="00FF02F5" w:rsidRDefault="009E6CB7" w:rsidP="00B20551">
            <w:pPr>
              <w:spacing w:before="120" w:line="420" w:lineRule="exact"/>
              <w:rPr>
                <w:sz w:val="40"/>
                <w:szCs w:val="40"/>
              </w:rPr>
            </w:pPr>
            <w:r w:rsidRPr="00FF02F5">
              <w:rPr>
                <w:b/>
                <w:sz w:val="40"/>
                <w:szCs w:val="40"/>
              </w:rPr>
              <w:t>Economic and Social Council</w:t>
            </w:r>
          </w:p>
        </w:tc>
        <w:tc>
          <w:tcPr>
            <w:tcW w:w="2835" w:type="dxa"/>
            <w:tcBorders>
              <w:top w:val="single" w:sz="4" w:space="0" w:color="auto"/>
              <w:bottom w:val="single" w:sz="12" w:space="0" w:color="auto"/>
            </w:tcBorders>
          </w:tcPr>
          <w:p w14:paraId="60899349" w14:textId="77777777" w:rsidR="009E6CB7" w:rsidRPr="00FF02F5" w:rsidRDefault="00954785" w:rsidP="00954785">
            <w:pPr>
              <w:spacing w:before="240" w:line="240" w:lineRule="exact"/>
            </w:pPr>
            <w:r w:rsidRPr="00FF02F5">
              <w:t>Distr.: General</w:t>
            </w:r>
          </w:p>
          <w:p w14:paraId="6089934A" w14:textId="6A08D555" w:rsidR="00954785" w:rsidRPr="00FF02F5" w:rsidRDefault="00DE5A41" w:rsidP="00954785">
            <w:pPr>
              <w:spacing w:line="240" w:lineRule="exact"/>
            </w:pPr>
            <w:r>
              <w:t>12</w:t>
            </w:r>
            <w:r w:rsidR="00AE5A19">
              <w:t xml:space="preserve"> December</w:t>
            </w:r>
            <w:r w:rsidR="00CD3488">
              <w:t xml:space="preserve"> </w:t>
            </w:r>
            <w:r w:rsidR="00954785" w:rsidRPr="00FF02F5">
              <w:t>20</w:t>
            </w:r>
            <w:r w:rsidR="006B3ABA">
              <w:t>2</w:t>
            </w:r>
            <w:r w:rsidR="00CA3581">
              <w:t>2</w:t>
            </w:r>
          </w:p>
          <w:p w14:paraId="6089934B" w14:textId="77777777" w:rsidR="00954785" w:rsidRPr="00FF02F5" w:rsidRDefault="00954785" w:rsidP="00954785">
            <w:pPr>
              <w:spacing w:line="240" w:lineRule="exact"/>
            </w:pPr>
          </w:p>
          <w:p w14:paraId="6089934C" w14:textId="77777777" w:rsidR="00954785" w:rsidRPr="00FF02F5" w:rsidRDefault="00954785" w:rsidP="00954785">
            <w:pPr>
              <w:spacing w:line="240" w:lineRule="exact"/>
            </w:pPr>
            <w:r w:rsidRPr="00FF02F5">
              <w:t>Original: English</w:t>
            </w:r>
          </w:p>
        </w:tc>
      </w:tr>
    </w:tbl>
    <w:p w14:paraId="6089934E" w14:textId="77777777" w:rsidR="00250503" w:rsidRPr="00FF02F5" w:rsidRDefault="00250503" w:rsidP="00250503">
      <w:pPr>
        <w:spacing w:before="120"/>
        <w:rPr>
          <w:b/>
          <w:bCs/>
          <w:sz w:val="28"/>
          <w:szCs w:val="28"/>
        </w:rPr>
      </w:pPr>
      <w:r w:rsidRPr="00FF02F5">
        <w:rPr>
          <w:b/>
          <w:bCs/>
          <w:sz w:val="28"/>
          <w:szCs w:val="28"/>
        </w:rPr>
        <w:t>Economic Commission for Europe</w:t>
      </w:r>
    </w:p>
    <w:p w14:paraId="6089934F" w14:textId="77777777" w:rsidR="00250503" w:rsidRPr="00FF02F5" w:rsidRDefault="00250503" w:rsidP="00250503">
      <w:pPr>
        <w:spacing w:before="120"/>
        <w:rPr>
          <w:sz w:val="28"/>
          <w:szCs w:val="28"/>
        </w:rPr>
      </w:pPr>
      <w:r w:rsidRPr="00FF02F5">
        <w:rPr>
          <w:sz w:val="28"/>
          <w:szCs w:val="28"/>
        </w:rPr>
        <w:t>Inland Transport Committee</w:t>
      </w:r>
    </w:p>
    <w:p w14:paraId="60899350" w14:textId="11A70A2C" w:rsidR="00250503" w:rsidRPr="00FF02F5" w:rsidRDefault="00250503" w:rsidP="00250503">
      <w:pPr>
        <w:spacing w:before="120"/>
        <w:rPr>
          <w:b/>
          <w:bCs/>
        </w:rPr>
      </w:pPr>
      <w:r w:rsidRPr="00FF02F5">
        <w:rPr>
          <w:b/>
          <w:bCs/>
        </w:rPr>
        <w:t>Eighty-</w:t>
      </w:r>
      <w:r w:rsidR="00CA3581">
        <w:rPr>
          <w:b/>
          <w:bCs/>
        </w:rPr>
        <w:t>fifth</w:t>
      </w:r>
      <w:r w:rsidRPr="00FF02F5">
        <w:rPr>
          <w:b/>
          <w:bCs/>
        </w:rPr>
        <w:t xml:space="preserve"> session</w:t>
      </w:r>
    </w:p>
    <w:p w14:paraId="3161D8D1" w14:textId="7651A12D" w:rsidR="00C137B6" w:rsidRDefault="00250503" w:rsidP="00250503">
      <w:pPr>
        <w:rPr>
          <w:b/>
          <w:bCs/>
        </w:rPr>
      </w:pPr>
      <w:r w:rsidRPr="00FF02F5">
        <w:t>Geneva, 2</w:t>
      </w:r>
      <w:r w:rsidR="00CA3581">
        <w:t>1</w:t>
      </w:r>
      <w:r w:rsidRPr="00FF02F5">
        <w:t>-2</w:t>
      </w:r>
      <w:r w:rsidR="00CA3581">
        <w:t xml:space="preserve">4 </w:t>
      </w:r>
      <w:r w:rsidRPr="00FF02F5">
        <w:t>February 202</w:t>
      </w:r>
      <w:r w:rsidR="00CA3581">
        <w:t>3</w:t>
      </w:r>
      <w:r w:rsidRPr="00FF02F5">
        <w:br/>
      </w:r>
      <w:r w:rsidR="00C137B6" w:rsidRPr="00FF02F5">
        <w:t xml:space="preserve">Item </w:t>
      </w:r>
      <w:r w:rsidR="00C137B6">
        <w:t xml:space="preserve">6 (b) </w:t>
      </w:r>
      <w:r w:rsidR="00C137B6" w:rsidRPr="00FF02F5">
        <w:t>of the provisional agenda</w:t>
      </w:r>
      <w:r w:rsidR="00C137B6" w:rsidRPr="00FF02F5">
        <w:br/>
      </w:r>
      <w:r w:rsidR="00C137B6" w:rsidRPr="00824392">
        <w:rPr>
          <w:b/>
          <w:bCs/>
        </w:rPr>
        <w:t xml:space="preserve">Programmatic </w:t>
      </w:r>
      <w:r w:rsidR="00DE5A41">
        <w:rPr>
          <w:b/>
          <w:bCs/>
        </w:rPr>
        <w:t>I</w:t>
      </w:r>
      <w:r w:rsidR="00C137B6" w:rsidRPr="00824392">
        <w:rPr>
          <w:b/>
          <w:bCs/>
        </w:rPr>
        <w:t>ssues</w:t>
      </w:r>
      <w:r w:rsidR="00C137B6">
        <w:rPr>
          <w:b/>
          <w:bCs/>
        </w:rPr>
        <w:t xml:space="preserve">: </w:t>
      </w:r>
    </w:p>
    <w:p w14:paraId="60899351" w14:textId="2293A8CD" w:rsidR="00250503" w:rsidRPr="00FF02F5" w:rsidRDefault="00C137B6" w:rsidP="00250503">
      <w:pPr>
        <w:rPr>
          <w:b/>
          <w:bCs/>
        </w:rPr>
      </w:pPr>
      <w:r w:rsidRPr="00824392">
        <w:rPr>
          <w:b/>
          <w:bCs/>
        </w:rPr>
        <w:t>Programme Plan for 202</w:t>
      </w:r>
      <w:r w:rsidR="002E7A87">
        <w:rPr>
          <w:b/>
          <w:bCs/>
        </w:rPr>
        <w:t>4</w:t>
      </w:r>
    </w:p>
    <w:p w14:paraId="6D168DD1" w14:textId="711451CD" w:rsidR="00DD0CD0" w:rsidRDefault="00250503" w:rsidP="00DD0CD0">
      <w:pPr>
        <w:pStyle w:val="HChG"/>
      </w:pPr>
      <w:r w:rsidRPr="00FF02F5">
        <w:tab/>
      </w:r>
      <w:r w:rsidRPr="00FF02F5">
        <w:tab/>
      </w:r>
      <w:r w:rsidR="00DD0CD0" w:rsidRPr="000630DD">
        <w:tab/>
      </w:r>
      <w:r w:rsidR="00DD0CD0" w:rsidRPr="00CD264E">
        <w:t>Programme Plan for 202</w:t>
      </w:r>
      <w:r w:rsidR="002E7A87">
        <w:t>4</w:t>
      </w:r>
    </w:p>
    <w:p w14:paraId="154B77A6" w14:textId="77777777" w:rsidR="00DD0CD0" w:rsidRDefault="00DD0CD0" w:rsidP="00DD0CD0">
      <w:pPr>
        <w:pStyle w:val="HChG"/>
      </w:pPr>
      <w:r>
        <w:tab/>
      </w:r>
      <w:r>
        <w:tab/>
      </w:r>
      <w:r w:rsidRPr="00FA194B">
        <w:t xml:space="preserve">Subprogramme </w:t>
      </w:r>
      <w:r>
        <w:t>2: Transport</w:t>
      </w:r>
    </w:p>
    <w:p w14:paraId="0B39E45D" w14:textId="754C66B4" w:rsidR="00DD0CD0" w:rsidRDefault="00DD0CD0" w:rsidP="00DD0CD0">
      <w:pPr>
        <w:pStyle w:val="H1G"/>
      </w:pPr>
      <w:r>
        <w:tab/>
      </w:r>
      <w:r>
        <w:tab/>
      </w:r>
      <w:r w:rsidRPr="00742A2F">
        <w:t>Note by the secretariat</w:t>
      </w:r>
      <w:r w:rsidR="00A5155B" w:rsidRPr="00A5155B">
        <w:rPr>
          <w:rStyle w:val="FootnoteReference"/>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EC22CE" w:rsidRPr="00EA328A" w14:paraId="1ADCC5C6" w14:textId="77777777" w:rsidTr="00D23714">
        <w:trPr>
          <w:jc w:val="center"/>
        </w:trPr>
        <w:tc>
          <w:tcPr>
            <w:tcW w:w="9629" w:type="dxa"/>
            <w:shd w:val="clear" w:color="auto" w:fill="auto"/>
          </w:tcPr>
          <w:p w14:paraId="18D412AA" w14:textId="77777777" w:rsidR="00EC22CE" w:rsidRPr="00EA328A" w:rsidRDefault="00EC22CE" w:rsidP="00D23714">
            <w:pPr>
              <w:spacing w:before="240" w:after="120"/>
              <w:ind w:left="255"/>
              <w:rPr>
                <w:i/>
                <w:sz w:val="24"/>
              </w:rPr>
            </w:pPr>
            <w:r w:rsidRPr="00EA328A">
              <w:rPr>
                <w:i/>
                <w:sz w:val="24"/>
              </w:rPr>
              <w:t>Summary</w:t>
            </w:r>
          </w:p>
        </w:tc>
      </w:tr>
      <w:tr w:rsidR="00EC22CE" w:rsidRPr="00EA328A" w14:paraId="554131EB" w14:textId="77777777" w:rsidTr="00D23714">
        <w:trPr>
          <w:jc w:val="center"/>
        </w:trPr>
        <w:tc>
          <w:tcPr>
            <w:tcW w:w="9629" w:type="dxa"/>
            <w:shd w:val="clear" w:color="auto" w:fill="auto"/>
          </w:tcPr>
          <w:p w14:paraId="229BFCE2" w14:textId="77777777" w:rsidR="00EC22CE" w:rsidRPr="00EA328A" w:rsidRDefault="00EC22CE" w:rsidP="00D23714">
            <w:pPr>
              <w:pStyle w:val="SingleTxtG"/>
            </w:pPr>
            <w:r>
              <w:tab/>
            </w:r>
            <w:r>
              <w:tab/>
            </w:r>
            <w:r w:rsidRPr="00F977A0">
              <w:t>In December 2017, the seventy-second session of the General Assembly adopted resolution A/72/266 “Shifting the management paradigm in the United Nations”. With this resolution, Member States approved the proposed budget change from biennial to annual on a trial basis, beginning with the programme budget for 2020, and requested the Secretary-General to review the changes to the budgetary cycle in 2022, after completing the first full budgetary cycle. The General Assembly also decided to review at its seventy-seventh session, in view of taking a final decision, the implementation of an annual budget</w:t>
            </w:r>
            <w:r>
              <w:t>.</w:t>
            </w:r>
          </w:p>
        </w:tc>
      </w:tr>
      <w:tr w:rsidR="00EC22CE" w:rsidRPr="00EA328A" w14:paraId="41E4575B" w14:textId="77777777" w:rsidTr="00D23714">
        <w:trPr>
          <w:jc w:val="center"/>
        </w:trPr>
        <w:tc>
          <w:tcPr>
            <w:tcW w:w="9629" w:type="dxa"/>
            <w:shd w:val="clear" w:color="auto" w:fill="auto"/>
          </w:tcPr>
          <w:p w14:paraId="4124F553" w14:textId="2E64E3BB" w:rsidR="00EC22CE" w:rsidRDefault="00EC22CE" w:rsidP="00D23714">
            <w:pPr>
              <w:pStyle w:val="SingleTxtG"/>
            </w:pPr>
            <w:r>
              <w:tab/>
            </w:r>
            <w:r>
              <w:tab/>
            </w:r>
            <w:r w:rsidRPr="0012646E">
              <w:t xml:space="preserve">Based on the instructions from the United Nations Controller, the ECE secretariat has prepared the proposed programme </w:t>
            </w:r>
            <w:r>
              <w:t>plan</w:t>
            </w:r>
            <w:r w:rsidRPr="0012646E">
              <w:t xml:space="preserve"> for 202</w:t>
            </w:r>
            <w:r w:rsidR="002B0FDC">
              <w:t>4</w:t>
            </w:r>
            <w:r w:rsidRPr="0012646E">
              <w:t xml:space="preserve"> for subprogramme 2 (Transport), </w:t>
            </w:r>
            <w:r>
              <w:t>which was shared</w:t>
            </w:r>
            <w:r w:rsidRPr="0012646E">
              <w:t xml:space="preserve"> for comments with the Inland Transport Committee (ITC) Bureau and EXCOM as part of the ECE </w:t>
            </w:r>
            <w:r>
              <w:t>proposed programme plan for 202</w:t>
            </w:r>
            <w:r w:rsidR="002B0FDC">
              <w:t>4</w:t>
            </w:r>
            <w:r w:rsidRPr="0012646E">
              <w:t>. The consolidated ECE proposed programme budget, modified as appropriate, will subsequently be submitted to the Committee for Programme and Coordination and the Advisory Committee on Administrative and Budgetary Questions at their sessions in mid-202</w:t>
            </w:r>
            <w:r w:rsidR="002B0FDC">
              <w:t>3</w:t>
            </w:r>
            <w:r w:rsidRPr="0012646E">
              <w:t>. Their conclusions and recommendations therein will be transmitted to the General Assembly at its seventy-</w:t>
            </w:r>
            <w:r w:rsidR="00AF4308">
              <w:t>eigh</w:t>
            </w:r>
            <w:r w:rsidR="00155992">
              <w:t>th</w:t>
            </w:r>
            <w:r w:rsidRPr="0012646E">
              <w:t xml:space="preserve"> session in 202</w:t>
            </w:r>
            <w:r w:rsidR="00AF4308">
              <w:t>3</w:t>
            </w:r>
            <w:r w:rsidRPr="0012646E">
              <w:t xml:space="preserve"> when it considers the Secretary-General’s proposed programme budget for 202</w:t>
            </w:r>
            <w:r w:rsidR="00AF4308">
              <w:t>4</w:t>
            </w:r>
            <w:r w:rsidRPr="0012646E">
              <w:t>.</w:t>
            </w:r>
          </w:p>
        </w:tc>
      </w:tr>
      <w:tr w:rsidR="00EC22CE" w:rsidRPr="00EA328A" w14:paraId="1A553444" w14:textId="77777777" w:rsidTr="00D23714">
        <w:trPr>
          <w:jc w:val="center"/>
        </w:trPr>
        <w:tc>
          <w:tcPr>
            <w:tcW w:w="9629" w:type="dxa"/>
            <w:shd w:val="clear" w:color="auto" w:fill="auto"/>
          </w:tcPr>
          <w:p w14:paraId="6FF80E9B" w14:textId="3DF9D708" w:rsidR="00EC22CE" w:rsidRDefault="00EC22CE" w:rsidP="00D23714">
            <w:pPr>
              <w:pStyle w:val="SingleTxtG"/>
            </w:pPr>
            <w:r>
              <w:tab/>
            </w:r>
            <w:r>
              <w:tab/>
            </w:r>
            <w:r w:rsidRPr="00456B81">
              <w:rPr>
                <w:lang w:eastAsia="en-US"/>
              </w:rPr>
              <w:t xml:space="preserve">The </w:t>
            </w:r>
            <w:r>
              <w:rPr>
                <w:lang w:eastAsia="en-US"/>
              </w:rPr>
              <w:t>Committee</w:t>
            </w:r>
            <w:r w:rsidRPr="00456B81">
              <w:rPr>
                <w:lang w:eastAsia="en-US"/>
              </w:rPr>
              <w:t xml:space="preserve"> </w:t>
            </w:r>
            <w:r w:rsidRPr="00456B81">
              <w:rPr>
                <w:b/>
                <w:bCs/>
                <w:lang w:eastAsia="en-US"/>
              </w:rPr>
              <w:t>may wish to note</w:t>
            </w:r>
            <w:r w:rsidRPr="00456B81">
              <w:rPr>
                <w:lang w:eastAsia="en-US"/>
              </w:rPr>
              <w:t xml:space="preserve"> that the information contained in this document was reviewed by the ITC Bureau at its session on </w:t>
            </w:r>
            <w:r>
              <w:rPr>
                <w:lang w:eastAsia="en-US"/>
              </w:rPr>
              <w:t>2</w:t>
            </w:r>
            <w:r w:rsidR="002E7A87">
              <w:rPr>
                <w:lang w:eastAsia="en-US"/>
              </w:rPr>
              <w:t>1</w:t>
            </w:r>
            <w:r>
              <w:rPr>
                <w:lang w:eastAsia="en-US"/>
              </w:rPr>
              <w:t>–2</w:t>
            </w:r>
            <w:r w:rsidR="00AF4308">
              <w:rPr>
                <w:lang w:eastAsia="en-US"/>
              </w:rPr>
              <w:t>2</w:t>
            </w:r>
            <w:r>
              <w:rPr>
                <w:lang w:eastAsia="en-US"/>
              </w:rPr>
              <w:t xml:space="preserve"> </w:t>
            </w:r>
            <w:r w:rsidRPr="00456B81">
              <w:rPr>
                <w:lang w:eastAsia="en-US"/>
              </w:rPr>
              <w:t>November 20</w:t>
            </w:r>
            <w:r>
              <w:rPr>
                <w:lang w:eastAsia="en-US"/>
              </w:rPr>
              <w:t>2</w:t>
            </w:r>
            <w:r w:rsidR="00AF4308">
              <w:rPr>
                <w:lang w:eastAsia="en-US"/>
              </w:rPr>
              <w:t>2</w:t>
            </w:r>
            <w:r w:rsidRPr="00456B81">
              <w:rPr>
                <w:lang w:eastAsia="en-US"/>
              </w:rPr>
              <w:t xml:space="preserve">. The Committee </w:t>
            </w:r>
            <w:r w:rsidRPr="00456B81">
              <w:rPr>
                <w:b/>
                <w:bCs/>
                <w:lang w:eastAsia="en-US"/>
              </w:rPr>
              <w:t>is invited to review and provide comments</w:t>
            </w:r>
            <w:r w:rsidRPr="00456B81">
              <w:rPr>
                <w:lang w:eastAsia="en-US"/>
              </w:rPr>
              <w:t xml:space="preserve"> to this document</w:t>
            </w:r>
            <w:r>
              <w:rPr>
                <w:lang w:eastAsia="en-US"/>
              </w:rPr>
              <w:t>, as necessary.</w:t>
            </w:r>
          </w:p>
        </w:tc>
      </w:tr>
      <w:tr w:rsidR="00EC22CE" w:rsidRPr="00EA328A" w14:paraId="3A5249B1" w14:textId="77777777" w:rsidTr="00D23714">
        <w:trPr>
          <w:jc w:val="center"/>
        </w:trPr>
        <w:tc>
          <w:tcPr>
            <w:tcW w:w="9629" w:type="dxa"/>
            <w:shd w:val="clear" w:color="auto" w:fill="auto"/>
          </w:tcPr>
          <w:p w14:paraId="51C2D42B" w14:textId="77777777" w:rsidR="00EC22CE" w:rsidRPr="00EA328A" w:rsidRDefault="00EC22CE" w:rsidP="00D23714"/>
        </w:tc>
      </w:tr>
    </w:tbl>
    <w:p w14:paraId="6575E1B1" w14:textId="1DB7B1B1" w:rsidR="00547ED7" w:rsidRPr="00547ED7" w:rsidRDefault="00547ED7" w:rsidP="00547ED7">
      <w:pPr>
        <w:pStyle w:val="HChG"/>
      </w:pPr>
      <w:r>
        <w:lastRenderedPageBreak/>
        <w:tab/>
      </w:r>
      <w:r w:rsidR="00B06BCD">
        <w:t>I.</w:t>
      </w:r>
      <w:r>
        <w:tab/>
      </w:r>
      <w:r w:rsidRPr="00547ED7">
        <w:t>Objective</w:t>
      </w:r>
    </w:p>
    <w:p w14:paraId="5F3030BD" w14:textId="7CCC43BC" w:rsidR="00547ED7" w:rsidRPr="00547ED7" w:rsidRDefault="00B06BCD" w:rsidP="00547ED7">
      <w:pPr>
        <w:pStyle w:val="SingleTxtG"/>
      </w:pPr>
      <w:r>
        <w:t>1.</w:t>
      </w:r>
      <w:r w:rsidR="00547ED7" w:rsidRPr="00547ED7">
        <w:tab/>
      </w:r>
      <w:r w:rsidR="00032D63" w:rsidRPr="00032D63">
        <w:t xml:space="preserve">The objective, to which this subprogramme contributes, is to advance a regionally and globally sustainable inland transport (road, rail, inland waterway and </w:t>
      </w:r>
      <w:proofErr w:type="spellStart"/>
      <w:r w:rsidR="00032D63" w:rsidRPr="00032D63">
        <w:t>intermodality</w:t>
      </w:r>
      <w:proofErr w:type="spellEnd"/>
      <w:r w:rsidR="00032D63" w:rsidRPr="00032D63">
        <w:t>) system by making it safer, cleaner, more efficient and more affordable, both for freight transport and people’s mobility</w:t>
      </w:r>
      <w:r w:rsidR="00663C4B">
        <w:t>.</w:t>
      </w:r>
    </w:p>
    <w:p w14:paraId="7A99502F" w14:textId="16CC7F8C" w:rsidR="00547ED7" w:rsidRPr="00547ED7" w:rsidRDefault="00547ED7" w:rsidP="00547ED7">
      <w:pPr>
        <w:pStyle w:val="HChG"/>
      </w:pPr>
      <w:r w:rsidRPr="00547ED7">
        <w:tab/>
      </w:r>
      <w:r w:rsidR="00B06BCD">
        <w:t>II.</w:t>
      </w:r>
      <w:r w:rsidRPr="00547ED7">
        <w:tab/>
        <w:t>Strategy</w:t>
      </w:r>
    </w:p>
    <w:p w14:paraId="0AE1E208" w14:textId="27A3A69F" w:rsidR="00547ED7" w:rsidRPr="00547ED7" w:rsidRDefault="00B06BCD" w:rsidP="00DE5A41">
      <w:pPr>
        <w:pStyle w:val="SingleTxtG"/>
      </w:pPr>
      <w:r>
        <w:t>2.</w:t>
      </w:r>
      <w:r w:rsidR="00547ED7" w:rsidRPr="00547ED7">
        <w:tab/>
        <w:t xml:space="preserve">To </w:t>
      </w:r>
      <w:r w:rsidR="00547ED7" w:rsidRPr="00DE5A41">
        <w:t>contribute</w:t>
      </w:r>
      <w:r w:rsidR="00547ED7" w:rsidRPr="00547ED7">
        <w:t xml:space="preserve"> to the objective, the subprogramme will:</w:t>
      </w:r>
    </w:p>
    <w:p w14:paraId="014FBAAA" w14:textId="5CE40AE6"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(a)</w:t>
      </w:r>
      <w:r w:rsidRPr="00DE5A41">
        <w:rPr>
          <w:spacing w:val="0"/>
          <w:w w:val="100"/>
        </w:rPr>
        <w:tab/>
        <w:t>Service the Inland Transport Committee and its 20 working parties and 11 administrative committees, as well as the Committee of Experts on the Transport of Dangerous Goods and on the Globally Harmonized System of Classification and Labelling of Chemicals and more than 50 formal and informal expert networks;</w:t>
      </w:r>
    </w:p>
    <w:p w14:paraId="6AB8B44B" w14:textId="35A2A61A"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(b)</w:t>
      </w:r>
      <w:r w:rsidRPr="00DE5A41">
        <w:rPr>
          <w:spacing w:val="0"/>
          <w:w w:val="100"/>
        </w:rPr>
        <w:tab/>
        <w:t xml:space="preserve">Administer the international regulatory framework for inland transport, which includes 59 United Nations legal instruments on safety, pollution, efficiency, multimodality and effectiveness (normative function) and ensure that the Committee’s regulatory functions are up to date with current technologies and transport innovations – such as intelligent transport systems, autonomous vehicles, </w:t>
      </w:r>
      <w:r w:rsidR="00F91C33" w:rsidRPr="00DE5A41">
        <w:rPr>
          <w:spacing w:val="0"/>
          <w:w w:val="100"/>
        </w:rPr>
        <w:t>digitalization</w:t>
      </w:r>
      <w:r w:rsidRPr="00DE5A41">
        <w:rPr>
          <w:spacing w:val="0"/>
          <w:w w:val="100"/>
        </w:rPr>
        <w:t xml:space="preserve"> – and are open to all United Nations Member States, as appropriate, by developing new and updating existing legal instruments, as necessary, including maintaining the database of international regulatory frameworks for inland transport;</w:t>
      </w:r>
    </w:p>
    <w:p w14:paraId="4AE9855A" w14:textId="77777777"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(c)</w:t>
      </w:r>
      <w:r w:rsidRPr="00DE5A41">
        <w:rPr>
          <w:spacing w:val="0"/>
          <w:w w:val="100"/>
        </w:rPr>
        <w:tab/>
        <w:t>Provide an intergovernmental policy dialogue platform at the annual sessions of the Inland Transport Committee to review emerging challenges and emergency situations; support consensus-building during the Committee’s events in favour of regional and interregional connectivity, among other matters, including through the adoption of high-level statements or resolutions on harmonized actions by member States and contracting parties in order to enable the full implementation of the Committee’s mandate;</w:t>
      </w:r>
    </w:p>
    <w:p w14:paraId="7BADA668" w14:textId="77777777"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(d)</w:t>
      </w:r>
      <w:r w:rsidRPr="00DE5A41">
        <w:rPr>
          <w:spacing w:val="0"/>
          <w:w w:val="100"/>
        </w:rPr>
        <w:tab/>
        <w:t>Analyse, and provide technical assistance and capacity-building on accession to and implementation of legal instruments, at the request of member States and contracting parties;</w:t>
      </w:r>
    </w:p>
    <w:p w14:paraId="4FD5E661" w14:textId="77777777"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 xml:space="preserve">(e) </w:t>
      </w:r>
      <w:r w:rsidRPr="00DE5A41">
        <w:rPr>
          <w:spacing w:val="0"/>
          <w:w w:val="100"/>
        </w:rPr>
        <w:tab/>
        <w:t>Contribute to the work of the Special Envoy of the Secretary-General for Road Safety and the operation of the United Nations Road Safety Fund to facilitate global improvements in road safety through policy dialogue at Committee meetings, and provide capacity-building and advisory assistance with regard to promoting legal instruments, calls for proposals and other related activities, as appropriate;</w:t>
      </w:r>
    </w:p>
    <w:p w14:paraId="5BF40827" w14:textId="77777777" w:rsidR="00032D63"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(f)</w:t>
      </w:r>
      <w:r w:rsidRPr="00DE5A41">
        <w:rPr>
          <w:spacing w:val="0"/>
          <w:w w:val="100"/>
        </w:rPr>
        <w:tab/>
        <w:t xml:space="preserve">Support the efforts of member States to respond to and recover from emergency situations, including pandemics, while minimizing disruptions to the functioning of national, regional and international transport systems and the implementation of the sustainable development agenda, including SDG 5 on gender equality; </w:t>
      </w:r>
    </w:p>
    <w:p w14:paraId="62E06B87" w14:textId="76304334" w:rsidR="00547ED7" w:rsidRPr="00DE5A41" w:rsidRDefault="00032D63" w:rsidP="00DE5A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firstLine="567"/>
        <w:rPr>
          <w:spacing w:val="0"/>
          <w:w w:val="100"/>
        </w:rPr>
      </w:pPr>
      <w:r w:rsidRPr="00DE5A41">
        <w:rPr>
          <w:spacing w:val="0"/>
          <w:w w:val="100"/>
        </w:rPr>
        <w:t>(g)</w:t>
      </w:r>
      <w:r w:rsidRPr="00DE5A41">
        <w:rPr>
          <w:spacing w:val="0"/>
          <w:w w:val="100"/>
        </w:rPr>
        <w:tab/>
        <w:t>Promote knowledge-sharing and cooperation among Governments and key stakeholders, raise awareness of emerging issues and best responses, contribute to the improved monitoring and measuring of the Goals, facilitate the adaptation of legally binding instruments and frameworks to new realities and prepare new guidance materials.</w:t>
      </w:r>
    </w:p>
    <w:p w14:paraId="568A0770" w14:textId="23458258" w:rsidR="00547ED7" w:rsidRPr="00DE5A41" w:rsidRDefault="00547ED7" w:rsidP="00DE5A41">
      <w:pPr>
        <w:pStyle w:val="SingleTxtG"/>
      </w:pPr>
      <w:r w:rsidRPr="00DE5A41">
        <w:tab/>
      </w:r>
      <w:r w:rsidR="00492C14" w:rsidRPr="00DE5A41">
        <w:t>3.</w:t>
      </w:r>
      <w:r w:rsidRPr="00DE5A41">
        <w:tab/>
        <w:t>The above-mentioned work is expected to result in:</w:t>
      </w:r>
    </w:p>
    <w:p w14:paraId="490CA231" w14:textId="6C382058" w:rsidR="00E87D58" w:rsidRPr="00DE5A41" w:rsidRDefault="00E87D58" w:rsidP="00DE5A41">
      <w:pPr>
        <w:pStyle w:val="SingleTxt"/>
        <w:tabs>
          <w:tab w:val="clear" w:pos="1267"/>
        </w:tabs>
        <w:ind w:left="1134" w:firstLine="567"/>
        <w:rPr>
          <w:spacing w:val="0"/>
          <w:w w:val="100"/>
        </w:rPr>
      </w:pPr>
      <w:r w:rsidRPr="00DE5A41">
        <w:rPr>
          <w:spacing w:val="0"/>
          <w:w w:val="100"/>
        </w:rPr>
        <w:t>(a)</w:t>
      </w:r>
      <w:r w:rsidRPr="00DE5A41">
        <w:rPr>
          <w:spacing w:val="0"/>
          <w:w w:val="100"/>
        </w:rPr>
        <w:tab/>
        <w:t>Improvements in sustainable mobility, and in monitoring and measuring the Goals;</w:t>
      </w:r>
    </w:p>
    <w:p w14:paraId="04B704AD" w14:textId="77777777" w:rsidR="00E87D58" w:rsidRPr="00DE5A41" w:rsidRDefault="00E87D58" w:rsidP="00DE5A41">
      <w:pPr>
        <w:pStyle w:val="SingleTxt"/>
        <w:tabs>
          <w:tab w:val="clear" w:pos="1267"/>
        </w:tabs>
        <w:ind w:left="1134" w:firstLine="567"/>
        <w:rPr>
          <w:spacing w:val="0"/>
          <w:w w:val="100"/>
        </w:rPr>
      </w:pPr>
      <w:r w:rsidRPr="00DE5A41">
        <w:rPr>
          <w:spacing w:val="0"/>
          <w:w w:val="100"/>
        </w:rPr>
        <w:t>(b)</w:t>
      </w:r>
      <w:r w:rsidRPr="00DE5A41">
        <w:rPr>
          <w:spacing w:val="0"/>
          <w:w w:val="100"/>
        </w:rPr>
        <w:tab/>
        <w:t>Improvements in inland transport, leading to safer, cleaner, more efficient and more affordable multimodal systems for contracting parties to the United Nations inland transport conventions;</w:t>
      </w:r>
    </w:p>
    <w:p w14:paraId="7C3B1046" w14:textId="77777777" w:rsidR="00E87D58" w:rsidRPr="00DE5A41" w:rsidRDefault="00E87D58" w:rsidP="00DE5A41">
      <w:pPr>
        <w:pStyle w:val="SingleTxt"/>
        <w:tabs>
          <w:tab w:val="clear" w:pos="1267"/>
        </w:tabs>
        <w:ind w:left="1134" w:firstLine="567"/>
        <w:rPr>
          <w:spacing w:val="0"/>
          <w:w w:val="100"/>
        </w:rPr>
      </w:pPr>
      <w:r w:rsidRPr="00DE5A41">
        <w:rPr>
          <w:spacing w:val="0"/>
          <w:w w:val="100"/>
        </w:rPr>
        <w:t>(c)</w:t>
      </w:r>
      <w:r w:rsidRPr="00DE5A41">
        <w:rPr>
          <w:spacing w:val="0"/>
          <w:w w:val="100"/>
        </w:rPr>
        <w:tab/>
        <w:t>More efficient and resilient cross-border flows of goods and people regionally and globally;</w:t>
      </w:r>
    </w:p>
    <w:p w14:paraId="274FEB97" w14:textId="206534E0" w:rsidR="00547ED7" w:rsidRPr="00DE5A41" w:rsidRDefault="00E87D58" w:rsidP="00DE5A41">
      <w:pPr>
        <w:pStyle w:val="SingleTxt"/>
        <w:rPr>
          <w:spacing w:val="0"/>
          <w:w w:val="100"/>
        </w:rPr>
      </w:pPr>
      <w:r w:rsidRPr="00DE5A41">
        <w:rPr>
          <w:spacing w:val="0"/>
          <w:w w:val="100"/>
        </w:rPr>
        <w:lastRenderedPageBreak/>
        <w:tab/>
        <w:t xml:space="preserve">(d) </w:t>
      </w:r>
      <w:r w:rsidRPr="00DE5A41">
        <w:rPr>
          <w:spacing w:val="0"/>
          <w:w w:val="100"/>
        </w:rPr>
        <w:tab/>
        <w:t>Enhanced intergovernmental cooperation in emergency situations and minimized disruptions to the continued implementation and updating of United Nations inland transport conventions.</w:t>
      </w:r>
    </w:p>
    <w:p w14:paraId="6C4BCB84" w14:textId="1B8CA5EB" w:rsidR="00547ED7" w:rsidRPr="00547ED7" w:rsidRDefault="000F7412" w:rsidP="00DE5A41">
      <w:pPr>
        <w:pStyle w:val="HChG"/>
      </w:pPr>
      <w:r>
        <w:tab/>
        <w:t>III.</w:t>
      </w:r>
      <w:r>
        <w:tab/>
      </w:r>
      <w:r w:rsidR="00547ED7" w:rsidRPr="00547ED7">
        <w:t>Programme performance in 202</w:t>
      </w:r>
      <w:r w:rsidR="00242BC9">
        <w:t>2</w:t>
      </w:r>
      <w:r w:rsidR="00547ED7" w:rsidRPr="00547ED7">
        <w:t xml:space="preserve"> </w:t>
      </w:r>
    </w:p>
    <w:p w14:paraId="457CF64F" w14:textId="63DE7964" w:rsidR="00547ED7" w:rsidRPr="00547ED7" w:rsidRDefault="000F7412" w:rsidP="00DE5A41">
      <w:pPr>
        <w:pStyle w:val="H1G"/>
      </w:pPr>
      <w:r>
        <w:tab/>
      </w:r>
      <w:r>
        <w:tab/>
      </w:r>
      <w:r w:rsidR="00547ED7" w:rsidRPr="00547ED7">
        <w:t xml:space="preserve">Accelerated digitalization of </w:t>
      </w:r>
      <w:r w:rsidR="00547ED7" w:rsidRPr="00DE5A41">
        <w:t>legal</w:t>
      </w:r>
      <w:r w:rsidR="00547ED7" w:rsidRPr="00547ED7">
        <w:t xml:space="preserve"> instruments in inland transport in response to COVID</w:t>
      </w:r>
      <w:r w:rsidR="002A5392">
        <w:t>-</w:t>
      </w:r>
      <w:r w:rsidR="00547ED7" w:rsidRPr="00547ED7">
        <w:t xml:space="preserve">19 </w:t>
      </w:r>
    </w:p>
    <w:p w14:paraId="78E32B11" w14:textId="70E0939F" w:rsidR="00547ED7" w:rsidRDefault="00AE5D2D" w:rsidP="00DE5A41">
      <w:pPr>
        <w:pStyle w:val="SingleTxtG"/>
        <w:rPr>
          <w:lang w:val="en-US"/>
        </w:rPr>
      </w:pPr>
      <w:r>
        <w:t>4.</w:t>
      </w:r>
      <w:r w:rsidR="00547ED7" w:rsidRPr="00547ED7">
        <w:tab/>
      </w:r>
      <w:r w:rsidR="00E87D58">
        <w:t>In response to inland transportation issues such as border-crossing which arose during the pandemic, t</w:t>
      </w:r>
      <w:r w:rsidR="00E87D58" w:rsidRPr="00197E03">
        <w:t xml:space="preserve">he </w:t>
      </w:r>
      <w:r w:rsidR="00E87D58" w:rsidRPr="00DE5A41">
        <w:t>subprogramme</w:t>
      </w:r>
      <w:r w:rsidR="00E87D58" w:rsidRPr="00197E03">
        <w:t xml:space="preserve"> developed enhanced response measures, including through: (a) the implementation of a new generation of legal instruments supporting the </w:t>
      </w:r>
      <w:r w:rsidR="00F91C33" w:rsidRPr="00F91C33">
        <w:t>digitalization</w:t>
      </w:r>
      <w:r w:rsidR="00E87D58" w:rsidRPr="00197E03">
        <w:t xml:space="preserve">/computerization of </w:t>
      </w:r>
      <w:r w:rsidR="00E87D58" w:rsidRPr="00DE5A41">
        <w:t>transport</w:t>
      </w:r>
      <w:r w:rsidR="00E87D58" w:rsidRPr="00197E03">
        <w:t xml:space="preserve"> and border-crossing procedures</w:t>
      </w:r>
      <w:r w:rsidR="00E87D58">
        <w:t xml:space="preserve">, such as </w:t>
      </w:r>
      <w:r w:rsidR="00E87D58" w:rsidRPr="00906257">
        <w:rPr>
          <w:noProof/>
          <w:lang w:val="en-US"/>
        </w:rPr>
        <w:t xml:space="preserve">the eTIR application in </w:t>
      </w:r>
      <w:r w:rsidR="00E87D58" w:rsidRPr="0041302E">
        <w:rPr>
          <w:i/>
          <w:iCs/>
          <w:lang w:val="en-US"/>
        </w:rPr>
        <w:t>six</w:t>
      </w:r>
      <w:r w:rsidR="00E87D58" w:rsidRPr="058F156B">
        <w:rPr>
          <w:lang w:val="en-US"/>
        </w:rPr>
        <w:t xml:space="preserve"> </w:t>
      </w:r>
      <w:r w:rsidR="00E87D58" w:rsidRPr="00906257">
        <w:rPr>
          <w:noProof/>
          <w:lang w:val="en-US"/>
        </w:rPr>
        <w:t xml:space="preserve">countries that have interconnected their customs system with the eTIR international system. The official operations of the eTIR procedure is expected to start as early as </w:t>
      </w:r>
      <w:r w:rsidR="00E87D58">
        <w:rPr>
          <w:noProof/>
          <w:lang w:val="en-US"/>
        </w:rPr>
        <w:t>December</w:t>
      </w:r>
      <w:r w:rsidR="00E87D58" w:rsidRPr="00906257">
        <w:rPr>
          <w:noProof/>
          <w:lang w:val="en-US"/>
        </w:rPr>
        <w:t xml:space="preserve"> 2022</w:t>
      </w:r>
      <w:r w:rsidR="00E87D58" w:rsidRPr="00F864A0">
        <w:t>;</w:t>
      </w:r>
      <w:r w:rsidR="00E87D58" w:rsidRPr="00197E03">
        <w:t xml:space="preserve"> (b) the creation of specialized knowledge to facilitate and accelerate the operationalization of some of these instruments</w:t>
      </w:r>
      <w:r w:rsidR="00E87D58">
        <w:t>. F</w:t>
      </w:r>
      <w:r w:rsidR="00E87D58" w:rsidRPr="00197E03">
        <w:t xml:space="preserve">or example, the Group of Experts on the operationalization of </w:t>
      </w:r>
      <w:proofErr w:type="spellStart"/>
      <w:r w:rsidR="00E87D58" w:rsidRPr="00197E03">
        <w:t>eCMR</w:t>
      </w:r>
      <w:proofErr w:type="spellEnd"/>
      <w:r w:rsidR="00E87D58">
        <w:t xml:space="preserve"> was established in 2022, contributing to increased accessions to the </w:t>
      </w:r>
      <w:proofErr w:type="spellStart"/>
      <w:r w:rsidR="00E87D58">
        <w:t>eCMR</w:t>
      </w:r>
      <w:proofErr w:type="spellEnd"/>
      <w:r w:rsidR="00E87D58">
        <w:t xml:space="preserve"> Protocol</w:t>
      </w:r>
      <w:r w:rsidR="00E87D58" w:rsidRPr="00197E03">
        <w:t xml:space="preserve">; and (c) the </w:t>
      </w:r>
      <w:r w:rsidR="00E87D58">
        <w:t xml:space="preserve">deployment of </w:t>
      </w:r>
      <w:proofErr w:type="spellStart"/>
      <w:r w:rsidR="00E87D58" w:rsidRPr="00EB41A2">
        <w:t>LearnITC</w:t>
      </w:r>
      <w:proofErr w:type="spellEnd"/>
      <w:r w:rsidR="00E87D58">
        <w:t xml:space="preserve"> </w:t>
      </w:r>
      <w:r w:rsidR="00E87D58" w:rsidRPr="00EB41A2">
        <w:t>- The Inland Transport and Trade Connectivity e-Learning Platform</w:t>
      </w:r>
      <w:r w:rsidR="00E87D58">
        <w:t xml:space="preserve"> in 2022 promotes in-depth understanding of </w:t>
      </w:r>
      <w:r w:rsidR="00E87D58" w:rsidRPr="00671FA2">
        <w:t>the U</w:t>
      </w:r>
      <w:r w:rsidR="00E87D58">
        <w:t xml:space="preserve">nited </w:t>
      </w:r>
      <w:r w:rsidR="00E87D58" w:rsidRPr="00671FA2">
        <w:t>N</w:t>
      </w:r>
      <w:r w:rsidR="00E87D58">
        <w:t>ations</w:t>
      </w:r>
      <w:r w:rsidR="00E87D58" w:rsidRPr="00671FA2">
        <w:t xml:space="preserve"> inland transport legal instruments</w:t>
      </w:r>
      <w:r w:rsidR="00E87D58">
        <w:t xml:space="preserve"> and their </w:t>
      </w:r>
      <w:r w:rsidR="00F91C33" w:rsidRPr="00F91C33">
        <w:t>digitalization</w:t>
      </w:r>
      <w:r w:rsidR="00E87D58">
        <w:t>.</w:t>
      </w:r>
    </w:p>
    <w:p w14:paraId="4C925C87" w14:textId="33AA4261" w:rsidR="00A613CE" w:rsidRPr="00547ED7" w:rsidRDefault="00A613CE" w:rsidP="00547ED7">
      <w:pPr>
        <w:pStyle w:val="SingleTxtG"/>
        <w:rPr>
          <w:lang w:val="en-US"/>
        </w:rPr>
      </w:pPr>
      <w:r>
        <w:rPr>
          <w:lang w:val="en-US"/>
        </w:rPr>
        <w:t>5.</w:t>
      </w:r>
      <w:r>
        <w:rPr>
          <w:lang w:val="en-US"/>
        </w:rPr>
        <w:tab/>
      </w:r>
      <w:r w:rsidR="00255BA8">
        <w:rPr>
          <w:lang w:val="en-US"/>
        </w:rPr>
        <w:t>P</w:t>
      </w:r>
      <w:proofErr w:type="spellStart"/>
      <w:r w:rsidR="00255BA8">
        <w:t>rogress</w:t>
      </w:r>
      <w:proofErr w:type="spellEnd"/>
      <w:r w:rsidR="00255BA8">
        <w:t xml:space="preserve"> towards the objective is presented in the performance measure below (see Figure 1).</w:t>
      </w:r>
    </w:p>
    <w:p w14:paraId="3DF82E27" w14:textId="3EFDC789" w:rsidR="00547ED7" w:rsidRPr="00547ED7" w:rsidRDefault="00255BA8" w:rsidP="00AE5D2D">
      <w:pPr>
        <w:pStyle w:val="Heading1"/>
      </w:pPr>
      <w:r>
        <w:t>Figure</w:t>
      </w:r>
      <w:r w:rsidR="00547ED7" w:rsidRPr="00C95631">
        <w:t xml:space="preserve"> </w:t>
      </w:r>
      <w:r w:rsidR="00C95631">
        <w:t>1</w:t>
      </w:r>
    </w:p>
    <w:p w14:paraId="3DC1DB39" w14:textId="728C3531" w:rsidR="00C129E4" w:rsidRDefault="00E87D58" w:rsidP="00DE5A41">
      <w:pPr>
        <w:pStyle w:val="H23"/>
        <w:tabs>
          <w:tab w:val="clear" w:pos="1022"/>
          <w:tab w:val="clear" w:pos="1267"/>
          <w:tab w:val="left" w:pos="0"/>
        </w:tabs>
        <w:ind w:left="1134" w:right="120" w:firstLine="12"/>
      </w:pPr>
      <w:r w:rsidRPr="00E87D58">
        <w:t xml:space="preserve">Performance measure: number of accessions by Member States to legal instruments for the </w:t>
      </w:r>
      <w:r w:rsidR="00F91C33" w:rsidRPr="00F91C33">
        <w:t>digitalization</w:t>
      </w:r>
      <w:r w:rsidRPr="00E87D58">
        <w:t xml:space="preserve"> of transport and border-crossing procedures (CMR, </w:t>
      </w:r>
      <w:proofErr w:type="spellStart"/>
      <w:r w:rsidRPr="00E87D58">
        <w:t>eCMR</w:t>
      </w:r>
      <w:proofErr w:type="spellEnd"/>
      <w:r w:rsidRPr="00E87D58">
        <w:t xml:space="preserve"> and TIR) (cumulative)</w:t>
      </w:r>
    </w:p>
    <w:p w14:paraId="5103E35C" w14:textId="77777777" w:rsidR="00C129E4" w:rsidRDefault="00C129E4" w:rsidP="00C129E4">
      <w:pPr>
        <w:pStyle w:val="H23"/>
        <w:ind w:left="1267" w:right="40" w:hanging="1267"/>
      </w:pPr>
      <w:r>
        <w:tab/>
      </w:r>
    </w:p>
    <w:p w14:paraId="1D362F78" w14:textId="77777777" w:rsidR="00C129E4" w:rsidRDefault="00C129E4" w:rsidP="00C129E4">
      <w:pPr>
        <w:pStyle w:val="H23"/>
        <w:ind w:left="1267" w:right="40" w:hanging="1267"/>
      </w:pPr>
      <w:r>
        <w:rPr>
          <w:rFonts w:eastAsia="Calibri"/>
          <w:b w:val="0"/>
          <w:noProof/>
        </w:rPr>
        <w:drawing>
          <wp:anchor distT="0" distB="0" distL="114300" distR="114300" simplePos="0" relativeHeight="251663360" behindDoc="0" locked="0" layoutInCell="1" allowOverlap="1" wp14:anchorId="1B55C04B" wp14:editId="43BEC9D3">
            <wp:simplePos x="0" y="0"/>
            <wp:positionH relativeFrom="column">
              <wp:posOffset>0</wp:posOffset>
            </wp:positionH>
            <wp:positionV relativeFrom="paragraph">
              <wp:posOffset>152400</wp:posOffset>
            </wp:positionV>
            <wp:extent cx="6254115" cy="2114550"/>
            <wp:effectExtent l="0" t="0" r="0" b="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2C7C96A" w14:textId="77777777" w:rsidR="00C129E4" w:rsidRPr="00855553" w:rsidRDefault="00C129E4" w:rsidP="00C129E4">
      <w:pPr>
        <w:pStyle w:val="SingleTxt"/>
        <w:spacing w:after="0" w:line="120" w:lineRule="exact"/>
        <w:rPr>
          <w:noProof/>
          <w:sz w:val="10"/>
          <w:szCs w:val="10"/>
          <w:lang w:val="en-US"/>
        </w:rPr>
      </w:pPr>
    </w:p>
    <w:p w14:paraId="4AB2D9FA" w14:textId="0586B18A" w:rsidR="00547ED7" w:rsidRPr="00547ED7" w:rsidRDefault="00C129E4" w:rsidP="00C129E4">
      <w:pPr>
        <w:pStyle w:val="SingleTxtG"/>
        <w:rPr>
          <w:sz w:val="18"/>
          <w:szCs w:val="18"/>
        </w:rPr>
      </w:pPr>
      <w:r w:rsidRPr="6E7C55C7">
        <w:rPr>
          <w:i/>
          <w:iCs/>
        </w:rPr>
        <w:t>Abbreviations</w:t>
      </w:r>
      <w:r>
        <w:t xml:space="preserve">: CMR: Convention on the Contract for the International Carriage of Goods by Road; </w:t>
      </w:r>
      <w:proofErr w:type="spellStart"/>
      <w:r>
        <w:t>eCMR</w:t>
      </w:r>
      <w:proofErr w:type="spellEnd"/>
      <w:r>
        <w:t>: Additional Protocol to the Convention on the Contract for the International Carriage of Goods by Road concerning the electronic consignment note; TIR, Customs Convention on the International Transport of Goods under Cover of TIR Carnets</w:t>
      </w:r>
      <w:r w:rsidR="00547ED7" w:rsidRPr="00547ED7">
        <w:rPr>
          <w:sz w:val="18"/>
          <w:szCs w:val="18"/>
        </w:rPr>
        <w:t>.</w:t>
      </w:r>
    </w:p>
    <w:p w14:paraId="1E56AE17" w14:textId="7C8F81AC" w:rsidR="00547ED7" w:rsidRPr="00547ED7" w:rsidRDefault="00547ED7" w:rsidP="00DE5A41">
      <w:pPr>
        <w:pStyle w:val="HChG"/>
      </w:pPr>
      <w:r w:rsidRPr="00547ED7">
        <w:lastRenderedPageBreak/>
        <w:tab/>
      </w:r>
      <w:r w:rsidR="006B3924">
        <w:t>IV.</w:t>
      </w:r>
      <w:r w:rsidRPr="00547ED7">
        <w:tab/>
        <w:t xml:space="preserve">Planned </w:t>
      </w:r>
      <w:r w:rsidRPr="00DE5A41">
        <w:t>results</w:t>
      </w:r>
      <w:r w:rsidRPr="00547ED7">
        <w:t xml:space="preserve"> for 202</w:t>
      </w:r>
      <w:r w:rsidR="009843E9">
        <w:t>4</w:t>
      </w:r>
    </w:p>
    <w:p w14:paraId="32A53A78" w14:textId="72330C4B" w:rsidR="00673095" w:rsidRDefault="00673095" w:rsidP="00A43A76">
      <w:pPr>
        <w:pStyle w:val="H1G"/>
      </w:pPr>
      <w:r>
        <w:tab/>
      </w:r>
      <w:r>
        <w:tab/>
        <w:t>Result 1</w:t>
      </w:r>
      <w:r>
        <w:rPr>
          <w:bCs/>
        </w:rPr>
        <w:t>:</w:t>
      </w:r>
      <w:r>
        <w:t xml:space="preserve"> strengthened regulatory support in road safety contributing to fewer worldwide road accident </w:t>
      </w:r>
      <w:r w:rsidRPr="00DE5A41">
        <w:t>fatalities</w:t>
      </w:r>
      <w:r>
        <w:t xml:space="preserve"> and injuries </w:t>
      </w:r>
    </w:p>
    <w:p w14:paraId="0EDFFA79" w14:textId="77777777" w:rsidR="00673095" w:rsidRDefault="00673095" w:rsidP="00061D76">
      <w:pPr>
        <w:pStyle w:val="H23G"/>
      </w:pPr>
      <w:r>
        <w:tab/>
      </w:r>
      <w:r>
        <w:tab/>
        <w:t xml:space="preserve">Programme </w:t>
      </w:r>
      <w:r w:rsidRPr="00F447D2">
        <w:t>performance</w:t>
      </w:r>
      <w:r>
        <w:t xml:space="preserve"> in </w:t>
      </w:r>
      <w:r w:rsidRPr="00DE5A41">
        <w:t>2022</w:t>
      </w:r>
      <w:r>
        <w:t xml:space="preserve"> </w:t>
      </w:r>
      <w:r w:rsidRPr="00F447D2">
        <w:t>and</w:t>
      </w:r>
      <w:r>
        <w:t xml:space="preserve"> target for 2024</w:t>
      </w:r>
    </w:p>
    <w:p w14:paraId="19AC6FDE" w14:textId="41949D49" w:rsidR="00673095" w:rsidRDefault="00C85CEE" w:rsidP="00DE5A41">
      <w:pPr>
        <w:pStyle w:val="SingleTxtG"/>
      </w:pPr>
      <w:r>
        <w:t>6.</w:t>
      </w:r>
      <w:r>
        <w:tab/>
      </w:r>
      <w:r w:rsidR="00673095" w:rsidRPr="00E24CCF">
        <w:t xml:space="preserve">The subprogramme’s work contributed </w:t>
      </w:r>
      <w:r w:rsidR="00673095" w:rsidRPr="005A2B0E">
        <w:t xml:space="preserve">to an increase to </w:t>
      </w:r>
      <w:r w:rsidR="00F91C33">
        <w:t xml:space="preserve">426 </w:t>
      </w:r>
      <w:r w:rsidR="00673095">
        <w:t xml:space="preserve">of </w:t>
      </w:r>
      <w:r w:rsidR="00673095" w:rsidRPr="00E24CCF">
        <w:t>contracting parties to core United Nations road safety conventions, which exceeded the planned target of 411.</w:t>
      </w:r>
    </w:p>
    <w:p w14:paraId="45D30ED2" w14:textId="5258294B" w:rsidR="00673095" w:rsidRDefault="00E43B2D" w:rsidP="00DE5A41">
      <w:pPr>
        <w:pStyle w:val="SingleTxtG"/>
        <w:rPr>
          <w:sz w:val="10"/>
          <w:szCs w:val="10"/>
        </w:rPr>
      </w:pPr>
      <w:r>
        <w:t>7.</w:t>
      </w:r>
      <w:r>
        <w:tab/>
      </w:r>
      <w:r w:rsidR="00673095" w:rsidRPr="00405A4D">
        <w:t xml:space="preserve">Progress towards the objective and the target for 2024 are presented in the performance measure below (see figure </w:t>
      </w:r>
      <w:r w:rsidR="00C85CEE">
        <w:t>2</w:t>
      </w:r>
      <w:r w:rsidR="00673095" w:rsidRPr="00405A4D">
        <w:t>).</w:t>
      </w:r>
    </w:p>
    <w:p w14:paraId="4CEC6428" w14:textId="07758780" w:rsidR="00673095" w:rsidRDefault="00673095" w:rsidP="00061D76">
      <w:pPr>
        <w:pStyle w:val="H23"/>
        <w:tabs>
          <w:tab w:val="clear" w:pos="1267"/>
        </w:tabs>
        <w:ind w:left="1267" w:right="1260" w:hanging="133"/>
        <w:rPr>
          <w:b w:val="0"/>
          <w:bCs/>
        </w:rPr>
      </w:pPr>
      <w:r>
        <w:rPr>
          <w:b w:val="0"/>
          <w:bCs/>
        </w:rPr>
        <w:t xml:space="preserve">Figure 2 </w:t>
      </w:r>
    </w:p>
    <w:p w14:paraId="78577C5D" w14:textId="77777777" w:rsidR="00E87D58" w:rsidRPr="00061D76" w:rsidRDefault="00E87D58" w:rsidP="00061D76">
      <w:pPr>
        <w:pStyle w:val="Heading1"/>
        <w:rPr>
          <w:b/>
        </w:rPr>
      </w:pPr>
      <w:r w:rsidRPr="00061D76">
        <w:rPr>
          <w:b/>
        </w:rPr>
        <w:t xml:space="preserve">Performance measure: number of contracting parties to core United Nations road safety </w:t>
      </w:r>
      <w:proofErr w:type="spellStart"/>
      <w:r w:rsidRPr="00061D76">
        <w:rPr>
          <w:b/>
        </w:rPr>
        <w:t>conventions</w:t>
      </w:r>
      <w:r w:rsidRPr="00061D76">
        <w:rPr>
          <w:b/>
          <w:i/>
          <w:iCs/>
          <w:vertAlign w:val="superscript"/>
        </w:rPr>
        <w:t>a</w:t>
      </w:r>
      <w:proofErr w:type="spellEnd"/>
      <w:r w:rsidRPr="00061D76">
        <w:rPr>
          <w:b/>
        </w:rPr>
        <w:t xml:space="preserve"> (cumulative)</w:t>
      </w:r>
    </w:p>
    <w:p w14:paraId="4F4AE31C" w14:textId="77777777" w:rsidR="00E87D58" w:rsidRDefault="00E87D58" w:rsidP="00E87D58">
      <w:pPr>
        <w:pStyle w:val="SingleTxt"/>
        <w:keepNext/>
        <w:keepLines/>
        <w:spacing w:after="0" w:line="120" w:lineRule="exact"/>
        <w:rPr>
          <w:sz w:val="10"/>
          <w:szCs w:val="10"/>
        </w:rPr>
      </w:pPr>
    </w:p>
    <w:p w14:paraId="06F79599" w14:textId="77777777" w:rsidR="00E87D58" w:rsidRDefault="00E87D58" w:rsidP="00E87D58">
      <w:pPr>
        <w:pStyle w:val="SingleTxt"/>
        <w:keepNext/>
        <w:keepLines/>
        <w:spacing w:after="0" w:line="120" w:lineRule="exact"/>
        <w:rPr>
          <w:sz w:val="10"/>
          <w:szCs w:val="10"/>
        </w:rPr>
      </w:pPr>
      <w:r>
        <w:rPr>
          <w:noProof/>
        </w:rPr>
        <w:drawing>
          <wp:anchor distT="0" distB="0" distL="114300" distR="114300" simplePos="0" relativeHeight="251669504" behindDoc="0" locked="0" layoutInCell="1" allowOverlap="1" wp14:anchorId="2C57361E" wp14:editId="28C3D4F2">
            <wp:simplePos x="0" y="0"/>
            <wp:positionH relativeFrom="column">
              <wp:posOffset>-1270</wp:posOffset>
            </wp:positionH>
            <wp:positionV relativeFrom="paragraph">
              <wp:posOffset>93294</wp:posOffset>
            </wp:positionV>
            <wp:extent cx="6233795" cy="2120900"/>
            <wp:effectExtent l="0" t="0" r="0" b="0"/>
            <wp:wrapTopAndBottom/>
            <wp:docPr id="19" name="Chart 19">
              <a:extLst xmlns:a="http://schemas.openxmlformats.org/drawingml/2006/main">
                <a:ext uri="{FF2B5EF4-FFF2-40B4-BE49-F238E27FC236}">
                  <a16:creationId xmlns:a16="http://schemas.microsoft.com/office/drawing/2014/main" id="{A4A0B984-A635-4DA2-B973-B11C6556D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AF2BD83" w14:textId="6332BBB0" w:rsidR="00673095" w:rsidRDefault="00E87D58" w:rsidP="00E87D58">
      <w:pPr>
        <w:pStyle w:val="FootnoteText"/>
        <w:tabs>
          <w:tab w:val="right" w:pos="216"/>
          <w:tab w:val="left" w:pos="288"/>
          <w:tab w:val="right" w:pos="576"/>
          <w:tab w:val="left" w:pos="648"/>
        </w:tabs>
        <w:ind w:left="288" w:hanging="288"/>
      </w:pPr>
      <w:r>
        <w:tab/>
      </w:r>
      <w:bookmarkStart w:id="0" w:name="_Hlk115347211"/>
      <w:proofErr w:type="spellStart"/>
      <w:r w:rsidRPr="6E7C55C7">
        <w:rPr>
          <w:i/>
          <w:iCs/>
          <w:vertAlign w:val="superscript"/>
        </w:rPr>
        <w:t>a</w:t>
      </w:r>
      <w:proofErr w:type="spellEnd"/>
      <w:r>
        <w:tab/>
        <w:t>For the 2023 and 2024 targets, the performance measure will include eight core United Nations road safety conventions; the additional instrument is the European Agreement concerning the Work of Crews of Vehicles Engaged in International Road Transport.</w:t>
      </w:r>
      <w:bookmarkEnd w:id="0"/>
    </w:p>
    <w:p w14:paraId="6DD185E4" w14:textId="501A78F3" w:rsidR="00673095" w:rsidRDefault="00150A62" w:rsidP="00150A62">
      <w:pPr>
        <w:pStyle w:val="H1G"/>
      </w:pPr>
      <w:r>
        <w:tab/>
      </w:r>
      <w:r>
        <w:tab/>
      </w:r>
      <w:r w:rsidR="00673095">
        <w:tab/>
        <w:t>Result 2</w:t>
      </w:r>
      <w:r w:rsidR="00673095">
        <w:rPr>
          <w:bCs/>
        </w:rPr>
        <w:t>:</w:t>
      </w:r>
      <w:r w:rsidR="00673095">
        <w:t xml:space="preserve"> enhanced regulatory framework for sustainable inland transport systems</w:t>
      </w:r>
    </w:p>
    <w:p w14:paraId="1D6DA5DD" w14:textId="4C13DE67" w:rsidR="00673095" w:rsidRDefault="00673095" w:rsidP="00150A62">
      <w:pPr>
        <w:pStyle w:val="H23G"/>
      </w:pPr>
      <w:r>
        <w:tab/>
      </w:r>
      <w:r w:rsidR="00150A62">
        <w:tab/>
      </w:r>
      <w:r w:rsidR="00150A62">
        <w:tab/>
      </w:r>
      <w:r>
        <w:t xml:space="preserve">Programme </w:t>
      </w:r>
      <w:r w:rsidRPr="00150A62">
        <w:t>performance</w:t>
      </w:r>
      <w:r>
        <w:t xml:space="preserve"> in 2022 and target for 2024</w:t>
      </w:r>
    </w:p>
    <w:p w14:paraId="7542F064" w14:textId="75BC5ACE" w:rsidR="00673095" w:rsidRDefault="00C85CEE" w:rsidP="00150A62">
      <w:pPr>
        <w:pStyle w:val="SingleTxtG"/>
      </w:pPr>
      <w:r>
        <w:t>8.</w:t>
      </w:r>
      <w:r>
        <w:tab/>
      </w:r>
      <w:r w:rsidR="00E87D58" w:rsidRPr="00E87D58">
        <w:t>The subprogramme’s work contributed to an increase to 1,820 contracting parties to United Nations legal instruments on transport administered by the Economic Commission for Europe, which exceeded the planned target of 1,810.</w:t>
      </w:r>
    </w:p>
    <w:p w14:paraId="26B4A320" w14:textId="2434D185" w:rsidR="00673095" w:rsidRPr="00D26FD3" w:rsidRDefault="00E87D58" w:rsidP="00150A62">
      <w:pPr>
        <w:pStyle w:val="SingleTxtG"/>
      </w:pPr>
      <w:r>
        <w:t>9.</w:t>
      </w:r>
      <w:r>
        <w:tab/>
      </w:r>
      <w:r w:rsidR="00673095" w:rsidRPr="00D26FD3">
        <w:t xml:space="preserve">Progress towards the objective and the target for 2024 are presented in the performance measure below (see figure </w:t>
      </w:r>
      <w:r w:rsidR="00C85CEE">
        <w:t>3</w:t>
      </w:r>
      <w:r w:rsidR="00673095" w:rsidRPr="00D26FD3">
        <w:t>).</w:t>
      </w:r>
    </w:p>
    <w:p w14:paraId="6A1CCAD3" w14:textId="363C1E2E" w:rsidR="00673095" w:rsidRDefault="00673095" w:rsidP="00150A62">
      <w:pPr>
        <w:pStyle w:val="Heading1"/>
        <w:keepNext/>
        <w:keepLines/>
        <w:rPr>
          <w:b/>
        </w:rPr>
      </w:pPr>
      <w:r>
        <w:lastRenderedPageBreak/>
        <w:t xml:space="preserve">Figure </w:t>
      </w:r>
      <w:r w:rsidR="00C85CEE">
        <w:t>3</w:t>
      </w:r>
    </w:p>
    <w:p w14:paraId="3D1683B5" w14:textId="77777777" w:rsidR="00E87D58" w:rsidRPr="00150A62" w:rsidRDefault="00E87D58" w:rsidP="00150A62">
      <w:pPr>
        <w:pStyle w:val="Heading1"/>
        <w:keepNext/>
        <w:keepLines/>
        <w:rPr>
          <w:b/>
          <w:bCs/>
        </w:rPr>
      </w:pPr>
      <w:r w:rsidRPr="00150A62">
        <w:rPr>
          <w:b/>
          <w:bCs/>
        </w:rPr>
        <w:t xml:space="preserve">Performance measure: number of contracting parties to United Nations legal instruments on transport administered by the Economic Commission for Europe (cumulative)  </w:t>
      </w:r>
    </w:p>
    <w:p w14:paraId="23C79431" w14:textId="77777777" w:rsidR="00E87D58" w:rsidRDefault="00E87D58" w:rsidP="00150A62">
      <w:pPr>
        <w:pStyle w:val="SingleTxt"/>
        <w:keepNext/>
        <w:keepLines/>
        <w:spacing w:after="0" w:line="120" w:lineRule="exact"/>
        <w:rPr>
          <w:sz w:val="10"/>
        </w:rPr>
      </w:pPr>
      <w:r>
        <w:rPr>
          <w:noProof/>
        </w:rPr>
        <w:drawing>
          <wp:anchor distT="0" distB="0" distL="114300" distR="114300" simplePos="0" relativeHeight="251671552" behindDoc="0" locked="0" layoutInCell="1" allowOverlap="1" wp14:anchorId="49E126F8" wp14:editId="5DA0D84D">
            <wp:simplePos x="0" y="0"/>
            <wp:positionH relativeFrom="column">
              <wp:posOffset>-1270</wp:posOffset>
            </wp:positionH>
            <wp:positionV relativeFrom="paragraph">
              <wp:posOffset>82550</wp:posOffset>
            </wp:positionV>
            <wp:extent cx="6210300" cy="1843405"/>
            <wp:effectExtent l="0" t="0" r="0" b="4445"/>
            <wp:wrapTopAndBottom/>
            <wp:docPr id="26" name="Chart 26">
              <a:extLst xmlns:a="http://schemas.openxmlformats.org/drawingml/2006/main">
                <a:ext uri="{FF2B5EF4-FFF2-40B4-BE49-F238E27FC236}">
                  <a16:creationId xmlns:a16="http://schemas.microsoft.com/office/drawing/2014/main" id="{A4A0B984-A635-4DA2-B973-B11C6556D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5274860" w14:textId="1FFE22CD" w:rsidR="00673095" w:rsidRDefault="00673095" w:rsidP="00150A62">
      <w:pPr>
        <w:pStyle w:val="H1G"/>
        <w:rPr>
          <w:szCs w:val="24"/>
        </w:rPr>
      </w:pPr>
      <w:r>
        <w:tab/>
      </w:r>
      <w:r w:rsidR="00150A62">
        <w:tab/>
      </w:r>
      <w:r w:rsidR="00150A62">
        <w:tab/>
      </w:r>
      <w:r>
        <w:t xml:space="preserve">Result 3:  </w:t>
      </w:r>
      <w:r w:rsidR="00E87D58" w:rsidRPr="00E87D58">
        <w:t>increased number of new and updated legal instruments strengthening the capacity of United Nations Member States to address climate change</w:t>
      </w:r>
      <w:r>
        <w:t xml:space="preserve"> </w:t>
      </w:r>
    </w:p>
    <w:p w14:paraId="02A9D585" w14:textId="57BB89C7" w:rsidR="00673095" w:rsidRPr="00150A62" w:rsidRDefault="00150A62" w:rsidP="00150A62">
      <w:pPr>
        <w:pStyle w:val="H23G"/>
      </w:pPr>
      <w:r>
        <w:tab/>
      </w:r>
      <w:r>
        <w:tab/>
      </w:r>
      <w:r w:rsidR="00673095" w:rsidRPr="00150A62">
        <w:t>Proposed programme plan for 2024</w:t>
      </w:r>
    </w:p>
    <w:p w14:paraId="314305E8" w14:textId="4177B853" w:rsidR="00673095" w:rsidRDefault="00101686" w:rsidP="00150A62">
      <w:pPr>
        <w:pStyle w:val="SingleTxtG"/>
      </w:pPr>
      <w:r>
        <w:t>10.</w:t>
      </w:r>
      <w:r w:rsidR="00E87D58">
        <w:t xml:space="preserve"> </w:t>
      </w:r>
      <w:r w:rsidR="00E87D58">
        <w:tab/>
      </w:r>
      <w:r w:rsidR="00E87D58" w:rsidRPr="00E87D58">
        <w:t>There is a growing demand from Member States to support them in advancing sustainable inland transport and mobility. The adoption in 2019 of the Inland Transport Committee (ITC) Strategy until 2030 and the endorsement of the revised ITC Terms of Reference by ECOSOC in 2022 provided an enhanced mandate for the subprogramme to develop new and strengthen existing United Nations Regulations essential for sustainable transport systems, such as those on vehicle regulations. These instruments enabled the international regulatory system to better adapt to the most recent technological innovations and introduce more stringent limits for road vehicles aimed at increasing their environmental performance, and thus better support the accelerated transition to sustainable inland transport and mobility.</w:t>
      </w:r>
      <w:r w:rsidR="00673095" w:rsidRPr="006E493F">
        <w:t xml:space="preserve"> </w:t>
      </w:r>
    </w:p>
    <w:p w14:paraId="73466082" w14:textId="6F2D8935" w:rsidR="00673095" w:rsidRDefault="00673095" w:rsidP="00BA6C5A">
      <w:pPr>
        <w:pStyle w:val="H4G"/>
      </w:pPr>
      <w:r>
        <w:tab/>
      </w:r>
      <w:r w:rsidR="00BA6C5A">
        <w:tab/>
      </w:r>
      <w:r w:rsidR="00BA6C5A">
        <w:tab/>
      </w:r>
      <w:r>
        <w:t>Lessons learned and planned change</w:t>
      </w:r>
    </w:p>
    <w:p w14:paraId="5BAA069C" w14:textId="24F5477B" w:rsidR="00673095" w:rsidRPr="00F66552" w:rsidRDefault="00101686" w:rsidP="00150A62">
      <w:pPr>
        <w:pStyle w:val="SingleTxtG"/>
        <w:rPr>
          <w:rFonts w:eastAsia="Calibri"/>
          <w:i/>
          <w:iCs/>
        </w:rPr>
      </w:pPr>
      <w:r>
        <w:rPr>
          <w:rFonts w:eastAsia="Calibri"/>
        </w:rPr>
        <w:t>11.</w:t>
      </w:r>
      <w:r w:rsidR="00BA6C5A">
        <w:rPr>
          <w:rFonts w:eastAsia="Calibri"/>
        </w:rPr>
        <w:tab/>
      </w:r>
      <w:r w:rsidR="00E87D58" w:rsidRPr="058F156B">
        <w:rPr>
          <w:rFonts w:eastAsia="Calibri"/>
        </w:rPr>
        <w:t xml:space="preserve">The lesson for the subprogramme was that despite the strengthened regulatory framework, more needed to be done to accelerate the regulatory support to implement the vision of member States and contracting parties towards a sustainable and </w:t>
      </w:r>
      <w:r w:rsidR="00E87D58">
        <w:rPr>
          <w:rFonts w:eastAsia="Calibri"/>
        </w:rPr>
        <w:t>decarbonized inland transport sector</w:t>
      </w:r>
      <w:r w:rsidR="00E87D58">
        <w:rPr>
          <w:rStyle w:val="FootnoteReference"/>
          <w:rFonts w:eastAsia="Calibri"/>
        </w:rPr>
        <w:footnoteReference w:id="3"/>
      </w:r>
      <w:r w:rsidR="00E87D58" w:rsidRPr="058F156B">
        <w:rPr>
          <w:rFonts w:eastAsia="Calibri"/>
          <w:i/>
          <w:iCs/>
        </w:rPr>
        <w:t>.</w:t>
      </w:r>
      <w:r w:rsidR="00E87D58" w:rsidRPr="058F156B">
        <w:rPr>
          <w:rFonts w:eastAsia="Calibri"/>
        </w:rPr>
        <w:t xml:space="preserve"> In applying the lesson, the subprogramme will enhance its focus on addressing climate change, inter alia through dedicated high-level ITC meetings, declarations and commitments, thus further accelerating its work on modernizing its legal instruments. Furthermore, the subprogramme will develop and implement new analytical and training tools, policy reviews and capacity-building workshops that further assist member States and contracting parties in achieving their targets regionally and globally</w:t>
      </w:r>
      <w:r w:rsidR="00E87D58" w:rsidRPr="058F156B">
        <w:rPr>
          <w:rFonts w:eastAsia="Calibri"/>
          <w:i/>
          <w:iCs/>
        </w:rPr>
        <w:t>.</w:t>
      </w:r>
      <w:r w:rsidR="00673095" w:rsidRPr="00F66552">
        <w:rPr>
          <w:rFonts w:eastAsia="Calibri"/>
          <w:i/>
          <w:iCs/>
        </w:rPr>
        <w:t xml:space="preserve"> </w:t>
      </w:r>
    </w:p>
    <w:p w14:paraId="50AFBCD0" w14:textId="28E731F4" w:rsidR="00673095" w:rsidRPr="00F66552" w:rsidRDefault="00101686" w:rsidP="00BA6C5A">
      <w:pPr>
        <w:pStyle w:val="SingleTxtG"/>
        <w:rPr>
          <w:rFonts w:eastAsia="Calibri"/>
        </w:rPr>
      </w:pPr>
      <w:r>
        <w:rPr>
          <w:rFonts w:eastAsia="Calibri"/>
        </w:rPr>
        <w:t>12.</w:t>
      </w:r>
      <w:r w:rsidR="00E87D58">
        <w:rPr>
          <w:rFonts w:eastAsia="Calibri"/>
        </w:rPr>
        <w:t xml:space="preserve"> </w:t>
      </w:r>
      <w:r>
        <w:rPr>
          <w:rFonts w:eastAsia="Calibri"/>
        </w:rPr>
        <w:tab/>
      </w:r>
      <w:r w:rsidR="00673095" w:rsidRPr="00F66552">
        <w:rPr>
          <w:rFonts w:eastAsia="Calibri"/>
        </w:rPr>
        <w:t xml:space="preserve">Expected progress towards the objective is presented in the performance measure below (see Figure </w:t>
      </w:r>
      <w:r>
        <w:rPr>
          <w:rFonts w:eastAsia="Calibri"/>
        </w:rPr>
        <w:t>4</w:t>
      </w:r>
      <w:r w:rsidR="00673095" w:rsidRPr="00F66552">
        <w:rPr>
          <w:rFonts w:eastAsia="Calibri"/>
        </w:rPr>
        <w:t>).</w:t>
      </w:r>
    </w:p>
    <w:p w14:paraId="6036DBB9" w14:textId="266E7755" w:rsidR="00673095" w:rsidRPr="009B07C4" w:rsidRDefault="00673095" w:rsidP="00BA6C5A">
      <w:pPr>
        <w:pStyle w:val="Heading1"/>
        <w:keepNext/>
        <w:keepLines/>
      </w:pPr>
      <w:r>
        <w:lastRenderedPageBreak/>
        <w:t xml:space="preserve">Figure </w:t>
      </w:r>
      <w:r w:rsidR="00101686">
        <w:t>4</w:t>
      </w:r>
    </w:p>
    <w:p w14:paraId="585EA2E0" w14:textId="77777777" w:rsidR="00E87D58" w:rsidRPr="00BA6C5A" w:rsidRDefault="00E87D58" w:rsidP="00BA6C5A">
      <w:pPr>
        <w:pStyle w:val="Heading1"/>
        <w:keepNext/>
        <w:keepLines/>
        <w:rPr>
          <w:b/>
          <w:bCs/>
        </w:rPr>
      </w:pPr>
      <w:r w:rsidRPr="00BA6C5A">
        <w:rPr>
          <w:b/>
          <w:bCs/>
        </w:rPr>
        <w:t>Performance measure: number of new and updated United Nations legal instruments under ECE purview, entering into force annually and improving the climate performance of the transport sector (cumulative, since the 2015 Paris Agreement)</w:t>
      </w:r>
    </w:p>
    <w:p w14:paraId="419B5CF7" w14:textId="77777777" w:rsidR="00E87D58" w:rsidRPr="00597F34" w:rsidRDefault="00E87D58" w:rsidP="00BA6C5A">
      <w:pPr>
        <w:pStyle w:val="SingleTxt"/>
        <w:keepNext/>
        <w:keepLines/>
        <w:ind w:left="0"/>
      </w:pPr>
      <w:r>
        <w:rPr>
          <w:noProof/>
          <w:color w:val="4472C4"/>
          <w:lang w:eastAsia="en-GB"/>
        </w:rPr>
        <w:drawing>
          <wp:inline distT="0" distB="0" distL="0" distR="0" wp14:anchorId="004A57A9" wp14:editId="0D7B0482">
            <wp:extent cx="6254115" cy="197485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009B43" w14:textId="73583814" w:rsidR="00547ED7" w:rsidRPr="00547ED7" w:rsidRDefault="00547ED7" w:rsidP="00BA6C5A">
      <w:pPr>
        <w:pStyle w:val="HChG"/>
      </w:pPr>
      <w:r w:rsidRPr="00547ED7">
        <w:tab/>
      </w:r>
      <w:r w:rsidR="004338CA">
        <w:t>V.</w:t>
      </w:r>
      <w:r w:rsidRPr="00547ED7">
        <w:tab/>
      </w:r>
      <w:r w:rsidRPr="00BA6C5A">
        <w:t>Legislative</w:t>
      </w:r>
      <w:r w:rsidRPr="00547ED7">
        <w:t xml:space="preserve"> mandates</w:t>
      </w:r>
    </w:p>
    <w:p w14:paraId="10655F77" w14:textId="62E47A82" w:rsidR="00547ED7" w:rsidRPr="00547ED7" w:rsidRDefault="0078563A" w:rsidP="00BA6C5A">
      <w:pPr>
        <w:pStyle w:val="SingleTxtG"/>
      </w:pPr>
      <w:r>
        <w:t>13</w:t>
      </w:r>
      <w:r w:rsidR="004338CA">
        <w:t>.</w:t>
      </w:r>
      <w:r w:rsidR="00547ED7" w:rsidRPr="00547ED7">
        <w:tab/>
        <w:t>The list below provides all mandates entrusted to the subprogramme.</w:t>
      </w:r>
    </w:p>
    <w:p w14:paraId="1626E50C" w14:textId="77777777" w:rsidR="00547ED7" w:rsidRDefault="00547ED7" w:rsidP="00D30E3D">
      <w:pPr>
        <w:pStyle w:val="SingleTxtG"/>
        <w:keepNext/>
        <w:keepLines/>
        <w:rPr>
          <w:i/>
        </w:rPr>
      </w:pPr>
      <w:r w:rsidRPr="00547ED7">
        <w:rPr>
          <w:i/>
        </w:rPr>
        <w:t>General Assembly resolutions</w:t>
      </w:r>
    </w:p>
    <w:tbl>
      <w:tblPr>
        <w:tblW w:w="7371" w:type="dxa"/>
        <w:tblInd w:w="1134" w:type="dxa"/>
        <w:tblLook w:val="04A0" w:firstRow="1" w:lastRow="0" w:firstColumn="1" w:lastColumn="0" w:noHBand="0" w:noVBand="1"/>
      </w:tblPr>
      <w:tblGrid>
        <w:gridCol w:w="1187"/>
        <w:gridCol w:w="6184"/>
      </w:tblGrid>
      <w:tr w:rsidR="00EF6EA0" w14:paraId="2D4CA469" w14:textId="77777777" w:rsidTr="004B4247">
        <w:tc>
          <w:tcPr>
            <w:tcW w:w="1187" w:type="dxa"/>
            <w:tcMar>
              <w:left w:w="0" w:type="dxa"/>
              <w:right w:w="0" w:type="dxa"/>
            </w:tcMar>
          </w:tcPr>
          <w:p w14:paraId="2B98F512" w14:textId="77777777" w:rsidR="00EF6EA0" w:rsidRDefault="009B7657" w:rsidP="00AC1761">
            <w:pPr>
              <w:pStyle w:val="DualTxt"/>
              <w:spacing w:before="40" w:after="40" w:line="200" w:lineRule="exact"/>
              <w:ind w:right="43"/>
              <w:jc w:val="left"/>
              <w:rPr>
                <w:sz w:val="17"/>
                <w:szCs w:val="17"/>
              </w:rPr>
            </w:pPr>
            <w:hyperlink r:id="rId15" w:history="1">
              <w:r w:rsidR="00EF6EA0">
                <w:rPr>
                  <w:rStyle w:val="Hyperlink"/>
                  <w:sz w:val="17"/>
                  <w:szCs w:val="17"/>
                </w:rPr>
                <w:t>58/9</w:t>
              </w:r>
            </w:hyperlink>
          </w:p>
        </w:tc>
        <w:tc>
          <w:tcPr>
            <w:tcW w:w="6184" w:type="dxa"/>
            <w:tcMar>
              <w:left w:w="0" w:type="dxa"/>
              <w:right w:w="0" w:type="dxa"/>
            </w:tcMar>
          </w:tcPr>
          <w:p w14:paraId="25FE7148" w14:textId="77777777" w:rsidR="00EF6EA0" w:rsidRDefault="00EF6EA0" w:rsidP="00AC1761">
            <w:pPr>
              <w:pStyle w:val="DualTxt"/>
              <w:spacing w:before="40" w:after="40" w:line="200" w:lineRule="exact"/>
              <w:ind w:left="86" w:right="43"/>
              <w:jc w:val="left"/>
              <w:rPr>
                <w:sz w:val="17"/>
              </w:rPr>
            </w:pPr>
            <w:r>
              <w:rPr>
                <w:sz w:val="17"/>
              </w:rPr>
              <w:t>Global road safety crisis</w:t>
            </w:r>
          </w:p>
        </w:tc>
      </w:tr>
      <w:tr w:rsidR="00EF6EA0" w14:paraId="4F0C4697" w14:textId="77777777" w:rsidTr="004B4247">
        <w:tc>
          <w:tcPr>
            <w:tcW w:w="1187" w:type="dxa"/>
            <w:tcMar>
              <w:left w:w="0" w:type="dxa"/>
              <w:right w:w="0" w:type="dxa"/>
            </w:tcMar>
          </w:tcPr>
          <w:p w14:paraId="704C0E08" w14:textId="77777777" w:rsidR="00EF6EA0" w:rsidRDefault="009B7657" w:rsidP="00AC1761">
            <w:pPr>
              <w:pStyle w:val="DualTxt"/>
              <w:spacing w:before="40" w:after="40" w:line="200" w:lineRule="exact"/>
              <w:ind w:right="43"/>
              <w:jc w:val="left"/>
              <w:rPr>
                <w:sz w:val="17"/>
                <w:szCs w:val="17"/>
              </w:rPr>
            </w:pPr>
            <w:hyperlink r:id="rId16" w:history="1">
              <w:r w:rsidR="00EF6EA0">
                <w:rPr>
                  <w:rStyle w:val="Hyperlink"/>
                  <w:sz w:val="17"/>
                  <w:szCs w:val="17"/>
                </w:rPr>
                <w:t>68/269</w:t>
              </w:r>
            </w:hyperlink>
          </w:p>
        </w:tc>
        <w:tc>
          <w:tcPr>
            <w:tcW w:w="6184" w:type="dxa"/>
            <w:tcMar>
              <w:left w:w="0" w:type="dxa"/>
              <w:right w:w="0" w:type="dxa"/>
            </w:tcMar>
          </w:tcPr>
          <w:p w14:paraId="30C34A75" w14:textId="77777777" w:rsidR="00EF6EA0" w:rsidRDefault="00EF6EA0" w:rsidP="00AC1761">
            <w:pPr>
              <w:pStyle w:val="DualTxt"/>
              <w:spacing w:before="40" w:after="40" w:line="200" w:lineRule="exact"/>
              <w:ind w:left="86" w:right="43"/>
              <w:jc w:val="left"/>
              <w:rPr>
                <w:rFonts w:eastAsia="Times"/>
                <w:sz w:val="17"/>
              </w:rPr>
            </w:pPr>
            <w:r>
              <w:rPr>
                <w:sz w:val="17"/>
              </w:rPr>
              <w:t>Improving global road safety</w:t>
            </w:r>
          </w:p>
        </w:tc>
      </w:tr>
      <w:tr w:rsidR="00EF6EA0" w14:paraId="4E48B767" w14:textId="77777777" w:rsidTr="004B4247">
        <w:tc>
          <w:tcPr>
            <w:tcW w:w="1187" w:type="dxa"/>
            <w:tcMar>
              <w:left w:w="0" w:type="dxa"/>
              <w:right w:w="0" w:type="dxa"/>
            </w:tcMar>
          </w:tcPr>
          <w:p w14:paraId="24FCF1C3" w14:textId="77777777" w:rsidR="00EF6EA0" w:rsidRDefault="009B7657" w:rsidP="00AC1761">
            <w:pPr>
              <w:pStyle w:val="DualTxt"/>
              <w:spacing w:before="40" w:after="40" w:line="200" w:lineRule="exact"/>
              <w:ind w:right="43"/>
              <w:jc w:val="left"/>
              <w:rPr>
                <w:sz w:val="17"/>
                <w:szCs w:val="17"/>
              </w:rPr>
            </w:pPr>
            <w:hyperlink r:id="rId17" w:history="1">
              <w:r w:rsidR="00EF6EA0">
                <w:rPr>
                  <w:rStyle w:val="Hyperlink"/>
                  <w:sz w:val="17"/>
                  <w:szCs w:val="17"/>
                </w:rPr>
                <w:t>69/137</w:t>
              </w:r>
            </w:hyperlink>
          </w:p>
        </w:tc>
        <w:tc>
          <w:tcPr>
            <w:tcW w:w="6184" w:type="dxa"/>
            <w:tcMar>
              <w:left w:w="0" w:type="dxa"/>
              <w:right w:w="0" w:type="dxa"/>
            </w:tcMar>
          </w:tcPr>
          <w:p w14:paraId="16D396B1" w14:textId="77777777" w:rsidR="00EF6EA0" w:rsidRDefault="00EF6EA0" w:rsidP="00AC1761">
            <w:pPr>
              <w:pStyle w:val="DualTxt"/>
              <w:spacing w:before="40" w:after="40" w:line="200" w:lineRule="exact"/>
              <w:ind w:left="86" w:right="43"/>
              <w:jc w:val="left"/>
              <w:rPr>
                <w:rFonts w:eastAsia="Times"/>
                <w:sz w:val="17"/>
              </w:rPr>
            </w:pPr>
            <w:r>
              <w:rPr>
                <w:sz w:val="17"/>
              </w:rPr>
              <w:t>Programme of Action for Landlocked Developing Countries for the Decade 2014–2024</w:t>
            </w:r>
          </w:p>
        </w:tc>
      </w:tr>
      <w:tr w:rsidR="00EF6EA0" w14:paraId="69B3B979" w14:textId="77777777" w:rsidTr="004B4247">
        <w:tc>
          <w:tcPr>
            <w:tcW w:w="1187" w:type="dxa"/>
            <w:tcMar>
              <w:left w:w="0" w:type="dxa"/>
              <w:right w:w="0" w:type="dxa"/>
            </w:tcMar>
          </w:tcPr>
          <w:p w14:paraId="56B0BF9C" w14:textId="77777777" w:rsidR="00EF6EA0" w:rsidRDefault="009B7657" w:rsidP="00AC1761">
            <w:pPr>
              <w:pStyle w:val="DualTxt"/>
              <w:spacing w:before="40" w:after="40" w:line="200" w:lineRule="exact"/>
              <w:ind w:right="43"/>
              <w:jc w:val="left"/>
              <w:rPr>
                <w:sz w:val="17"/>
                <w:szCs w:val="17"/>
              </w:rPr>
            </w:pPr>
            <w:hyperlink r:id="rId18" w:history="1">
              <w:r w:rsidR="00EF6EA0">
                <w:rPr>
                  <w:rStyle w:val="Hyperlink"/>
                  <w:sz w:val="17"/>
                  <w:szCs w:val="17"/>
                </w:rPr>
                <w:t>69/213</w:t>
              </w:r>
            </w:hyperlink>
          </w:p>
        </w:tc>
        <w:tc>
          <w:tcPr>
            <w:tcW w:w="6184" w:type="dxa"/>
            <w:tcMar>
              <w:left w:w="0" w:type="dxa"/>
              <w:right w:w="0" w:type="dxa"/>
            </w:tcMar>
          </w:tcPr>
          <w:p w14:paraId="55B3B1AA" w14:textId="77777777" w:rsidR="00EF6EA0" w:rsidRDefault="00EF6EA0" w:rsidP="00AC1761">
            <w:pPr>
              <w:pStyle w:val="DualTxt"/>
              <w:spacing w:before="40" w:after="40" w:line="200" w:lineRule="exact"/>
              <w:ind w:left="86" w:right="43"/>
              <w:jc w:val="left"/>
              <w:rPr>
                <w:rFonts w:eastAsia="Times"/>
                <w:sz w:val="17"/>
              </w:rPr>
            </w:pPr>
            <w:r>
              <w:rPr>
                <w:sz w:val="17"/>
              </w:rPr>
              <w:t>Role of transport and transit corridors in ensuring international cooperation for sustainable development</w:t>
            </w:r>
          </w:p>
        </w:tc>
      </w:tr>
      <w:tr w:rsidR="00EF6EA0" w14:paraId="0D39E9E9" w14:textId="77777777" w:rsidTr="004B4247">
        <w:tc>
          <w:tcPr>
            <w:tcW w:w="1187" w:type="dxa"/>
            <w:tcMar>
              <w:left w:w="0" w:type="dxa"/>
              <w:right w:w="0" w:type="dxa"/>
            </w:tcMar>
          </w:tcPr>
          <w:p w14:paraId="2EDF3452" w14:textId="77777777" w:rsidR="00EF6EA0" w:rsidRDefault="009B7657" w:rsidP="00AC1761">
            <w:pPr>
              <w:pStyle w:val="DualTxt"/>
              <w:spacing w:before="40" w:after="40" w:line="200" w:lineRule="exact"/>
              <w:ind w:right="43"/>
              <w:jc w:val="left"/>
              <w:rPr>
                <w:sz w:val="17"/>
                <w:szCs w:val="17"/>
              </w:rPr>
            </w:pPr>
            <w:hyperlink r:id="rId19" w:history="1">
              <w:r w:rsidR="00EF6EA0">
                <w:rPr>
                  <w:rStyle w:val="Hyperlink"/>
                  <w:sz w:val="17"/>
                  <w:szCs w:val="17"/>
                </w:rPr>
                <w:t>70/197</w:t>
              </w:r>
            </w:hyperlink>
          </w:p>
        </w:tc>
        <w:tc>
          <w:tcPr>
            <w:tcW w:w="6184" w:type="dxa"/>
            <w:tcMar>
              <w:left w:w="0" w:type="dxa"/>
              <w:right w:w="0" w:type="dxa"/>
            </w:tcMar>
          </w:tcPr>
          <w:p w14:paraId="43E6EDB4" w14:textId="77777777" w:rsidR="00EF6EA0" w:rsidRDefault="00EF6EA0" w:rsidP="00AC1761">
            <w:pPr>
              <w:pStyle w:val="DualTxt"/>
              <w:spacing w:before="40" w:after="40" w:line="200" w:lineRule="exact"/>
              <w:ind w:left="86" w:right="43"/>
              <w:jc w:val="left"/>
              <w:rPr>
                <w:sz w:val="17"/>
              </w:rPr>
            </w:pPr>
            <w:r>
              <w:rPr>
                <w:sz w:val="17"/>
              </w:rPr>
              <w:t>Towards comprehensive cooperation among all modes of transport for promoting sustainable multimodal transit corridors</w:t>
            </w:r>
          </w:p>
        </w:tc>
      </w:tr>
      <w:tr w:rsidR="00EF6EA0" w14:paraId="6B403A77" w14:textId="77777777" w:rsidTr="004B4247">
        <w:tc>
          <w:tcPr>
            <w:tcW w:w="1187" w:type="dxa"/>
            <w:tcMar>
              <w:left w:w="0" w:type="dxa"/>
              <w:right w:w="0" w:type="dxa"/>
            </w:tcMar>
          </w:tcPr>
          <w:p w14:paraId="01CF491E" w14:textId="77777777" w:rsidR="00EF6EA0" w:rsidRDefault="009B7657" w:rsidP="00AC1761">
            <w:pPr>
              <w:pStyle w:val="DualTxt"/>
              <w:spacing w:before="40" w:after="40" w:line="200" w:lineRule="exact"/>
              <w:ind w:right="43"/>
              <w:jc w:val="left"/>
              <w:rPr>
                <w:sz w:val="17"/>
                <w:szCs w:val="17"/>
              </w:rPr>
            </w:pPr>
            <w:hyperlink r:id="rId20" w:history="1">
              <w:r w:rsidR="00EF6EA0">
                <w:rPr>
                  <w:rStyle w:val="Hyperlink"/>
                  <w:sz w:val="17"/>
                  <w:szCs w:val="17"/>
                </w:rPr>
                <w:t>70/217</w:t>
              </w:r>
            </w:hyperlink>
          </w:p>
        </w:tc>
        <w:tc>
          <w:tcPr>
            <w:tcW w:w="6184" w:type="dxa"/>
            <w:tcMar>
              <w:left w:w="0" w:type="dxa"/>
              <w:right w:w="0" w:type="dxa"/>
            </w:tcMar>
          </w:tcPr>
          <w:p w14:paraId="0834C397" w14:textId="77777777" w:rsidR="00EF6EA0" w:rsidRDefault="00EF6EA0" w:rsidP="00AC1761">
            <w:pPr>
              <w:pStyle w:val="DualTxt"/>
              <w:spacing w:before="40" w:after="40" w:line="200" w:lineRule="exact"/>
              <w:ind w:left="86" w:right="43"/>
              <w:jc w:val="left"/>
              <w:rPr>
                <w:sz w:val="17"/>
              </w:rPr>
            </w:pPr>
            <w:r>
              <w:rPr>
                <w:sz w:val="17"/>
              </w:rPr>
              <w:t>Follow-up to the second United Nations Conference on Landlocked Developing Countries</w:t>
            </w:r>
          </w:p>
        </w:tc>
      </w:tr>
      <w:tr w:rsidR="00EF6EA0" w14:paraId="0E38C057" w14:textId="77777777" w:rsidTr="004B4247">
        <w:tc>
          <w:tcPr>
            <w:tcW w:w="1187" w:type="dxa"/>
            <w:tcMar>
              <w:left w:w="0" w:type="dxa"/>
              <w:right w:w="0" w:type="dxa"/>
            </w:tcMar>
          </w:tcPr>
          <w:p w14:paraId="1A0FEA6C" w14:textId="77777777" w:rsidR="00EF6EA0" w:rsidRDefault="009B7657" w:rsidP="00AC1761">
            <w:pPr>
              <w:pStyle w:val="DualTxt"/>
              <w:spacing w:before="40" w:after="40" w:line="200" w:lineRule="exact"/>
              <w:ind w:right="43"/>
              <w:jc w:val="left"/>
              <w:rPr>
                <w:sz w:val="17"/>
                <w:szCs w:val="17"/>
              </w:rPr>
            </w:pPr>
            <w:hyperlink r:id="rId21" w:history="1">
              <w:r w:rsidR="00EF6EA0">
                <w:rPr>
                  <w:rStyle w:val="Hyperlink"/>
                  <w:sz w:val="17"/>
                  <w:szCs w:val="17"/>
                </w:rPr>
                <w:t>72/212</w:t>
              </w:r>
            </w:hyperlink>
          </w:p>
        </w:tc>
        <w:tc>
          <w:tcPr>
            <w:tcW w:w="6184" w:type="dxa"/>
            <w:tcMar>
              <w:left w:w="0" w:type="dxa"/>
              <w:right w:w="0" w:type="dxa"/>
            </w:tcMar>
          </w:tcPr>
          <w:p w14:paraId="6FA0FDE2" w14:textId="77777777" w:rsidR="00EF6EA0" w:rsidRDefault="00EF6EA0" w:rsidP="00AC1761">
            <w:pPr>
              <w:pStyle w:val="DualTxt"/>
              <w:spacing w:before="40" w:after="40" w:line="200" w:lineRule="exact"/>
              <w:ind w:left="86" w:right="43"/>
              <w:jc w:val="left"/>
              <w:rPr>
                <w:sz w:val="17"/>
              </w:rPr>
            </w:pPr>
            <w:r>
              <w:rPr>
                <w:sz w:val="17"/>
              </w:rPr>
              <w:t>Strengthening the links between all modes of transport to achieve the Sustainable Development Goals</w:t>
            </w:r>
          </w:p>
        </w:tc>
      </w:tr>
      <w:tr w:rsidR="00EF6EA0" w14:paraId="101BC10D" w14:textId="77777777" w:rsidTr="004B4247">
        <w:tc>
          <w:tcPr>
            <w:tcW w:w="1187" w:type="dxa"/>
            <w:tcMar>
              <w:left w:w="0" w:type="dxa"/>
              <w:right w:w="0" w:type="dxa"/>
            </w:tcMar>
          </w:tcPr>
          <w:p w14:paraId="32377930" w14:textId="77777777" w:rsidR="00EF6EA0" w:rsidRDefault="009B7657" w:rsidP="00AC1761">
            <w:pPr>
              <w:pStyle w:val="DualTxt"/>
              <w:spacing w:before="40" w:after="40" w:line="200" w:lineRule="exact"/>
              <w:ind w:right="43"/>
              <w:jc w:val="left"/>
              <w:rPr>
                <w:sz w:val="17"/>
                <w:szCs w:val="17"/>
              </w:rPr>
            </w:pPr>
            <w:hyperlink r:id="rId22" w:history="1">
              <w:r w:rsidR="00EF6EA0">
                <w:rPr>
                  <w:rStyle w:val="Hyperlink"/>
                  <w:sz w:val="17"/>
                  <w:szCs w:val="17"/>
                </w:rPr>
                <w:t>72/271</w:t>
              </w:r>
            </w:hyperlink>
          </w:p>
        </w:tc>
        <w:tc>
          <w:tcPr>
            <w:tcW w:w="6184" w:type="dxa"/>
            <w:tcMar>
              <w:left w:w="0" w:type="dxa"/>
              <w:right w:w="0" w:type="dxa"/>
            </w:tcMar>
          </w:tcPr>
          <w:p w14:paraId="1530E707" w14:textId="77777777" w:rsidR="00EF6EA0" w:rsidRDefault="00EF6EA0" w:rsidP="00AC1761">
            <w:pPr>
              <w:pStyle w:val="DualTxt"/>
              <w:spacing w:before="40" w:after="40" w:line="200" w:lineRule="exact"/>
              <w:ind w:left="86" w:right="43"/>
              <w:jc w:val="left"/>
              <w:rPr>
                <w:sz w:val="17"/>
              </w:rPr>
            </w:pPr>
            <w:r>
              <w:rPr>
                <w:sz w:val="17"/>
              </w:rPr>
              <w:t>Improving global road safety</w:t>
            </w:r>
          </w:p>
        </w:tc>
      </w:tr>
      <w:tr w:rsidR="00EF6EA0" w14:paraId="3F169650" w14:textId="77777777" w:rsidTr="004B4247">
        <w:tc>
          <w:tcPr>
            <w:tcW w:w="1187" w:type="dxa"/>
            <w:tcMar>
              <w:left w:w="0" w:type="dxa"/>
              <w:right w:w="0" w:type="dxa"/>
            </w:tcMar>
          </w:tcPr>
          <w:p w14:paraId="13C9CA78" w14:textId="77777777" w:rsidR="00EF6EA0" w:rsidRDefault="009B7657" w:rsidP="00AC1761">
            <w:pPr>
              <w:pStyle w:val="DualTxt"/>
              <w:spacing w:before="40" w:after="40" w:line="200" w:lineRule="exact"/>
              <w:ind w:right="43"/>
              <w:jc w:val="left"/>
              <w:rPr>
                <w:sz w:val="17"/>
                <w:szCs w:val="17"/>
              </w:rPr>
            </w:pPr>
            <w:hyperlink r:id="rId23" w:history="1">
              <w:r w:rsidR="00EF6EA0">
                <w:rPr>
                  <w:rStyle w:val="Hyperlink"/>
                  <w:sz w:val="17"/>
                  <w:szCs w:val="17"/>
                </w:rPr>
                <w:t>73/243</w:t>
              </w:r>
            </w:hyperlink>
          </w:p>
        </w:tc>
        <w:tc>
          <w:tcPr>
            <w:tcW w:w="6184" w:type="dxa"/>
            <w:tcMar>
              <w:left w:w="0" w:type="dxa"/>
              <w:right w:w="0" w:type="dxa"/>
            </w:tcMar>
          </w:tcPr>
          <w:p w14:paraId="3F6920A8" w14:textId="77777777" w:rsidR="00EF6EA0" w:rsidRDefault="00EF6EA0" w:rsidP="00AC1761">
            <w:pPr>
              <w:pStyle w:val="DualTxt"/>
              <w:spacing w:before="40" w:after="40" w:line="200" w:lineRule="exact"/>
              <w:ind w:left="86" w:right="43"/>
              <w:jc w:val="left"/>
              <w:rPr>
                <w:sz w:val="17"/>
              </w:rPr>
            </w:pPr>
            <w:r>
              <w:rPr>
                <w:sz w:val="17"/>
              </w:rPr>
              <w:t>Follow-up to the Second United Nations Conference on Landlocked Developing Countries</w:t>
            </w:r>
          </w:p>
        </w:tc>
      </w:tr>
      <w:tr w:rsidR="00EF6EA0" w14:paraId="722A7321" w14:textId="77777777" w:rsidTr="004B4247">
        <w:tc>
          <w:tcPr>
            <w:tcW w:w="1187" w:type="dxa"/>
            <w:tcMar>
              <w:left w:w="0" w:type="dxa"/>
              <w:right w:w="0" w:type="dxa"/>
            </w:tcMar>
          </w:tcPr>
          <w:p w14:paraId="60914743" w14:textId="77777777" w:rsidR="00EF6EA0" w:rsidRDefault="009B7657" w:rsidP="00AC1761">
            <w:pPr>
              <w:pStyle w:val="DualTxt"/>
              <w:spacing w:before="40" w:after="40" w:line="200" w:lineRule="exact"/>
              <w:ind w:right="43"/>
              <w:jc w:val="left"/>
              <w:rPr>
                <w:sz w:val="17"/>
                <w:szCs w:val="17"/>
              </w:rPr>
            </w:pPr>
            <w:hyperlink r:id="rId24">
              <w:r w:rsidR="00EF6EA0" w:rsidRPr="6E7C55C7">
                <w:rPr>
                  <w:rStyle w:val="Hyperlink"/>
                  <w:sz w:val="17"/>
                  <w:szCs w:val="17"/>
                </w:rPr>
                <w:t>74/299</w:t>
              </w:r>
            </w:hyperlink>
          </w:p>
          <w:p w14:paraId="4067CB21" w14:textId="77777777" w:rsidR="00EF6EA0" w:rsidRDefault="009B7657" w:rsidP="00AC1761">
            <w:pPr>
              <w:pStyle w:val="DualTxt"/>
              <w:spacing w:before="40" w:after="40" w:line="200" w:lineRule="exact"/>
              <w:ind w:right="43"/>
              <w:jc w:val="left"/>
              <w:rPr>
                <w:rFonts w:eastAsia="Calibri"/>
              </w:rPr>
            </w:pPr>
            <w:hyperlink r:id="rId25" w:history="1">
              <w:r w:rsidR="00EF6EA0" w:rsidRPr="004A3F9B">
                <w:rPr>
                  <w:rStyle w:val="Hyperlink"/>
                  <w:sz w:val="17"/>
                </w:rPr>
                <w:t>76/255</w:t>
              </w:r>
            </w:hyperlink>
          </w:p>
        </w:tc>
        <w:tc>
          <w:tcPr>
            <w:tcW w:w="6184" w:type="dxa"/>
            <w:tcMar>
              <w:left w:w="0" w:type="dxa"/>
              <w:right w:w="0" w:type="dxa"/>
            </w:tcMar>
          </w:tcPr>
          <w:p w14:paraId="68E87924" w14:textId="77777777" w:rsidR="00EF6EA0" w:rsidRDefault="00EF6EA0" w:rsidP="00AC1761">
            <w:pPr>
              <w:pStyle w:val="DualTxt"/>
              <w:spacing w:before="40" w:after="40" w:line="200" w:lineRule="exact"/>
              <w:ind w:left="86" w:right="43"/>
              <w:jc w:val="left"/>
              <w:rPr>
                <w:sz w:val="17"/>
                <w:szCs w:val="17"/>
              </w:rPr>
            </w:pPr>
            <w:r w:rsidRPr="6E7C55C7">
              <w:rPr>
                <w:sz w:val="17"/>
                <w:szCs w:val="17"/>
              </w:rPr>
              <w:t>Improving global road safety</w:t>
            </w:r>
          </w:p>
          <w:p w14:paraId="397C5736" w14:textId="77777777" w:rsidR="00EF6EA0" w:rsidRDefault="00EF6EA0" w:rsidP="00AC1761">
            <w:pPr>
              <w:pStyle w:val="DualTxt"/>
              <w:spacing w:before="40" w:after="40" w:line="200" w:lineRule="exact"/>
              <w:ind w:left="86" w:right="43"/>
              <w:jc w:val="left"/>
              <w:rPr>
                <w:rFonts w:eastAsia="Calibri"/>
              </w:rPr>
            </w:pPr>
            <w:r w:rsidRPr="00C13CFD">
              <w:rPr>
                <w:sz w:val="17"/>
              </w:rPr>
              <w:t>Integration of mainstream bicycling into public transportation systems for sustainable development</w:t>
            </w:r>
          </w:p>
        </w:tc>
      </w:tr>
    </w:tbl>
    <w:p w14:paraId="6D50EB2F" w14:textId="77777777" w:rsidR="00547ED7" w:rsidRDefault="00547ED7" w:rsidP="00547ED7">
      <w:pPr>
        <w:pStyle w:val="SingleTxtG"/>
        <w:rPr>
          <w:i/>
        </w:rPr>
      </w:pPr>
      <w:r w:rsidRPr="00547ED7">
        <w:rPr>
          <w:i/>
        </w:rPr>
        <w:t>Economic and Social Council resolutions</w:t>
      </w:r>
    </w:p>
    <w:tbl>
      <w:tblPr>
        <w:tblW w:w="7371" w:type="dxa"/>
        <w:tblInd w:w="1134" w:type="dxa"/>
        <w:tblLook w:val="04A0" w:firstRow="1" w:lastRow="0" w:firstColumn="1" w:lastColumn="0" w:noHBand="0" w:noVBand="1"/>
      </w:tblPr>
      <w:tblGrid>
        <w:gridCol w:w="1317"/>
        <w:gridCol w:w="6054"/>
      </w:tblGrid>
      <w:tr w:rsidR="00764C79" w14:paraId="5A664B13" w14:textId="77777777" w:rsidTr="004B4247">
        <w:tc>
          <w:tcPr>
            <w:tcW w:w="1134" w:type="dxa"/>
            <w:tcMar>
              <w:left w:w="0" w:type="dxa"/>
              <w:right w:w="0" w:type="dxa"/>
            </w:tcMar>
          </w:tcPr>
          <w:p w14:paraId="5402C20C" w14:textId="77777777" w:rsidR="00764C79" w:rsidRDefault="00764C79" w:rsidP="00AC1761">
            <w:pPr>
              <w:pStyle w:val="DualTxt"/>
              <w:spacing w:before="40" w:after="40" w:line="194" w:lineRule="exact"/>
              <w:ind w:right="43"/>
              <w:jc w:val="left"/>
              <w:rPr>
                <w:rFonts w:eastAsia="Times"/>
                <w:sz w:val="17"/>
              </w:rPr>
            </w:pPr>
            <w:r>
              <w:rPr>
                <w:rFonts w:eastAsia="Times"/>
                <w:sz w:val="17"/>
              </w:rPr>
              <w:t>1999/65</w:t>
            </w:r>
          </w:p>
        </w:tc>
        <w:tc>
          <w:tcPr>
            <w:tcW w:w="5211" w:type="dxa"/>
            <w:tcMar>
              <w:left w:w="0" w:type="dxa"/>
              <w:right w:w="0" w:type="dxa"/>
            </w:tcMar>
          </w:tcPr>
          <w:p w14:paraId="08DB26A5" w14:textId="77777777" w:rsidR="00764C79" w:rsidRDefault="00764C79" w:rsidP="00AC1761">
            <w:pPr>
              <w:pStyle w:val="DualTxt"/>
              <w:spacing w:before="40" w:after="40" w:line="194" w:lineRule="exact"/>
              <w:ind w:left="86" w:right="43"/>
              <w:jc w:val="left"/>
              <w:rPr>
                <w:sz w:val="17"/>
              </w:rPr>
            </w:pPr>
            <w:r>
              <w:rPr>
                <w:sz w:val="17"/>
              </w:rPr>
              <w:t>Reconfiguration of the Committee of Experts on the Transport of Dangerous Goods into a Committee of Experts on the Transport of Dangerous Goods and on the Globally Harmonized System of Classification and Labelling of Chemicals</w:t>
            </w:r>
          </w:p>
        </w:tc>
      </w:tr>
      <w:tr w:rsidR="00764C79" w14:paraId="27167712" w14:textId="77777777" w:rsidTr="004B4247">
        <w:tc>
          <w:tcPr>
            <w:tcW w:w="1134" w:type="dxa"/>
            <w:tcMar>
              <w:left w:w="0" w:type="dxa"/>
              <w:right w:w="0" w:type="dxa"/>
            </w:tcMar>
          </w:tcPr>
          <w:p w14:paraId="215B0E84" w14:textId="77777777" w:rsidR="00764C79" w:rsidRDefault="009B7657" w:rsidP="00AC1761">
            <w:pPr>
              <w:pStyle w:val="DualTxt"/>
              <w:spacing w:before="40" w:after="40" w:line="194" w:lineRule="exact"/>
              <w:ind w:right="43"/>
              <w:jc w:val="left"/>
              <w:rPr>
                <w:rFonts w:eastAsia="Times"/>
                <w:sz w:val="17"/>
              </w:rPr>
            </w:pPr>
            <w:hyperlink r:id="rId26" w:history="1">
              <w:r w:rsidR="00764C79">
                <w:rPr>
                  <w:rStyle w:val="Hyperlink"/>
                  <w:rFonts w:eastAsia="Times"/>
                  <w:sz w:val="17"/>
                </w:rPr>
                <w:t>2013/7</w:t>
              </w:r>
            </w:hyperlink>
          </w:p>
        </w:tc>
        <w:tc>
          <w:tcPr>
            <w:tcW w:w="5211" w:type="dxa"/>
            <w:tcMar>
              <w:left w:w="0" w:type="dxa"/>
              <w:right w:w="0" w:type="dxa"/>
            </w:tcMar>
          </w:tcPr>
          <w:p w14:paraId="3D48A609" w14:textId="77777777" w:rsidR="00764C79" w:rsidRDefault="00764C79" w:rsidP="00AC1761">
            <w:pPr>
              <w:pStyle w:val="DualTxt"/>
              <w:spacing w:before="40" w:after="40" w:line="194" w:lineRule="exact"/>
              <w:ind w:left="86" w:right="43"/>
              <w:jc w:val="left"/>
              <w:rPr>
                <w:sz w:val="17"/>
              </w:rPr>
            </w:pPr>
            <w:r>
              <w:rPr>
                <w:sz w:val="17"/>
              </w:rPr>
              <w:t>Europe-Africa fixed link through the Strait of Gibraltar</w:t>
            </w:r>
          </w:p>
        </w:tc>
      </w:tr>
      <w:tr w:rsidR="00764C79" w14:paraId="2E9DA5FA" w14:textId="77777777" w:rsidTr="004B4247">
        <w:tc>
          <w:tcPr>
            <w:tcW w:w="1134" w:type="dxa"/>
            <w:tcMar>
              <w:left w:w="0" w:type="dxa"/>
              <w:right w:w="0" w:type="dxa"/>
            </w:tcMar>
          </w:tcPr>
          <w:p w14:paraId="23E2B22D" w14:textId="77777777" w:rsidR="00764C79" w:rsidRDefault="009B7657" w:rsidP="00AC1761">
            <w:pPr>
              <w:pStyle w:val="DualTxt"/>
              <w:spacing w:before="40" w:after="40" w:line="200" w:lineRule="exact"/>
              <w:ind w:right="43"/>
              <w:jc w:val="left"/>
              <w:rPr>
                <w:rFonts w:eastAsia="Times"/>
                <w:sz w:val="17"/>
              </w:rPr>
            </w:pPr>
            <w:hyperlink r:id="rId27" w:history="1">
              <w:r w:rsidR="00764C79">
                <w:rPr>
                  <w:rStyle w:val="Hyperlink"/>
                  <w:rFonts w:eastAsia="Times"/>
                  <w:sz w:val="17"/>
                </w:rPr>
                <w:t>2021/13</w:t>
              </w:r>
            </w:hyperlink>
          </w:p>
        </w:tc>
        <w:tc>
          <w:tcPr>
            <w:tcW w:w="5211" w:type="dxa"/>
            <w:tcMar>
              <w:left w:w="0" w:type="dxa"/>
              <w:right w:w="0" w:type="dxa"/>
            </w:tcMar>
          </w:tcPr>
          <w:p w14:paraId="4ADA2A82" w14:textId="77777777" w:rsidR="00764C79" w:rsidRDefault="00764C79" w:rsidP="00AC1761">
            <w:pPr>
              <w:pStyle w:val="DualTxt"/>
              <w:spacing w:before="40" w:after="40" w:line="200" w:lineRule="exact"/>
              <w:ind w:left="86" w:right="43"/>
              <w:jc w:val="left"/>
              <w:rPr>
                <w:sz w:val="17"/>
              </w:rPr>
            </w:pPr>
            <w:r>
              <w:rPr>
                <w:sz w:val="17"/>
              </w:rPr>
              <w:t>Work of the Committee of Experts on the Transport of Dangerous Goods and on the Globally Harmonized System of Classification and Labelling of Chemicals</w:t>
            </w:r>
          </w:p>
        </w:tc>
      </w:tr>
      <w:tr w:rsidR="00764C79" w14:paraId="3C9BCF49" w14:textId="77777777" w:rsidTr="004B4247">
        <w:tc>
          <w:tcPr>
            <w:tcW w:w="1134" w:type="dxa"/>
            <w:tcMar>
              <w:left w:w="0" w:type="dxa"/>
              <w:right w:w="0" w:type="dxa"/>
            </w:tcMar>
          </w:tcPr>
          <w:p w14:paraId="70F53F1C" w14:textId="77777777" w:rsidR="00764C79" w:rsidRDefault="009B7657" w:rsidP="00AC1761">
            <w:pPr>
              <w:pStyle w:val="DualTxt"/>
              <w:spacing w:before="40" w:after="40" w:line="200" w:lineRule="exact"/>
              <w:ind w:right="43"/>
              <w:jc w:val="left"/>
              <w:rPr>
                <w:sz w:val="17"/>
              </w:rPr>
            </w:pPr>
            <w:hyperlink r:id="rId28" w:history="1">
              <w:r w:rsidR="00764C79">
                <w:rPr>
                  <w:rStyle w:val="Hyperlink"/>
                  <w:sz w:val="17"/>
                </w:rPr>
                <w:t>2022/2</w:t>
              </w:r>
            </w:hyperlink>
          </w:p>
        </w:tc>
        <w:tc>
          <w:tcPr>
            <w:tcW w:w="5211" w:type="dxa"/>
            <w:tcMar>
              <w:left w:w="0" w:type="dxa"/>
              <w:right w:w="0" w:type="dxa"/>
            </w:tcMar>
          </w:tcPr>
          <w:p w14:paraId="0B830678" w14:textId="77777777" w:rsidR="00764C79" w:rsidRDefault="00764C79" w:rsidP="00AC1761">
            <w:pPr>
              <w:pStyle w:val="DualTxt"/>
              <w:spacing w:before="40" w:after="40" w:line="200" w:lineRule="exact"/>
              <w:ind w:left="86" w:right="43"/>
              <w:jc w:val="left"/>
              <w:rPr>
                <w:sz w:val="17"/>
              </w:rPr>
            </w:pPr>
            <w:r>
              <w:rPr>
                <w:sz w:val="17"/>
              </w:rPr>
              <w:t>Revised terms of reference of the Inland Transport Committee of the Economic Commission for Europe</w:t>
            </w:r>
          </w:p>
        </w:tc>
      </w:tr>
    </w:tbl>
    <w:p w14:paraId="57CC5CAF" w14:textId="77777777" w:rsidR="00547ED7" w:rsidRDefault="00547ED7" w:rsidP="00547ED7">
      <w:pPr>
        <w:pStyle w:val="SingleTxtG"/>
        <w:rPr>
          <w:i/>
        </w:rPr>
      </w:pPr>
      <w:r w:rsidRPr="00547ED7">
        <w:rPr>
          <w:i/>
        </w:rPr>
        <w:t>Economic Commission for Europe decisions</w:t>
      </w:r>
    </w:p>
    <w:tbl>
      <w:tblPr>
        <w:tblW w:w="7371" w:type="dxa"/>
        <w:tblInd w:w="1134" w:type="dxa"/>
        <w:tblLook w:val="04A0" w:firstRow="1" w:lastRow="0" w:firstColumn="1" w:lastColumn="0" w:noHBand="0" w:noVBand="1"/>
      </w:tblPr>
      <w:tblGrid>
        <w:gridCol w:w="1589"/>
        <w:gridCol w:w="5782"/>
      </w:tblGrid>
      <w:tr w:rsidR="00695FAB" w14:paraId="47BD96A1" w14:textId="77777777" w:rsidTr="004B4247">
        <w:tc>
          <w:tcPr>
            <w:tcW w:w="1134" w:type="dxa"/>
            <w:tcMar>
              <w:left w:w="0" w:type="dxa"/>
              <w:right w:w="0" w:type="dxa"/>
            </w:tcMar>
          </w:tcPr>
          <w:p w14:paraId="26A04F3B" w14:textId="77777777" w:rsidR="00695FAB" w:rsidRDefault="00695FAB" w:rsidP="00AC1761">
            <w:pPr>
              <w:pStyle w:val="DualTxt"/>
              <w:spacing w:before="40" w:after="40" w:line="194" w:lineRule="exact"/>
              <w:ind w:right="43"/>
              <w:jc w:val="left"/>
              <w:rPr>
                <w:spacing w:val="0"/>
                <w:w w:val="100"/>
                <w:sz w:val="17"/>
                <w:szCs w:val="17"/>
                <w:lang w:eastAsia="zh-CN"/>
              </w:rPr>
            </w:pPr>
            <w:r>
              <w:rPr>
                <w:rFonts w:eastAsia="Times"/>
                <w:spacing w:val="0"/>
                <w:w w:val="100"/>
                <w:sz w:val="17"/>
                <w:szCs w:val="17"/>
              </w:rPr>
              <w:t>ECE/AC.21/2014/2</w:t>
            </w:r>
          </w:p>
        </w:tc>
        <w:tc>
          <w:tcPr>
            <w:tcW w:w="5021" w:type="dxa"/>
            <w:tcMar>
              <w:left w:w="0" w:type="dxa"/>
              <w:right w:w="0" w:type="dxa"/>
            </w:tcMar>
          </w:tcPr>
          <w:p w14:paraId="6F0C58F5" w14:textId="77777777" w:rsidR="00695FAB" w:rsidRDefault="00695FAB" w:rsidP="00AC1761">
            <w:pPr>
              <w:pStyle w:val="DualTxt"/>
              <w:spacing w:before="40" w:after="40" w:line="194" w:lineRule="exact"/>
              <w:ind w:right="43"/>
              <w:jc w:val="left"/>
              <w:rPr>
                <w:sz w:val="17"/>
              </w:rPr>
            </w:pPr>
            <w:r>
              <w:rPr>
                <w:sz w:val="17"/>
              </w:rPr>
              <w:t>Report of the High-level Meeting on Transport, Health and Environment on its fourth session</w:t>
            </w:r>
          </w:p>
        </w:tc>
      </w:tr>
      <w:tr w:rsidR="00695FAB" w14:paraId="06F1B706" w14:textId="77777777" w:rsidTr="004B4247">
        <w:tc>
          <w:tcPr>
            <w:tcW w:w="1134" w:type="dxa"/>
            <w:tcMar>
              <w:left w:w="0" w:type="dxa"/>
              <w:right w:w="0" w:type="dxa"/>
            </w:tcMar>
          </w:tcPr>
          <w:p w14:paraId="4F48806B" w14:textId="77777777" w:rsidR="00695FAB" w:rsidRDefault="00695FAB" w:rsidP="00AC1761">
            <w:pPr>
              <w:pStyle w:val="DualTxt"/>
              <w:spacing w:before="40" w:after="40" w:line="194" w:lineRule="exact"/>
              <w:ind w:right="43"/>
              <w:jc w:val="left"/>
              <w:rPr>
                <w:rFonts w:eastAsia="Times"/>
                <w:spacing w:val="0"/>
                <w:w w:val="101"/>
                <w:sz w:val="17"/>
                <w:szCs w:val="17"/>
              </w:rPr>
            </w:pPr>
            <w:r>
              <w:rPr>
                <w:rFonts w:eastAsia="Times"/>
                <w:spacing w:val="0"/>
                <w:w w:val="101"/>
                <w:sz w:val="17"/>
                <w:szCs w:val="17"/>
              </w:rPr>
              <w:t>ECE/TRANS/224</w:t>
            </w:r>
          </w:p>
        </w:tc>
        <w:tc>
          <w:tcPr>
            <w:tcW w:w="5021" w:type="dxa"/>
            <w:tcMar>
              <w:left w:w="0" w:type="dxa"/>
              <w:right w:w="0" w:type="dxa"/>
            </w:tcMar>
          </w:tcPr>
          <w:p w14:paraId="2B737239" w14:textId="77777777" w:rsidR="00695FAB" w:rsidRDefault="00695FAB" w:rsidP="00AC1761">
            <w:pPr>
              <w:pStyle w:val="DualTxt"/>
              <w:spacing w:before="40" w:after="40" w:line="194" w:lineRule="exact"/>
              <w:ind w:right="14"/>
              <w:jc w:val="left"/>
              <w:rPr>
                <w:sz w:val="17"/>
                <w:szCs w:val="17"/>
                <w:lang w:eastAsia="zh-CN"/>
              </w:rPr>
            </w:pPr>
            <w:r>
              <w:rPr>
                <w:rFonts w:eastAsia="Times"/>
                <w:iCs/>
                <w:sz w:val="17"/>
                <w:szCs w:val="17"/>
              </w:rPr>
              <w:t>Report of the Inland Transport Committee on its seventy-fourth session (UNECE Road Map for promoting ITS-20 global actions 2012–2020)</w:t>
            </w:r>
          </w:p>
        </w:tc>
      </w:tr>
      <w:tr w:rsidR="00695FAB" w14:paraId="240D44AC" w14:textId="77777777" w:rsidTr="004B4247">
        <w:tc>
          <w:tcPr>
            <w:tcW w:w="1134" w:type="dxa"/>
            <w:tcMar>
              <w:left w:w="0" w:type="dxa"/>
              <w:right w:w="0" w:type="dxa"/>
            </w:tcMar>
          </w:tcPr>
          <w:p w14:paraId="02070B25" w14:textId="77777777" w:rsidR="00695FAB" w:rsidRDefault="00695FAB" w:rsidP="00AC1761">
            <w:pPr>
              <w:pStyle w:val="DualTxt"/>
              <w:spacing w:before="40" w:after="40" w:line="194" w:lineRule="exact"/>
              <w:ind w:right="43"/>
              <w:jc w:val="left"/>
              <w:rPr>
                <w:rFonts w:eastAsia="Times"/>
                <w:spacing w:val="0"/>
                <w:w w:val="101"/>
                <w:sz w:val="17"/>
                <w:szCs w:val="17"/>
              </w:rPr>
            </w:pPr>
            <w:r>
              <w:rPr>
                <w:rFonts w:eastAsia="Times"/>
                <w:spacing w:val="0"/>
                <w:w w:val="101"/>
                <w:sz w:val="17"/>
                <w:szCs w:val="17"/>
              </w:rPr>
              <w:t>ECE/TRANS/236</w:t>
            </w:r>
          </w:p>
        </w:tc>
        <w:tc>
          <w:tcPr>
            <w:tcW w:w="5021" w:type="dxa"/>
            <w:tcMar>
              <w:left w:w="0" w:type="dxa"/>
              <w:right w:w="0" w:type="dxa"/>
            </w:tcMar>
          </w:tcPr>
          <w:p w14:paraId="63433320" w14:textId="77777777" w:rsidR="00695FAB" w:rsidRDefault="00695FAB" w:rsidP="00AC1761">
            <w:pPr>
              <w:pStyle w:val="DualTxt"/>
              <w:spacing w:before="40" w:after="40" w:line="194" w:lineRule="exact"/>
              <w:ind w:right="43"/>
              <w:jc w:val="left"/>
              <w:rPr>
                <w:sz w:val="17"/>
                <w:szCs w:val="17"/>
                <w:lang w:eastAsia="zh-CN"/>
              </w:rPr>
            </w:pPr>
            <w:r>
              <w:rPr>
                <w:rFonts w:eastAsia="Times"/>
                <w:spacing w:val="2"/>
                <w:sz w:val="17"/>
                <w:szCs w:val="17"/>
              </w:rPr>
              <w:t>Report of the Inland Transport Committee on</w:t>
            </w:r>
            <w:r>
              <w:rPr>
                <w:rFonts w:eastAsia="Times"/>
                <w:sz w:val="17"/>
                <w:szCs w:val="17"/>
              </w:rPr>
              <w:t xml:space="preserve"> </w:t>
            </w:r>
            <w:r>
              <w:rPr>
                <w:rFonts w:eastAsia="Times"/>
                <w:spacing w:val="2"/>
                <w:sz w:val="17"/>
                <w:szCs w:val="17"/>
              </w:rPr>
              <w:t>its seventy-fifth session (Joint Declaration on</w:t>
            </w:r>
            <w:r>
              <w:rPr>
                <w:rFonts w:eastAsia="Times"/>
                <w:sz w:val="17"/>
                <w:szCs w:val="17"/>
              </w:rPr>
              <w:t xml:space="preserve"> the promotion of Euro-Asian Rail Transport </w:t>
            </w:r>
            <w:r>
              <w:rPr>
                <w:rFonts w:eastAsia="Times"/>
                <w:spacing w:val="2"/>
                <w:sz w:val="17"/>
                <w:szCs w:val="17"/>
              </w:rPr>
              <w:t xml:space="preserve">and Activities </w:t>
            </w:r>
            <w:r>
              <w:rPr>
                <w:rFonts w:eastAsia="Times"/>
                <w:spacing w:val="2"/>
                <w:sz w:val="17"/>
                <w:szCs w:val="17"/>
              </w:rPr>
              <w:lastRenderedPageBreak/>
              <w:t>towards Unified Railway Law;</w:t>
            </w:r>
            <w:r>
              <w:rPr>
                <w:rFonts w:eastAsia="Times"/>
                <w:sz w:val="17"/>
                <w:szCs w:val="17"/>
              </w:rPr>
              <w:t xml:space="preserve"> and Joint Statement on Future Development of Euro-Asian Transport Links)</w:t>
            </w:r>
          </w:p>
        </w:tc>
      </w:tr>
      <w:tr w:rsidR="00695FAB" w14:paraId="76FB3FD9" w14:textId="77777777" w:rsidTr="004B4247">
        <w:tc>
          <w:tcPr>
            <w:tcW w:w="1134" w:type="dxa"/>
            <w:tcMar>
              <w:left w:w="0" w:type="dxa"/>
              <w:right w:w="0" w:type="dxa"/>
            </w:tcMar>
          </w:tcPr>
          <w:p w14:paraId="2C103022" w14:textId="77777777" w:rsidR="00695FAB" w:rsidRDefault="00695FAB" w:rsidP="00AC1761">
            <w:pPr>
              <w:pStyle w:val="DualTxt"/>
              <w:spacing w:before="40" w:after="40" w:line="194" w:lineRule="exact"/>
              <w:ind w:right="43"/>
              <w:jc w:val="left"/>
              <w:rPr>
                <w:rFonts w:eastAsia="Times"/>
                <w:spacing w:val="0"/>
                <w:w w:val="101"/>
                <w:sz w:val="17"/>
                <w:szCs w:val="17"/>
              </w:rPr>
            </w:pPr>
            <w:r>
              <w:rPr>
                <w:rFonts w:eastAsia="Times"/>
                <w:spacing w:val="0"/>
                <w:w w:val="101"/>
                <w:sz w:val="17"/>
                <w:szCs w:val="17"/>
              </w:rPr>
              <w:lastRenderedPageBreak/>
              <w:t>ECE/TRANS/248</w:t>
            </w:r>
          </w:p>
        </w:tc>
        <w:tc>
          <w:tcPr>
            <w:tcW w:w="5021" w:type="dxa"/>
            <w:tcMar>
              <w:left w:w="0" w:type="dxa"/>
              <w:right w:w="0" w:type="dxa"/>
            </w:tcMar>
          </w:tcPr>
          <w:p w14:paraId="0413644B" w14:textId="77777777" w:rsidR="00695FAB" w:rsidRDefault="00695FAB" w:rsidP="00AC1761">
            <w:pPr>
              <w:pStyle w:val="DualTxt"/>
              <w:spacing w:before="40" w:after="40" w:line="194" w:lineRule="exact"/>
              <w:ind w:right="43"/>
              <w:jc w:val="left"/>
              <w:rPr>
                <w:sz w:val="17"/>
                <w:szCs w:val="17"/>
                <w:lang w:eastAsia="zh-CN"/>
              </w:rPr>
            </w:pPr>
            <w:r>
              <w:rPr>
                <w:rFonts w:eastAsia="Times"/>
                <w:sz w:val="17"/>
                <w:szCs w:val="17"/>
              </w:rPr>
              <w:t>Report of the Inland Transport Committee on its seventy-seventh session</w:t>
            </w:r>
          </w:p>
        </w:tc>
      </w:tr>
      <w:tr w:rsidR="00695FAB" w14:paraId="70E39DE7" w14:textId="77777777" w:rsidTr="004B4247">
        <w:tc>
          <w:tcPr>
            <w:tcW w:w="1134" w:type="dxa"/>
            <w:tcMar>
              <w:left w:w="0" w:type="dxa"/>
              <w:right w:w="0" w:type="dxa"/>
            </w:tcMar>
          </w:tcPr>
          <w:p w14:paraId="1FCD674A" w14:textId="77777777" w:rsidR="00695FAB" w:rsidRDefault="00695FAB" w:rsidP="00AC1761">
            <w:pPr>
              <w:pStyle w:val="DualTxt"/>
              <w:spacing w:before="40" w:after="40" w:line="194" w:lineRule="exact"/>
              <w:ind w:right="43"/>
              <w:jc w:val="left"/>
              <w:rPr>
                <w:rFonts w:eastAsia="Times"/>
                <w:spacing w:val="0"/>
                <w:w w:val="101"/>
                <w:sz w:val="17"/>
                <w:szCs w:val="17"/>
              </w:rPr>
            </w:pPr>
            <w:r>
              <w:rPr>
                <w:rFonts w:eastAsia="Times"/>
                <w:spacing w:val="0"/>
                <w:w w:val="101"/>
                <w:sz w:val="17"/>
                <w:szCs w:val="17"/>
              </w:rPr>
              <w:t>ECE/TRANS/254</w:t>
            </w:r>
          </w:p>
        </w:tc>
        <w:tc>
          <w:tcPr>
            <w:tcW w:w="5021" w:type="dxa"/>
            <w:tcMar>
              <w:left w:w="0" w:type="dxa"/>
              <w:right w:w="0" w:type="dxa"/>
            </w:tcMar>
          </w:tcPr>
          <w:p w14:paraId="26003450" w14:textId="77777777" w:rsidR="00695FAB" w:rsidRDefault="00695FAB" w:rsidP="00AC1761">
            <w:pPr>
              <w:pStyle w:val="DualTxt"/>
              <w:spacing w:before="40" w:after="40" w:line="194" w:lineRule="exact"/>
              <w:ind w:right="43"/>
              <w:jc w:val="left"/>
              <w:rPr>
                <w:sz w:val="17"/>
                <w:szCs w:val="17"/>
                <w:lang w:eastAsia="zh-CN"/>
              </w:rPr>
            </w:pPr>
            <w:r>
              <w:rPr>
                <w:rFonts w:eastAsia="Times"/>
                <w:sz w:val="17"/>
                <w:szCs w:val="17"/>
              </w:rPr>
              <w:t>Report of the Inland Transport Committee on its seventy-eighth session</w:t>
            </w:r>
          </w:p>
        </w:tc>
      </w:tr>
      <w:tr w:rsidR="00695FAB" w14:paraId="58AEFB83" w14:textId="77777777" w:rsidTr="004B4247">
        <w:tc>
          <w:tcPr>
            <w:tcW w:w="1134" w:type="dxa"/>
            <w:tcMar>
              <w:left w:w="0" w:type="dxa"/>
              <w:right w:w="0" w:type="dxa"/>
            </w:tcMar>
          </w:tcPr>
          <w:p w14:paraId="672D93A3" w14:textId="77777777" w:rsidR="00695FAB" w:rsidRDefault="00695FAB" w:rsidP="00AC1761">
            <w:pPr>
              <w:pStyle w:val="DualTxt"/>
              <w:spacing w:before="40" w:after="40" w:line="200" w:lineRule="exact"/>
              <w:ind w:right="43"/>
              <w:jc w:val="left"/>
              <w:rPr>
                <w:rFonts w:eastAsia="Times"/>
                <w:spacing w:val="0"/>
                <w:w w:val="101"/>
                <w:sz w:val="17"/>
                <w:szCs w:val="17"/>
              </w:rPr>
            </w:pPr>
            <w:r>
              <w:rPr>
                <w:rFonts w:eastAsia="Times"/>
                <w:spacing w:val="0"/>
                <w:w w:val="101"/>
                <w:sz w:val="17"/>
                <w:szCs w:val="17"/>
              </w:rPr>
              <w:t>ECE/TRANS/270</w:t>
            </w:r>
          </w:p>
        </w:tc>
        <w:tc>
          <w:tcPr>
            <w:tcW w:w="5021" w:type="dxa"/>
            <w:tcMar>
              <w:left w:w="0" w:type="dxa"/>
              <w:right w:w="0" w:type="dxa"/>
            </w:tcMar>
          </w:tcPr>
          <w:p w14:paraId="5A85C3A2" w14:textId="77777777" w:rsidR="00695FAB" w:rsidRDefault="00695FAB" w:rsidP="00AC1761">
            <w:pPr>
              <w:pStyle w:val="DualTxt"/>
              <w:spacing w:before="40" w:after="40" w:line="200" w:lineRule="exact"/>
              <w:ind w:right="14"/>
              <w:jc w:val="left"/>
              <w:rPr>
                <w:spacing w:val="2"/>
                <w:w w:val="101"/>
                <w:sz w:val="17"/>
                <w:szCs w:val="17"/>
                <w:lang w:eastAsia="zh-CN"/>
              </w:rPr>
            </w:pPr>
            <w:r>
              <w:rPr>
                <w:rFonts w:eastAsia="Times"/>
                <w:spacing w:val="2"/>
                <w:w w:val="101"/>
                <w:sz w:val="17"/>
                <w:szCs w:val="17"/>
              </w:rPr>
              <w:t>Report of the Inland Transport Committee on its seventy-ninth session (adopting Ministerial Resolution on embracing the new era for sustainable inland transport and mobility)</w:t>
            </w:r>
          </w:p>
        </w:tc>
      </w:tr>
      <w:tr w:rsidR="00695FAB" w14:paraId="5E315466" w14:textId="77777777" w:rsidTr="004B4247">
        <w:tc>
          <w:tcPr>
            <w:tcW w:w="1134" w:type="dxa"/>
            <w:tcMar>
              <w:left w:w="0" w:type="dxa"/>
              <w:right w:w="0" w:type="dxa"/>
            </w:tcMar>
          </w:tcPr>
          <w:p w14:paraId="4BF3AC60" w14:textId="77777777" w:rsidR="00695FAB" w:rsidRDefault="00695FAB" w:rsidP="00AC1761">
            <w:pPr>
              <w:pStyle w:val="DualTxt"/>
              <w:spacing w:before="40" w:after="40" w:line="200" w:lineRule="exact"/>
              <w:ind w:right="43"/>
              <w:jc w:val="left"/>
              <w:rPr>
                <w:rFonts w:eastAsia="Times"/>
                <w:spacing w:val="0"/>
                <w:w w:val="101"/>
                <w:sz w:val="17"/>
                <w:szCs w:val="17"/>
              </w:rPr>
            </w:pPr>
            <w:r>
              <w:rPr>
                <w:rFonts w:eastAsia="Times"/>
                <w:spacing w:val="0"/>
                <w:w w:val="101"/>
                <w:sz w:val="17"/>
                <w:szCs w:val="17"/>
              </w:rPr>
              <w:t>ECE/TRANS/274</w:t>
            </w:r>
          </w:p>
        </w:tc>
        <w:tc>
          <w:tcPr>
            <w:tcW w:w="5021" w:type="dxa"/>
            <w:tcMar>
              <w:left w:w="0" w:type="dxa"/>
              <w:right w:w="0" w:type="dxa"/>
            </w:tcMar>
          </w:tcPr>
          <w:p w14:paraId="5E28CC45" w14:textId="77777777" w:rsidR="00695FAB" w:rsidRDefault="00695FAB" w:rsidP="00AC1761">
            <w:pPr>
              <w:pStyle w:val="DualTxt"/>
              <w:spacing w:before="40" w:after="40" w:line="200" w:lineRule="exact"/>
              <w:ind w:left="32" w:right="43"/>
              <w:jc w:val="left"/>
              <w:rPr>
                <w:sz w:val="17"/>
                <w:szCs w:val="17"/>
                <w:lang w:eastAsia="zh-CN"/>
              </w:rPr>
            </w:pPr>
            <w:r>
              <w:rPr>
                <w:rFonts w:eastAsia="Times"/>
                <w:sz w:val="17"/>
                <w:szCs w:val="17"/>
              </w:rPr>
              <w:t>Report of the Inland Transport Committee on its eightieth session</w:t>
            </w:r>
          </w:p>
        </w:tc>
      </w:tr>
      <w:tr w:rsidR="00695FAB" w14:paraId="3E405069" w14:textId="77777777" w:rsidTr="004B4247">
        <w:tc>
          <w:tcPr>
            <w:tcW w:w="1134" w:type="dxa"/>
            <w:tcMar>
              <w:left w:w="0" w:type="dxa"/>
              <w:right w:w="0" w:type="dxa"/>
            </w:tcMar>
          </w:tcPr>
          <w:p w14:paraId="257FA506" w14:textId="77777777" w:rsidR="00695FAB" w:rsidRDefault="00695FAB" w:rsidP="00AC1761">
            <w:pPr>
              <w:pStyle w:val="DualTxt"/>
              <w:spacing w:before="40" w:after="40" w:line="200" w:lineRule="exact"/>
              <w:ind w:right="43"/>
              <w:jc w:val="left"/>
              <w:rPr>
                <w:rFonts w:eastAsia="Times"/>
                <w:spacing w:val="0"/>
                <w:w w:val="101"/>
                <w:sz w:val="17"/>
                <w:szCs w:val="17"/>
              </w:rPr>
            </w:pPr>
            <w:r>
              <w:rPr>
                <w:rFonts w:eastAsia="Times"/>
                <w:spacing w:val="0"/>
                <w:w w:val="101"/>
                <w:sz w:val="17"/>
                <w:szCs w:val="17"/>
              </w:rPr>
              <w:t>ECE/TRANS/288</w:t>
            </w:r>
          </w:p>
        </w:tc>
        <w:tc>
          <w:tcPr>
            <w:tcW w:w="5021" w:type="dxa"/>
            <w:tcMar>
              <w:left w:w="0" w:type="dxa"/>
              <w:right w:w="0" w:type="dxa"/>
            </w:tcMar>
          </w:tcPr>
          <w:p w14:paraId="2CEA9419" w14:textId="77777777" w:rsidR="00695FAB" w:rsidRDefault="00695FAB" w:rsidP="00AC1761">
            <w:pPr>
              <w:pStyle w:val="DualTxt"/>
              <w:spacing w:before="40" w:after="40" w:line="200" w:lineRule="exact"/>
              <w:ind w:left="32" w:right="43"/>
              <w:jc w:val="left"/>
              <w:rPr>
                <w:spacing w:val="2"/>
                <w:sz w:val="17"/>
                <w:szCs w:val="17"/>
                <w:lang w:eastAsia="zh-CN"/>
              </w:rPr>
            </w:pPr>
            <w:r>
              <w:rPr>
                <w:rFonts w:eastAsia="Times"/>
                <w:spacing w:val="2"/>
                <w:sz w:val="17"/>
                <w:szCs w:val="17"/>
              </w:rPr>
              <w:t>Report of the Inland Transport Committee on its eighty-first session (adopting Ministerial Resolution on enhancing cooperation, harmonization and integration in the era of transport digitalization and automation; Committee resolution no. 265 on the ministerial declaration “Inland Navigation in a Global Setting” and on facilitating the development of the inland water transport; and the Committee strategy until 2030)</w:t>
            </w:r>
          </w:p>
        </w:tc>
      </w:tr>
      <w:tr w:rsidR="00695FAB" w14:paraId="55C31A59" w14:textId="77777777" w:rsidTr="004B4247">
        <w:tc>
          <w:tcPr>
            <w:tcW w:w="1134" w:type="dxa"/>
            <w:tcMar>
              <w:left w:w="0" w:type="dxa"/>
              <w:right w:w="0" w:type="dxa"/>
            </w:tcMar>
          </w:tcPr>
          <w:p w14:paraId="44599101" w14:textId="77777777" w:rsidR="00695FAB" w:rsidRDefault="00695FAB" w:rsidP="00AC1761">
            <w:pPr>
              <w:pStyle w:val="DualTxt"/>
              <w:spacing w:before="40" w:after="40" w:line="200" w:lineRule="exact"/>
              <w:ind w:right="43"/>
              <w:jc w:val="left"/>
              <w:rPr>
                <w:sz w:val="17"/>
                <w:szCs w:val="17"/>
                <w:lang w:eastAsia="zh-CN"/>
              </w:rPr>
            </w:pPr>
            <w:r>
              <w:rPr>
                <w:rFonts w:eastAsia="Times"/>
                <w:sz w:val="17"/>
                <w:szCs w:val="17"/>
              </w:rPr>
              <w:t>B (66)</w:t>
            </w:r>
          </w:p>
        </w:tc>
        <w:tc>
          <w:tcPr>
            <w:tcW w:w="5021" w:type="dxa"/>
            <w:tcMar>
              <w:left w:w="0" w:type="dxa"/>
              <w:right w:w="0" w:type="dxa"/>
            </w:tcMar>
          </w:tcPr>
          <w:p w14:paraId="3B1CAA6E" w14:textId="77777777" w:rsidR="00695FAB" w:rsidRDefault="00695FAB" w:rsidP="00AC1761">
            <w:pPr>
              <w:pStyle w:val="DualTxt"/>
              <w:spacing w:before="40" w:after="40" w:line="200" w:lineRule="exact"/>
              <w:ind w:left="32" w:right="43"/>
              <w:jc w:val="left"/>
              <w:rPr>
                <w:sz w:val="17"/>
                <w:szCs w:val="17"/>
                <w:lang w:eastAsia="zh-CN"/>
              </w:rPr>
            </w:pPr>
            <w:r>
              <w:rPr>
                <w:rFonts w:eastAsia="Times"/>
                <w:sz w:val="17"/>
                <w:szCs w:val="17"/>
              </w:rPr>
              <w:t>Endorsement of the Geneva Charter on Sustainable Housing</w:t>
            </w:r>
          </w:p>
        </w:tc>
      </w:tr>
      <w:tr w:rsidR="00695FAB" w14:paraId="17AE8180" w14:textId="77777777" w:rsidTr="004B4247">
        <w:tc>
          <w:tcPr>
            <w:tcW w:w="1134" w:type="dxa"/>
            <w:tcMar>
              <w:left w:w="0" w:type="dxa"/>
              <w:right w:w="0" w:type="dxa"/>
            </w:tcMar>
          </w:tcPr>
          <w:p w14:paraId="38D6A0C0" w14:textId="77777777" w:rsidR="00695FAB" w:rsidRDefault="00695FAB" w:rsidP="00AC1761">
            <w:pPr>
              <w:pStyle w:val="DualTxt"/>
              <w:spacing w:before="40" w:after="40" w:line="200" w:lineRule="exact"/>
              <w:ind w:right="43"/>
              <w:jc w:val="left"/>
              <w:rPr>
                <w:rFonts w:eastAsia="Times"/>
                <w:spacing w:val="0"/>
                <w:w w:val="101"/>
                <w:sz w:val="17"/>
                <w:szCs w:val="17"/>
              </w:rPr>
            </w:pPr>
            <w:r>
              <w:rPr>
                <w:rFonts w:eastAsia="Times"/>
                <w:spacing w:val="0"/>
                <w:w w:val="101"/>
                <w:sz w:val="17"/>
                <w:szCs w:val="17"/>
              </w:rPr>
              <w:t>ECE/TRANS/294</w:t>
            </w:r>
          </w:p>
        </w:tc>
        <w:tc>
          <w:tcPr>
            <w:tcW w:w="5021" w:type="dxa"/>
            <w:tcMar>
              <w:left w:w="0" w:type="dxa"/>
              <w:right w:w="0" w:type="dxa"/>
            </w:tcMar>
          </w:tcPr>
          <w:p w14:paraId="1CE1A61E" w14:textId="77777777" w:rsidR="00695FAB" w:rsidRDefault="00695FAB" w:rsidP="00AC1761">
            <w:pPr>
              <w:pStyle w:val="DualTxt"/>
              <w:spacing w:before="40" w:after="40" w:line="200" w:lineRule="exact"/>
              <w:ind w:left="32" w:right="43"/>
              <w:jc w:val="left"/>
              <w:rPr>
                <w:rFonts w:eastAsia="Times"/>
                <w:sz w:val="17"/>
                <w:szCs w:val="17"/>
              </w:rPr>
            </w:pPr>
            <w:r>
              <w:rPr>
                <w:rFonts w:eastAsia="Times"/>
                <w:sz w:val="17"/>
                <w:szCs w:val="17"/>
              </w:rPr>
              <w:t>Report of the Inland Transport Committee on its eighty-second session (adopting Ministerial Declaration on enhancing sustainable inland transport solutions to global climate and environmental challenges: a united call to action)</w:t>
            </w:r>
          </w:p>
        </w:tc>
      </w:tr>
      <w:tr w:rsidR="00695FAB" w14:paraId="21797085" w14:textId="77777777" w:rsidTr="004B4247">
        <w:tc>
          <w:tcPr>
            <w:tcW w:w="1134" w:type="dxa"/>
            <w:tcMar>
              <w:left w:w="0" w:type="dxa"/>
              <w:right w:w="0" w:type="dxa"/>
            </w:tcMar>
          </w:tcPr>
          <w:p w14:paraId="1CAAD29C" w14:textId="77777777" w:rsidR="00695FAB" w:rsidRDefault="00695FAB" w:rsidP="00AC1761">
            <w:pPr>
              <w:pStyle w:val="DualTxt"/>
              <w:spacing w:before="40" w:after="40" w:line="200" w:lineRule="exact"/>
              <w:ind w:right="43"/>
              <w:jc w:val="left"/>
              <w:rPr>
                <w:sz w:val="17"/>
              </w:rPr>
            </w:pPr>
            <w:r>
              <w:rPr>
                <w:rFonts w:eastAsia="Times"/>
                <w:spacing w:val="0"/>
                <w:w w:val="101"/>
                <w:sz w:val="17"/>
                <w:szCs w:val="17"/>
              </w:rPr>
              <w:t>ECE/</w:t>
            </w:r>
            <w:hyperlink r:id="rId29" w:history="1">
              <w:r>
                <w:rPr>
                  <w:rFonts w:eastAsia="Times"/>
                  <w:spacing w:val="0"/>
                  <w:w w:val="101"/>
                  <w:sz w:val="17"/>
                  <w:szCs w:val="17"/>
                </w:rPr>
                <w:t>TRANS</w:t>
              </w:r>
            </w:hyperlink>
            <w:r>
              <w:rPr>
                <w:rFonts w:eastAsia="Times"/>
                <w:spacing w:val="0"/>
                <w:w w:val="101"/>
                <w:sz w:val="17"/>
                <w:szCs w:val="17"/>
              </w:rPr>
              <w:t>/304</w:t>
            </w:r>
          </w:p>
        </w:tc>
        <w:tc>
          <w:tcPr>
            <w:tcW w:w="5021" w:type="dxa"/>
            <w:tcMar>
              <w:left w:w="0" w:type="dxa"/>
              <w:right w:w="0" w:type="dxa"/>
            </w:tcMar>
          </w:tcPr>
          <w:p w14:paraId="605E6C9B" w14:textId="77777777" w:rsidR="00695FAB" w:rsidRDefault="00695FAB" w:rsidP="00AC1761">
            <w:pPr>
              <w:pStyle w:val="DualTxt"/>
              <w:spacing w:before="40" w:after="40" w:line="200" w:lineRule="exact"/>
              <w:ind w:left="32" w:right="43"/>
              <w:jc w:val="left"/>
              <w:rPr>
                <w:rFonts w:eastAsia="Times"/>
                <w:sz w:val="17"/>
                <w:szCs w:val="17"/>
              </w:rPr>
            </w:pPr>
            <w:r>
              <w:rPr>
                <w:rFonts w:eastAsia="Times"/>
                <w:sz w:val="17"/>
                <w:szCs w:val="17"/>
              </w:rPr>
              <w:t>Report of the Inland Transport Committee on its eighty-third session (adopting Ministerial resolution on enhancing resilient inland transport connectivity in emergency situations: an urgent call for concerted action; adopting r</w:t>
            </w:r>
            <w:r w:rsidRPr="00A12A7B">
              <w:rPr>
                <w:rFonts w:eastAsia="Times"/>
                <w:sz w:val="17"/>
                <w:szCs w:val="17"/>
              </w:rPr>
              <w:t>evision of the UNECE Road Map on Intelligent Transport Systems</w:t>
            </w:r>
            <w:r>
              <w:rPr>
                <w:rFonts w:eastAsia="Times"/>
                <w:sz w:val="17"/>
                <w:szCs w:val="17"/>
              </w:rPr>
              <w:t>)</w:t>
            </w:r>
          </w:p>
        </w:tc>
      </w:tr>
      <w:tr w:rsidR="00695FAB" w14:paraId="2C42D3F0" w14:textId="77777777" w:rsidTr="004B4247">
        <w:tc>
          <w:tcPr>
            <w:tcW w:w="1134" w:type="dxa"/>
          </w:tcPr>
          <w:p w14:paraId="4ADE5B9B" w14:textId="77777777" w:rsidR="00695FAB" w:rsidRPr="00DE0B7E" w:rsidRDefault="009B7657" w:rsidP="00AC1761">
            <w:pPr>
              <w:ind w:left="-113"/>
            </w:pPr>
            <w:hyperlink r:id="rId30" w:history="1">
              <w:r w:rsidR="00695FAB" w:rsidRPr="00200076">
                <w:rPr>
                  <w:rStyle w:val="Hyperlink"/>
                  <w:sz w:val="17"/>
                  <w:szCs w:val="17"/>
                </w:rPr>
                <w:t>ECE/TRANS/316</w:t>
              </w:r>
            </w:hyperlink>
          </w:p>
        </w:tc>
        <w:tc>
          <w:tcPr>
            <w:tcW w:w="5021" w:type="dxa"/>
          </w:tcPr>
          <w:p w14:paraId="4F6D397A" w14:textId="77777777" w:rsidR="00695FAB" w:rsidRPr="00DE0B7E" w:rsidRDefault="00695FAB" w:rsidP="00AC1761">
            <w:pPr>
              <w:ind w:left="-81"/>
            </w:pPr>
            <w:r w:rsidRPr="00E25E2C">
              <w:rPr>
                <w:sz w:val="17"/>
                <w:szCs w:val="17"/>
              </w:rPr>
              <w:t xml:space="preserve">Report of the </w:t>
            </w:r>
            <w:r w:rsidRPr="00DE0B7E">
              <w:rPr>
                <w:rFonts w:eastAsia="Times"/>
                <w:sz w:val="17"/>
                <w:szCs w:val="17"/>
              </w:rPr>
              <w:t>Inland Transport Committee</w:t>
            </w:r>
            <w:r w:rsidRPr="00E25E2C">
              <w:rPr>
                <w:rFonts w:eastAsia="Times"/>
                <w:sz w:val="17"/>
                <w:szCs w:val="17"/>
              </w:rPr>
              <w:t xml:space="preserve"> </w:t>
            </w:r>
            <w:r w:rsidRPr="00EE63E6">
              <w:rPr>
                <w:sz w:val="17"/>
                <w:szCs w:val="17"/>
              </w:rPr>
              <w:t>on its eighty-fourth session (adopting Ministerial resolution on ushering in a decade of delivery for sustainable inland transport and sustainable development)</w:t>
            </w:r>
          </w:p>
        </w:tc>
      </w:tr>
    </w:tbl>
    <w:p w14:paraId="3D1E00EA" w14:textId="77777777" w:rsidR="00547ED7" w:rsidRDefault="00547ED7" w:rsidP="00547ED7">
      <w:pPr>
        <w:pStyle w:val="SingleTxtG"/>
        <w:rPr>
          <w:i/>
        </w:rPr>
      </w:pPr>
      <w:r w:rsidRPr="00547ED7">
        <w:rPr>
          <w:i/>
        </w:rPr>
        <w:t>Decisions of the treaty bodies of United Nations transport agreements</w:t>
      </w:r>
    </w:p>
    <w:tbl>
      <w:tblPr>
        <w:tblW w:w="7371" w:type="dxa"/>
        <w:tblInd w:w="1134" w:type="dxa"/>
        <w:tblCellMar>
          <w:left w:w="115" w:type="dxa"/>
          <w:right w:w="115" w:type="dxa"/>
        </w:tblCellMar>
        <w:tblLook w:val="04A0" w:firstRow="1" w:lastRow="0" w:firstColumn="1" w:lastColumn="0" w:noHBand="0" w:noVBand="1"/>
      </w:tblPr>
      <w:tblGrid>
        <w:gridCol w:w="2223"/>
        <w:gridCol w:w="5148"/>
      </w:tblGrid>
      <w:tr w:rsidR="00C836B0" w14:paraId="65320720" w14:textId="77777777" w:rsidTr="004B4247">
        <w:tc>
          <w:tcPr>
            <w:tcW w:w="1508" w:type="pct"/>
            <w:tcMar>
              <w:left w:w="0" w:type="dxa"/>
              <w:right w:w="0" w:type="dxa"/>
            </w:tcMar>
          </w:tcPr>
          <w:p w14:paraId="346F60B4" w14:textId="77777777" w:rsidR="00C836B0" w:rsidRDefault="00C836B0" w:rsidP="00AC1761">
            <w:pPr>
              <w:pStyle w:val="DualTxt"/>
              <w:spacing w:before="40" w:after="40" w:line="200" w:lineRule="exact"/>
              <w:ind w:right="43"/>
              <w:jc w:val="left"/>
              <w:rPr>
                <w:spacing w:val="0"/>
                <w:w w:val="100"/>
                <w:sz w:val="17"/>
                <w:lang w:eastAsia="zh-CN"/>
              </w:rPr>
            </w:pPr>
            <w:r>
              <w:rPr>
                <w:rFonts w:eastAsia="Times"/>
                <w:spacing w:val="0"/>
                <w:w w:val="100"/>
                <w:sz w:val="17"/>
                <w:szCs w:val="17"/>
              </w:rPr>
              <w:t>E/ECE/TRANS/ 505/Rev.3</w:t>
            </w:r>
          </w:p>
        </w:tc>
        <w:tc>
          <w:tcPr>
            <w:tcW w:w="3492" w:type="pct"/>
            <w:tcMar>
              <w:left w:w="0" w:type="dxa"/>
              <w:right w:w="0" w:type="dxa"/>
            </w:tcMar>
          </w:tcPr>
          <w:p w14:paraId="2FDDA5E5" w14:textId="77777777" w:rsidR="00C836B0" w:rsidRDefault="00C836B0" w:rsidP="00AC1761">
            <w:pPr>
              <w:pStyle w:val="DualTxt"/>
              <w:spacing w:before="40" w:after="40" w:line="200" w:lineRule="exact"/>
              <w:ind w:left="86" w:right="43"/>
              <w:jc w:val="left"/>
              <w:rPr>
                <w:sz w:val="17"/>
                <w:lang w:eastAsia="zh-CN"/>
              </w:rPr>
            </w:pPr>
            <w:r>
              <w:rPr>
                <w:rFonts w:eastAsia="Times"/>
                <w:sz w:val="17"/>
                <w:szCs w:val="17"/>
              </w:rPr>
              <w:t>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tc>
      </w:tr>
      <w:tr w:rsidR="00C836B0" w14:paraId="587A9F2F" w14:textId="77777777" w:rsidTr="004B4247">
        <w:tc>
          <w:tcPr>
            <w:tcW w:w="1508" w:type="pct"/>
            <w:tcMar>
              <w:left w:w="0" w:type="dxa"/>
              <w:right w:w="0" w:type="dxa"/>
            </w:tcMar>
          </w:tcPr>
          <w:p w14:paraId="4B4834A9" w14:textId="77777777" w:rsidR="00C836B0" w:rsidRDefault="00C836B0" w:rsidP="00AC1761">
            <w:pPr>
              <w:pStyle w:val="DualTxt"/>
              <w:spacing w:before="40" w:after="40" w:line="200" w:lineRule="exact"/>
              <w:ind w:right="43"/>
              <w:jc w:val="left"/>
              <w:rPr>
                <w:spacing w:val="-4"/>
                <w:w w:val="100"/>
                <w:sz w:val="17"/>
                <w:lang w:eastAsia="zh-CN"/>
              </w:rPr>
            </w:pPr>
            <w:r>
              <w:rPr>
                <w:rFonts w:eastAsia="Times"/>
                <w:spacing w:val="-4"/>
                <w:w w:val="100"/>
                <w:sz w:val="17"/>
                <w:szCs w:val="17"/>
              </w:rPr>
              <w:t>ECE/RCTE/CONF/4</w:t>
            </w:r>
          </w:p>
        </w:tc>
        <w:tc>
          <w:tcPr>
            <w:tcW w:w="3492" w:type="pct"/>
            <w:tcMar>
              <w:left w:w="0" w:type="dxa"/>
              <w:right w:w="0" w:type="dxa"/>
            </w:tcMar>
          </w:tcPr>
          <w:p w14:paraId="2C190FA9" w14:textId="77777777" w:rsidR="00C836B0" w:rsidRDefault="00C836B0" w:rsidP="00AC1761">
            <w:pPr>
              <w:pStyle w:val="DualTxt"/>
              <w:spacing w:before="40" w:after="40" w:line="200" w:lineRule="exact"/>
              <w:ind w:left="86" w:right="43"/>
              <w:jc w:val="left"/>
              <w:rPr>
                <w:spacing w:val="2"/>
                <w:w w:val="101"/>
                <w:sz w:val="17"/>
                <w:lang w:eastAsia="zh-CN"/>
              </w:rPr>
            </w:pPr>
            <w:r>
              <w:rPr>
                <w:rFonts w:eastAsia="Times"/>
                <w:spacing w:val="2"/>
                <w:w w:val="101"/>
                <w:sz w:val="17"/>
                <w:szCs w:val="17"/>
              </w:rPr>
              <w:t>1997 Agreement concerning the adoption of uniform conditions for periodical technical inspections of wheeled vehicles and the reciprocal recognition of such inspections</w:t>
            </w:r>
          </w:p>
        </w:tc>
      </w:tr>
      <w:tr w:rsidR="00C836B0" w14:paraId="1108DA03" w14:textId="77777777" w:rsidTr="004B4247">
        <w:tc>
          <w:tcPr>
            <w:tcW w:w="1508" w:type="pct"/>
            <w:tcMar>
              <w:left w:w="0" w:type="dxa"/>
              <w:right w:w="0" w:type="dxa"/>
            </w:tcMar>
          </w:tcPr>
          <w:p w14:paraId="7339B147" w14:textId="77777777" w:rsidR="00C836B0" w:rsidRDefault="00C836B0" w:rsidP="00AC1761">
            <w:pPr>
              <w:pStyle w:val="DualTxt"/>
              <w:spacing w:before="40" w:after="40" w:line="200" w:lineRule="exact"/>
              <w:ind w:right="43"/>
              <w:jc w:val="left"/>
              <w:rPr>
                <w:rFonts w:eastAsia="Times"/>
                <w:spacing w:val="0"/>
                <w:w w:val="100"/>
                <w:sz w:val="17"/>
                <w:szCs w:val="17"/>
              </w:rPr>
            </w:pPr>
            <w:r>
              <w:rPr>
                <w:rFonts w:eastAsia="Times"/>
                <w:spacing w:val="0"/>
                <w:w w:val="100"/>
                <w:sz w:val="17"/>
                <w:szCs w:val="17"/>
              </w:rPr>
              <w:t>ECE/TRANS/132</w:t>
            </w:r>
          </w:p>
        </w:tc>
        <w:tc>
          <w:tcPr>
            <w:tcW w:w="3492" w:type="pct"/>
            <w:tcMar>
              <w:left w:w="0" w:type="dxa"/>
              <w:right w:w="0" w:type="dxa"/>
            </w:tcMar>
          </w:tcPr>
          <w:p w14:paraId="0752DD85" w14:textId="77777777" w:rsidR="00C836B0" w:rsidRDefault="00C836B0" w:rsidP="00AC1761">
            <w:pPr>
              <w:pStyle w:val="DualTxt"/>
              <w:spacing w:before="40" w:after="40" w:line="200" w:lineRule="exact"/>
              <w:ind w:left="86" w:right="43"/>
              <w:jc w:val="left"/>
              <w:rPr>
                <w:sz w:val="17"/>
                <w:lang w:eastAsia="zh-CN"/>
              </w:rPr>
            </w:pPr>
            <w:r>
              <w:rPr>
                <w:rFonts w:eastAsia="Times"/>
                <w:spacing w:val="2"/>
                <w:w w:val="101"/>
                <w:sz w:val="17"/>
                <w:szCs w:val="17"/>
              </w:rPr>
              <w:t>1998 Agreement concerning the establishment</w:t>
            </w:r>
            <w:r>
              <w:rPr>
                <w:rFonts w:eastAsia="Times"/>
                <w:sz w:val="17"/>
                <w:szCs w:val="17"/>
              </w:rPr>
              <w:t xml:space="preserve"> of global technical regulations for wheeled vehicles, equipment and parts which can be fitted and/or used on wheeled vehicles</w:t>
            </w:r>
          </w:p>
        </w:tc>
      </w:tr>
      <w:tr w:rsidR="00C836B0" w14:paraId="49533C25" w14:textId="77777777" w:rsidTr="004B4247">
        <w:tc>
          <w:tcPr>
            <w:tcW w:w="1508" w:type="pct"/>
            <w:tcMar>
              <w:left w:w="0" w:type="dxa"/>
              <w:right w:w="0" w:type="dxa"/>
            </w:tcMar>
          </w:tcPr>
          <w:p w14:paraId="1BA05C64" w14:textId="77777777" w:rsidR="00C836B0" w:rsidRDefault="00C836B0" w:rsidP="00AC1761">
            <w:pPr>
              <w:pStyle w:val="DualTxt"/>
              <w:spacing w:before="40" w:after="40" w:line="200" w:lineRule="exact"/>
              <w:ind w:right="43"/>
              <w:jc w:val="left"/>
              <w:rPr>
                <w:rFonts w:eastAsia="Times"/>
                <w:spacing w:val="0"/>
                <w:w w:val="100"/>
                <w:sz w:val="17"/>
                <w:szCs w:val="17"/>
              </w:rPr>
            </w:pPr>
            <w:r>
              <w:rPr>
                <w:rFonts w:eastAsia="Times"/>
                <w:spacing w:val="0"/>
                <w:w w:val="100"/>
                <w:sz w:val="17"/>
                <w:szCs w:val="17"/>
              </w:rPr>
              <w:t xml:space="preserve">ECE/TRANS/ ADN/CONF/ 10/Add.1 </w:t>
            </w:r>
          </w:p>
        </w:tc>
        <w:tc>
          <w:tcPr>
            <w:tcW w:w="3492" w:type="pct"/>
            <w:tcMar>
              <w:left w:w="0" w:type="dxa"/>
              <w:right w:w="0" w:type="dxa"/>
            </w:tcMar>
          </w:tcPr>
          <w:p w14:paraId="72051DC0" w14:textId="77777777" w:rsidR="00C836B0" w:rsidRDefault="00C836B0" w:rsidP="00AC1761">
            <w:pPr>
              <w:pStyle w:val="DualTxt"/>
              <w:spacing w:before="40" w:after="40" w:line="200" w:lineRule="exact"/>
              <w:ind w:left="86" w:right="43"/>
              <w:jc w:val="left"/>
              <w:rPr>
                <w:sz w:val="17"/>
                <w:lang w:eastAsia="zh-CN"/>
              </w:rPr>
            </w:pPr>
            <w:r>
              <w:rPr>
                <w:rFonts w:eastAsia="Times"/>
                <w:sz w:val="17"/>
                <w:szCs w:val="17"/>
              </w:rPr>
              <w:t>European Agreement concerning the International Carriage of Dangerous Goods by Inland Waterways</w:t>
            </w:r>
          </w:p>
        </w:tc>
      </w:tr>
      <w:tr w:rsidR="00C836B0" w14:paraId="21C5C379" w14:textId="77777777" w:rsidTr="004B4247">
        <w:tc>
          <w:tcPr>
            <w:tcW w:w="1508" w:type="pct"/>
            <w:tcMar>
              <w:left w:w="0" w:type="dxa"/>
              <w:right w:w="0" w:type="dxa"/>
            </w:tcMar>
          </w:tcPr>
          <w:p w14:paraId="193738C7" w14:textId="77777777" w:rsidR="00C836B0" w:rsidRDefault="00C836B0" w:rsidP="00AC1761">
            <w:pPr>
              <w:pStyle w:val="DualTxt"/>
              <w:spacing w:before="40" w:after="40" w:line="200" w:lineRule="exact"/>
              <w:ind w:right="43"/>
              <w:jc w:val="left"/>
              <w:rPr>
                <w:spacing w:val="0"/>
                <w:w w:val="100"/>
                <w:sz w:val="17"/>
                <w:lang w:eastAsia="zh-CN"/>
              </w:rPr>
            </w:pPr>
            <w:r>
              <w:rPr>
                <w:rFonts w:eastAsia="Times"/>
                <w:spacing w:val="0"/>
                <w:w w:val="100"/>
                <w:sz w:val="17"/>
                <w:szCs w:val="17"/>
              </w:rPr>
              <w:t>ECE/TRANS/ WP.30/AC.2/125</w:t>
            </w:r>
          </w:p>
        </w:tc>
        <w:tc>
          <w:tcPr>
            <w:tcW w:w="3492" w:type="pct"/>
            <w:tcMar>
              <w:left w:w="0" w:type="dxa"/>
              <w:right w:w="0" w:type="dxa"/>
            </w:tcMar>
          </w:tcPr>
          <w:p w14:paraId="7689DBE4" w14:textId="77777777" w:rsidR="00C836B0" w:rsidRDefault="00C836B0" w:rsidP="00AC1761">
            <w:pPr>
              <w:pStyle w:val="DualTxt"/>
              <w:spacing w:before="40" w:after="40" w:line="200" w:lineRule="exact"/>
              <w:ind w:left="86" w:right="43"/>
              <w:jc w:val="left"/>
              <w:rPr>
                <w:rFonts w:eastAsia="Times"/>
                <w:iCs/>
                <w:spacing w:val="2"/>
                <w:sz w:val="17"/>
                <w:szCs w:val="17"/>
              </w:rPr>
            </w:pPr>
            <w:r>
              <w:rPr>
                <w:rFonts w:eastAsia="Times"/>
                <w:iCs/>
                <w:spacing w:val="2"/>
                <w:sz w:val="17"/>
                <w:szCs w:val="17"/>
              </w:rPr>
              <w:t>Report of the Administrative Committee for the TIR Convention 1975 on its sixty-first session (annex II, “Joint statement on the computerization of the TIR procedure”)</w:t>
            </w:r>
          </w:p>
        </w:tc>
      </w:tr>
      <w:tr w:rsidR="00C836B0" w14:paraId="3ACE0132" w14:textId="77777777" w:rsidTr="004B4247">
        <w:tc>
          <w:tcPr>
            <w:tcW w:w="1508" w:type="pct"/>
            <w:tcMar>
              <w:left w:w="0" w:type="dxa"/>
              <w:right w:w="0" w:type="dxa"/>
            </w:tcMar>
          </w:tcPr>
          <w:p w14:paraId="3AE8C65C" w14:textId="77777777" w:rsidR="00C836B0" w:rsidRDefault="00C836B0" w:rsidP="00AC1761">
            <w:pPr>
              <w:pStyle w:val="DualTxt"/>
              <w:spacing w:before="40" w:after="40" w:line="200" w:lineRule="exact"/>
              <w:ind w:right="43"/>
              <w:jc w:val="left"/>
              <w:rPr>
                <w:rFonts w:eastAsia="Times"/>
                <w:spacing w:val="0"/>
                <w:w w:val="100"/>
                <w:sz w:val="17"/>
                <w:szCs w:val="17"/>
              </w:rPr>
            </w:pPr>
            <w:r>
              <w:rPr>
                <w:rFonts w:eastAsia="Times"/>
                <w:spacing w:val="0"/>
                <w:w w:val="100"/>
                <w:sz w:val="17"/>
                <w:szCs w:val="17"/>
              </w:rPr>
              <w:t>ECE/TRANS/ WP.30/AC.2/147 and Corr.1</w:t>
            </w:r>
          </w:p>
        </w:tc>
        <w:tc>
          <w:tcPr>
            <w:tcW w:w="3492" w:type="pct"/>
            <w:tcMar>
              <w:left w:w="0" w:type="dxa"/>
              <w:right w:w="0" w:type="dxa"/>
            </w:tcMar>
          </w:tcPr>
          <w:p w14:paraId="0F0E8341" w14:textId="77777777" w:rsidR="00C836B0" w:rsidRDefault="00C836B0" w:rsidP="00AC1761">
            <w:pPr>
              <w:pStyle w:val="DualTxt"/>
              <w:spacing w:before="40" w:after="40" w:line="200" w:lineRule="exact"/>
              <w:ind w:left="86" w:right="43"/>
              <w:jc w:val="left"/>
              <w:rPr>
                <w:rFonts w:eastAsia="Times"/>
                <w:iCs/>
                <w:spacing w:val="2"/>
                <w:sz w:val="17"/>
                <w:szCs w:val="17"/>
              </w:rPr>
            </w:pPr>
            <w:r>
              <w:rPr>
                <w:rFonts w:eastAsia="Times"/>
                <w:sz w:val="17"/>
                <w:szCs w:val="17"/>
              </w:rPr>
              <w:t xml:space="preserve">Report of the Administrative Committee for the TIR Convention 1975 on its seventy-second session (annex I: Consolidated draft </w:t>
            </w:r>
            <w:proofErr w:type="spellStart"/>
            <w:r>
              <w:rPr>
                <w:rFonts w:eastAsia="Times"/>
                <w:sz w:val="17"/>
                <w:szCs w:val="17"/>
              </w:rPr>
              <w:t>eTIR</w:t>
            </w:r>
            <w:proofErr w:type="spellEnd"/>
            <w:r>
              <w:rPr>
                <w:rFonts w:eastAsia="Times"/>
                <w:sz w:val="17"/>
                <w:szCs w:val="17"/>
              </w:rPr>
              <w:t xml:space="preserve"> legal framework).</w:t>
            </w:r>
          </w:p>
        </w:tc>
      </w:tr>
    </w:tbl>
    <w:p w14:paraId="2DDFB8BF" w14:textId="30DB758E" w:rsidR="00547ED7" w:rsidRPr="00547ED7" w:rsidRDefault="00547ED7" w:rsidP="00AB7E8A">
      <w:pPr>
        <w:pStyle w:val="HChG"/>
      </w:pPr>
      <w:r w:rsidRPr="00547ED7">
        <w:tab/>
      </w:r>
      <w:r w:rsidR="004338CA">
        <w:t>VI.</w:t>
      </w:r>
      <w:r w:rsidRPr="00547ED7">
        <w:tab/>
      </w:r>
      <w:r w:rsidRPr="00AB7E8A">
        <w:t>Deliverables</w:t>
      </w:r>
    </w:p>
    <w:p w14:paraId="1870738E" w14:textId="10A6A0B3" w:rsidR="00547ED7" w:rsidRPr="00547ED7" w:rsidRDefault="0078563A" w:rsidP="00AB7E8A">
      <w:pPr>
        <w:pStyle w:val="SingleTxtG"/>
      </w:pPr>
      <w:r>
        <w:t>14</w:t>
      </w:r>
      <w:r w:rsidR="004338CA">
        <w:t>.</w:t>
      </w:r>
      <w:r w:rsidR="00547ED7" w:rsidRPr="00547ED7">
        <w:tab/>
        <w:t xml:space="preserve">Table </w:t>
      </w:r>
      <w:r w:rsidR="005F00F7">
        <w:t>1</w:t>
      </w:r>
      <w:r w:rsidR="00547ED7" w:rsidRPr="00547ED7">
        <w:t xml:space="preserve"> lists all </w:t>
      </w:r>
      <w:r w:rsidR="00547ED7" w:rsidRPr="00AB7E8A">
        <w:t>deliverables</w:t>
      </w:r>
      <w:r w:rsidR="00547ED7" w:rsidRPr="00547ED7">
        <w:t xml:space="preserve"> of the subprogramme.</w:t>
      </w:r>
    </w:p>
    <w:p w14:paraId="0387553D" w14:textId="6A252AA8" w:rsidR="00547ED7" w:rsidRPr="00547ED7" w:rsidRDefault="00547ED7" w:rsidP="00785761">
      <w:pPr>
        <w:pStyle w:val="Heading1"/>
        <w:keepNext/>
        <w:keepLines/>
      </w:pPr>
      <w:r w:rsidRPr="00547ED7">
        <w:lastRenderedPageBreak/>
        <w:t xml:space="preserve">Table </w:t>
      </w:r>
      <w:r w:rsidR="005F00F7">
        <w:t>1</w:t>
      </w:r>
    </w:p>
    <w:p w14:paraId="61F180F9" w14:textId="56133E49" w:rsidR="009A3F46" w:rsidRDefault="009A3F46" w:rsidP="00785761">
      <w:pPr>
        <w:pStyle w:val="Heading1"/>
        <w:keepNext/>
        <w:keepLines/>
        <w:rPr>
          <w:sz w:val="10"/>
        </w:rPr>
      </w:pPr>
      <w:r w:rsidRPr="00AB7E8A">
        <w:rPr>
          <w:b/>
          <w:bCs/>
        </w:rPr>
        <w:t>Subprogramme 2: deliverables for the period 2022–2024, by category and subcategory</w:t>
      </w:r>
    </w:p>
    <w:tbl>
      <w:tblPr>
        <w:tblStyle w:val="TableGrid"/>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7"/>
        <w:gridCol w:w="691"/>
        <w:gridCol w:w="690"/>
        <w:gridCol w:w="691"/>
        <w:gridCol w:w="661"/>
      </w:tblGrid>
      <w:tr w:rsidR="009A3F46" w14:paraId="5B8B76DE" w14:textId="77777777" w:rsidTr="00161A7B">
        <w:trPr>
          <w:tblHeader/>
        </w:trPr>
        <w:tc>
          <w:tcPr>
            <w:tcW w:w="7117" w:type="dxa"/>
            <w:tcBorders>
              <w:top w:val="single" w:sz="4" w:space="0" w:color="auto"/>
              <w:bottom w:val="single" w:sz="4" w:space="0" w:color="auto"/>
            </w:tcBorders>
            <w:shd w:val="clear" w:color="auto" w:fill="auto"/>
            <w:vAlign w:val="bottom"/>
          </w:tcPr>
          <w:p w14:paraId="08EDB773"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bookmarkStart w:id="1" w:name="_Hlk85822628"/>
            <w:r>
              <w:rPr>
                <w:i/>
                <w:sz w:val="14"/>
              </w:rPr>
              <w:t>Category and subcategory</w:t>
            </w:r>
          </w:p>
        </w:tc>
        <w:tc>
          <w:tcPr>
            <w:tcW w:w="691" w:type="dxa"/>
            <w:tcBorders>
              <w:top w:val="single" w:sz="4" w:space="0" w:color="auto"/>
              <w:bottom w:val="single" w:sz="4" w:space="0" w:color="auto"/>
            </w:tcBorders>
            <w:shd w:val="clear" w:color="auto" w:fill="auto"/>
            <w:vAlign w:val="bottom"/>
          </w:tcPr>
          <w:p w14:paraId="22A370A0"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01" w:right="40"/>
              <w:jc w:val="right"/>
              <w:rPr>
                <w:i/>
                <w:sz w:val="14"/>
              </w:rPr>
            </w:pPr>
            <w:r>
              <w:rPr>
                <w:i/>
                <w:sz w:val="14"/>
              </w:rPr>
              <w:t>2022 planned</w:t>
            </w:r>
          </w:p>
        </w:tc>
        <w:tc>
          <w:tcPr>
            <w:tcW w:w="690" w:type="dxa"/>
            <w:tcBorders>
              <w:top w:val="single" w:sz="4" w:space="0" w:color="auto"/>
              <w:bottom w:val="single" w:sz="4" w:space="0" w:color="auto"/>
            </w:tcBorders>
            <w:shd w:val="clear" w:color="auto" w:fill="auto"/>
            <w:vAlign w:val="bottom"/>
          </w:tcPr>
          <w:p w14:paraId="7324664A"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01" w:right="40"/>
              <w:jc w:val="right"/>
              <w:rPr>
                <w:i/>
                <w:sz w:val="14"/>
              </w:rPr>
            </w:pPr>
            <w:r>
              <w:rPr>
                <w:i/>
                <w:sz w:val="14"/>
              </w:rPr>
              <w:t>2022 actual</w:t>
            </w:r>
          </w:p>
        </w:tc>
        <w:tc>
          <w:tcPr>
            <w:tcW w:w="691" w:type="dxa"/>
            <w:tcBorders>
              <w:top w:val="single" w:sz="4" w:space="0" w:color="auto"/>
              <w:bottom w:val="single" w:sz="4" w:space="0" w:color="auto"/>
            </w:tcBorders>
            <w:shd w:val="clear" w:color="auto" w:fill="auto"/>
            <w:vAlign w:val="bottom"/>
          </w:tcPr>
          <w:p w14:paraId="56751F9D"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01" w:right="40"/>
              <w:jc w:val="right"/>
              <w:rPr>
                <w:i/>
                <w:sz w:val="14"/>
              </w:rPr>
            </w:pPr>
            <w:r>
              <w:rPr>
                <w:i/>
                <w:sz w:val="14"/>
              </w:rPr>
              <w:t>2023 planned</w:t>
            </w:r>
          </w:p>
        </w:tc>
        <w:tc>
          <w:tcPr>
            <w:tcW w:w="661" w:type="dxa"/>
            <w:tcBorders>
              <w:top w:val="single" w:sz="4" w:space="0" w:color="auto"/>
              <w:bottom w:val="single" w:sz="4" w:space="0" w:color="auto"/>
            </w:tcBorders>
            <w:shd w:val="clear" w:color="auto" w:fill="auto"/>
            <w:vAlign w:val="bottom"/>
          </w:tcPr>
          <w:p w14:paraId="664AB841"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01" w:right="40"/>
              <w:jc w:val="right"/>
              <w:rPr>
                <w:i/>
                <w:sz w:val="14"/>
              </w:rPr>
            </w:pPr>
            <w:r>
              <w:rPr>
                <w:i/>
                <w:sz w:val="14"/>
              </w:rPr>
              <w:t>2024 planned</w:t>
            </w:r>
          </w:p>
        </w:tc>
      </w:tr>
      <w:tr w:rsidR="009A3F46" w14:paraId="574979DD" w14:textId="77777777" w:rsidTr="00161A7B">
        <w:trPr>
          <w:trHeight w:hRule="exact" w:val="115"/>
          <w:tblHeader/>
        </w:trPr>
        <w:tc>
          <w:tcPr>
            <w:tcW w:w="7117" w:type="dxa"/>
            <w:tcBorders>
              <w:top w:val="single" w:sz="4" w:space="0" w:color="auto"/>
            </w:tcBorders>
            <w:shd w:val="clear" w:color="auto" w:fill="auto"/>
            <w:vAlign w:val="bottom"/>
          </w:tcPr>
          <w:p w14:paraId="105C1A03"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jc w:val="left"/>
              <w:rPr>
                <w:sz w:val="17"/>
              </w:rPr>
            </w:pPr>
          </w:p>
        </w:tc>
        <w:tc>
          <w:tcPr>
            <w:tcW w:w="691" w:type="dxa"/>
            <w:tcBorders>
              <w:top w:val="single" w:sz="4" w:space="0" w:color="auto"/>
            </w:tcBorders>
            <w:shd w:val="clear" w:color="auto" w:fill="auto"/>
            <w:vAlign w:val="bottom"/>
          </w:tcPr>
          <w:p w14:paraId="385EA621"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01" w:right="40"/>
              <w:jc w:val="right"/>
              <w:rPr>
                <w:sz w:val="17"/>
              </w:rPr>
            </w:pPr>
          </w:p>
        </w:tc>
        <w:tc>
          <w:tcPr>
            <w:tcW w:w="690" w:type="dxa"/>
            <w:tcBorders>
              <w:top w:val="single" w:sz="4" w:space="0" w:color="auto"/>
            </w:tcBorders>
            <w:shd w:val="clear" w:color="auto" w:fill="auto"/>
            <w:vAlign w:val="bottom"/>
          </w:tcPr>
          <w:p w14:paraId="22180CF1"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01" w:right="40"/>
              <w:jc w:val="right"/>
              <w:rPr>
                <w:sz w:val="17"/>
              </w:rPr>
            </w:pPr>
          </w:p>
        </w:tc>
        <w:tc>
          <w:tcPr>
            <w:tcW w:w="691" w:type="dxa"/>
            <w:tcBorders>
              <w:top w:val="single" w:sz="4" w:space="0" w:color="auto"/>
            </w:tcBorders>
            <w:shd w:val="clear" w:color="auto" w:fill="auto"/>
            <w:vAlign w:val="bottom"/>
          </w:tcPr>
          <w:p w14:paraId="0FB541EF"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01" w:right="40"/>
              <w:jc w:val="right"/>
              <w:rPr>
                <w:sz w:val="17"/>
              </w:rPr>
            </w:pPr>
          </w:p>
        </w:tc>
        <w:tc>
          <w:tcPr>
            <w:tcW w:w="661" w:type="dxa"/>
            <w:tcBorders>
              <w:top w:val="single" w:sz="4" w:space="0" w:color="auto"/>
            </w:tcBorders>
            <w:shd w:val="clear" w:color="auto" w:fill="auto"/>
            <w:vAlign w:val="bottom"/>
          </w:tcPr>
          <w:p w14:paraId="37AF3322"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01" w:right="40"/>
              <w:jc w:val="right"/>
              <w:rPr>
                <w:sz w:val="17"/>
              </w:rPr>
            </w:pPr>
          </w:p>
        </w:tc>
      </w:tr>
      <w:tr w:rsidR="009A3F46" w14:paraId="3AA76F6C" w14:textId="77777777" w:rsidTr="00161A7B">
        <w:tc>
          <w:tcPr>
            <w:tcW w:w="7117" w:type="dxa"/>
            <w:shd w:val="clear" w:color="auto" w:fill="auto"/>
            <w:vAlign w:val="bottom"/>
          </w:tcPr>
          <w:p w14:paraId="38D4FD4F"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b/>
                <w:bCs/>
                <w:sz w:val="17"/>
              </w:rPr>
            </w:pPr>
            <w:r>
              <w:rPr>
                <w:b/>
                <w:bCs/>
                <w:sz w:val="17"/>
              </w:rPr>
              <w:t>A.</w:t>
            </w:r>
            <w:r>
              <w:rPr>
                <w:b/>
                <w:bCs/>
                <w:sz w:val="17"/>
              </w:rPr>
              <w:tab/>
              <w:t>Facilitation of the intergovernmental process and expert bodies</w:t>
            </w:r>
          </w:p>
        </w:tc>
        <w:tc>
          <w:tcPr>
            <w:tcW w:w="691" w:type="dxa"/>
            <w:shd w:val="clear" w:color="auto" w:fill="auto"/>
            <w:vAlign w:val="bottom"/>
          </w:tcPr>
          <w:p w14:paraId="5E069A5C"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0" w:type="dxa"/>
            <w:shd w:val="clear" w:color="auto" w:fill="auto"/>
            <w:vAlign w:val="bottom"/>
          </w:tcPr>
          <w:p w14:paraId="3E5CB362"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1" w:type="dxa"/>
            <w:shd w:val="clear" w:color="auto" w:fill="auto"/>
            <w:vAlign w:val="bottom"/>
          </w:tcPr>
          <w:p w14:paraId="055A8907"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61" w:type="dxa"/>
            <w:shd w:val="clear" w:color="auto" w:fill="auto"/>
            <w:vAlign w:val="bottom"/>
          </w:tcPr>
          <w:p w14:paraId="7D477D86"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r>
      <w:tr w:rsidR="009A3F46" w14:paraId="41079B52" w14:textId="77777777" w:rsidTr="00161A7B">
        <w:tc>
          <w:tcPr>
            <w:tcW w:w="7117" w:type="dxa"/>
            <w:shd w:val="clear" w:color="auto" w:fill="auto"/>
            <w:vAlign w:val="bottom"/>
          </w:tcPr>
          <w:p w14:paraId="446A51E2"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b/>
                <w:bCs/>
                <w:sz w:val="17"/>
              </w:rPr>
              <w:t>Parliamentary documentation</w:t>
            </w:r>
            <w:r>
              <w:rPr>
                <w:sz w:val="17"/>
              </w:rPr>
              <w:t xml:space="preserve"> (number of documents)</w:t>
            </w:r>
          </w:p>
        </w:tc>
        <w:tc>
          <w:tcPr>
            <w:tcW w:w="691" w:type="dxa"/>
            <w:shd w:val="clear" w:color="auto" w:fill="auto"/>
            <w:vAlign w:val="center"/>
          </w:tcPr>
          <w:p w14:paraId="3DD4282A"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szCs w:val="17"/>
              </w:rPr>
              <w:t>1 293</w:t>
            </w:r>
          </w:p>
        </w:tc>
        <w:tc>
          <w:tcPr>
            <w:tcW w:w="690" w:type="dxa"/>
            <w:shd w:val="clear" w:color="auto" w:fill="auto"/>
            <w:vAlign w:val="center"/>
          </w:tcPr>
          <w:p w14:paraId="0F159DAA"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1222</w:t>
            </w:r>
          </w:p>
        </w:tc>
        <w:tc>
          <w:tcPr>
            <w:tcW w:w="691" w:type="dxa"/>
            <w:shd w:val="clear" w:color="auto" w:fill="auto"/>
            <w:vAlign w:val="center"/>
          </w:tcPr>
          <w:p w14:paraId="4B4E4465"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szCs w:val="17"/>
              </w:rPr>
              <w:t>1 266</w:t>
            </w:r>
          </w:p>
        </w:tc>
        <w:tc>
          <w:tcPr>
            <w:tcW w:w="661" w:type="dxa"/>
            <w:shd w:val="clear" w:color="auto" w:fill="auto"/>
            <w:vAlign w:val="center"/>
          </w:tcPr>
          <w:p w14:paraId="14A2B507"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1202</w:t>
            </w:r>
          </w:p>
        </w:tc>
      </w:tr>
      <w:tr w:rsidR="009A3F46" w14:paraId="51B591FD" w14:textId="77777777" w:rsidTr="00161A7B">
        <w:tc>
          <w:tcPr>
            <w:tcW w:w="7117" w:type="dxa"/>
            <w:shd w:val="clear" w:color="auto" w:fill="auto"/>
            <w:vAlign w:val="bottom"/>
          </w:tcPr>
          <w:p w14:paraId="5BDE6118" w14:textId="77777777" w:rsidR="009A3F46" w:rsidRDefault="009A3F46" w:rsidP="00785761">
            <w:pPr>
              <w:pStyle w:val="SingleTxt"/>
              <w:keepNext/>
              <w:keepLines/>
              <w:numPr>
                <w:ilvl w:val="0"/>
                <w:numId w:val="2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right="40"/>
              <w:jc w:val="left"/>
              <w:rPr>
                <w:sz w:val="17"/>
              </w:rPr>
            </w:pPr>
            <w:r>
              <w:rPr>
                <w:sz w:val="17"/>
              </w:rPr>
              <w:t>Documentation for the Inland Transport Committee</w:t>
            </w:r>
          </w:p>
        </w:tc>
        <w:tc>
          <w:tcPr>
            <w:tcW w:w="691" w:type="dxa"/>
            <w:shd w:val="clear" w:color="auto" w:fill="auto"/>
            <w:vAlign w:val="center"/>
          </w:tcPr>
          <w:p w14:paraId="7D3FBA6B"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1 023</w:t>
            </w:r>
          </w:p>
        </w:tc>
        <w:tc>
          <w:tcPr>
            <w:tcW w:w="690" w:type="dxa"/>
            <w:shd w:val="clear" w:color="auto" w:fill="auto"/>
            <w:vAlign w:val="center"/>
          </w:tcPr>
          <w:p w14:paraId="10DF9FDF"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1069</w:t>
            </w:r>
          </w:p>
        </w:tc>
        <w:tc>
          <w:tcPr>
            <w:tcW w:w="691" w:type="dxa"/>
            <w:shd w:val="clear" w:color="auto" w:fill="auto"/>
            <w:vAlign w:val="center"/>
          </w:tcPr>
          <w:p w14:paraId="6E04F15F"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1 080</w:t>
            </w:r>
          </w:p>
        </w:tc>
        <w:tc>
          <w:tcPr>
            <w:tcW w:w="661" w:type="dxa"/>
            <w:shd w:val="clear" w:color="auto" w:fill="auto"/>
            <w:vAlign w:val="center"/>
          </w:tcPr>
          <w:p w14:paraId="4EACAEAA"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1012</w:t>
            </w:r>
          </w:p>
        </w:tc>
      </w:tr>
      <w:tr w:rsidR="009A3F46" w14:paraId="67EAD97C" w14:textId="77777777" w:rsidTr="00161A7B">
        <w:tc>
          <w:tcPr>
            <w:tcW w:w="7117" w:type="dxa"/>
            <w:shd w:val="clear" w:color="auto" w:fill="auto"/>
            <w:vAlign w:val="bottom"/>
          </w:tcPr>
          <w:p w14:paraId="3DAE75C5"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a.</w:t>
            </w:r>
            <w:r>
              <w:rPr>
                <w:sz w:val="17"/>
              </w:rPr>
              <w:tab/>
              <w:t>Inland Transport Committee and Bureau</w:t>
            </w:r>
          </w:p>
        </w:tc>
        <w:tc>
          <w:tcPr>
            <w:tcW w:w="691" w:type="dxa"/>
            <w:shd w:val="clear" w:color="auto" w:fill="auto"/>
            <w:vAlign w:val="center"/>
          </w:tcPr>
          <w:p w14:paraId="68E8DEC1"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31</w:t>
            </w:r>
          </w:p>
        </w:tc>
        <w:tc>
          <w:tcPr>
            <w:tcW w:w="690" w:type="dxa"/>
            <w:shd w:val="clear" w:color="auto" w:fill="auto"/>
            <w:vAlign w:val="center"/>
          </w:tcPr>
          <w:p w14:paraId="48B68A4C"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2169E183">
              <w:rPr>
                <w:sz w:val="17"/>
                <w:szCs w:val="17"/>
              </w:rPr>
              <w:t>37</w:t>
            </w:r>
          </w:p>
        </w:tc>
        <w:tc>
          <w:tcPr>
            <w:tcW w:w="691" w:type="dxa"/>
            <w:shd w:val="clear" w:color="auto" w:fill="auto"/>
            <w:vAlign w:val="center"/>
          </w:tcPr>
          <w:p w14:paraId="1DE46CF0"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31</w:t>
            </w:r>
          </w:p>
        </w:tc>
        <w:tc>
          <w:tcPr>
            <w:tcW w:w="661" w:type="dxa"/>
            <w:shd w:val="clear" w:color="auto" w:fill="auto"/>
            <w:vAlign w:val="center"/>
          </w:tcPr>
          <w:p w14:paraId="5F33F92B" w14:textId="77777777" w:rsidR="009A3F46" w:rsidRDefault="009A3F46" w:rsidP="0078576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31</w:t>
            </w:r>
          </w:p>
        </w:tc>
      </w:tr>
      <w:tr w:rsidR="009A3F46" w14:paraId="2BF2DFA8" w14:textId="77777777" w:rsidTr="00161A7B">
        <w:tc>
          <w:tcPr>
            <w:tcW w:w="7117" w:type="dxa"/>
            <w:shd w:val="clear" w:color="auto" w:fill="auto"/>
            <w:vAlign w:val="bottom"/>
          </w:tcPr>
          <w:p w14:paraId="37A6555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b.</w:t>
            </w:r>
            <w:r>
              <w:rPr>
                <w:sz w:val="17"/>
              </w:rPr>
              <w:tab/>
              <w:t>World Forum for Harmonization of Vehicle Regulations</w:t>
            </w:r>
          </w:p>
        </w:tc>
        <w:tc>
          <w:tcPr>
            <w:tcW w:w="691" w:type="dxa"/>
            <w:shd w:val="clear" w:color="auto" w:fill="auto"/>
            <w:vAlign w:val="center"/>
          </w:tcPr>
          <w:p w14:paraId="0324EF0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420</w:t>
            </w:r>
          </w:p>
        </w:tc>
        <w:tc>
          <w:tcPr>
            <w:tcW w:w="690" w:type="dxa"/>
            <w:shd w:val="clear" w:color="auto" w:fill="auto"/>
            <w:vAlign w:val="center"/>
          </w:tcPr>
          <w:p w14:paraId="3AF1D1A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573</w:t>
            </w:r>
          </w:p>
        </w:tc>
        <w:tc>
          <w:tcPr>
            <w:tcW w:w="691" w:type="dxa"/>
            <w:shd w:val="clear" w:color="auto" w:fill="auto"/>
            <w:vAlign w:val="center"/>
          </w:tcPr>
          <w:p w14:paraId="6A03E64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500</w:t>
            </w:r>
          </w:p>
        </w:tc>
        <w:tc>
          <w:tcPr>
            <w:tcW w:w="661" w:type="dxa"/>
            <w:shd w:val="clear" w:color="auto" w:fill="auto"/>
            <w:vAlign w:val="center"/>
          </w:tcPr>
          <w:p w14:paraId="32A62C0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550</w:t>
            </w:r>
          </w:p>
        </w:tc>
      </w:tr>
      <w:tr w:rsidR="009A3F46" w14:paraId="2C9FAE38" w14:textId="77777777" w:rsidTr="00161A7B">
        <w:tc>
          <w:tcPr>
            <w:tcW w:w="7117" w:type="dxa"/>
            <w:shd w:val="clear" w:color="auto" w:fill="auto"/>
            <w:vAlign w:val="bottom"/>
          </w:tcPr>
          <w:p w14:paraId="1F7AF9D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c.</w:t>
            </w:r>
            <w:r>
              <w:rPr>
                <w:sz w:val="17"/>
              </w:rPr>
              <w:tab/>
              <w:t>Working Party on the Transport of Perishable Foodstuffs</w:t>
            </w:r>
          </w:p>
        </w:tc>
        <w:tc>
          <w:tcPr>
            <w:tcW w:w="691" w:type="dxa"/>
            <w:shd w:val="clear" w:color="auto" w:fill="auto"/>
            <w:vAlign w:val="center"/>
          </w:tcPr>
          <w:p w14:paraId="4BCF5D5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33</w:t>
            </w:r>
          </w:p>
        </w:tc>
        <w:tc>
          <w:tcPr>
            <w:tcW w:w="690" w:type="dxa"/>
            <w:shd w:val="clear" w:color="auto" w:fill="auto"/>
            <w:vAlign w:val="center"/>
          </w:tcPr>
          <w:p w14:paraId="6D3D6B5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41</w:t>
            </w:r>
          </w:p>
        </w:tc>
        <w:tc>
          <w:tcPr>
            <w:tcW w:w="691" w:type="dxa"/>
            <w:shd w:val="clear" w:color="auto" w:fill="auto"/>
            <w:vAlign w:val="center"/>
          </w:tcPr>
          <w:p w14:paraId="684C999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33</w:t>
            </w:r>
          </w:p>
        </w:tc>
        <w:tc>
          <w:tcPr>
            <w:tcW w:w="661" w:type="dxa"/>
            <w:shd w:val="clear" w:color="auto" w:fill="auto"/>
            <w:vAlign w:val="center"/>
          </w:tcPr>
          <w:p w14:paraId="5DAC0DF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40</w:t>
            </w:r>
          </w:p>
        </w:tc>
      </w:tr>
      <w:tr w:rsidR="009A3F46" w14:paraId="2956BD89" w14:textId="77777777" w:rsidTr="00161A7B">
        <w:tc>
          <w:tcPr>
            <w:tcW w:w="7117" w:type="dxa"/>
            <w:shd w:val="clear" w:color="auto" w:fill="auto"/>
            <w:vAlign w:val="bottom"/>
          </w:tcPr>
          <w:p w14:paraId="04EB61C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d.</w:t>
            </w:r>
            <w:r>
              <w:rPr>
                <w:sz w:val="17"/>
              </w:rPr>
              <w:tab/>
              <w:t>Working Party on the Transport of Dangerous Goods</w:t>
            </w:r>
          </w:p>
        </w:tc>
        <w:tc>
          <w:tcPr>
            <w:tcW w:w="691" w:type="dxa"/>
            <w:shd w:val="clear" w:color="auto" w:fill="auto"/>
            <w:vAlign w:val="center"/>
          </w:tcPr>
          <w:p w14:paraId="5511E08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214</w:t>
            </w:r>
          </w:p>
        </w:tc>
        <w:tc>
          <w:tcPr>
            <w:tcW w:w="690" w:type="dxa"/>
            <w:shd w:val="clear" w:color="auto" w:fill="auto"/>
            <w:vAlign w:val="center"/>
          </w:tcPr>
          <w:p w14:paraId="29E0B7A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176</w:t>
            </w:r>
          </w:p>
        </w:tc>
        <w:tc>
          <w:tcPr>
            <w:tcW w:w="691" w:type="dxa"/>
            <w:shd w:val="clear" w:color="auto" w:fill="auto"/>
            <w:vAlign w:val="center"/>
          </w:tcPr>
          <w:p w14:paraId="2CF326A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214</w:t>
            </w:r>
            <w:r>
              <w:rPr>
                <w:sz w:val="6"/>
                <w:szCs w:val="6"/>
              </w:rPr>
              <w:t> </w:t>
            </w:r>
          </w:p>
        </w:tc>
        <w:tc>
          <w:tcPr>
            <w:tcW w:w="661" w:type="dxa"/>
            <w:shd w:val="clear" w:color="auto" w:fill="auto"/>
            <w:vAlign w:val="center"/>
          </w:tcPr>
          <w:p w14:paraId="071E1D4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180</w:t>
            </w:r>
          </w:p>
        </w:tc>
      </w:tr>
      <w:tr w:rsidR="009A3F46" w14:paraId="443C2780" w14:textId="77777777" w:rsidTr="00161A7B">
        <w:tc>
          <w:tcPr>
            <w:tcW w:w="7117" w:type="dxa"/>
            <w:shd w:val="clear" w:color="auto" w:fill="auto"/>
            <w:vAlign w:val="bottom"/>
          </w:tcPr>
          <w:p w14:paraId="7FB1EAD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e.</w:t>
            </w:r>
            <w:r>
              <w:rPr>
                <w:sz w:val="17"/>
              </w:rPr>
              <w:tab/>
            </w:r>
            <w:r>
              <w:rPr>
                <w:w w:val="101"/>
                <w:sz w:val="17"/>
              </w:rPr>
              <w:t>Working Party on Transport Trends and Economics and subsidiary groups of experts</w:t>
            </w:r>
          </w:p>
        </w:tc>
        <w:tc>
          <w:tcPr>
            <w:tcW w:w="691" w:type="dxa"/>
            <w:shd w:val="clear" w:color="auto" w:fill="auto"/>
            <w:vAlign w:val="center"/>
          </w:tcPr>
          <w:p w14:paraId="678B0B2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26</w:t>
            </w:r>
          </w:p>
        </w:tc>
        <w:tc>
          <w:tcPr>
            <w:tcW w:w="690" w:type="dxa"/>
            <w:shd w:val="clear" w:color="auto" w:fill="auto"/>
            <w:vAlign w:val="center"/>
          </w:tcPr>
          <w:p w14:paraId="5C38ABD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6C400BF">
              <w:rPr>
                <w:sz w:val="17"/>
                <w:szCs w:val="17"/>
              </w:rPr>
              <w:t>26</w:t>
            </w:r>
          </w:p>
        </w:tc>
        <w:tc>
          <w:tcPr>
            <w:tcW w:w="691" w:type="dxa"/>
            <w:shd w:val="clear" w:color="auto" w:fill="auto"/>
            <w:vAlign w:val="center"/>
          </w:tcPr>
          <w:p w14:paraId="05263A6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28</w:t>
            </w:r>
          </w:p>
        </w:tc>
        <w:tc>
          <w:tcPr>
            <w:tcW w:w="661" w:type="dxa"/>
            <w:shd w:val="clear" w:color="auto" w:fill="auto"/>
            <w:vAlign w:val="center"/>
          </w:tcPr>
          <w:p w14:paraId="269BDB6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6C400BF">
              <w:rPr>
                <w:sz w:val="17"/>
                <w:szCs w:val="17"/>
              </w:rPr>
              <w:t>23</w:t>
            </w:r>
          </w:p>
        </w:tc>
      </w:tr>
      <w:tr w:rsidR="009A3F46" w14:paraId="0B8D1A55" w14:textId="77777777" w:rsidTr="00161A7B">
        <w:tc>
          <w:tcPr>
            <w:tcW w:w="7117" w:type="dxa"/>
            <w:shd w:val="clear" w:color="auto" w:fill="auto"/>
            <w:vAlign w:val="bottom"/>
          </w:tcPr>
          <w:p w14:paraId="52C43EB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f.</w:t>
            </w:r>
            <w:r>
              <w:rPr>
                <w:sz w:val="17"/>
              </w:rPr>
              <w:tab/>
              <w:t>Working Party on Transport Statistics</w:t>
            </w:r>
          </w:p>
        </w:tc>
        <w:tc>
          <w:tcPr>
            <w:tcW w:w="691" w:type="dxa"/>
            <w:shd w:val="clear" w:color="auto" w:fill="auto"/>
            <w:vAlign w:val="center"/>
          </w:tcPr>
          <w:p w14:paraId="4DA74E9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14</w:t>
            </w:r>
          </w:p>
        </w:tc>
        <w:tc>
          <w:tcPr>
            <w:tcW w:w="690" w:type="dxa"/>
            <w:shd w:val="clear" w:color="auto" w:fill="auto"/>
            <w:vAlign w:val="center"/>
          </w:tcPr>
          <w:p w14:paraId="267FF69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14</w:t>
            </w:r>
          </w:p>
        </w:tc>
        <w:tc>
          <w:tcPr>
            <w:tcW w:w="691" w:type="dxa"/>
            <w:shd w:val="clear" w:color="auto" w:fill="auto"/>
            <w:vAlign w:val="center"/>
          </w:tcPr>
          <w:p w14:paraId="1622D31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14</w:t>
            </w:r>
          </w:p>
        </w:tc>
        <w:tc>
          <w:tcPr>
            <w:tcW w:w="661" w:type="dxa"/>
            <w:shd w:val="clear" w:color="auto" w:fill="auto"/>
            <w:vAlign w:val="center"/>
          </w:tcPr>
          <w:p w14:paraId="510A19D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14</w:t>
            </w:r>
          </w:p>
        </w:tc>
      </w:tr>
      <w:tr w:rsidR="009A3F46" w14:paraId="427C8C3A" w14:textId="77777777" w:rsidTr="00161A7B">
        <w:tc>
          <w:tcPr>
            <w:tcW w:w="7117" w:type="dxa"/>
            <w:shd w:val="clear" w:color="auto" w:fill="auto"/>
            <w:vAlign w:val="bottom"/>
          </w:tcPr>
          <w:p w14:paraId="3F37D33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g.</w:t>
            </w:r>
            <w:r>
              <w:rPr>
                <w:sz w:val="17"/>
              </w:rPr>
              <w:tab/>
              <w:t>Working Party on Road Transport and subsidiary groups of experts</w:t>
            </w:r>
          </w:p>
        </w:tc>
        <w:tc>
          <w:tcPr>
            <w:tcW w:w="691" w:type="dxa"/>
            <w:shd w:val="clear" w:color="auto" w:fill="auto"/>
            <w:vAlign w:val="center"/>
          </w:tcPr>
          <w:p w14:paraId="5BAEE8D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w:t>
            </w:r>
          </w:p>
        </w:tc>
        <w:tc>
          <w:tcPr>
            <w:tcW w:w="690" w:type="dxa"/>
            <w:shd w:val="clear" w:color="auto" w:fill="auto"/>
            <w:vAlign w:val="center"/>
          </w:tcPr>
          <w:p w14:paraId="6027E76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7BF78EA0">
              <w:rPr>
                <w:sz w:val="17"/>
                <w:szCs w:val="17"/>
              </w:rPr>
              <w:t>24</w:t>
            </w:r>
          </w:p>
        </w:tc>
        <w:tc>
          <w:tcPr>
            <w:tcW w:w="691" w:type="dxa"/>
            <w:shd w:val="clear" w:color="auto" w:fill="auto"/>
            <w:vAlign w:val="center"/>
          </w:tcPr>
          <w:p w14:paraId="75E5766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28</w:t>
            </w:r>
          </w:p>
        </w:tc>
        <w:tc>
          <w:tcPr>
            <w:tcW w:w="661" w:type="dxa"/>
            <w:shd w:val="clear" w:color="auto" w:fill="auto"/>
            <w:vAlign w:val="center"/>
          </w:tcPr>
          <w:p w14:paraId="7EFCC77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7BF78EA0">
              <w:rPr>
                <w:sz w:val="17"/>
                <w:szCs w:val="17"/>
              </w:rPr>
              <w:t>15</w:t>
            </w:r>
          </w:p>
        </w:tc>
      </w:tr>
      <w:tr w:rsidR="009A3F46" w14:paraId="6C21F479" w14:textId="77777777" w:rsidTr="00161A7B">
        <w:tc>
          <w:tcPr>
            <w:tcW w:w="7117" w:type="dxa"/>
            <w:shd w:val="clear" w:color="auto" w:fill="auto"/>
            <w:vAlign w:val="bottom"/>
          </w:tcPr>
          <w:p w14:paraId="3F1C53E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h.</w:t>
            </w:r>
            <w:r>
              <w:rPr>
                <w:sz w:val="17"/>
              </w:rPr>
              <w:tab/>
              <w:t>Global Forum for Road Traffic Safety and subsidiary groups of experts</w:t>
            </w:r>
          </w:p>
        </w:tc>
        <w:tc>
          <w:tcPr>
            <w:tcW w:w="691" w:type="dxa"/>
            <w:shd w:val="clear" w:color="auto" w:fill="auto"/>
            <w:vAlign w:val="center"/>
          </w:tcPr>
          <w:p w14:paraId="3CCAAB2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40</w:t>
            </w:r>
          </w:p>
        </w:tc>
        <w:tc>
          <w:tcPr>
            <w:tcW w:w="690" w:type="dxa"/>
            <w:shd w:val="clear" w:color="auto" w:fill="auto"/>
            <w:vAlign w:val="center"/>
          </w:tcPr>
          <w:p w14:paraId="46154E9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29</w:t>
            </w:r>
          </w:p>
        </w:tc>
        <w:tc>
          <w:tcPr>
            <w:tcW w:w="691" w:type="dxa"/>
            <w:shd w:val="clear" w:color="auto" w:fill="auto"/>
            <w:vAlign w:val="center"/>
          </w:tcPr>
          <w:p w14:paraId="3A74B2A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40</w:t>
            </w:r>
          </w:p>
        </w:tc>
        <w:tc>
          <w:tcPr>
            <w:tcW w:w="661" w:type="dxa"/>
            <w:shd w:val="clear" w:color="auto" w:fill="auto"/>
            <w:vAlign w:val="center"/>
          </w:tcPr>
          <w:p w14:paraId="29F6623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22</w:t>
            </w:r>
          </w:p>
        </w:tc>
      </w:tr>
      <w:tr w:rsidR="009A3F46" w14:paraId="3DE36703" w14:textId="77777777" w:rsidTr="00161A7B">
        <w:tc>
          <w:tcPr>
            <w:tcW w:w="7117" w:type="dxa"/>
            <w:shd w:val="clear" w:color="auto" w:fill="auto"/>
            <w:vAlign w:val="bottom"/>
          </w:tcPr>
          <w:p w14:paraId="6DACBDC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r>
            <w:proofErr w:type="spellStart"/>
            <w:r>
              <w:rPr>
                <w:sz w:val="17"/>
              </w:rPr>
              <w:t>i</w:t>
            </w:r>
            <w:proofErr w:type="spellEnd"/>
            <w:r>
              <w:rPr>
                <w:sz w:val="17"/>
              </w:rPr>
              <w:t>.</w:t>
            </w:r>
            <w:r>
              <w:rPr>
                <w:sz w:val="17"/>
              </w:rPr>
              <w:tab/>
              <w:t>Working Party on Rail Transport and subsidiary groups of experts</w:t>
            </w:r>
          </w:p>
        </w:tc>
        <w:tc>
          <w:tcPr>
            <w:tcW w:w="691" w:type="dxa"/>
            <w:shd w:val="clear" w:color="auto" w:fill="auto"/>
            <w:vAlign w:val="center"/>
          </w:tcPr>
          <w:p w14:paraId="16F8F32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34</w:t>
            </w:r>
          </w:p>
        </w:tc>
        <w:tc>
          <w:tcPr>
            <w:tcW w:w="690" w:type="dxa"/>
            <w:shd w:val="clear" w:color="auto" w:fill="auto"/>
            <w:vAlign w:val="center"/>
          </w:tcPr>
          <w:p w14:paraId="6793F44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37</w:t>
            </w:r>
          </w:p>
        </w:tc>
        <w:tc>
          <w:tcPr>
            <w:tcW w:w="691" w:type="dxa"/>
            <w:shd w:val="clear" w:color="auto" w:fill="auto"/>
            <w:vAlign w:val="center"/>
          </w:tcPr>
          <w:p w14:paraId="320E557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30</w:t>
            </w:r>
          </w:p>
        </w:tc>
        <w:tc>
          <w:tcPr>
            <w:tcW w:w="661" w:type="dxa"/>
            <w:shd w:val="clear" w:color="auto" w:fill="auto"/>
            <w:vAlign w:val="center"/>
          </w:tcPr>
          <w:p w14:paraId="6AF115E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30</w:t>
            </w:r>
          </w:p>
        </w:tc>
      </w:tr>
      <w:tr w:rsidR="009A3F46" w14:paraId="2867843A" w14:textId="77777777" w:rsidTr="00161A7B">
        <w:tc>
          <w:tcPr>
            <w:tcW w:w="7117" w:type="dxa"/>
            <w:shd w:val="clear" w:color="auto" w:fill="auto"/>
            <w:vAlign w:val="bottom"/>
          </w:tcPr>
          <w:p w14:paraId="57F3BB3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j.</w:t>
            </w:r>
            <w:r>
              <w:rPr>
                <w:sz w:val="17"/>
              </w:rPr>
              <w:tab/>
              <w:t>Working Party on Intermodal Transport and Logistics</w:t>
            </w:r>
          </w:p>
        </w:tc>
        <w:tc>
          <w:tcPr>
            <w:tcW w:w="691" w:type="dxa"/>
            <w:shd w:val="clear" w:color="auto" w:fill="auto"/>
            <w:vAlign w:val="center"/>
          </w:tcPr>
          <w:p w14:paraId="3C62717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15</w:t>
            </w:r>
          </w:p>
        </w:tc>
        <w:tc>
          <w:tcPr>
            <w:tcW w:w="690" w:type="dxa"/>
            <w:shd w:val="clear" w:color="auto" w:fill="auto"/>
            <w:vAlign w:val="center"/>
          </w:tcPr>
          <w:p w14:paraId="27A6DFE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54B880D7">
              <w:rPr>
                <w:sz w:val="17"/>
                <w:szCs w:val="17"/>
              </w:rPr>
              <w:t>15</w:t>
            </w:r>
          </w:p>
        </w:tc>
        <w:tc>
          <w:tcPr>
            <w:tcW w:w="691" w:type="dxa"/>
            <w:shd w:val="clear" w:color="auto" w:fill="auto"/>
            <w:vAlign w:val="center"/>
          </w:tcPr>
          <w:p w14:paraId="47E98C2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15</w:t>
            </w:r>
          </w:p>
        </w:tc>
        <w:tc>
          <w:tcPr>
            <w:tcW w:w="661" w:type="dxa"/>
            <w:shd w:val="clear" w:color="auto" w:fill="auto"/>
            <w:vAlign w:val="center"/>
          </w:tcPr>
          <w:p w14:paraId="65B33E3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54B880D7">
              <w:rPr>
                <w:sz w:val="17"/>
                <w:szCs w:val="17"/>
              </w:rPr>
              <w:t>12</w:t>
            </w:r>
          </w:p>
        </w:tc>
      </w:tr>
      <w:tr w:rsidR="009A3F46" w14:paraId="3E6D2CB6" w14:textId="77777777" w:rsidTr="00161A7B">
        <w:tc>
          <w:tcPr>
            <w:tcW w:w="7117" w:type="dxa"/>
            <w:shd w:val="clear" w:color="auto" w:fill="auto"/>
            <w:vAlign w:val="bottom"/>
          </w:tcPr>
          <w:p w14:paraId="2648654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k.</w:t>
            </w:r>
            <w:r>
              <w:rPr>
                <w:sz w:val="17"/>
              </w:rPr>
              <w:tab/>
              <w:t>Working Party on Inland Water Transport</w:t>
            </w:r>
          </w:p>
        </w:tc>
        <w:tc>
          <w:tcPr>
            <w:tcW w:w="691" w:type="dxa"/>
            <w:shd w:val="clear" w:color="auto" w:fill="auto"/>
            <w:vAlign w:val="center"/>
          </w:tcPr>
          <w:p w14:paraId="42626E8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47</w:t>
            </w:r>
          </w:p>
        </w:tc>
        <w:tc>
          <w:tcPr>
            <w:tcW w:w="690" w:type="dxa"/>
            <w:shd w:val="clear" w:color="auto" w:fill="auto"/>
            <w:vAlign w:val="center"/>
          </w:tcPr>
          <w:p w14:paraId="5537C03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50</w:t>
            </w:r>
          </w:p>
        </w:tc>
        <w:tc>
          <w:tcPr>
            <w:tcW w:w="691" w:type="dxa"/>
            <w:shd w:val="clear" w:color="auto" w:fill="auto"/>
            <w:vAlign w:val="center"/>
          </w:tcPr>
          <w:p w14:paraId="56D598C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47</w:t>
            </w:r>
          </w:p>
        </w:tc>
        <w:tc>
          <w:tcPr>
            <w:tcW w:w="661" w:type="dxa"/>
            <w:shd w:val="clear" w:color="auto" w:fill="auto"/>
            <w:vAlign w:val="center"/>
          </w:tcPr>
          <w:p w14:paraId="5B53F1B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45</w:t>
            </w:r>
          </w:p>
        </w:tc>
      </w:tr>
      <w:tr w:rsidR="009A3F46" w14:paraId="6C1223AA" w14:textId="77777777" w:rsidTr="00161A7B">
        <w:tc>
          <w:tcPr>
            <w:tcW w:w="7117" w:type="dxa"/>
            <w:shd w:val="clear" w:color="auto" w:fill="auto"/>
            <w:vAlign w:val="bottom"/>
          </w:tcPr>
          <w:p w14:paraId="7D59082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14" w:hanging="864"/>
              <w:jc w:val="left"/>
              <w:rPr>
                <w:spacing w:val="2"/>
                <w:w w:val="101"/>
                <w:sz w:val="17"/>
              </w:rPr>
            </w:pPr>
            <w:r>
              <w:rPr>
                <w:spacing w:val="2"/>
                <w:w w:val="101"/>
                <w:sz w:val="17"/>
              </w:rPr>
              <w:tab/>
            </w:r>
            <w:r>
              <w:rPr>
                <w:spacing w:val="2"/>
                <w:w w:val="101"/>
                <w:sz w:val="17"/>
              </w:rPr>
              <w:tab/>
              <w:t>l.</w:t>
            </w:r>
            <w:r>
              <w:rPr>
                <w:spacing w:val="2"/>
                <w:w w:val="101"/>
                <w:sz w:val="17"/>
              </w:rPr>
              <w:tab/>
            </w:r>
            <w:r>
              <w:rPr>
                <w:spacing w:val="0"/>
                <w:w w:val="100"/>
                <w:sz w:val="17"/>
              </w:rPr>
              <w:t>Working Party on Customs Questions Affecting Transport and subsidiary groups of experts</w:t>
            </w:r>
          </w:p>
        </w:tc>
        <w:tc>
          <w:tcPr>
            <w:tcW w:w="691" w:type="dxa"/>
            <w:shd w:val="clear" w:color="auto" w:fill="auto"/>
            <w:vAlign w:val="bottom"/>
          </w:tcPr>
          <w:p w14:paraId="5B9B79D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131</w:t>
            </w:r>
          </w:p>
        </w:tc>
        <w:tc>
          <w:tcPr>
            <w:tcW w:w="690" w:type="dxa"/>
            <w:shd w:val="clear" w:color="auto" w:fill="auto"/>
            <w:vAlign w:val="bottom"/>
          </w:tcPr>
          <w:p w14:paraId="769D2E4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47</w:t>
            </w:r>
          </w:p>
        </w:tc>
        <w:tc>
          <w:tcPr>
            <w:tcW w:w="691" w:type="dxa"/>
            <w:shd w:val="clear" w:color="auto" w:fill="auto"/>
            <w:vAlign w:val="bottom"/>
          </w:tcPr>
          <w:p w14:paraId="0704399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100</w:t>
            </w:r>
          </w:p>
        </w:tc>
        <w:tc>
          <w:tcPr>
            <w:tcW w:w="661" w:type="dxa"/>
            <w:shd w:val="clear" w:color="auto" w:fill="auto"/>
            <w:vAlign w:val="bottom"/>
          </w:tcPr>
          <w:p w14:paraId="48226F3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50</w:t>
            </w:r>
          </w:p>
        </w:tc>
      </w:tr>
      <w:tr w:rsidR="009A3F46" w14:paraId="5703AB2B" w14:textId="77777777" w:rsidTr="00161A7B">
        <w:tc>
          <w:tcPr>
            <w:tcW w:w="7117" w:type="dxa"/>
            <w:shd w:val="clear" w:color="auto" w:fill="auto"/>
            <w:vAlign w:val="bottom"/>
          </w:tcPr>
          <w:p w14:paraId="0EEF2CE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2.</w:t>
            </w:r>
            <w:r>
              <w:rPr>
                <w:sz w:val="17"/>
              </w:rPr>
              <w:tab/>
              <w:t>Documentation for the Economic and Social Council</w:t>
            </w:r>
          </w:p>
        </w:tc>
        <w:tc>
          <w:tcPr>
            <w:tcW w:w="691" w:type="dxa"/>
            <w:shd w:val="clear" w:color="auto" w:fill="auto"/>
            <w:vAlign w:val="bottom"/>
          </w:tcPr>
          <w:p w14:paraId="089AE61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265</w:t>
            </w:r>
          </w:p>
        </w:tc>
        <w:tc>
          <w:tcPr>
            <w:tcW w:w="690" w:type="dxa"/>
            <w:shd w:val="clear" w:color="auto" w:fill="auto"/>
            <w:vAlign w:val="bottom"/>
          </w:tcPr>
          <w:p w14:paraId="397A25C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148</w:t>
            </w:r>
          </w:p>
        </w:tc>
        <w:tc>
          <w:tcPr>
            <w:tcW w:w="691" w:type="dxa"/>
            <w:shd w:val="clear" w:color="auto" w:fill="auto"/>
            <w:vAlign w:val="bottom"/>
          </w:tcPr>
          <w:p w14:paraId="1E08DF5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183</w:t>
            </w:r>
          </w:p>
        </w:tc>
        <w:tc>
          <w:tcPr>
            <w:tcW w:w="661" w:type="dxa"/>
            <w:shd w:val="clear" w:color="auto" w:fill="auto"/>
            <w:vAlign w:val="bottom"/>
          </w:tcPr>
          <w:p w14:paraId="556D23C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187</w:t>
            </w:r>
          </w:p>
        </w:tc>
      </w:tr>
      <w:tr w:rsidR="009A3F46" w14:paraId="15227AC8" w14:textId="77777777" w:rsidTr="00161A7B">
        <w:tc>
          <w:tcPr>
            <w:tcW w:w="7117" w:type="dxa"/>
            <w:shd w:val="clear" w:color="auto" w:fill="auto"/>
            <w:vAlign w:val="bottom"/>
          </w:tcPr>
          <w:p w14:paraId="42CA6AD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a.</w:t>
            </w:r>
            <w:r>
              <w:rPr>
                <w:sz w:val="17"/>
              </w:rPr>
              <w:tab/>
              <w:t>Committee of Experts on the Transport of Dangerous Goods and on the Globally Harmonized System of Classification and Labelling of Chemicals</w:t>
            </w:r>
          </w:p>
        </w:tc>
        <w:tc>
          <w:tcPr>
            <w:tcW w:w="691" w:type="dxa"/>
            <w:shd w:val="clear" w:color="auto" w:fill="auto"/>
            <w:vAlign w:val="bottom"/>
          </w:tcPr>
          <w:p w14:paraId="6A7161E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w:t>
            </w:r>
          </w:p>
        </w:tc>
        <w:tc>
          <w:tcPr>
            <w:tcW w:w="690" w:type="dxa"/>
            <w:shd w:val="clear" w:color="auto" w:fill="auto"/>
            <w:vAlign w:val="bottom"/>
          </w:tcPr>
          <w:p w14:paraId="1AC552F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w:t>
            </w:r>
          </w:p>
        </w:tc>
        <w:tc>
          <w:tcPr>
            <w:tcW w:w="691" w:type="dxa"/>
            <w:shd w:val="clear" w:color="auto" w:fill="auto"/>
            <w:vAlign w:val="bottom"/>
          </w:tcPr>
          <w:p w14:paraId="1F0D10E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61" w:type="dxa"/>
            <w:shd w:val="clear" w:color="auto" w:fill="auto"/>
            <w:vAlign w:val="bottom"/>
          </w:tcPr>
          <w:p w14:paraId="534EE7E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5</w:t>
            </w:r>
          </w:p>
        </w:tc>
      </w:tr>
      <w:tr w:rsidR="009A3F46" w14:paraId="605B7CDA" w14:textId="77777777" w:rsidTr="00161A7B">
        <w:tc>
          <w:tcPr>
            <w:tcW w:w="7117" w:type="dxa"/>
            <w:shd w:val="clear" w:color="auto" w:fill="auto"/>
            <w:vAlign w:val="bottom"/>
          </w:tcPr>
          <w:p w14:paraId="66CD0E8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b.</w:t>
            </w:r>
            <w:r>
              <w:rPr>
                <w:sz w:val="17"/>
              </w:rPr>
              <w:tab/>
              <w:t>Subcommittee of Experts on the Transport of Dangerous Goods</w:t>
            </w:r>
          </w:p>
        </w:tc>
        <w:tc>
          <w:tcPr>
            <w:tcW w:w="691" w:type="dxa"/>
            <w:shd w:val="clear" w:color="auto" w:fill="auto"/>
            <w:vAlign w:val="bottom"/>
          </w:tcPr>
          <w:p w14:paraId="63B3B3B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200</w:t>
            </w:r>
          </w:p>
        </w:tc>
        <w:tc>
          <w:tcPr>
            <w:tcW w:w="690" w:type="dxa"/>
            <w:shd w:val="clear" w:color="auto" w:fill="auto"/>
            <w:vAlign w:val="bottom"/>
          </w:tcPr>
          <w:p w14:paraId="0001C5A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107</w:t>
            </w:r>
          </w:p>
        </w:tc>
        <w:tc>
          <w:tcPr>
            <w:tcW w:w="691" w:type="dxa"/>
            <w:shd w:val="clear" w:color="auto" w:fill="auto"/>
            <w:vAlign w:val="bottom"/>
          </w:tcPr>
          <w:p w14:paraId="5F075EA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150</w:t>
            </w:r>
          </w:p>
        </w:tc>
        <w:tc>
          <w:tcPr>
            <w:tcW w:w="661" w:type="dxa"/>
            <w:shd w:val="clear" w:color="auto" w:fill="auto"/>
            <w:vAlign w:val="bottom"/>
          </w:tcPr>
          <w:p w14:paraId="38C7B44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120</w:t>
            </w:r>
          </w:p>
        </w:tc>
      </w:tr>
      <w:tr w:rsidR="009A3F46" w14:paraId="538A8B36" w14:textId="77777777" w:rsidTr="00161A7B">
        <w:tc>
          <w:tcPr>
            <w:tcW w:w="7117" w:type="dxa"/>
            <w:shd w:val="clear" w:color="auto" w:fill="auto"/>
            <w:vAlign w:val="bottom"/>
          </w:tcPr>
          <w:p w14:paraId="30D1A37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c.</w:t>
            </w:r>
            <w:r>
              <w:rPr>
                <w:sz w:val="17"/>
              </w:rPr>
              <w:tab/>
              <w:t>Subcommittee of Experts on the Globally Harmonized System of Classification and Labelling of Chemicals</w:t>
            </w:r>
          </w:p>
        </w:tc>
        <w:tc>
          <w:tcPr>
            <w:tcW w:w="691" w:type="dxa"/>
            <w:shd w:val="clear" w:color="auto" w:fill="auto"/>
            <w:vAlign w:val="bottom"/>
          </w:tcPr>
          <w:p w14:paraId="7578F82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60</w:t>
            </w:r>
          </w:p>
        </w:tc>
        <w:tc>
          <w:tcPr>
            <w:tcW w:w="690" w:type="dxa"/>
            <w:shd w:val="clear" w:color="auto" w:fill="auto"/>
            <w:vAlign w:val="bottom"/>
          </w:tcPr>
          <w:p w14:paraId="3CD3D30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36</w:t>
            </w:r>
          </w:p>
        </w:tc>
        <w:tc>
          <w:tcPr>
            <w:tcW w:w="691" w:type="dxa"/>
            <w:shd w:val="clear" w:color="auto" w:fill="auto"/>
            <w:vAlign w:val="bottom"/>
          </w:tcPr>
          <w:p w14:paraId="25542AB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32</w:t>
            </w:r>
          </w:p>
        </w:tc>
        <w:tc>
          <w:tcPr>
            <w:tcW w:w="661" w:type="dxa"/>
            <w:shd w:val="clear" w:color="auto" w:fill="auto"/>
            <w:vAlign w:val="bottom"/>
          </w:tcPr>
          <w:p w14:paraId="28F82AB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32</w:t>
            </w:r>
          </w:p>
        </w:tc>
      </w:tr>
      <w:tr w:rsidR="009A3F46" w14:paraId="46006E7F" w14:textId="77777777" w:rsidTr="00161A7B">
        <w:tc>
          <w:tcPr>
            <w:tcW w:w="7117" w:type="dxa"/>
            <w:shd w:val="clear" w:color="auto" w:fill="auto"/>
            <w:vAlign w:val="bottom"/>
          </w:tcPr>
          <w:p w14:paraId="050B785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3.</w:t>
            </w:r>
            <w:r>
              <w:rPr>
                <w:sz w:val="17"/>
              </w:rPr>
              <w:tab/>
              <w:t>Documentation for the High-level Meeting on Transport, Health and Environment</w:t>
            </w:r>
          </w:p>
        </w:tc>
        <w:tc>
          <w:tcPr>
            <w:tcW w:w="691" w:type="dxa"/>
            <w:shd w:val="clear" w:color="auto" w:fill="auto"/>
            <w:vAlign w:val="bottom"/>
          </w:tcPr>
          <w:p w14:paraId="2413DC9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w:t>
            </w:r>
          </w:p>
        </w:tc>
        <w:tc>
          <w:tcPr>
            <w:tcW w:w="690" w:type="dxa"/>
            <w:shd w:val="clear" w:color="auto" w:fill="auto"/>
            <w:vAlign w:val="bottom"/>
          </w:tcPr>
          <w:p w14:paraId="2902A84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5</w:t>
            </w:r>
          </w:p>
        </w:tc>
        <w:tc>
          <w:tcPr>
            <w:tcW w:w="691" w:type="dxa"/>
            <w:shd w:val="clear" w:color="auto" w:fill="auto"/>
            <w:vAlign w:val="bottom"/>
          </w:tcPr>
          <w:p w14:paraId="65FDBB2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w:t>
            </w:r>
          </w:p>
        </w:tc>
        <w:tc>
          <w:tcPr>
            <w:tcW w:w="661" w:type="dxa"/>
            <w:shd w:val="clear" w:color="auto" w:fill="auto"/>
            <w:vAlign w:val="bottom"/>
          </w:tcPr>
          <w:p w14:paraId="520286F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w:t>
            </w:r>
          </w:p>
        </w:tc>
      </w:tr>
      <w:tr w:rsidR="009A3F46" w14:paraId="42AE2494" w14:textId="77777777" w:rsidTr="00161A7B">
        <w:tc>
          <w:tcPr>
            <w:tcW w:w="7117" w:type="dxa"/>
            <w:shd w:val="clear" w:color="auto" w:fill="auto"/>
            <w:vAlign w:val="bottom"/>
          </w:tcPr>
          <w:p w14:paraId="199BE3E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b/>
                <w:bCs/>
                <w:sz w:val="17"/>
              </w:rPr>
              <w:t>Substantive services for meetings</w:t>
            </w:r>
            <w:r>
              <w:rPr>
                <w:sz w:val="17"/>
              </w:rPr>
              <w:t xml:space="preserve"> (number of three-hour meetings)</w:t>
            </w:r>
          </w:p>
        </w:tc>
        <w:tc>
          <w:tcPr>
            <w:tcW w:w="691" w:type="dxa"/>
            <w:shd w:val="clear" w:color="auto" w:fill="auto"/>
            <w:vAlign w:val="bottom"/>
          </w:tcPr>
          <w:p w14:paraId="0C826EE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szCs w:val="17"/>
              </w:rPr>
              <w:t>423</w:t>
            </w:r>
          </w:p>
        </w:tc>
        <w:tc>
          <w:tcPr>
            <w:tcW w:w="690" w:type="dxa"/>
            <w:shd w:val="clear" w:color="auto" w:fill="auto"/>
            <w:vAlign w:val="bottom"/>
          </w:tcPr>
          <w:p w14:paraId="02E676C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424</w:t>
            </w:r>
          </w:p>
        </w:tc>
        <w:tc>
          <w:tcPr>
            <w:tcW w:w="691" w:type="dxa"/>
            <w:shd w:val="clear" w:color="auto" w:fill="auto"/>
            <w:vAlign w:val="bottom"/>
          </w:tcPr>
          <w:p w14:paraId="5E6793B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szCs w:val="17"/>
              </w:rPr>
              <w:t>456</w:t>
            </w:r>
          </w:p>
        </w:tc>
        <w:tc>
          <w:tcPr>
            <w:tcW w:w="661" w:type="dxa"/>
            <w:shd w:val="clear" w:color="auto" w:fill="auto"/>
            <w:vAlign w:val="bottom"/>
          </w:tcPr>
          <w:p w14:paraId="469AFB7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415</w:t>
            </w:r>
          </w:p>
        </w:tc>
      </w:tr>
      <w:tr w:rsidR="009A3F46" w14:paraId="0425F31D" w14:textId="77777777" w:rsidTr="00161A7B">
        <w:tc>
          <w:tcPr>
            <w:tcW w:w="7117" w:type="dxa"/>
            <w:shd w:val="clear" w:color="auto" w:fill="auto"/>
            <w:vAlign w:val="bottom"/>
          </w:tcPr>
          <w:p w14:paraId="2DBE108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4.</w:t>
            </w:r>
            <w:r>
              <w:rPr>
                <w:sz w:val="17"/>
              </w:rPr>
              <w:tab/>
              <w:t>Meetings of the Inland Transport Committee</w:t>
            </w:r>
          </w:p>
        </w:tc>
        <w:tc>
          <w:tcPr>
            <w:tcW w:w="691" w:type="dxa"/>
            <w:shd w:val="clear" w:color="auto" w:fill="auto"/>
            <w:vAlign w:val="bottom"/>
          </w:tcPr>
          <w:p w14:paraId="6F8C6E1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381</w:t>
            </w:r>
          </w:p>
        </w:tc>
        <w:tc>
          <w:tcPr>
            <w:tcW w:w="690" w:type="dxa"/>
            <w:shd w:val="clear" w:color="auto" w:fill="auto"/>
            <w:vAlign w:val="bottom"/>
          </w:tcPr>
          <w:p w14:paraId="796970C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382</w:t>
            </w:r>
          </w:p>
        </w:tc>
        <w:tc>
          <w:tcPr>
            <w:tcW w:w="691" w:type="dxa"/>
            <w:shd w:val="clear" w:color="auto" w:fill="auto"/>
            <w:vAlign w:val="bottom"/>
          </w:tcPr>
          <w:p w14:paraId="5D177FB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419</w:t>
            </w:r>
          </w:p>
        </w:tc>
        <w:tc>
          <w:tcPr>
            <w:tcW w:w="661" w:type="dxa"/>
            <w:shd w:val="clear" w:color="auto" w:fill="auto"/>
            <w:vAlign w:val="bottom"/>
          </w:tcPr>
          <w:p w14:paraId="698A929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373</w:t>
            </w:r>
          </w:p>
        </w:tc>
      </w:tr>
      <w:tr w:rsidR="009A3F46" w14:paraId="7D623184" w14:textId="77777777" w:rsidTr="00161A7B">
        <w:tc>
          <w:tcPr>
            <w:tcW w:w="7117" w:type="dxa"/>
            <w:shd w:val="clear" w:color="auto" w:fill="auto"/>
            <w:vAlign w:val="bottom"/>
          </w:tcPr>
          <w:p w14:paraId="3EEC4D9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a.</w:t>
            </w:r>
            <w:r>
              <w:rPr>
                <w:sz w:val="17"/>
              </w:rPr>
              <w:tab/>
              <w:t>Inland Transport Committee and Bureau</w:t>
            </w:r>
          </w:p>
        </w:tc>
        <w:tc>
          <w:tcPr>
            <w:tcW w:w="691" w:type="dxa"/>
            <w:shd w:val="clear" w:color="auto" w:fill="auto"/>
            <w:vAlign w:val="bottom"/>
          </w:tcPr>
          <w:p w14:paraId="0A6A751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16</w:t>
            </w:r>
          </w:p>
        </w:tc>
        <w:tc>
          <w:tcPr>
            <w:tcW w:w="690" w:type="dxa"/>
            <w:shd w:val="clear" w:color="auto" w:fill="auto"/>
            <w:vAlign w:val="bottom"/>
          </w:tcPr>
          <w:p w14:paraId="311A291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2169E183">
              <w:rPr>
                <w:sz w:val="17"/>
                <w:szCs w:val="17"/>
              </w:rPr>
              <w:t>17</w:t>
            </w:r>
          </w:p>
        </w:tc>
        <w:tc>
          <w:tcPr>
            <w:tcW w:w="691" w:type="dxa"/>
            <w:shd w:val="clear" w:color="auto" w:fill="auto"/>
            <w:vAlign w:val="bottom"/>
          </w:tcPr>
          <w:p w14:paraId="53A7A40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16</w:t>
            </w:r>
          </w:p>
        </w:tc>
        <w:tc>
          <w:tcPr>
            <w:tcW w:w="661" w:type="dxa"/>
            <w:shd w:val="clear" w:color="auto" w:fill="auto"/>
            <w:vAlign w:val="bottom"/>
          </w:tcPr>
          <w:p w14:paraId="614DB69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16</w:t>
            </w:r>
          </w:p>
        </w:tc>
      </w:tr>
      <w:tr w:rsidR="009A3F46" w14:paraId="2F01D450" w14:textId="77777777" w:rsidTr="00161A7B">
        <w:tc>
          <w:tcPr>
            <w:tcW w:w="7117" w:type="dxa"/>
            <w:shd w:val="clear" w:color="auto" w:fill="auto"/>
            <w:vAlign w:val="bottom"/>
          </w:tcPr>
          <w:p w14:paraId="3B12886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b.</w:t>
            </w:r>
            <w:r>
              <w:rPr>
                <w:sz w:val="17"/>
              </w:rPr>
              <w:tab/>
              <w:t>World Forum for Harmonization of Vehicle Regulations</w:t>
            </w:r>
          </w:p>
        </w:tc>
        <w:tc>
          <w:tcPr>
            <w:tcW w:w="691" w:type="dxa"/>
            <w:shd w:val="clear" w:color="auto" w:fill="auto"/>
            <w:vAlign w:val="bottom"/>
          </w:tcPr>
          <w:p w14:paraId="5108474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111</w:t>
            </w:r>
          </w:p>
        </w:tc>
        <w:tc>
          <w:tcPr>
            <w:tcW w:w="690" w:type="dxa"/>
            <w:shd w:val="clear" w:color="auto" w:fill="auto"/>
            <w:vAlign w:val="bottom"/>
          </w:tcPr>
          <w:p w14:paraId="45A2BFB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111</w:t>
            </w:r>
          </w:p>
        </w:tc>
        <w:tc>
          <w:tcPr>
            <w:tcW w:w="691" w:type="dxa"/>
            <w:shd w:val="clear" w:color="auto" w:fill="auto"/>
            <w:vAlign w:val="bottom"/>
          </w:tcPr>
          <w:p w14:paraId="0FA28CC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111</w:t>
            </w:r>
          </w:p>
        </w:tc>
        <w:tc>
          <w:tcPr>
            <w:tcW w:w="661" w:type="dxa"/>
            <w:shd w:val="clear" w:color="auto" w:fill="auto"/>
            <w:vAlign w:val="bottom"/>
          </w:tcPr>
          <w:p w14:paraId="6A0077D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121</w:t>
            </w:r>
          </w:p>
        </w:tc>
      </w:tr>
      <w:tr w:rsidR="009A3F46" w14:paraId="66170367" w14:textId="77777777" w:rsidTr="00161A7B">
        <w:tc>
          <w:tcPr>
            <w:tcW w:w="7117" w:type="dxa"/>
            <w:shd w:val="clear" w:color="auto" w:fill="auto"/>
            <w:vAlign w:val="bottom"/>
          </w:tcPr>
          <w:p w14:paraId="743AC1C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c.</w:t>
            </w:r>
            <w:r>
              <w:rPr>
                <w:sz w:val="17"/>
              </w:rPr>
              <w:tab/>
              <w:t>Working Party on the Transport of Perishable Foodstuffs</w:t>
            </w:r>
          </w:p>
        </w:tc>
        <w:tc>
          <w:tcPr>
            <w:tcW w:w="691" w:type="dxa"/>
            <w:shd w:val="clear" w:color="auto" w:fill="auto"/>
            <w:vAlign w:val="bottom"/>
          </w:tcPr>
          <w:p w14:paraId="0D29ACE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16</w:t>
            </w:r>
          </w:p>
        </w:tc>
        <w:tc>
          <w:tcPr>
            <w:tcW w:w="690" w:type="dxa"/>
            <w:shd w:val="clear" w:color="auto" w:fill="auto"/>
            <w:vAlign w:val="bottom"/>
          </w:tcPr>
          <w:p w14:paraId="12DB65F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14</w:t>
            </w:r>
          </w:p>
        </w:tc>
        <w:tc>
          <w:tcPr>
            <w:tcW w:w="691" w:type="dxa"/>
            <w:shd w:val="clear" w:color="auto" w:fill="auto"/>
            <w:vAlign w:val="bottom"/>
          </w:tcPr>
          <w:p w14:paraId="05E2E60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8</w:t>
            </w:r>
          </w:p>
        </w:tc>
        <w:tc>
          <w:tcPr>
            <w:tcW w:w="661" w:type="dxa"/>
            <w:shd w:val="clear" w:color="auto" w:fill="auto"/>
            <w:vAlign w:val="bottom"/>
          </w:tcPr>
          <w:p w14:paraId="6CA08B9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16</w:t>
            </w:r>
          </w:p>
        </w:tc>
      </w:tr>
      <w:tr w:rsidR="009A3F46" w14:paraId="5915CEED" w14:textId="77777777" w:rsidTr="00161A7B">
        <w:tc>
          <w:tcPr>
            <w:tcW w:w="7117" w:type="dxa"/>
            <w:shd w:val="clear" w:color="auto" w:fill="auto"/>
            <w:vAlign w:val="bottom"/>
          </w:tcPr>
          <w:p w14:paraId="1BEA7C6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d.</w:t>
            </w:r>
            <w:r>
              <w:rPr>
                <w:sz w:val="17"/>
              </w:rPr>
              <w:tab/>
              <w:t>Working Party on the Transport of Dangerous Goods</w:t>
            </w:r>
          </w:p>
        </w:tc>
        <w:tc>
          <w:tcPr>
            <w:tcW w:w="691" w:type="dxa"/>
            <w:shd w:val="clear" w:color="auto" w:fill="auto"/>
            <w:vAlign w:val="bottom"/>
          </w:tcPr>
          <w:p w14:paraId="0DB4650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58</w:t>
            </w:r>
          </w:p>
        </w:tc>
        <w:tc>
          <w:tcPr>
            <w:tcW w:w="690" w:type="dxa"/>
            <w:shd w:val="clear" w:color="auto" w:fill="auto"/>
            <w:vAlign w:val="bottom"/>
          </w:tcPr>
          <w:p w14:paraId="5C94619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56</w:t>
            </w:r>
          </w:p>
        </w:tc>
        <w:tc>
          <w:tcPr>
            <w:tcW w:w="691" w:type="dxa"/>
            <w:shd w:val="clear" w:color="auto" w:fill="auto"/>
            <w:vAlign w:val="bottom"/>
          </w:tcPr>
          <w:p w14:paraId="4370792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68</w:t>
            </w:r>
          </w:p>
        </w:tc>
        <w:tc>
          <w:tcPr>
            <w:tcW w:w="661" w:type="dxa"/>
            <w:shd w:val="clear" w:color="auto" w:fill="auto"/>
            <w:vAlign w:val="bottom"/>
          </w:tcPr>
          <w:p w14:paraId="4CE3C55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58</w:t>
            </w:r>
          </w:p>
        </w:tc>
      </w:tr>
      <w:tr w:rsidR="009A3F46" w14:paraId="66D2B1EC" w14:textId="77777777" w:rsidTr="00161A7B">
        <w:tc>
          <w:tcPr>
            <w:tcW w:w="7117" w:type="dxa"/>
            <w:shd w:val="clear" w:color="auto" w:fill="auto"/>
            <w:vAlign w:val="bottom"/>
          </w:tcPr>
          <w:p w14:paraId="34B048C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e.</w:t>
            </w:r>
            <w:r>
              <w:rPr>
                <w:sz w:val="17"/>
              </w:rPr>
              <w:tab/>
            </w:r>
            <w:r>
              <w:rPr>
                <w:w w:val="101"/>
                <w:sz w:val="17"/>
              </w:rPr>
              <w:t>Working Party on Transport Trends and Economics and subsidiary groups of experts</w:t>
            </w:r>
          </w:p>
        </w:tc>
        <w:tc>
          <w:tcPr>
            <w:tcW w:w="691" w:type="dxa"/>
            <w:shd w:val="clear" w:color="auto" w:fill="auto"/>
            <w:vAlign w:val="bottom"/>
          </w:tcPr>
          <w:p w14:paraId="69E46BE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22</w:t>
            </w:r>
          </w:p>
        </w:tc>
        <w:tc>
          <w:tcPr>
            <w:tcW w:w="690" w:type="dxa"/>
            <w:shd w:val="clear" w:color="auto" w:fill="auto"/>
            <w:vAlign w:val="bottom"/>
          </w:tcPr>
          <w:p w14:paraId="7B0C81E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B4F5B92">
              <w:rPr>
                <w:sz w:val="17"/>
                <w:szCs w:val="17"/>
              </w:rPr>
              <w:t>25</w:t>
            </w:r>
          </w:p>
        </w:tc>
        <w:tc>
          <w:tcPr>
            <w:tcW w:w="691" w:type="dxa"/>
            <w:shd w:val="clear" w:color="auto" w:fill="auto"/>
            <w:vAlign w:val="bottom"/>
          </w:tcPr>
          <w:p w14:paraId="29E0D7A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22</w:t>
            </w:r>
          </w:p>
        </w:tc>
        <w:tc>
          <w:tcPr>
            <w:tcW w:w="661" w:type="dxa"/>
            <w:shd w:val="clear" w:color="auto" w:fill="auto"/>
            <w:vAlign w:val="bottom"/>
          </w:tcPr>
          <w:p w14:paraId="31BE265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6C400BF">
              <w:rPr>
                <w:sz w:val="17"/>
                <w:szCs w:val="17"/>
              </w:rPr>
              <w:t>18</w:t>
            </w:r>
          </w:p>
        </w:tc>
      </w:tr>
      <w:tr w:rsidR="009A3F46" w14:paraId="476FB6FA" w14:textId="77777777" w:rsidTr="00161A7B">
        <w:tc>
          <w:tcPr>
            <w:tcW w:w="7117" w:type="dxa"/>
            <w:shd w:val="clear" w:color="auto" w:fill="auto"/>
            <w:vAlign w:val="bottom"/>
          </w:tcPr>
          <w:p w14:paraId="3C00996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f.</w:t>
            </w:r>
            <w:r>
              <w:rPr>
                <w:sz w:val="17"/>
              </w:rPr>
              <w:tab/>
              <w:t>Working Party on Transport Statistics</w:t>
            </w:r>
          </w:p>
        </w:tc>
        <w:tc>
          <w:tcPr>
            <w:tcW w:w="691" w:type="dxa"/>
            <w:shd w:val="clear" w:color="auto" w:fill="auto"/>
            <w:vAlign w:val="bottom"/>
          </w:tcPr>
          <w:p w14:paraId="7E09E91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6</w:t>
            </w:r>
          </w:p>
        </w:tc>
        <w:tc>
          <w:tcPr>
            <w:tcW w:w="690" w:type="dxa"/>
            <w:shd w:val="clear" w:color="auto" w:fill="auto"/>
            <w:vAlign w:val="bottom"/>
          </w:tcPr>
          <w:p w14:paraId="5D4128E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6</w:t>
            </w:r>
          </w:p>
        </w:tc>
        <w:tc>
          <w:tcPr>
            <w:tcW w:w="691" w:type="dxa"/>
            <w:shd w:val="clear" w:color="auto" w:fill="auto"/>
            <w:vAlign w:val="bottom"/>
          </w:tcPr>
          <w:p w14:paraId="27CAC2E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6</w:t>
            </w:r>
          </w:p>
        </w:tc>
        <w:tc>
          <w:tcPr>
            <w:tcW w:w="661" w:type="dxa"/>
            <w:shd w:val="clear" w:color="auto" w:fill="auto"/>
            <w:vAlign w:val="bottom"/>
          </w:tcPr>
          <w:p w14:paraId="28A4702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6</w:t>
            </w:r>
          </w:p>
        </w:tc>
      </w:tr>
      <w:tr w:rsidR="009A3F46" w14:paraId="5E4A6998" w14:textId="77777777" w:rsidTr="00161A7B">
        <w:tc>
          <w:tcPr>
            <w:tcW w:w="7117" w:type="dxa"/>
            <w:shd w:val="clear" w:color="auto" w:fill="auto"/>
            <w:vAlign w:val="bottom"/>
          </w:tcPr>
          <w:p w14:paraId="23CB65B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g.</w:t>
            </w:r>
            <w:r>
              <w:rPr>
                <w:sz w:val="17"/>
              </w:rPr>
              <w:tab/>
              <w:t>Working Party on Road Transport and subsidiary groups of experts</w:t>
            </w:r>
          </w:p>
        </w:tc>
        <w:tc>
          <w:tcPr>
            <w:tcW w:w="691" w:type="dxa"/>
            <w:shd w:val="clear" w:color="auto" w:fill="auto"/>
            <w:vAlign w:val="bottom"/>
          </w:tcPr>
          <w:p w14:paraId="4D0B0A7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12</w:t>
            </w:r>
          </w:p>
        </w:tc>
        <w:tc>
          <w:tcPr>
            <w:tcW w:w="690" w:type="dxa"/>
            <w:shd w:val="clear" w:color="auto" w:fill="auto"/>
            <w:vAlign w:val="bottom"/>
          </w:tcPr>
          <w:p w14:paraId="3B9CFB9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7BF78EA0">
              <w:rPr>
                <w:sz w:val="17"/>
                <w:szCs w:val="17"/>
              </w:rPr>
              <w:t>27</w:t>
            </w:r>
          </w:p>
        </w:tc>
        <w:tc>
          <w:tcPr>
            <w:tcW w:w="691" w:type="dxa"/>
            <w:shd w:val="clear" w:color="auto" w:fill="auto"/>
            <w:vAlign w:val="bottom"/>
          </w:tcPr>
          <w:p w14:paraId="106C24C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30</w:t>
            </w:r>
          </w:p>
        </w:tc>
        <w:tc>
          <w:tcPr>
            <w:tcW w:w="661" w:type="dxa"/>
            <w:shd w:val="clear" w:color="auto" w:fill="auto"/>
            <w:vAlign w:val="bottom"/>
          </w:tcPr>
          <w:p w14:paraId="1FCB88C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7BF78EA0">
              <w:rPr>
                <w:sz w:val="17"/>
                <w:szCs w:val="17"/>
              </w:rPr>
              <w:t>12</w:t>
            </w:r>
          </w:p>
        </w:tc>
      </w:tr>
      <w:tr w:rsidR="009A3F46" w14:paraId="2AB14006" w14:textId="77777777" w:rsidTr="00161A7B">
        <w:tc>
          <w:tcPr>
            <w:tcW w:w="7117" w:type="dxa"/>
            <w:shd w:val="clear" w:color="auto" w:fill="auto"/>
            <w:vAlign w:val="bottom"/>
          </w:tcPr>
          <w:p w14:paraId="67C1D45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h.</w:t>
            </w:r>
            <w:r>
              <w:rPr>
                <w:sz w:val="17"/>
              </w:rPr>
              <w:tab/>
              <w:t>Global Forum for Road Traffic Safety and subsidiary groups of experts</w:t>
            </w:r>
          </w:p>
        </w:tc>
        <w:tc>
          <w:tcPr>
            <w:tcW w:w="691" w:type="dxa"/>
            <w:shd w:val="clear" w:color="auto" w:fill="auto"/>
            <w:vAlign w:val="bottom"/>
          </w:tcPr>
          <w:p w14:paraId="11FD066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28</w:t>
            </w:r>
          </w:p>
        </w:tc>
        <w:tc>
          <w:tcPr>
            <w:tcW w:w="690" w:type="dxa"/>
            <w:shd w:val="clear" w:color="auto" w:fill="auto"/>
            <w:vAlign w:val="bottom"/>
          </w:tcPr>
          <w:p w14:paraId="32EC22C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34</w:t>
            </w:r>
          </w:p>
        </w:tc>
        <w:tc>
          <w:tcPr>
            <w:tcW w:w="691" w:type="dxa"/>
            <w:shd w:val="clear" w:color="auto" w:fill="auto"/>
            <w:vAlign w:val="bottom"/>
          </w:tcPr>
          <w:p w14:paraId="27FEA8A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28</w:t>
            </w:r>
          </w:p>
        </w:tc>
        <w:tc>
          <w:tcPr>
            <w:tcW w:w="661" w:type="dxa"/>
            <w:shd w:val="clear" w:color="auto" w:fill="auto"/>
            <w:vAlign w:val="bottom"/>
          </w:tcPr>
          <w:p w14:paraId="6F97B96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28</w:t>
            </w:r>
          </w:p>
        </w:tc>
      </w:tr>
      <w:tr w:rsidR="009A3F46" w14:paraId="05F80EC5" w14:textId="77777777" w:rsidTr="00161A7B">
        <w:tc>
          <w:tcPr>
            <w:tcW w:w="7117" w:type="dxa"/>
            <w:shd w:val="clear" w:color="auto" w:fill="auto"/>
            <w:vAlign w:val="bottom"/>
          </w:tcPr>
          <w:p w14:paraId="6CF1ED4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r>
            <w:proofErr w:type="spellStart"/>
            <w:r>
              <w:rPr>
                <w:sz w:val="17"/>
              </w:rPr>
              <w:t>i</w:t>
            </w:r>
            <w:proofErr w:type="spellEnd"/>
            <w:r>
              <w:rPr>
                <w:sz w:val="17"/>
              </w:rPr>
              <w:t>.</w:t>
            </w:r>
            <w:r>
              <w:rPr>
                <w:sz w:val="17"/>
              </w:rPr>
              <w:tab/>
              <w:t>Working Party on Rail Transport and subsidiary groups of experts</w:t>
            </w:r>
          </w:p>
        </w:tc>
        <w:tc>
          <w:tcPr>
            <w:tcW w:w="691" w:type="dxa"/>
            <w:shd w:val="clear" w:color="auto" w:fill="auto"/>
            <w:vAlign w:val="bottom"/>
          </w:tcPr>
          <w:p w14:paraId="1828F1D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w:t>
            </w:r>
          </w:p>
        </w:tc>
        <w:tc>
          <w:tcPr>
            <w:tcW w:w="690" w:type="dxa"/>
            <w:shd w:val="clear" w:color="auto" w:fill="auto"/>
            <w:vAlign w:val="bottom"/>
          </w:tcPr>
          <w:p w14:paraId="75D1D92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27</w:t>
            </w:r>
          </w:p>
        </w:tc>
        <w:tc>
          <w:tcPr>
            <w:tcW w:w="691" w:type="dxa"/>
            <w:shd w:val="clear" w:color="auto" w:fill="auto"/>
            <w:vAlign w:val="bottom"/>
          </w:tcPr>
          <w:p w14:paraId="0E83D10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30</w:t>
            </w:r>
          </w:p>
        </w:tc>
        <w:tc>
          <w:tcPr>
            <w:tcW w:w="661" w:type="dxa"/>
            <w:shd w:val="clear" w:color="auto" w:fill="auto"/>
            <w:vAlign w:val="bottom"/>
          </w:tcPr>
          <w:p w14:paraId="71F603A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24</w:t>
            </w:r>
          </w:p>
        </w:tc>
      </w:tr>
      <w:tr w:rsidR="009A3F46" w14:paraId="0E32A5A2" w14:textId="77777777" w:rsidTr="00161A7B">
        <w:tc>
          <w:tcPr>
            <w:tcW w:w="7117" w:type="dxa"/>
            <w:shd w:val="clear" w:color="auto" w:fill="auto"/>
            <w:vAlign w:val="bottom"/>
          </w:tcPr>
          <w:p w14:paraId="185B460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j.</w:t>
            </w:r>
            <w:r>
              <w:rPr>
                <w:sz w:val="17"/>
              </w:rPr>
              <w:tab/>
              <w:t>Working Party on Intermodal Transport and Logistics</w:t>
            </w:r>
          </w:p>
        </w:tc>
        <w:tc>
          <w:tcPr>
            <w:tcW w:w="691" w:type="dxa"/>
            <w:shd w:val="clear" w:color="auto" w:fill="auto"/>
            <w:vAlign w:val="bottom"/>
          </w:tcPr>
          <w:p w14:paraId="009B3A3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6</w:t>
            </w:r>
          </w:p>
        </w:tc>
        <w:tc>
          <w:tcPr>
            <w:tcW w:w="690" w:type="dxa"/>
            <w:shd w:val="clear" w:color="auto" w:fill="auto"/>
            <w:vAlign w:val="bottom"/>
          </w:tcPr>
          <w:p w14:paraId="5E1418A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54B880D7">
              <w:rPr>
                <w:sz w:val="17"/>
                <w:szCs w:val="17"/>
              </w:rPr>
              <w:t>6</w:t>
            </w:r>
          </w:p>
        </w:tc>
        <w:tc>
          <w:tcPr>
            <w:tcW w:w="691" w:type="dxa"/>
            <w:shd w:val="clear" w:color="auto" w:fill="auto"/>
            <w:vAlign w:val="bottom"/>
          </w:tcPr>
          <w:p w14:paraId="4401C67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12</w:t>
            </w:r>
            <w:r>
              <w:rPr>
                <w:sz w:val="6"/>
                <w:szCs w:val="6"/>
              </w:rPr>
              <w:t> </w:t>
            </w:r>
          </w:p>
        </w:tc>
        <w:tc>
          <w:tcPr>
            <w:tcW w:w="661" w:type="dxa"/>
            <w:shd w:val="clear" w:color="auto" w:fill="auto"/>
            <w:vAlign w:val="bottom"/>
          </w:tcPr>
          <w:p w14:paraId="13285AD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54B880D7">
              <w:rPr>
                <w:sz w:val="17"/>
                <w:szCs w:val="17"/>
              </w:rPr>
              <w:t>6</w:t>
            </w:r>
          </w:p>
        </w:tc>
      </w:tr>
      <w:tr w:rsidR="009A3F46" w14:paraId="42C29C1A" w14:textId="77777777" w:rsidTr="00161A7B">
        <w:tc>
          <w:tcPr>
            <w:tcW w:w="7117" w:type="dxa"/>
            <w:shd w:val="clear" w:color="auto" w:fill="auto"/>
            <w:vAlign w:val="bottom"/>
          </w:tcPr>
          <w:p w14:paraId="4808E70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k.</w:t>
            </w:r>
            <w:r>
              <w:rPr>
                <w:sz w:val="17"/>
              </w:rPr>
              <w:tab/>
              <w:t>Working Party on Inland Water Transport</w:t>
            </w:r>
          </w:p>
        </w:tc>
        <w:tc>
          <w:tcPr>
            <w:tcW w:w="691" w:type="dxa"/>
            <w:shd w:val="clear" w:color="auto" w:fill="auto"/>
            <w:vAlign w:val="bottom"/>
          </w:tcPr>
          <w:p w14:paraId="1894EE9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w:t>
            </w:r>
          </w:p>
        </w:tc>
        <w:tc>
          <w:tcPr>
            <w:tcW w:w="690" w:type="dxa"/>
            <w:shd w:val="clear" w:color="auto" w:fill="auto"/>
            <w:vAlign w:val="bottom"/>
          </w:tcPr>
          <w:p w14:paraId="2490C21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18</w:t>
            </w:r>
          </w:p>
        </w:tc>
        <w:tc>
          <w:tcPr>
            <w:tcW w:w="691" w:type="dxa"/>
            <w:shd w:val="clear" w:color="auto" w:fill="auto"/>
            <w:vAlign w:val="bottom"/>
          </w:tcPr>
          <w:p w14:paraId="607198A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18</w:t>
            </w:r>
          </w:p>
        </w:tc>
        <w:tc>
          <w:tcPr>
            <w:tcW w:w="661" w:type="dxa"/>
            <w:shd w:val="clear" w:color="auto" w:fill="auto"/>
            <w:vAlign w:val="bottom"/>
          </w:tcPr>
          <w:p w14:paraId="00FB463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18</w:t>
            </w:r>
          </w:p>
        </w:tc>
      </w:tr>
      <w:tr w:rsidR="009A3F46" w14:paraId="530098C1" w14:textId="77777777" w:rsidTr="00161A7B">
        <w:tc>
          <w:tcPr>
            <w:tcW w:w="7117" w:type="dxa"/>
            <w:shd w:val="clear" w:color="auto" w:fill="auto"/>
            <w:vAlign w:val="bottom"/>
          </w:tcPr>
          <w:p w14:paraId="3EEB7AA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0" w:hanging="864"/>
              <w:jc w:val="left"/>
              <w:rPr>
                <w:spacing w:val="2"/>
                <w:w w:val="101"/>
                <w:sz w:val="17"/>
              </w:rPr>
            </w:pPr>
            <w:r>
              <w:rPr>
                <w:spacing w:val="2"/>
                <w:w w:val="101"/>
                <w:sz w:val="17"/>
              </w:rPr>
              <w:tab/>
            </w:r>
            <w:r>
              <w:rPr>
                <w:spacing w:val="2"/>
                <w:w w:val="101"/>
                <w:sz w:val="17"/>
              </w:rPr>
              <w:tab/>
              <w:t>l.</w:t>
            </w:r>
            <w:r>
              <w:rPr>
                <w:spacing w:val="2"/>
                <w:w w:val="101"/>
                <w:sz w:val="17"/>
              </w:rPr>
              <w:tab/>
            </w:r>
            <w:r>
              <w:rPr>
                <w:sz w:val="17"/>
              </w:rPr>
              <w:t>Working Party on Customs Questions Affecting Transport and subsidiary groups of experts</w:t>
            </w:r>
          </w:p>
        </w:tc>
        <w:tc>
          <w:tcPr>
            <w:tcW w:w="691" w:type="dxa"/>
            <w:shd w:val="clear" w:color="auto" w:fill="auto"/>
            <w:vAlign w:val="bottom"/>
          </w:tcPr>
          <w:p w14:paraId="6ACCF22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70</w:t>
            </w:r>
          </w:p>
        </w:tc>
        <w:tc>
          <w:tcPr>
            <w:tcW w:w="690" w:type="dxa"/>
            <w:shd w:val="clear" w:color="auto" w:fill="auto"/>
            <w:vAlign w:val="bottom"/>
          </w:tcPr>
          <w:p w14:paraId="537245F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41</w:t>
            </w:r>
          </w:p>
        </w:tc>
        <w:tc>
          <w:tcPr>
            <w:tcW w:w="691" w:type="dxa"/>
            <w:shd w:val="clear" w:color="auto" w:fill="auto"/>
            <w:vAlign w:val="bottom"/>
          </w:tcPr>
          <w:p w14:paraId="61F3DEF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70</w:t>
            </w:r>
          </w:p>
        </w:tc>
        <w:tc>
          <w:tcPr>
            <w:tcW w:w="661" w:type="dxa"/>
            <w:shd w:val="clear" w:color="auto" w:fill="auto"/>
            <w:vAlign w:val="bottom"/>
          </w:tcPr>
          <w:p w14:paraId="63BC89D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50</w:t>
            </w:r>
          </w:p>
        </w:tc>
      </w:tr>
      <w:tr w:rsidR="009A3F46" w14:paraId="6C02858C" w14:textId="77777777" w:rsidTr="00161A7B">
        <w:tc>
          <w:tcPr>
            <w:tcW w:w="7117" w:type="dxa"/>
            <w:shd w:val="clear" w:color="auto" w:fill="auto"/>
            <w:vAlign w:val="bottom"/>
          </w:tcPr>
          <w:p w14:paraId="58F0FEE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5.</w:t>
            </w:r>
            <w:r>
              <w:rPr>
                <w:sz w:val="17"/>
              </w:rPr>
              <w:tab/>
              <w:t>Meetings of the Economic and Social Council</w:t>
            </w:r>
          </w:p>
        </w:tc>
        <w:tc>
          <w:tcPr>
            <w:tcW w:w="691" w:type="dxa"/>
            <w:shd w:val="clear" w:color="auto" w:fill="auto"/>
            <w:vAlign w:val="bottom"/>
          </w:tcPr>
          <w:p w14:paraId="3070A9A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40</w:t>
            </w:r>
          </w:p>
        </w:tc>
        <w:tc>
          <w:tcPr>
            <w:tcW w:w="690" w:type="dxa"/>
            <w:shd w:val="clear" w:color="auto" w:fill="auto"/>
            <w:vAlign w:val="bottom"/>
          </w:tcPr>
          <w:p w14:paraId="6D28760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40</w:t>
            </w:r>
          </w:p>
        </w:tc>
        <w:tc>
          <w:tcPr>
            <w:tcW w:w="691" w:type="dxa"/>
            <w:shd w:val="clear" w:color="auto" w:fill="auto"/>
            <w:vAlign w:val="bottom"/>
          </w:tcPr>
          <w:p w14:paraId="4444E40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35</w:t>
            </w:r>
          </w:p>
        </w:tc>
        <w:tc>
          <w:tcPr>
            <w:tcW w:w="661" w:type="dxa"/>
            <w:shd w:val="clear" w:color="auto" w:fill="auto"/>
            <w:vAlign w:val="bottom"/>
          </w:tcPr>
          <w:p w14:paraId="21EBBEC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40</w:t>
            </w:r>
          </w:p>
        </w:tc>
      </w:tr>
      <w:tr w:rsidR="009A3F46" w14:paraId="01E24909" w14:textId="77777777" w:rsidTr="00161A7B">
        <w:tc>
          <w:tcPr>
            <w:tcW w:w="7117" w:type="dxa"/>
            <w:shd w:val="clear" w:color="auto" w:fill="auto"/>
            <w:vAlign w:val="bottom"/>
          </w:tcPr>
          <w:p w14:paraId="37CA40F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a.</w:t>
            </w:r>
            <w:r>
              <w:rPr>
                <w:sz w:val="17"/>
              </w:rPr>
              <w:tab/>
              <w:t>Committee of Experts on the Transport of Dangerous Goods and on the Globally Harmonized System of Classification and Labelling of Chemicals</w:t>
            </w:r>
          </w:p>
        </w:tc>
        <w:tc>
          <w:tcPr>
            <w:tcW w:w="691" w:type="dxa"/>
            <w:shd w:val="clear" w:color="auto" w:fill="auto"/>
            <w:vAlign w:val="bottom"/>
          </w:tcPr>
          <w:p w14:paraId="652B66B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90" w:type="dxa"/>
            <w:shd w:val="clear" w:color="auto" w:fill="auto"/>
            <w:vAlign w:val="bottom"/>
          </w:tcPr>
          <w:p w14:paraId="4D0FBD7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1" w:type="dxa"/>
            <w:shd w:val="clear" w:color="auto" w:fill="auto"/>
            <w:vAlign w:val="bottom"/>
          </w:tcPr>
          <w:p w14:paraId="6FE543C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w:t>
            </w:r>
          </w:p>
        </w:tc>
        <w:tc>
          <w:tcPr>
            <w:tcW w:w="661" w:type="dxa"/>
            <w:shd w:val="clear" w:color="auto" w:fill="auto"/>
            <w:vAlign w:val="bottom"/>
          </w:tcPr>
          <w:p w14:paraId="4966A55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r>
      <w:tr w:rsidR="009A3F46" w14:paraId="1D5B85F7" w14:textId="77777777" w:rsidTr="00161A7B">
        <w:tc>
          <w:tcPr>
            <w:tcW w:w="7117" w:type="dxa"/>
            <w:shd w:val="clear" w:color="auto" w:fill="auto"/>
            <w:vAlign w:val="bottom"/>
          </w:tcPr>
          <w:p w14:paraId="6118A1D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sz w:val="17"/>
              </w:rPr>
              <w:tab/>
              <w:t>b.</w:t>
            </w:r>
            <w:r>
              <w:rPr>
                <w:sz w:val="17"/>
              </w:rPr>
              <w:tab/>
              <w:t>Subcommittee of Experts on the Transport of Dangerous Goods</w:t>
            </w:r>
          </w:p>
        </w:tc>
        <w:tc>
          <w:tcPr>
            <w:tcW w:w="691" w:type="dxa"/>
            <w:shd w:val="clear" w:color="auto" w:fill="auto"/>
            <w:vAlign w:val="bottom"/>
          </w:tcPr>
          <w:p w14:paraId="0906224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29</w:t>
            </w:r>
          </w:p>
        </w:tc>
        <w:tc>
          <w:tcPr>
            <w:tcW w:w="690" w:type="dxa"/>
            <w:shd w:val="clear" w:color="auto" w:fill="auto"/>
            <w:vAlign w:val="bottom"/>
          </w:tcPr>
          <w:p w14:paraId="4B5D045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29</w:t>
            </w:r>
          </w:p>
        </w:tc>
        <w:tc>
          <w:tcPr>
            <w:tcW w:w="691" w:type="dxa"/>
            <w:shd w:val="clear" w:color="auto" w:fill="auto"/>
            <w:vAlign w:val="bottom"/>
          </w:tcPr>
          <w:p w14:paraId="4A7C203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25</w:t>
            </w:r>
          </w:p>
        </w:tc>
        <w:tc>
          <w:tcPr>
            <w:tcW w:w="661" w:type="dxa"/>
            <w:shd w:val="clear" w:color="auto" w:fill="auto"/>
            <w:vAlign w:val="bottom"/>
          </w:tcPr>
          <w:p w14:paraId="16ED016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29</w:t>
            </w:r>
          </w:p>
        </w:tc>
      </w:tr>
      <w:tr w:rsidR="009A3F46" w14:paraId="4136621F" w14:textId="77777777" w:rsidTr="00161A7B">
        <w:tc>
          <w:tcPr>
            <w:tcW w:w="7117" w:type="dxa"/>
            <w:shd w:val="clear" w:color="auto" w:fill="auto"/>
            <w:vAlign w:val="bottom"/>
          </w:tcPr>
          <w:p w14:paraId="5B2F1B6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864" w:right="40" w:hanging="864"/>
              <w:jc w:val="left"/>
              <w:rPr>
                <w:sz w:val="17"/>
              </w:rPr>
            </w:pPr>
            <w:r>
              <w:rPr>
                <w:sz w:val="17"/>
              </w:rPr>
              <w:tab/>
            </w:r>
            <w:r>
              <w:rPr>
                <w:sz w:val="17"/>
              </w:rPr>
              <w:tab/>
              <w:t>c.</w:t>
            </w:r>
            <w:r>
              <w:rPr>
                <w:sz w:val="17"/>
              </w:rPr>
              <w:tab/>
              <w:t>Subcommittee of Experts on the Globally Harmonized System of Classification and Labelling of Chemicals</w:t>
            </w:r>
          </w:p>
        </w:tc>
        <w:tc>
          <w:tcPr>
            <w:tcW w:w="691" w:type="dxa"/>
            <w:shd w:val="clear" w:color="auto" w:fill="auto"/>
            <w:vAlign w:val="bottom"/>
          </w:tcPr>
          <w:p w14:paraId="393A89D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10</w:t>
            </w:r>
          </w:p>
        </w:tc>
        <w:tc>
          <w:tcPr>
            <w:tcW w:w="690" w:type="dxa"/>
            <w:shd w:val="clear" w:color="auto" w:fill="auto"/>
            <w:vAlign w:val="bottom"/>
          </w:tcPr>
          <w:p w14:paraId="15C6038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10</w:t>
            </w:r>
          </w:p>
        </w:tc>
        <w:tc>
          <w:tcPr>
            <w:tcW w:w="691" w:type="dxa"/>
            <w:shd w:val="clear" w:color="auto" w:fill="auto"/>
            <w:vAlign w:val="bottom"/>
          </w:tcPr>
          <w:p w14:paraId="6881008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10</w:t>
            </w:r>
          </w:p>
        </w:tc>
        <w:tc>
          <w:tcPr>
            <w:tcW w:w="661" w:type="dxa"/>
            <w:shd w:val="clear" w:color="auto" w:fill="auto"/>
            <w:vAlign w:val="bottom"/>
          </w:tcPr>
          <w:p w14:paraId="37FEB36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10</w:t>
            </w:r>
          </w:p>
        </w:tc>
      </w:tr>
      <w:tr w:rsidR="009A3F46" w14:paraId="59115D1F" w14:textId="77777777" w:rsidTr="00161A7B">
        <w:tc>
          <w:tcPr>
            <w:tcW w:w="7117" w:type="dxa"/>
            <w:shd w:val="clear" w:color="auto" w:fill="auto"/>
            <w:vAlign w:val="bottom"/>
          </w:tcPr>
          <w:p w14:paraId="5E5F0CF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6.</w:t>
            </w:r>
            <w:r>
              <w:rPr>
                <w:sz w:val="17"/>
              </w:rPr>
              <w:tab/>
              <w:t>Meetings of the High-level Meeting on Transport, Health and Environment</w:t>
            </w:r>
          </w:p>
        </w:tc>
        <w:tc>
          <w:tcPr>
            <w:tcW w:w="691" w:type="dxa"/>
            <w:shd w:val="clear" w:color="auto" w:fill="auto"/>
            <w:vAlign w:val="bottom"/>
          </w:tcPr>
          <w:p w14:paraId="7F81211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w:t>
            </w:r>
          </w:p>
        </w:tc>
        <w:tc>
          <w:tcPr>
            <w:tcW w:w="690" w:type="dxa"/>
            <w:shd w:val="clear" w:color="auto" w:fill="auto"/>
            <w:vAlign w:val="bottom"/>
          </w:tcPr>
          <w:p w14:paraId="17DE720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w:t>
            </w:r>
          </w:p>
        </w:tc>
        <w:tc>
          <w:tcPr>
            <w:tcW w:w="691" w:type="dxa"/>
            <w:shd w:val="clear" w:color="auto" w:fill="auto"/>
            <w:vAlign w:val="bottom"/>
          </w:tcPr>
          <w:p w14:paraId="4BC8485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w:t>
            </w:r>
          </w:p>
        </w:tc>
        <w:tc>
          <w:tcPr>
            <w:tcW w:w="661" w:type="dxa"/>
            <w:shd w:val="clear" w:color="auto" w:fill="auto"/>
            <w:vAlign w:val="bottom"/>
          </w:tcPr>
          <w:p w14:paraId="5D8BD90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w:t>
            </w:r>
          </w:p>
        </w:tc>
      </w:tr>
      <w:tr w:rsidR="009A3F46" w14:paraId="64BFB282" w14:textId="77777777" w:rsidTr="00161A7B">
        <w:tc>
          <w:tcPr>
            <w:tcW w:w="7117" w:type="dxa"/>
            <w:shd w:val="clear" w:color="auto" w:fill="auto"/>
            <w:vAlign w:val="bottom"/>
          </w:tcPr>
          <w:p w14:paraId="0A2E52F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b/>
                <w:bCs/>
                <w:sz w:val="17"/>
              </w:rPr>
            </w:pPr>
            <w:r>
              <w:rPr>
                <w:b/>
                <w:bCs/>
                <w:sz w:val="17"/>
              </w:rPr>
              <w:t>B.</w:t>
            </w:r>
            <w:r>
              <w:rPr>
                <w:b/>
                <w:bCs/>
                <w:sz w:val="17"/>
              </w:rPr>
              <w:tab/>
              <w:t>Generation and transfer of knowledge</w:t>
            </w:r>
          </w:p>
        </w:tc>
        <w:tc>
          <w:tcPr>
            <w:tcW w:w="691" w:type="dxa"/>
            <w:shd w:val="clear" w:color="auto" w:fill="auto"/>
            <w:vAlign w:val="bottom"/>
          </w:tcPr>
          <w:p w14:paraId="2E31AC5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0" w:type="dxa"/>
            <w:shd w:val="clear" w:color="auto" w:fill="auto"/>
            <w:vAlign w:val="bottom"/>
          </w:tcPr>
          <w:p w14:paraId="42AE556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1" w:type="dxa"/>
            <w:shd w:val="clear" w:color="auto" w:fill="auto"/>
            <w:vAlign w:val="bottom"/>
          </w:tcPr>
          <w:p w14:paraId="3510618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61" w:type="dxa"/>
            <w:shd w:val="clear" w:color="auto" w:fill="auto"/>
            <w:vAlign w:val="bottom"/>
          </w:tcPr>
          <w:p w14:paraId="50799E6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r>
      <w:tr w:rsidR="009A3F46" w14:paraId="1A96DC1D" w14:textId="77777777" w:rsidTr="00161A7B">
        <w:tc>
          <w:tcPr>
            <w:tcW w:w="7117" w:type="dxa"/>
            <w:shd w:val="clear" w:color="auto" w:fill="auto"/>
            <w:vAlign w:val="bottom"/>
          </w:tcPr>
          <w:p w14:paraId="2930092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b/>
                <w:bCs/>
                <w:sz w:val="17"/>
              </w:rPr>
              <w:t>Field and technical cooperation projects</w:t>
            </w:r>
            <w:r>
              <w:rPr>
                <w:sz w:val="17"/>
              </w:rPr>
              <w:t xml:space="preserve"> (number of projects)</w:t>
            </w:r>
          </w:p>
        </w:tc>
        <w:tc>
          <w:tcPr>
            <w:tcW w:w="691" w:type="dxa"/>
            <w:shd w:val="clear" w:color="auto" w:fill="auto"/>
            <w:vAlign w:val="bottom"/>
          </w:tcPr>
          <w:p w14:paraId="32DD0F6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2</w:t>
            </w:r>
          </w:p>
        </w:tc>
        <w:tc>
          <w:tcPr>
            <w:tcW w:w="690" w:type="dxa"/>
            <w:shd w:val="clear" w:color="auto" w:fill="auto"/>
            <w:vAlign w:val="bottom"/>
          </w:tcPr>
          <w:p w14:paraId="65A4357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2</w:t>
            </w:r>
          </w:p>
        </w:tc>
        <w:tc>
          <w:tcPr>
            <w:tcW w:w="691" w:type="dxa"/>
            <w:shd w:val="clear" w:color="auto" w:fill="auto"/>
            <w:vAlign w:val="bottom"/>
          </w:tcPr>
          <w:p w14:paraId="67A3CA4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2</w:t>
            </w:r>
          </w:p>
        </w:tc>
        <w:tc>
          <w:tcPr>
            <w:tcW w:w="661" w:type="dxa"/>
            <w:shd w:val="clear" w:color="auto" w:fill="auto"/>
            <w:vAlign w:val="bottom"/>
          </w:tcPr>
          <w:p w14:paraId="1194F56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2</w:t>
            </w:r>
          </w:p>
        </w:tc>
      </w:tr>
      <w:tr w:rsidR="009A3F46" w14:paraId="1C1185A4" w14:textId="77777777" w:rsidTr="00161A7B">
        <w:tc>
          <w:tcPr>
            <w:tcW w:w="7117" w:type="dxa"/>
            <w:shd w:val="clear" w:color="auto" w:fill="auto"/>
            <w:vAlign w:val="bottom"/>
          </w:tcPr>
          <w:p w14:paraId="288715C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lastRenderedPageBreak/>
              <w:tab/>
              <w:t>7.</w:t>
            </w:r>
            <w:r>
              <w:rPr>
                <w:sz w:val="17"/>
              </w:rPr>
              <w:tab/>
              <w:t xml:space="preserve">On the Trans-European North-South Motorway </w:t>
            </w:r>
          </w:p>
        </w:tc>
        <w:tc>
          <w:tcPr>
            <w:tcW w:w="691" w:type="dxa"/>
            <w:shd w:val="clear" w:color="auto" w:fill="auto"/>
            <w:vAlign w:val="bottom"/>
          </w:tcPr>
          <w:p w14:paraId="615A896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6956B4D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1" w:type="dxa"/>
            <w:shd w:val="clear" w:color="auto" w:fill="auto"/>
            <w:vAlign w:val="bottom"/>
          </w:tcPr>
          <w:p w14:paraId="3E63CC2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61" w:type="dxa"/>
            <w:shd w:val="clear" w:color="auto" w:fill="auto"/>
            <w:vAlign w:val="bottom"/>
          </w:tcPr>
          <w:p w14:paraId="159BFBA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r>
      <w:tr w:rsidR="009A3F46" w14:paraId="17950FBE" w14:textId="77777777" w:rsidTr="00161A7B">
        <w:tc>
          <w:tcPr>
            <w:tcW w:w="7117" w:type="dxa"/>
            <w:shd w:val="clear" w:color="auto" w:fill="auto"/>
            <w:vAlign w:val="bottom"/>
          </w:tcPr>
          <w:p w14:paraId="6740ADD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8.</w:t>
            </w:r>
            <w:r>
              <w:rPr>
                <w:sz w:val="17"/>
              </w:rPr>
              <w:tab/>
              <w:t>On the Trans-European Railway</w:t>
            </w:r>
          </w:p>
        </w:tc>
        <w:tc>
          <w:tcPr>
            <w:tcW w:w="691" w:type="dxa"/>
            <w:shd w:val="clear" w:color="auto" w:fill="auto"/>
            <w:vAlign w:val="bottom"/>
          </w:tcPr>
          <w:p w14:paraId="375A9D2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2A4AA40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1" w:type="dxa"/>
            <w:shd w:val="clear" w:color="auto" w:fill="auto"/>
            <w:vAlign w:val="bottom"/>
          </w:tcPr>
          <w:p w14:paraId="0C844EE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61" w:type="dxa"/>
            <w:shd w:val="clear" w:color="auto" w:fill="auto"/>
            <w:vAlign w:val="bottom"/>
          </w:tcPr>
          <w:p w14:paraId="4AD2E48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r>
      <w:tr w:rsidR="009A3F46" w14:paraId="0B3126B4" w14:textId="77777777" w:rsidTr="00161A7B">
        <w:tc>
          <w:tcPr>
            <w:tcW w:w="7117" w:type="dxa"/>
            <w:shd w:val="clear" w:color="auto" w:fill="auto"/>
            <w:vAlign w:val="bottom"/>
          </w:tcPr>
          <w:p w14:paraId="4C89AE8F" w14:textId="77777777" w:rsidR="009A3F46" w:rsidRDefault="009A3F46" w:rsidP="00161A7B">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sz w:val="17"/>
              </w:rPr>
            </w:pPr>
            <w:r>
              <w:rPr>
                <w:sz w:val="17"/>
              </w:rPr>
              <w:tab/>
            </w:r>
            <w:r>
              <w:rPr>
                <w:b/>
                <w:bCs/>
                <w:sz w:val="17"/>
              </w:rPr>
              <w:t>Seminars, workshops and training events</w:t>
            </w:r>
            <w:r>
              <w:rPr>
                <w:sz w:val="17"/>
              </w:rPr>
              <w:t xml:space="preserve"> (number of days)</w:t>
            </w:r>
          </w:p>
        </w:tc>
        <w:tc>
          <w:tcPr>
            <w:tcW w:w="691" w:type="dxa"/>
            <w:shd w:val="clear" w:color="auto" w:fill="auto"/>
            <w:vAlign w:val="bottom"/>
          </w:tcPr>
          <w:p w14:paraId="58FA892D" w14:textId="77777777" w:rsidR="009A3F46"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b/>
                <w:bCs/>
                <w:sz w:val="17"/>
              </w:rPr>
            </w:pPr>
            <w:r>
              <w:rPr>
                <w:b/>
                <w:bCs/>
                <w:sz w:val="17"/>
              </w:rPr>
              <w:t>11</w:t>
            </w:r>
          </w:p>
        </w:tc>
        <w:tc>
          <w:tcPr>
            <w:tcW w:w="690" w:type="dxa"/>
            <w:shd w:val="clear" w:color="auto" w:fill="auto"/>
            <w:vAlign w:val="bottom"/>
          </w:tcPr>
          <w:p w14:paraId="1E6D6C66" w14:textId="77777777" w:rsidR="009A3F46"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b/>
                <w:bCs/>
                <w:sz w:val="17"/>
              </w:rPr>
            </w:pPr>
            <w:r>
              <w:rPr>
                <w:b/>
                <w:bCs/>
                <w:sz w:val="17"/>
              </w:rPr>
              <w:t>12</w:t>
            </w:r>
          </w:p>
        </w:tc>
        <w:tc>
          <w:tcPr>
            <w:tcW w:w="691" w:type="dxa"/>
            <w:shd w:val="clear" w:color="auto" w:fill="auto"/>
            <w:vAlign w:val="bottom"/>
          </w:tcPr>
          <w:p w14:paraId="66E451DB" w14:textId="77777777" w:rsidR="009A3F46"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b/>
                <w:bCs/>
                <w:sz w:val="17"/>
              </w:rPr>
            </w:pPr>
            <w:r>
              <w:rPr>
                <w:b/>
                <w:bCs/>
                <w:sz w:val="17"/>
              </w:rPr>
              <w:t>10</w:t>
            </w:r>
          </w:p>
        </w:tc>
        <w:tc>
          <w:tcPr>
            <w:tcW w:w="661" w:type="dxa"/>
            <w:shd w:val="clear" w:color="auto" w:fill="auto"/>
            <w:vAlign w:val="bottom"/>
          </w:tcPr>
          <w:p w14:paraId="60251F5D" w14:textId="77777777" w:rsidR="009A3F46"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b/>
                <w:bCs/>
                <w:sz w:val="17"/>
              </w:rPr>
            </w:pPr>
            <w:r>
              <w:rPr>
                <w:b/>
                <w:bCs/>
                <w:sz w:val="17"/>
              </w:rPr>
              <w:t>13</w:t>
            </w:r>
          </w:p>
        </w:tc>
      </w:tr>
      <w:tr w:rsidR="009A3F46" w:rsidRPr="00B03533" w14:paraId="0080C9D4" w14:textId="77777777" w:rsidTr="00161A7B">
        <w:tc>
          <w:tcPr>
            <w:tcW w:w="7117" w:type="dxa"/>
            <w:shd w:val="clear" w:color="auto" w:fill="auto"/>
            <w:vAlign w:val="bottom"/>
          </w:tcPr>
          <w:p w14:paraId="77A67ACA" w14:textId="77777777" w:rsidR="009A3F46" w:rsidRPr="00B03533"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576" w:right="43" w:hanging="576"/>
              <w:jc w:val="left"/>
              <w:rPr>
                <w:spacing w:val="2"/>
                <w:w w:val="102"/>
                <w:sz w:val="17"/>
              </w:rPr>
            </w:pPr>
            <w:r w:rsidRPr="00B03533">
              <w:rPr>
                <w:spacing w:val="2"/>
                <w:w w:val="102"/>
                <w:sz w:val="17"/>
              </w:rPr>
              <w:tab/>
              <w:t>9.</w:t>
            </w:r>
            <w:r w:rsidRPr="00B03533">
              <w:rPr>
                <w:spacing w:val="2"/>
                <w:w w:val="102"/>
                <w:sz w:val="17"/>
              </w:rPr>
              <w:tab/>
            </w:r>
            <w:r w:rsidRPr="00B03533">
              <w:rPr>
                <w:sz w:val="17"/>
              </w:rPr>
              <w:t>Workshops for government officials and other stakeholders in the ECE region and in contracting parties to legal instruments under the purview of the Inland Transport Committee on intelligent transport systems; transport statistics and trends; road, rail, inland water, intermodal and intersectoral transport issues; and vehicle agreements and regulations</w:t>
            </w:r>
          </w:p>
        </w:tc>
        <w:tc>
          <w:tcPr>
            <w:tcW w:w="691" w:type="dxa"/>
            <w:shd w:val="clear" w:color="auto" w:fill="auto"/>
            <w:vAlign w:val="bottom"/>
          </w:tcPr>
          <w:p w14:paraId="48C18873" w14:textId="77777777" w:rsidR="009A3F46" w:rsidRPr="00B03533"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r w:rsidRPr="00B03533">
              <w:rPr>
                <w:sz w:val="17"/>
              </w:rPr>
              <w:t>8</w:t>
            </w:r>
          </w:p>
        </w:tc>
        <w:tc>
          <w:tcPr>
            <w:tcW w:w="690" w:type="dxa"/>
            <w:shd w:val="clear" w:color="auto" w:fill="auto"/>
            <w:vAlign w:val="bottom"/>
          </w:tcPr>
          <w:p w14:paraId="439C815D" w14:textId="77777777" w:rsidR="009A3F46" w:rsidRPr="00B03533"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r w:rsidRPr="00B03533">
              <w:rPr>
                <w:sz w:val="17"/>
                <w:szCs w:val="17"/>
              </w:rPr>
              <w:t>9</w:t>
            </w:r>
          </w:p>
        </w:tc>
        <w:tc>
          <w:tcPr>
            <w:tcW w:w="691" w:type="dxa"/>
            <w:shd w:val="clear" w:color="auto" w:fill="auto"/>
            <w:vAlign w:val="bottom"/>
          </w:tcPr>
          <w:p w14:paraId="661BA19A" w14:textId="77777777" w:rsidR="009A3F46" w:rsidRPr="00B03533"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r w:rsidRPr="00B03533">
              <w:rPr>
                <w:sz w:val="17"/>
                <w:szCs w:val="17"/>
              </w:rPr>
              <w:t>9</w:t>
            </w:r>
          </w:p>
        </w:tc>
        <w:tc>
          <w:tcPr>
            <w:tcW w:w="661" w:type="dxa"/>
            <w:shd w:val="clear" w:color="auto" w:fill="auto"/>
            <w:vAlign w:val="bottom"/>
          </w:tcPr>
          <w:p w14:paraId="4D138276" w14:textId="77777777" w:rsidR="009A3F46" w:rsidRPr="00B03533" w:rsidRDefault="009A3F46" w:rsidP="00161A7B">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r w:rsidRPr="00B03533">
              <w:rPr>
                <w:sz w:val="17"/>
              </w:rPr>
              <w:t>10</w:t>
            </w:r>
          </w:p>
        </w:tc>
      </w:tr>
      <w:tr w:rsidR="009A3F46" w:rsidRPr="00B03533" w14:paraId="5FF159C4" w14:textId="77777777" w:rsidTr="00161A7B">
        <w:tc>
          <w:tcPr>
            <w:tcW w:w="7117" w:type="dxa"/>
            <w:shd w:val="clear" w:color="auto" w:fill="auto"/>
            <w:vAlign w:val="bottom"/>
          </w:tcPr>
          <w:p w14:paraId="67CB7F23" w14:textId="77777777" w:rsidR="009A3F46" w:rsidRPr="00B03533"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576" w:right="0" w:hanging="576"/>
              <w:jc w:val="left"/>
              <w:rPr>
                <w:spacing w:val="2"/>
                <w:w w:val="102"/>
                <w:sz w:val="17"/>
              </w:rPr>
            </w:pPr>
            <w:r w:rsidRPr="00B03533">
              <w:rPr>
                <w:spacing w:val="2"/>
                <w:w w:val="102"/>
                <w:sz w:val="17"/>
              </w:rPr>
              <w:tab/>
              <w:t>10.</w:t>
            </w:r>
            <w:r w:rsidRPr="00B03533">
              <w:rPr>
                <w:spacing w:val="2"/>
                <w:w w:val="102"/>
                <w:sz w:val="17"/>
              </w:rPr>
              <w:tab/>
            </w:r>
            <w:r w:rsidRPr="00B03533">
              <w:rPr>
                <w:sz w:val="17"/>
              </w:rPr>
              <w:t xml:space="preserve">Seminars for national coordinators, experts, customs officials and transport industry on the </w:t>
            </w:r>
            <w:r w:rsidRPr="00B03533">
              <w:rPr>
                <w:sz w:val="17"/>
                <w:szCs w:val="17"/>
              </w:rPr>
              <w:t xml:space="preserve">efforts to digitalize the inland transport conventions including the  </w:t>
            </w:r>
            <w:r w:rsidRPr="00B03533">
              <w:rPr>
                <w:sz w:val="17"/>
              </w:rPr>
              <w:t>Customs Convention on the International Transport of Goods under Cover of TIR Carnets (TIR Convention</w:t>
            </w:r>
            <w:r w:rsidRPr="00B03533">
              <w:rPr>
                <w:sz w:val="17"/>
                <w:szCs w:val="17"/>
              </w:rPr>
              <w:t xml:space="preserve">), </w:t>
            </w:r>
            <w:r w:rsidRPr="00B03533">
              <w:rPr>
                <w:sz w:val="17"/>
                <w:szCs w:val="17"/>
                <w:shd w:val="clear" w:color="auto" w:fill="FFFFFF" w:themeFill="background1"/>
              </w:rPr>
              <w:t>the</w:t>
            </w:r>
            <w:r w:rsidRPr="00B03533">
              <w:rPr>
                <w:rFonts w:eastAsiaTheme="minorEastAsia"/>
                <w:sz w:val="17"/>
                <w:szCs w:val="17"/>
                <w:shd w:val="clear" w:color="auto" w:fill="FFFFFF" w:themeFill="background1"/>
              </w:rPr>
              <w:t xml:space="preserve"> Customs Convention on the Temporary Importation of Private Road Vehicles, the Additional Protocol to the CMR concerning the electronic consignment note (e-CMR),  as</w:t>
            </w:r>
            <w:r w:rsidRPr="00B03533">
              <w:rPr>
                <w:rFonts w:eastAsiaTheme="minorEastAsia"/>
                <w:sz w:val="17"/>
                <w:szCs w:val="17"/>
              </w:rPr>
              <w:t xml:space="preserve"> well as</w:t>
            </w:r>
            <w:r w:rsidRPr="00B03533">
              <w:rPr>
                <w:sz w:val="17"/>
              </w:rPr>
              <w:t xml:space="preserve">  the Trans-European North-South Motorway and Trans-European Railway projects</w:t>
            </w:r>
          </w:p>
        </w:tc>
        <w:tc>
          <w:tcPr>
            <w:tcW w:w="691" w:type="dxa"/>
            <w:shd w:val="clear" w:color="auto" w:fill="auto"/>
            <w:vAlign w:val="bottom"/>
          </w:tcPr>
          <w:p w14:paraId="04D9599B" w14:textId="77777777" w:rsidR="009A3F46" w:rsidRPr="00B03533"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0B03533">
              <w:rPr>
                <w:sz w:val="17"/>
              </w:rPr>
              <w:t>3</w:t>
            </w:r>
          </w:p>
        </w:tc>
        <w:tc>
          <w:tcPr>
            <w:tcW w:w="690" w:type="dxa"/>
            <w:shd w:val="clear" w:color="auto" w:fill="auto"/>
            <w:vAlign w:val="bottom"/>
          </w:tcPr>
          <w:p w14:paraId="214F3FDD" w14:textId="77777777" w:rsidR="009A3F46" w:rsidRPr="00B03533"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0B03533">
              <w:rPr>
                <w:sz w:val="17"/>
              </w:rPr>
              <w:t>3</w:t>
            </w:r>
          </w:p>
        </w:tc>
        <w:tc>
          <w:tcPr>
            <w:tcW w:w="691" w:type="dxa"/>
            <w:shd w:val="clear" w:color="auto" w:fill="auto"/>
            <w:vAlign w:val="bottom"/>
          </w:tcPr>
          <w:p w14:paraId="7851CFBB" w14:textId="77777777" w:rsidR="009A3F46" w:rsidRPr="00B03533"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0B03533">
              <w:rPr>
                <w:sz w:val="17"/>
                <w:szCs w:val="17"/>
              </w:rPr>
              <w:t>1</w:t>
            </w:r>
          </w:p>
        </w:tc>
        <w:tc>
          <w:tcPr>
            <w:tcW w:w="661" w:type="dxa"/>
            <w:shd w:val="clear" w:color="auto" w:fill="auto"/>
            <w:vAlign w:val="bottom"/>
          </w:tcPr>
          <w:p w14:paraId="759B3FF4" w14:textId="77777777" w:rsidR="009A3F46" w:rsidRPr="00B03533"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0B03533">
              <w:rPr>
                <w:sz w:val="17"/>
              </w:rPr>
              <w:t>3</w:t>
            </w:r>
          </w:p>
        </w:tc>
      </w:tr>
      <w:tr w:rsidR="009A3F46" w14:paraId="7FEFE57E" w14:textId="77777777" w:rsidTr="00161A7B">
        <w:tc>
          <w:tcPr>
            <w:tcW w:w="7117" w:type="dxa"/>
            <w:shd w:val="clear" w:color="auto" w:fill="auto"/>
            <w:vAlign w:val="bottom"/>
          </w:tcPr>
          <w:p w14:paraId="490DA43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b/>
                <w:bCs/>
                <w:sz w:val="17"/>
              </w:rPr>
              <w:t>Publications</w:t>
            </w:r>
            <w:r>
              <w:rPr>
                <w:sz w:val="17"/>
              </w:rPr>
              <w:t xml:space="preserve"> (number of publications)</w:t>
            </w:r>
          </w:p>
        </w:tc>
        <w:tc>
          <w:tcPr>
            <w:tcW w:w="691" w:type="dxa"/>
            <w:shd w:val="clear" w:color="auto" w:fill="auto"/>
            <w:vAlign w:val="bottom"/>
          </w:tcPr>
          <w:p w14:paraId="2B61E76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10</w:t>
            </w:r>
          </w:p>
        </w:tc>
        <w:tc>
          <w:tcPr>
            <w:tcW w:w="690" w:type="dxa"/>
            <w:shd w:val="clear" w:color="auto" w:fill="auto"/>
            <w:vAlign w:val="bottom"/>
          </w:tcPr>
          <w:p w14:paraId="65F6A22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10</w:t>
            </w:r>
          </w:p>
        </w:tc>
        <w:tc>
          <w:tcPr>
            <w:tcW w:w="691" w:type="dxa"/>
            <w:shd w:val="clear" w:color="auto" w:fill="auto"/>
            <w:vAlign w:val="bottom"/>
          </w:tcPr>
          <w:p w14:paraId="41B755D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9</w:t>
            </w:r>
          </w:p>
        </w:tc>
        <w:tc>
          <w:tcPr>
            <w:tcW w:w="661" w:type="dxa"/>
            <w:shd w:val="clear" w:color="auto" w:fill="auto"/>
            <w:vAlign w:val="bottom"/>
          </w:tcPr>
          <w:p w14:paraId="3164B7E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10</w:t>
            </w:r>
          </w:p>
        </w:tc>
      </w:tr>
      <w:tr w:rsidR="009A3F46" w14:paraId="43915939" w14:textId="77777777" w:rsidTr="00161A7B">
        <w:tc>
          <w:tcPr>
            <w:tcW w:w="7117" w:type="dxa"/>
            <w:shd w:val="clear" w:color="auto" w:fill="auto"/>
            <w:vAlign w:val="bottom"/>
          </w:tcPr>
          <w:p w14:paraId="3144050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11.</w:t>
            </w:r>
            <w:r>
              <w:rPr>
                <w:sz w:val="17"/>
              </w:rPr>
              <w:tab/>
              <w:t xml:space="preserve">On the transport of dangerous goods </w:t>
            </w:r>
          </w:p>
        </w:tc>
        <w:tc>
          <w:tcPr>
            <w:tcW w:w="691" w:type="dxa"/>
            <w:shd w:val="clear" w:color="auto" w:fill="auto"/>
            <w:vAlign w:val="bottom"/>
          </w:tcPr>
          <w:p w14:paraId="19822AA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2</w:t>
            </w:r>
          </w:p>
        </w:tc>
        <w:tc>
          <w:tcPr>
            <w:tcW w:w="690" w:type="dxa"/>
            <w:shd w:val="clear" w:color="auto" w:fill="auto"/>
            <w:vAlign w:val="bottom"/>
          </w:tcPr>
          <w:p w14:paraId="31A9F55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2</w:t>
            </w:r>
          </w:p>
        </w:tc>
        <w:tc>
          <w:tcPr>
            <w:tcW w:w="691" w:type="dxa"/>
            <w:shd w:val="clear" w:color="auto" w:fill="auto"/>
            <w:vAlign w:val="bottom"/>
          </w:tcPr>
          <w:p w14:paraId="60370EA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3</w:t>
            </w:r>
          </w:p>
        </w:tc>
        <w:tc>
          <w:tcPr>
            <w:tcW w:w="661" w:type="dxa"/>
            <w:shd w:val="clear" w:color="auto" w:fill="auto"/>
            <w:vAlign w:val="bottom"/>
          </w:tcPr>
          <w:p w14:paraId="3B3A385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0E8BD2C">
              <w:rPr>
                <w:sz w:val="17"/>
                <w:szCs w:val="17"/>
              </w:rPr>
              <w:t>2</w:t>
            </w:r>
          </w:p>
        </w:tc>
      </w:tr>
      <w:tr w:rsidR="009A3F46" w14:paraId="6696437A" w14:textId="77777777" w:rsidTr="00161A7B">
        <w:tc>
          <w:tcPr>
            <w:tcW w:w="7117" w:type="dxa"/>
            <w:shd w:val="clear" w:color="auto" w:fill="auto"/>
            <w:vAlign w:val="bottom"/>
          </w:tcPr>
          <w:p w14:paraId="3A18A8D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12.</w:t>
            </w:r>
            <w:r>
              <w:rPr>
                <w:sz w:val="17"/>
              </w:rPr>
              <w:tab/>
              <w:t>On the transport of perishable foodstuffs</w:t>
            </w:r>
          </w:p>
        </w:tc>
        <w:tc>
          <w:tcPr>
            <w:tcW w:w="691" w:type="dxa"/>
            <w:shd w:val="clear" w:color="auto" w:fill="auto"/>
            <w:vAlign w:val="bottom"/>
          </w:tcPr>
          <w:p w14:paraId="5F11FE5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50585A2D"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w:t>
            </w:r>
          </w:p>
        </w:tc>
        <w:tc>
          <w:tcPr>
            <w:tcW w:w="691" w:type="dxa"/>
            <w:shd w:val="clear" w:color="auto" w:fill="auto"/>
            <w:vAlign w:val="bottom"/>
          </w:tcPr>
          <w:p w14:paraId="68885E1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61" w:type="dxa"/>
            <w:shd w:val="clear" w:color="auto" w:fill="auto"/>
            <w:vAlign w:val="bottom"/>
          </w:tcPr>
          <w:p w14:paraId="528F82B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w:t>
            </w:r>
          </w:p>
        </w:tc>
      </w:tr>
      <w:tr w:rsidR="009A3F46" w14:paraId="1590B2D6" w14:textId="77777777" w:rsidTr="00161A7B">
        <w:tc>
          <w:tcPr>
            <w:tcW w:w="7117" w:type="dxa"/>
            <w:shd w:val="clear" w:color="auto" w:fill="auto"/>
            <w:vAlign w:val="bottom"/>
          </w:tcPr>
          <w:p w14:paraId="2DA7847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567" w:right="40" w:hanging="425"/>
              <w:jc w:val="left"/>
              <w:rPr>
                <w:sz w:val="17"/>
              </w:rPr>
            </w:pPr>
            <w:r>
              <w:rPr>
                <w:sz w:val="17"/>
              </w:rPr>
              <w:tab/>
              <w:t>13.</w:t>
            </w:r>
            <w:r>
              <w:rPr>
                <w:sz w:val="17"/>
              </w:rPr>
              <w:tab/>
              <w:t>On decarbonization of</w:t>
            </w:r>
            <w:r w:rsidRPr="006A0E0A">
              <w:rPr>
                <w:sz w:val="17"/>
              </w:rPr>
              <w:t xml:space="preserve"> the inland transport sector</w:t>
            </w:r>
            <w:r>
              <w:rPr>
                <w:sz w:val="17"/>
              </w:rPr>
              <w:t xml:space="preserve"> and safe transport and cross-cutting issues</w:t>
            </w:r>
          </w:p>
        </w:tc>
        <w:tc>
          <w:tcPr>
            <w:tcW w:w="691" w:type="dxa"/>
            <w:shd w:val="clear" w:color="auto" w:fill="auto"/>
            <w:vAlign w:val="bottom"/>
          </w:tcPr>
          <w:p w14:paraId="0E91F80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5</w:t>
            </w:r>
          </w:p>
        </w:tc>
        <w:tc>
          <w:tcPr>
            <w:tcW w:w="690" w:type="dxa"/>
            <w:shd w:val="clear" w:color="auto" w:fill="auto"/>
            <w:vAlign w:val="bottom"/>
          </w:tcPr>
          <w:p w14:paraId="10E5688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5</w:t>
            </w:r>
          </w:p>
        </w:tc>
        <w:tc>
          <w:tcPr>
            <w:tcW w:w="691" w:type="dxa"/>
            <w:shd w:val="clear" w:color="auto" w:fill="auto"/>
            <w:vAlign w:val="bottom"/>
          </w:tcPr>
          <w:p w14:paraId="4BE8F00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3</w:t>
            </w:r>
          </w:p>
        </w:tc>
        <w:tc>
          <w:tcPr>
            <w:tcW w:w="661" w:type="dxa"/>
            <w:shd w:val="clear" w:color="auto" w:fill="auto"/>
            <w:vAlign w:val="bottom"/>
          </w:tcPr>
          <w:p w14:paraId="424CC0E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4</w:t>
            </w:r>
          </w:p>
        </w:tc>
      </w:tr>
      <w:tr w:rsidR="009A3F46" w14:paraId="6D99D862" w14:textId="77777777" w:rsidTr="00161A7B">
        <w:tc>
          <w:tcPr>
            <w:tcW w:w="7117" w:type="dxa"/>
            <w:shd w:val="clear" w:color="auto" w:fill="auto"/>
            <w:vAlign w:val="bottom"/>
          </w:tcPr>
          <w:p w14:paraId="6B29849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14.</w:t>
            </w:r>
            <w:r>
              <w:rPr>
                <w:sz w:val="17"/>
              </w:rPr>
              <w:tab/>
              <w:t>On vehicle regulations</w:t>
            </w:r>
          </w:p>
        </w:tc>
        <w:tc>
          <w:tcPr>
            <w:tcW w:w="691" w:type="dxa"/>
            <w:shd w:val="clear" w:color="auto" w:fill="auto"/>
            <w:vAlign w:val="bottom"/>
          </w:tcPr>
          <w:p w14:paraId="32CFC42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67A51AC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w:t>
            </w:r>
          </w:p>
        </w:tc>
        <w:tc>
          <w:tcPr>
            <w:tcW w:w="691" w:type="dxa"/>
            <w:shd w:val="clear" w:color="auto" w:fill="auto"/>
            <w:vAlign w:val="bottom"/>
          </w:tcPr>
          <w:p w14:paraId="4400515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61" w:type="dxa"/>
            <w:shd w:val="clear" w:color="auto" w:fill="auto"/>
            <w:vAlign w:val="bottom"/>
          </w:tcPr>
          <w:p w14:paraId="5B3DD17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0B4D9522">
              <w:rPr>
                <w:sz w:val="17"/>
                <w:szCs w:val="17"/>
              </w:rPr>
              <w:t>1</w:t>
            </w:r>
          </w:p>
        </w:tc>
      </w:tr>
      <w:tr w:rsidR="009A3F46" w14:paraId="2ADCF9B6" w14:textId="77777777" w:rsidTr="00161A7B">
        <w:tc>
          <w:tcPr>
            <w:tcW w:w="7117" w:type="dxa"/>
            <w:shd w:val="clear" w:color="auto" w:fill="auto"/>
            <w:vAlign w:val="bottom"/>
          </w:tcPr>
          <w:p w14:paraId="420F281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15.</w:t>
            </w:r>
            <w:r>
              <w:rPr>
                <w:sz w:val="17"/>
              </w:rPr>
              <w:tab/>
              <w:t>On statistics</w:t>
            </w:r>
          </w:p>
        </w:tc>
        <w:tc>
          <w:tcPr>
            <w:tcW w:w="691" w:type="dxa"/>
            <w:shd w:val="clear" w:color="auto" w:fill="auto"/>
            <w:vAlign w:val="bottom"/>
          </w:tcPr>
          <w:p w14:paraId="5A825B1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55EC6B0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1</w:t>
            </w:r>
          </w:p>
        </w:tc>
        <w:tc>
          <w:tcPr>
            <w:tcW w:w="691" w:type="dxa"/>
            <w:shd w:val="clear" w:color="auto" w:fill="auto"/>
            <w:vAlign w:val="bottom"/>
          </w:tcPr>
          <w:p w14:paraId="69D39D5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61" w:type="dxa"/>
            <w:shd w:val="clear" w:color="auto" w:fill="auto"/>
            <w:vAlign w:val="bottom"/>
          </w:tcPr>
          <w:p w14:paraId="76475D8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1</w:t>
            </w:r>
          </w:p>
        </w:tc>
      </w:tr>
      <w:tr w:rsidR="009A3F46" w14:paraId="524DE99A" w14:textId="77777777" w:rsidTr="00161A7B">
        <w:tc>
          <w:tcPr>
            <w:tcW w:w="7117" w:type="dxa"/>
            <w:shd w:val="clear" w:color="auto" w:fill="auto"/>
            <w:vAlign w:val="bottom"/>
          </w:tcPr>
          <w:p w14:paraId="7A648EF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16. On border crossing facilitation</w:t>
            </w:r>
          </w:p>
        </w:tc>
        <w:tc>
          <w:tcPr>
            <w:tcW w:w="691" w:type="dxa"/>
            <w:shd w:val="clear" w:color="auto" w:fill="auto"/>
            <w:vAlign w:val="bottom"/>
          </w:tcPr>
          <w:p w14:paraId="7ECD570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w:t>
            </w:r>
          </w:p>
        </w:tc>
        <w:tc>
          <w:tcPr>
            <w:tcW w:w="690" w:type="dxa"/>
            <w:shd w:val="clear" w:color="auto" w:fill="auto"/>
            <w:vAlign w:val="bottom"/>
          </w:tcPr>
          <w:p w14:paraId="26904B23" w14:textId="77777777" w:rsidR="009A3F46" w:rsidRPr="33873E30"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szCs w:val="17"/>
              </w:rPr>
            </w:pPr>
            <w:r>
              <w:rPr>
                <w:sz w:val="17"/>
                <w:szCs w:val="17"/>
              </w:rPr>
              <w:t>-</w:t>
            </w:r>
          </w:p>
        </w:tc>
        <w:tc>
          <w:tcPr>
            <w:tcW w:w="691" w:type="dxa"/>
            <w:shd w:val="clear" w:color="auto" w:fill="auto"/>
            <w:vAlign w:val="bottom"/>
          </w:tcPr>
          <w:p w14:paraId="089F3BFC"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szCs w:val="17"/>
              </w:rPr>
            </w:pPr>
            <w:r>
              <w:rPr>
                <w:sz w:val="17"/>
                <w:szCs w:val="17"/>
              </w:rPr>
              <w:t>-</w:t>
            </w:r>
          </w:p>
        </w:tc>
        <w:tc>
          <w:tcPr>
            <w:tcW w:w="661" w:type="dxa"/>
            <w:shd w:val="clear" w:color="auto" w:fill="auto"/>
            <w:vAlign w:val="bottom"/>
          </w:tcPr>
          <w:p w14:paraId="5FCCE3D9" w14:textId="77777777" w:rsidR="009A3F46" w:rsidRPr="33873E30"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szCs w:val="17"/>
              </w:rPr>
            </w:pPr>
            <w:r>
              <w:rPr>
                <w:sz w:val="17"/>
                <w:szCs w:val="17"/>
              </w:rPr>
              <w:t>1</w:t>
            </w:r>
          </w:p>
        </w:tc>
      </w:tr>
      <w:tr w:rsidR="009A3F46" w14:paraId="68F44F20" w14:textId="77777777" w:rsidTr="00161A7B">
        <w:tc>
          <w:tcPr>
            <w:tcW w:w="7117" w:type="dxa"/>
            <w:shd w:val="clear" w:color="auto" w:fill="auto"/>
            <w:vAlign w:val="bottom"/>
          </w:tcPr>
          <w:p w14:paraId="120796C2"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r>
            <w:r>
              <w:rPr>
                <w:b/>
                <w:bCs/>
                <w:sz w:val="17"/>
              </w:rPr>
              <w:t>Technical materials</w:t>
            </w:r>
            <w:r>
              <w:rPr>
                <w:sz w:val="17"/>
              </w:rPr>
              <w:t xml:space="preserve"> (number of materials)</w:t>
            </w:r>
          </w:p>
        </w:tc>
        <w:tc>
          <w:tcPr>
            <w:tcW w:w="691" w:type="dxa"/>
            <w:shd w:val="clear" w:color="auto" w:fill="auto"/>
            <w:vAlign w:val="bottom"/>
          </w:tcPr>
          <w:p w14:paraId="482F53D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w:t>
            </w:r>
          </w:p>
        </w:tc>
        <w:tc>
          <w:tcPr>
            <w:tcW w:w="690" w:type="dxa"/>
            <w:shd w:val="clear" w:color="auto" w:fill="auto"/>
            <w:vAlign w:val="bottom"/>
          </w:tcPr>
          <w:p w14:paraId="5AB01DE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w:t>
            </w:r>
          </w:p>
        </w:tc>
        <w:tc>
          <w:tcPr>
            <w:tcW w:w="691" w:type="dxa"/>
            <w:shd w:val="clear" w:color="auto" w:fill="auto"/>
            <w:vAlign w:val="bottom"/>
          </w:tcPr>
          <w:p w14:paraId="3177BC46"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1</w:t>
            </w:r>
          </w:p>
        </w:tc>
        <w:tc>
          <w:tcPr>
            <w:tcW w:w="661" w:type="dxa"/>
            <w:shd w:val="clear" w:color="auto" w:fill="auto"/>
            <w:vAlign w:val="bottom"/>
          </w:tcPr>
          <w:p w14:paraId="597E9A5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b/>
                <w:bCs/>
                <w:sz w:val="17"/>
              </w:rPr>
            </w:pPr>
            <w:r>
              <w:rPr>
                <w:b/>
                <w:bCs/>
                <w:sz w:val="17"/>
              </w:rPr>
              <w:t>2</w:t>
            </w:r>
          </w:p>
        </w:tc>
      </w:tr>
      <w:tr w:rsidR="009A3F46" w14:paraId="1438CB6C" w14:textId="77777777" w:rsidTr="00161A7B">
        <w:tc>
          <w:tcPr>
            <w:tcW w:w="7117" w:type="dxa"/>
            <w:shd w:val="clear" w:color="auto" w:fill="auto"/>
            <w:vAlign w:val="bottom"/>
          </w:tcPr>
          <w:p w14:paraId="7F8C760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17.</w:t>
            </w:r>
            <w:r>
              <w:rPr>
                <w:sz w:val="17"/>
              </w:rPr>
              <w:tab/>
              <w:t xml:space="preserve">Recommendations for performance evaluation of automated driving systems </w:t>
            </w:r>
          </w:p>
        </w:tc>
        <w:tc>
          <w:tcPr>
            <w:tcW w:w="691" w:type="dxa"/>
            <w:shd w:val="clear" w:color="auto" w:fill="auto"/>
            <w:vAlign w:val="bottom"/>
          </w:tcPr>
          <w:p w14:paraId="4A9A0BD1"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w:t>
            </w:r>
          </w:p>
        </w:tc>
        <w:tc>
          <w:tcPr>
            <w:tcW w:w="690" w:type="dxa"/>
            <w:shd w:val="clear" w:color="auto" w:fill="auto"/>
            <w:vAlign w:val="bottom"/>
          </w:tcPr>
          <w:p w14:paraId="12C44033" w14:textId="77777777" w:rsidR="009A3F46" w:rsidRDefault="009A3F46" w:rsidP="009A3F46">
            <w:pPr>
              <w:pStyle w:val="SingleTxt"/>
              <w:numPr>
                <w:ilvl w:val="0"/>
                <w:numId w:val="2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right="40"/>
              <w:jc w:val="right"/>
              <w:rPr>
                <w:sz w:val="17"/>
              </w:rPr>
            </w:pPr>
            <w:r>
              <w:rPr>
                <w:sz w:val="17"/>
              </w:rPr>
              <w:t xml:space="preserve">  </w:t>
            </w:r>
          </w:p>
        </w:tc>
        <w:tc>
          <w:tcPr>
            <w:tcW w:w="691" w:type="dxa"/>
            <w:shd w:val="clear" w:color="auto" w:fill="auto"/>
            <w:vAlign w:val="bottom"/>
          </w:tcPr>
          <w:p w14:paraId="0DDF8DE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w:t>
            </w:r>
          </w:p>
        </w:tc>
        <w:tc>
          <w:tcPr>
            <w:tcW w:w="661" w:type="dxa"/>
            <w:shd w:val="clear" w:color="auto" w:fill="auto"/>
            <w:vAlign w:val="bottom"/>
          </w:tcPr>
          <w:p w14:paraId="5453217E"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r>
      <w:tr w:rsidR="009A3F46" w14:paraId="6E460658" w14:textId="77777777" w:rsidTr="00161A7B">
        <w:tc>
          <w:tcPr>
            <w:tcW w:w="7117" w:type="dxa"/>
            <w:shd w:val="clear" w:color="auto" w:fill="auto"/>
            <w:vAlign w:val="bottom"/>
          </w:tcPr>
          <w:p w14:paraId="61E0B03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sz w:val="17"/>
              </w:rPr>
            </w:pPr>
            <w:r>
              <w:rPr>
                <w:sz w:val="17"/>
              </w:rPr>
              <w:tab/>
              <w:t>18.</w:t>
            </w:r>
            <w:r>
              <w:rPr>
                <w:sz w:val="17"/>
              </w:rPr>
              <w:tab/>
              <w:t>Transport statistics – country profiles</w:t>
            </w:r>
          </w:p>
        </w:tc>
        <w:tc>
          <w:tcPr>
            <w:tcW w:w="691" w:type="dxa"/>
            <w:shd w:val="clear" w:color="auto" w:fill="auto"/>
            <w:vAlign w:val="bottom"/>
          </w:tcPr>
          <w:p w14:paraId="03D63BB4"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rPr>
              <w:t>1</w:t>
            </w:r>
          </w:p>
        </w:tc>
        <w:tc>
          <w:tcPr>
            <w:tcW w:w="690" w:type="dxa"/>
            <w:shd w:val="clear" w:color="auto" w:fill="auto"/>
            <w:vAlign w:val="bottom"/>
          </w:tcPr>
          <w:p w14:paraId="4CBD218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1</w:t>
            </w:r>
          </w:p>
        </w:tc>
        <w:tc>
          <w:tcPr>
            <w:tcW w:w="691" w:type="dxa"/>
            <w:shd w:val="clear" w:color="auto" w:fill="auto"/>
            <w:vAlign w:val="bottom"/>
          </w:tcPr>
          <w:p w14:paraId="0EBD5B7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Pr>
                <w:sz w:val="17"/>
                <w:szCs w:val="17"/>
              </w:rPr>
              <w:t>1</w:t>
            </w:r>
          </w:p>
        </w:tc>
        <w:tc>
          <w:tcPr>
            <w:tcW w:w="661" w:type="dxa"/>
            <w:shd w:val="clear" w:color="auto" w:fill="auto"/>
            <w:vAlign w:val="bottom"/>
          </w:tcPr>
          <w:p w14:paraId="116BC3DF"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r w:rsidRPr="33873E30">
              <w:rPr>
                <w:sz w:val="17"/>
                <w:szCs w:val="17"/>
              </w:rPr>
              <w:t>1</w:t>
            </w:r>
          </w:p>
        </w:tc>
      </w:tr>
      <w:tr w:rsidR="009A3F46" w14:paraId="21EC4B94" w14:textId="77777777" w:rsidTr="00161A7B">
        <w:tc>
          <w:tcPr>
            <w:tcW w:w="7117" w:type="dxa"/>
            <w:shd w:val="clear" w:color="auto" w:fill="auto"/>
            <w:vAlign w:val="bottom"/>
          </w:tcPr>
          <w:p w14:paraId="0F6E50FD" w14:textId="77777777" w:rsidR="009A3F46" w:rsidRDefault="009A3F46" w:rsidP="00161A7B">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3"/>
              <w:jc w:val="left"/>
              <w:rPr>
                <w:b/>
                <w:bCs/>
                <w:sz w:val="17"/>
              </w:rPr>
            </w:pPr>
            <w:r>
              <w:rPr>
                <w:b/>
                <w:bCs/>
                <w:sz w:val="17"/>
              </w:rPr>
              <w:t>C.</w:t>
            </w:r>
            <w:r>
              <w:rPr>
                <w:b/>
                <w:bCs/>
                <w:sz w:val="17"/>
              </w:rPr>
              <w:tab/>
              <w:t>Substantive deliverables</w:t>
            </w:r>
          </w:p>
        </w:tc>
        <w:tc>
          <w:tcPr>
            <w:tcW w:w="691" w:type="dxa"/>
            <w:shd w:val="clear" w:color="auto" w:fill="auto"/>
            <w:vAlign w:val="bottom"/>
          </w:tcPr>
          <w:p w14:paraId="1625A67F" w14:textId="77777777" w:rsidR="009A3F46" w:rsidRDefault="009A3F46" w:rsidP="00161A7B">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p>
        </w:tc>
        <w:tc>
          <w:tcPr>
            <w:tcW w:w="690" w:type="dxa"/>
            <w:shd w:val="clear" w:color="auto" w:fill="auto"/>
            <w:vAlign w:val="bottom"/>
          </w:tcPr>
          <w:p w14:paraId="3D710C89" w14:textId="77777777" w:rsidR="009A3F46" w:rsidRDefault="009A3F46" w:rsidP="00161A7B">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p>
        </w:tc>
        <w:tc>
          <w:tcPr>
            <w:tcW w:w="691" w:type="dxa"/>
            <w:shd w:val="clear" w:color="auto" w:fill="auto"/>
            <w:vAlign w:val="bottom"/>
          </w:tcPr>
          <w:p w14:paraId="34FAB8AA" w14:textId="77777777" w:rsidR="009A3F46" w:rsidRDefault="009A3F46" w:rsidP="00161A7B">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p>
        </w:tc>
        <w:tc>
          <w:tcPr>
            <w:tcW w:w="661" w:type="dxa"/>
            <w:shd w:val="clear" w:color="auto" w:fill="auto"/>
            <w:vAlign w:val="bottom"/>
          </w:tcPr>
          <w:p w14:paraId="118B23E2" w14:textId="77777777" w:rsidR="009A3F46" w:rsidRDefault="009A3F46" w:rsidP="00161A7B">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3"/>
              <w:jc w:val="right"/>
              <w:rPr>
                <w:sz w:val="17"/>
              </w:rPr>
            </w:pPr>
          </w:p>
        </w:tc>
      </w:tr>
      <w:tr w:rsidR="009A3F46" w14:paraId="2F5B58B4" w14:textId="77777777" w:rsidTr="00161A7B">
        <w:tc>
          <w:tcPr>
            <w:tcW w:w="9850" w:type="dxa"/>
            <w:gridSpan w:val="5"/>
            <w:shd w:val="clear" w:color="auto" w:fill="auto"/>
            <w:vAlign w:val="bottom"/>
          </w:tcPr>
          <w:p w14:paraId="011C224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02" w:lineRule="exact"/>
              <w:ind w:left="288" w:right="40" w:hanging="288"/>
              <w:rPr>
                <w:sz w:val="17"/>
              </w:rPr>
            </w:pPr>
            <w:r>
              <w:rPr>
                <w:sz w:val="17"/>
              </w:rPr>
              <w:tab/>
            </w:r>
            <w:r>
              <w:rPr>
                <w:b/>
                <w:bCs/>
                <w:sz w:val="17"/>
              </w:rPr>
              <w:t>Consultation, advice and advocacy</w:t>
            </w:r>
            <w:r>
              <w:rPr>
                <w:sz w:val="17"/>
              </w:rPr>
              <w:t>: advisory services for contracting parties of United Nations transport conventions administered by ECE on legal instruments relating to inland transport, facilitation of transport, border crossing, road safety, vehicle construction, and transport of dangerous goods and other special cargo.</w:t>
            </w:r>
          </w:p>
        </w:tc>
      </w:tr>
      <w:tr w:rsidR="009A3F46" w14:paraId="2910CDCA" w14:textId="77777777" w:rsidTr="00161A7B">
        <w:tc>
          <w:tcPr>
            <w:tcW w:w="9850" w:type="dxa"/>
            <w:gridSpan w:val="5"/>
            <w:shd w:val="clear" w:color="auto" w:fill="auto"/>
            <w:vAlign w:val="bottom"/>
          </w:tcPr>
          <w:p w14:paraId="5E66CE9A"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02" w:lineRule="exact"/>
              <w:ind w:left="288" w:right="40" w:hanging="288"/>
              <w:rPr>
                <w:sz w:val="17"/>
              </w:rPr>
            </w:pPr>
            <w:r>
              <w:rPr>
                <w:sz w:val="17"/>
              </w:rPr>
              <w:tab/>
            </w:r>
            <w:r>
              <w:rPr>
                <w:b/>
                <w:bCs/>
                <w:sz w:val="17"/>
              </w:rPr>
              <w:t>Databases and substantive digital materials</w:t>
            </w:r>
            <w:r>
              <w:rPr>
                <w:sz w:val="17"/>
              </w:rPr>
              <w:t xml:space="preserve">: the International TIR Data Bank for users from more than 70 contracting parties of the TIR Convention, which includes the list of the more than 31,000 transport companies authorized </w:t>
            </w:r>
            <w:r w:rsidRPr="00A9106C">
              <w:rPr>
                <w:sz w:val="17"/>
                <w:szCs w:val="17"/>
              </w:rPr>
              <w:t xml:space="preserve">to use the TIR system; TIR and </w:t>
            </w:r>
            <w:proofErr w:type="spellStart"/>
            <w:r w:rsidRPr="00A9106C">
              <w:rPr>
                <w:sz w:val="17"/>
                <w:szCs w:val="17"/>
              </w:rPr>
              <w:t>eTIR</w:t>
            </w:r>
            <w:proofErr w:type="spellEnd"/>
            <w:r w:rsidRPr="00A9106C">
              <w:rPr>
                <w:sz w:val="17"/>
                <w:szCs w:val="17"/>
              </w:rPr>
              <w:t xml:space="preserve"> </w:t>
            </w:r>
            <w:r>
              <w:rPr>
                <w:sz w:val="17"/>
                <w:szCs w:val="17"/>
              </w:rPr>
              <w:t>portals</w:t>
            </w:r>
            <w:r w:rsidRPr="00A9106C">
              <w:rPr>
                <w:sz w:val="17"/>
                <w:szCs w:val="17"/>
              </w:rPr>
              <w:t xml:space="preserve">; the </w:t>
            </w:r>
            <w:proofErr w:type="spellStart"/>
            <w:r w:rsidRPr="00A9106C">
              <w:rPr>
                <w:sz w:val="17"/>
                <w:szCs w:val="17"/>
              </w:rPr>
              <w:t>eTIR</w:t>
            </w:r>
            <w:proofErr w:type="spellEnd"/>
            <w:r w:rsidRPr="00A9106C">
              <w:rPr>
                <w:sz w:val="17"/>
                <w:szCs w:val="17"/>
              </w:rPr>
              <w:t xml:space="preserve"> international system allowing the exchange of data between the </w:t>
            </w:r>
            <w:proofErr w:type="spellStart"/>
            <w:r w:rsidRPr="00A9106C">
              <w:rPr>
                <w:sz w:val="17"/>
                <w:szCs w:val="17"/>
              </w:rPr>
              <w:t>eTIR</w:t>
            </w:r>
            <w:proofErr w:type="spellEnd"/>
            <w:r w:rsidRPr="00A9106C">
              <w:rPr>
                <w:sz w:val="17"/>
                <w:szCs w:val="17"/>
              </w:rPr>
              <w:t xml:space="preserve"> stakeholders in the course of TIR transports following the </w:t>
            </w:r>
            <w:proofErr w:type="spellStart"/>
            <w:r w:rsidRPr="00A9106C">
              <w:rPr>
                <w:sz w:val="17"/>
                <w:szCs w:val="17"/>
              </w:rPr>
              <w:t>eTIR</w:t>
            </w:r>
            <w:proofErr w:type="spellEnd"/>
            <w:r w:rsidRPr="00A9106C">
              <w:rPr>
                <w:sz w:val="17"/>
                <w:szCs w:val="17"/>
              </w:rPr>
              <w:t xml:space="preserve"> procedure; </w:t>
            </w:r>
            <w:r w:rsidRPr="00AC3A20">
              <w:rPr>
                <w:rFonts w:eastAsiaTheme="minorEastAsia"/>
                <w:sz w:val="17"/>
                <w:szCs w:val="17"/>
              </w:rPr>
              <w:t>the International Transport Infrastructure Observatory (ITIO) host</w:t>
            </w:r>
            <w:r>
              <w:rPr>
                <w:rFonts w:eastAsiaTheme="minorEastAsia"/>
                <w:sz w:val="17"/>
                <w:szCs w:val="17"/>
              </w:rPr>
              <w:t>ing</w:t>
            </w:r>
            <w:r w:rsidRPr="00AC3A20">
              <w:rPr>
                <w:rFonts w:eastAsiaTheme="minorEastAsia"/>
                <w:sz w:val="17"/>
                <w:szCs w:val="17"/>
              </w:rPr>
              <w:t xml:space="preserve"> data on a large variety of transport infrastructure networks and nodes;</w:t>
            </w:r>
            <w:r w:rsidRPr="00562D24">
              <w:rPr>
                <w:rFonts w:eastAsiaTheme="minorEastAsia"/>
                <w:sz w:val="17"/>
                <w:szCs w:val="17"/>
              </w:rPr>
              <w:t xml:space="preserve"> the Sustainable Inland Transport Connectivity (SITCIN) </w:t>
            </w:r>
            <w:r>
              <w:rPr>
                <w:rFonts w:eastAsiaTheme="minorEastAsia"/>
                <w:sz w:val="17"/>
                <w:szCs w:val="17"/>
              </w:rPr>
              <w:t xml:space="preserve">online </w:t>
            </w:r>
            <w:r w:rsidRPr="00562D24">
              <w:rPr>
                <w:rFonts w:eastAsiaTheme="minorEastAsia"/>
                <w:sz w:val="17"/>
                <w:szCs w:val="17"/>
              </w:rPr>
              <w:t>us</w:t>
            </w:r>
            <w:r w:rsidRPr="00AC3A20">
              <w:rPr>
                <w:rFonts w:eastAsiaTheme="minorEastAsia"/>
                <w:sz w:val="17"/>
                <w:szCs w:val="17"/>
              </w:rPr>
              <w:t>er platform</w:t>
            </w:r>
            <w:r w:rsidRPr="00A9106C">
              <w:rPr>
                <w:rFonts w:eastAsia="Times New Roman"/>
                <w:sz w:val="17"/>
                <w:szCs w:val="17"/>
              </w:rPr>
              <w:t xml:space="preserve"> offering a set of measurable criteria for Governments to evaluate the extent to which they implement the re</w:t>
            </w:r>
            <w:r w:rsidRPr="00A9106C">
              <w:rPr>
                <w:rFonts w:eastAsiaTheme="minorEastAsia"/>
                <w:sz w:val="17"/>
                <w:szCs w:val="17"/>
              </w:rPr>
              <w:t xml:space="preserve">levant </w:t>
            </w:r>
            <w:r>
              <w:rPr>
                <w:rFonts w:eastAsiaTheme="minorEastAsia"/>
                <w:sz w:val="17"/>
                <w:szCs w:val="17"/>
              </w:rPr>
              <w:t>Un</w:t>
            </w:r>
            <w:r w:rsidRPr="00A9106C">
              <w:rPr>
                <w:rFonts w:eastAsiaTheme="minorEastAsia"/>
                <w:sz w:val="17"/>
                <w:szCs w:val="17"/>
              </w:rPr>
              <w:t>ited Nations</w:t>
            </w:r>
            <w:r w:rsidRPr="00530AAF">
              <w:rPr>
                <w:rFonts w:eastAsiaTheme="minorEastAsia"/>
                <w:sz w:val="17"/>
                <w:szCs w:val="17"/>
              </w:rPr>
              <w:t xml:space="preserve"> legal instruments in the field of transport and the degree to which their </w:t>
            </w:r>
            <w:r w:rsidRPr="00A9106C">
              <w:rPr>
                <w:rFonts w:eastAsiaTheme="minorEastAsia"/>
                <w:sz w:val="17"/>
                <w:szCs w:val="17"/>
              </w:rPr>
              <w:t xml:space="preserve">inland transport systems are inter-operable with those in </w:t>
            </w:r>
            <w:proofErr w:type="spellStart"/>
            <w:r w:rsidRPr="00AC3A20">
              <w:rPr>
                <w:rFonts w:eastAsiaTheme="minorEastAsia"/>
                <w:sz w:val="17"/>
                <w:szCs w:val="17"/>
              </w:rPr>
              <w:t>neighboring</w:t>
            </w:r>
            <w:proofErr w:type="spellEnd"/>
            <w:r w:rsidRPr="00AC3A20">
              <w:rPr>
                <w:rFonts w:eastAsiaTheme="minorEastAsia"/>
                <w:sz w:val="17"/>
                <w:szCs w:val="17"/>
              </w:rPr>
              <w:t xml:space="preserve"> countries; the </w:t>
            </w:r>
            <w:r w:rsidRPr="00AC3A20">
              <w:rPr>
                <w:sz w:val="17"/>
                <w:szCs w:val="17"/>
              </w:rPr>
              <w:t>inventory of standards on inland water infrastructure;</w:t>
            </w:r>
            <w:r w:rsidRPr="00AC3A20" w:rsidDel="00EC2090">
              <w:rPr>
                <w:sz w:val="17"/>
                <w:szCs w:val="17"/>
              </w:rPr>
              <w:t xml:space="preserve"> </w:t>
            </w:r>
            <w:r w:rsidRPr="00AC3A20">
              <w:rPr>
                <w:sz w:val="17"/>
                <w:szCs w:val="17"/>
              </w:rPr>
              <w:t>inventory of existing European Agreement on Main International Railway Lines and European Agreement on Important International Combined Transport Lines and Related</w:t>
            </w:r>
            <w:r w:rsidRPr="00FC4DEB">
              <w:rPr>
                <w:sz w:val="17"/>
                <w:szCs w:val="17"/>
              </w:rPr>
              <w:t xml:space="preserve"> Installations standards and parameters; databases on transport statistics, road traffic accidents, transport of dangerous goods, transport of perishable foodstuffs, urban transport and transport and environment; Rail Security Observatory; digitized signs and signals (E-</w:t>
            </w:r>
            <w:proofErr w:type="spellStart"/>
            <w:r w:rsidRPr="00FC4DEB">
              <w:rPr>
                <w:sz w:val="17"/>
                <w:szCs w:val="17"/>
              </w:rPr>
              <w:t>CoRSS</w:t>
            </w:r>
            <w:proofErr w:type="spellEnd"/>
            <w:r w:rsidRPr="00FC4DEB">
              <w:rPr>
                <w:sz w:val="17"/>
                <w:szCs w:val="17"/>
              </w:rPr>
              <w:t>) under the Convention on Road Signs and Signals; and smart and sustainable connectivity e-learning platform.</w:t>
            </w:r>
          </w:p>
        </w:tc>
      </w:tr>
      <w:tr w:rsidR="009A3F46" w14:paraId="047BCCF4" w14:textId="77777777" w:rsidTr="00161A7B">
        <w:tc>
          <w:tcPr>
            <w:tcW w:w="7117" w:type="dxa"/>
            <w:shd w:val="clear" w:color="auto" w:fill="auto"/>
            <w:vAlign w:val="bottom"/>
          </w:tcPr>
          <w:p w14:paraId="04B3867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jc w:val="left"/>
              <w:rPr>
                <w:b/>
                <w:bCs/>
                <w:sz w:val="17"/>
              </w:rPr>
            </w:pPr>
            <w:r>
              <w:rPr>
                <w:b/>
                <w:bCs/>
                <w:sz w:val="17"/>
              </w:rPr>
              <w:t>D.</w:t>
            </w:r>
            <w:r>
              <w:rPr>
                <w:b/>
                <w:bCs/>
                <w:sz w:val="17"/>
              </w:rPr>
              <w:tab/>
              <w:t>Communication deliverables</w:t>
            </w:r>
          </w:p>
        </w:tc>
        <w:tc>
          <w:tcPr>
            <w:tcW w:w="691" w:type="dxa"/>
            <w:shd w:val="clear" w:color="auto" w:fill="auto"/>
            <w:vAlign w:val="bottom"/>
          </w:tcPr>
          <w:p w14:paraId="763A5307"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0" w:type="dxa"/>
            <w:shd w:val="clear" w:color="auto" w:fill="auto"/>
            <w:vAlign w:val="bottom"/>
          </w:tcPr>
          <w:p w14:paraId="36901E8B"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91" w:type="dxa"/>
            <w:shd w:val="clear" w:color="auto" w:fill="auto"/>
            <w:vAlign w:val="bottom"/>
          </w:tcPr>
          <w:p w14:paraId="51F07CA8"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c>
          <w:tcPr>
            <w:tcW w:w="661" w:type="dxa"/>
            <w:shd w:val="clear" w:color="auto" w:fill="auto"/>
            <w:vAlign w:val="bottom"/>
          </w:tcPr>
          <w:p w14:paraId="11EB21C9"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right"/>
              <w:rPr>
                <w:sz w:val="17"/>
              </w:rPr>
            </w:pPr>
          </w:p>
        </w:tc>
      </w:tr>
      <w:tr w:rsidR="009A3F46" w14:paraId="68A22A4E" w14:textId="77777777" w:rsidTr="00161A7B">
        <w:tc>
          <w:tcPr>
            <w:tcW w:w="9850" w:type="dxa"/>
            <w:gridSpan w:val="5"/>
            <w:shd w:val="clear" w:color="auto" w:fill="auto"/>
            <w:vAlign w:val="bottom"/>
          </w:tcPr>
          <w:p w14:paraId="1C725135"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02" w:lineRule="exact"/>
              <w:ind w:left="288" w:right="40" w:hanging="4"/>
              <w:rPr>
                <w:sz w:val="17"/>
                <w:szCs w:val="17"/>
              </w:rPr>
            </w:pPr>
            <w:r w:rsidRPr="35947E4B">
              <w:rPr>
                <w:b/>
                <w:bCs/>
                <w:sz w:val="17"/>
                <w:szCs w:val="17"/>
              </w:rPr>
              <w:t>Outreach programmes, special events and information materials</w:t>
            </w:r>
            <w:r w:rsidRPr="35947E4B">
              <w:rPr>
                <w:sz w:val="17"/>
                <w:szCs w:val="17"/>
              </w:rPr>
              <w:t xml:space="preserve">: information materials </w:t>
            </w:r>
            <w:r>
              <w:rPr>
                <w:sz w:val="17"/>
                <w:szCs w:val="17"/>
              </w:rPr>
              <w:t xml:space="preserve">including brochures </w:t>
            </w:r>
            <w:r w:rsidRPr="35947E4B">
              <w:rPr>
                <w:sz w:val="17"/>
                <w:szCs w:val="17"/>
              </w:rPr>
              <w:t>on legal instruments and activities of the subprogramme for global and regional access.</w:t>
            </w:r>
          </w:p>
        </w:tc>
      </w:tr>
      <w:tr w:rsidR="009A3F46" w14:paraId="4FE833D6" w14:textId="77777777" w:rsidTr="00161A7B">
        <w:tc>
          <w:tcPr>
            <w:tcW w:w="9850" w:type="dxa"/>
            <w:gridSpan w:val="5"/>
            <w:shd w:val="clear" w:color="auto" w:fill="auto"/>
            <w:vAlign w:val="bottom"/>
          </w:tcPr>
          <w:p w14:paraId="303DDA30"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01" w:right="40"/>
              <w:jc w:val="left"/>
              <w:rPr>
                <w:sz w:val="17"/>
              </w:rPr>
            </w:pPr>
            <w:r>
              <w:rPr>
                <w:sz w:val="17"/>
              </w:rPr>
              <w:tab/>
            </w:r>
            <w:r>
              <w:rPr>
                <w:b/>
                <w:bCs/>
                <w:sz w:val="17"/>
              </w:rPr>
              <w:t>External and media relations</w:t>
            </w:r>
            <w:r>
              <w:rPr>
                <w:sz w:val="17"/>
              </w:rPr>
              <w:t>: press releases for the subprogramme.</w:t>
            </w:r>
          </w:p>
        </w:tc>
      </w:tr>
      <w:tr w:rsidR="009A3F46" w14:paraId="5CBAF665" w14:textId="77777777" w:rsidTr="00161A7B">
        <w:tc>
          <w:tcPr>
            <w:tcW w:w="9850" w:type="dxa"/>
            <w:gridSpan w:val="5"/>
            <w:tcBorders>
              <w:bottom w:val="single" w:sz="4" w:space="0" w:color="auto"/>
            </w:tcBorders>
            <w:shd w:val="clear" w:color="auto" w:fill="auto"/>
            <w:vAlign w:val="bottom"/>
          </w:tcPr>
          <w:p w14:paraId="1A196EC3" w14:textId="77777777" w:rsidR="009A3F46" w:rsidRDefault="009A3F46" w:rsidP="00161A7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02" w:lineRule="exact"/>
              <w:ind w:left="288" w:right="40" w:hanging="288"/>
              <w:rPr>
                <w:sz w:val="17"/>
                <w:szCs w:val="17"/>
              </w:rPr>
            </w:pPr>
            <w:r>
              <w:rPr>
                <w:sz w:val="17"/>
              </w:rPr>
              <w:tab/>
            </w:r>
            <w:r w:rsidRPr="33334833">
              <w:rPr>
                <w:b/>
                <w:bCs/>
                <w:sz w:val="17"/>
                <w:szCs w:val="17"/>
              </w:rPr>
              <w:t>Digital platforms and multimedia content</w:t>
            </w:r>
            <w:r w:rsidRPr="33334833">
              <w:rPr>
                <w:sz w:val="17"/>
                <w:szCs w:val="17"/>
              </w:rPr>
              <w:t xml:space="preserve">: </w:t>
            </w:r>
            <w:proofErr w:type="spellStart"/>
            <w:r>
              <w:rPr>
                <w:sz w:val="17"/>
                <w:szCs w:val="17"/>
              </w:rPr>
              <w:t>LearnITC</w:t>
            </w:r>
            <w:proofErr w:type="spellEnd"/>
            <w:r>
              <w:rPr>
                <w:sz w:val="17"/>
                <w:szCs w:val="17"/>
              </w:rPr>
              <w:t xml:space="preserve"> and other </w:t>
            </w:r>
            <w:r w:rsidRPr="33334833">
              <w:rPr>
                <w:sz w:val="17"/>
                <w:szCs w:val="17"/>
              </w:rPr>
              <w:t>digital platforms and multimedia content on sustainable transport and mobility; and website of the subprogramme for global and regional access.</w:t>
            </w:r>
          </w:p>
        </w:tc>
      </w:tr>
    </w:tbl>
    <w:bookmarkEnd w:id="1"/>
    <w:p w14:paraId="08CBC995" w14:textId="3DE79CEF" w:rsidR="00EF33DF" w:rsidRPr="00547ED7" w:rsidRDefault="00547ED7" w:rsidP="00547ED7">
      <w:pPr>
        <w:spacing w:before="240"/>
        <w:jc w:val="center"/>
        <w:rPr>
          <w:u w:val="single"/>
        </w:rPr>
      </w:pPr>
      <w:r>
        <w:rPr>
          <w:u w:val="single"/>
        </w:rPr>
        <w:tab/>
      </w:r>
      <w:r>
        <w:rPr>
          <w:u w:val="single"/>
        </w:rPr>
        <w:tab/>
      </w:r>
      <w:r>
        <w:rPr>
          <w:u w:val="single"/>
        </w:rPr>
        <w:tab/>
      </w:r>
    </w:p>
    <w:sectPr w:rsidR="00EF33DF" w:rsidRPr="00547ED7" w:rsidSect="00954785">
      <w:headerReference w:type="even" r:id="rId31"/>
      <w:headerReference w:type="default" r:id="rId32"/>
      <w:footerReference w:type="even" r:id="rId33"/>
      <w:footerReference w:type="default" r:id="rId34"/>
      <w:footerReference w:type="first" r:id="rId3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3BC6" w14:textId="77777777" w:rsidR="00CF57AA" w:rsidRDefault="00CF57AA"/>
  </w:endnote>
  <w:endnote w:type="continuationSeparator" w:id="0">
    <w:p w14:paraId="158C151B" w14:textId="77777777" w:rsidR="00CF57AA" w:rsidRDefault="00CF57AA"/>
  </w:endnote>
  <w:endnote w:type="continuationNotice" w:id="1">
    <w:p w14:paraId="70BC42E4" w14:textId="77777777" w:rsidR="00CF57AA" w:rsidRDefault="00CF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D" w14:textId="77777777" w:rsidR="00954785" w:rsidRPr="00954785" w:rsidRDefault="00954785"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E" w14:textId="77777777" w:rsidR="00954785" w:rsidRPr="00954785" w:rsidRDefault="00954785"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A4F2" w14:textId="768D0F94" w:rsidR="00907F1C" w:rsidRDefault="00907F1C" w:rsidP="00907F1C">
    <w:pPr>
      <w:pStyle w:val="Footer"/>
    </w:pPr>
    <w:r w:rsidRPr="0027112F">
      <w:rPr>
        <w:noProof/>
        <w:lang w:val="en-US"/>
      </w:rPr>
      <w:drawing>
        <wp:anchor distT="0" distB="0" distL="114300" distR="114300" simplePos="0" relativeHeight="251659264" behindDoc="0" locked="1" layoutInCell="1" allowOverlap="1" wp14:anchorId="56D01855" wp14:editId="0842679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C9B870C" w14:textId="20BA1519" w:rsidR="00907F1C" w:rsidRPr="00907F1C" w:rsidRDefault="00907F1C" w:rsidP="00907F1C">
    <w:pPr>
      <w:pStyle w:val="Footer"/>
      <w:ind w:right="1134"/>
      <w:rPr>
        <w:sz w:val="20"/>
      </w:rPr>
    </w:pPr>
    <w:r>
      <w:rPr>
        <w:sz w:val="20"/>
      </w:rPr>
      <w:t>GE.22-28266(E)</w:t>
    </w:r>
    <w:r>
      <w:rPr>
        <w:noProof/>
        <w:sz w:val="20"/>
      </w:rPr>
      <w:drawing>
        <wp:anchor distT="0" distB="0" distL="114300" distR="114300" simplePos="0" relativeHeight="251660288" behindDoc="0" locked="0" layoutInCell="1" allowOverlap="1" wp14:anchorId="4A12B395" wp14:editId="5709A9AB">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BDA5" w14:textId="77777777" w:rsidR="00CF57AA" w:rsidRPr="000B175B" w:rsidRDefault="00CF57AA" w:rsidP="000B175B">
      <w:pPr>
        <w:tabs>
          <w:tab w:val="right" w:pos="2155"/>
        </w:tabs>
        <w:spacing w:after="80"/>
        <w:ind w:left="680"/>
        <w:rPr>
          <w:u w:val="single"/>
        </w:rPr>
      </w:pPr>
      <w:r>
        <w:rPr>
          <w:u w:val="single"/>
        </w:rPr>
        <w:tab/>
      </w:r>
    </w:p>
  </w:footnote>
  <w:footnote w:type="continuationSeparator" w:id="0">
    <w:p w14:paraId="41E43D4C" w14:textId="77777777" w:rsidR="00CF57AA" w:rsidRPr="00FC68B7" w:rsidRDefault="00CF57AA" w:rsidP="00FC68B7">
      <w:pPr>
        <w:tabs>
          <w:tab w:val="left" w:pos="2155"/>
        </w:tabs>
        <w:spacing w:after="80"/>
        <w:ind w:left="680"/>
        <w:rPr>
          <w:u w:val="single"/>
        </w:rPr>
      </w:pPr>
      <w:r>
        <w:rPr>
          <w:u w:val="single"/>
        </w:rPr>
        <w:tab/>
      </w:r>
    </w:p>
  </w:footnote>
  <w:footnote w:type="continuationNotice" w:id="1">
    <w:p w14:paraId="4A00D4ED" w14:textId="77777777" w:rsidR="00CF57AA" w:rsidRDefault="00CF57AA"/>
  </w:footnote>
  <w:footnote w:id="2">
    <w:p w14:paraId="0F0D0460" w14:textId="165800A3" w:rsidR="00A5155B" w:rsidRPr="00A5155B" w:rsidRDefault="00A5155B" w:rsidP="00FA005A">
      <w:pPr>
        <w:pStyle w:val="FootnoteText"/>
        <w:rPr>
          <w:lang w:val="fr-CH"/>
        </w:rPr>
      </w:pPr>
      <w:r>
        <w:rPr>
          <w:rStyle w:val="FootnoteReference"/>
        </w:rPr>
        <w:tab/>
      </w:r>
      <w:r w:rsidRPr="00A5155B">
        <w:rPr>
          <w:rStyle w:val="FootnoteReference"/>
          <w:sz w:val="20"/>
          <w:vertAlign w:val="baseline"/>
        </w:rPr>
        <w:t>*</w:t>
      </w:r>
      <w:r>
        <w:rPr>
          <w:rStyle w:val="FootnoteReference"/>
          <w:sz w:val="20"/>
          <w:vertAlign w:val="baseline"/>
        </w:rPr>
        <w:tab/>
      </w:r>
      <w:r w:rsidR="00FA005A" w:rsidRPr="00FA005A">
        <w:rPr>
          <w:rStyle w:val="FootnoteReference"/>
          <w:vertAlign w:val="baseline"/>
        </w:rPr>
        <w:t>This document was scheduled for publication after the standard publication date owing to</w:t>
      </w:r>
      <w:r w:rsidR="00FA005A">
        <w:t xml:space="preserve"> </w:t>
      </w:r>
      <w:r w:rsidR="00FA005A" w:rsidRPr="00FA005A">
        <w:rPr>
          <w:rStyle w:val="FootnoteReference"/>
          <w:vertAlign w:val="baseline"/>
        </w:rPr>
        <w:t>circumstances beyond the submitter's control.</w:t>
      </w:r>
    </w:p>
  </w:footnote>
  <w:footnote w:id="3">
    <w:p w14:paraId="7345A164" w14:textId="77777777" w:rsidR="00E87D58" w:rsidRDefault="00E87D58" w:rsidP="00E87D58">
      <w:pPr>
        <w:pStyle w:val="FootnoteText"/>
      </w:pPr>
      <w:r>
        <w:rPr>
          <w:rStyle w:val="FootnoteReference"/>
        </w:rPr>
        <w:footnoteRef/>
      </w:r>
      <w:r>
        <w:t xml:space="preserve"> </w:t>
      </w:r>
      <w:r w:rsidRPr="004A64EA">
        <w:t xml:space="preserve">Report of the </w:t>
      </w:r>
      <w:r>
        <w:t xml:space="preserve">ECE </w:t>
      </w:r>
      <w:r w:rsidRPr="004A64EA">
        <w:t>Inland Transport Committee on its eighty-fourth session</w:t>
      </w:r>
      <w:r>
        <w:t xml:space="preserve"> (</w:t>
      </w:r>
      <w:r w:rsidRPr="005C04AE">
        <w:t>ECE/TRANS/316</w:t>
      </w:r>
      <w:r>
        <w:t>, paragraph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B" w14:textId="37AF071E" w:rsidR="00954785" w:rsidRPr="00954785" w:rsidRDefault="009C73C8">
    <w:pPr>
      <w:pStyle w:val="Header"/>
    </w:pPr>
    <w:r>
      <w:t>ECE/TRANS/202</w:t>
    </w:r>
    <w:r w:rsidR="003307F0">
      <w:t>3</w:t>
    </w:r>
    <w:r>
      <w:t>/</w:t>
    </w:r>
    <w:r w:rsidR="003307F0">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C" w14:textId="27CB2E3B" w:rsidR="00954785" w:rsidRPr="00954785" w:rsidRDefault="009C73C8" w:rsidP="00954785">
    <w:pPr>
      <w:pStyle w:val="Header"/>
      <w:jc w:val="right"/>
    </w:pPr>
    <w:r>
      <w:t>ECE/TRANS/202</w:t>
    </w:r>
    <w:r w:rsidR="003307F0">
      <w:t>3</w:t>
    </w:r>
    <w:r>
      <w:t>/</w:t>
    </w:r>
    <w:r w:rsidR="003307F0">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C1D8C"/>
    <w:multiLevelType w:val="hybridMultilevel"/>
    <w:tmpl w:val="45C88F20"/>
    <w:lvl w:ilvl="0" w:tplc="1114B2A8">
      <w:start w:val="17"/>
      <w:numFmt w:val="bullet"/>
      <w:lvlText w:val="-"/>
      <w:lvlJc w:val="left"/>
      <w:pPr>
        <w:ind w:left="461" w:hanging="360"/>
      </w:pPr>
      <w:rPr>
        <w:rFonts w:ascii="Times New Roman" w:eastAsiaTheme="minorHAnsi"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6" w15:restartNumberingAfterBreak="0">
    <w:nsid w:val="2A413CEE"/>
    <w:multiLevelType w:val="hybridMultilevel"/>
    <w:tmpl w:val="60E6DB90"/>
    <w:lvl w:ilvl="0" w:tplc="1982DCCE">
      <w:start w:val="6"/>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360F4E"/>
    <w:multiLevelType w:val="hybridMultilevel"/>
    <w:tmpl w:val="C660D4C0"/>
    <w:lvl w:ilvl="0" w:tplc="862CE23C">
      <w:start w:val="9"/>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476B248A"/>
    <w:multiLevelType w:val="hybridMultilevel"/>
    <w:tmpl w:val="1C7E9038"/>
    <w:lvl w:ilvl="0" w:tplc="40ECFF94">
      <w:start w:val="1"/>
      <w:numFmt w:val="decimal"/>
      <w:lvlText w:val="20.%1"/>
      <w:lvlJc w:val="left"/>
      <w:pPr>
        <w:ind w:left="1418" w:hanging="738"/>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1" w15:restartNumberingAfterBreak="0">
    <w:nsid w:val="49616479"/>
    <w:multiLevelType w:val="hybridMultilevel"/>
    <w:tmpl w:val="6E0C1CB4"/>
    <w:lvl w:ilvl="0" w:tplc="40ECFF94">
      <w:start w:val="1"/>
      <w:numFmt w:val="decimal"/>
      <w:lvlText w:val="20.%1"/>
      <w:lvlJc w:val="left"/>
      <w:pPr>
        <w:ind w:left="1418" w:hanging="7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9F5BB4"/>
    <w:multiLevelType w:val="hybridMultilevel"/>
    <w:tmpl w:val="7C02EC8E"/>
    <w:lvl w:ilvl="0" w:tplc="C37CFBC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4"/>
  </w:num>
  <w:num w:numId="13">
    <w:abstractNumId w:val="10"/>
  </w:num>
  <w:num w:numId="14">
    <w:abstractNumId w:val="12"/>
  </w:num>
  <w:num w:numId="15">
    <w:abstractNumId w:val="18"/>
  </w:num>
  <w:num w:numId="16">
    <w:abstractNumId w:val="13"/>
  </w:num>
  <w:num w:numId="17">
    <w:abstractNumId w:val="22"/>
  </w:num>
  <w:num w:numId="18">
    <w:abstractNumId w:val="24"/>
  </w:num>
  <w:num w:numId="19">
    <w:abstractNumId w:val="11"/>
  </w:num>
  <w:num w:numId="20">
    <w:abstractNumId w:val="23"/>
  </w:num>
  <w:num w:numId="21">
    <w:abstractNumId w:val="21"/>
  </w:num>
  <w:num w:numId="22">
    <w:abstractNumId w:val="20"/>
  </w:num>
  <w:num w:numId="23">
    <w:abstractNumId w:val="16"/>
  </w:num>
  <w:num w:numId="24">
    <w:abstractNumId w:val="19"/>
  </w:num>
  <w:num w:numId="2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T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2A7D"/>
    <w:rsid w:val="000038A8"/>
    <w:rsid w:val="00006790"/>
    <w:rsid w:val="00027624"/>
    <w:rsid w:val="00032D63"/>
    <w:rsid w:val="00050F6B"/>
    <w:rsid w:val="00061D76"/>
    <w:rsid w:val="000678CD"/>
    <w:rsid w:val="00072C8C"/>
    <w:rsid w:val="00081CE0"/>
    <w:rsid w:val="00084D30"/>
    <w:rsid w:val="00090320"/>
    <w:rsid w:val="000931C0"/>
    <w:rsid w:val="000A2E09"/>
    <w:rsid w:val="000B175B"/>
    <w:rsid w:val="000B3A0F"/>
    <w:rsid w:val="000E0415"/>
    <w:rsid w:val="000F7412"/>
    <w:rsid w:val="000F7715"/>
    <w:rsid w:val="00101686"/>
    <w:rsid w:val="00150A62"/>
    <w:rsid w:val="00155992"/>
    <w:rsid w:val="00156B99"/>
    <w:rsid w:val="00164ED5"/>
    <w:rsid w:val="00166124"/>
    <w:rsid w:val="00184DDA"/>
    <w:rsid w:val="001900CD"/>
    <w:rsid w:val="001A0452"/>
    <w:rsid w:val="001B1E07"/>
    <w:rsid w:val="001B4B04"/>
    <w:rsid w:val="001B5875"/>
    <w:rsid w:val="001B7F86"/>
    <w:rsid w:val="001C4B9C"/>
    <w:rsid w:val="001C6663"/>
    <w:rsid w:val="001C7895"/>
    <w:rsid w:val="001D26DF"/>
    <w:rsid w:val="001F1599"/>
    <w:rsid w:val="001F19C4"/>
    <w:rsid w:val="001F5316"/>
    <w:rsid w:val="002043F0"/>
    <w:rsid w:val="00211E0B"/>
    <w:rsid w:val="0022137B"/>
    <w:rsid w:val="00232575"/>
    <w:rsid w:val="00242BC9"/>
    <w:rsid w:val="00247258"/>
    <w:rsid w:val="00250503"/>
    <w:rsid w:val="00255BA8"/>
    <w:rsid w:val="00257CAC"/>
    <w:rsid w:val="0027237A"/>
    <w:rsid w:val="00277E32"/>
    <w:rsid w:val="002974E9"/>
    <w:rsid w:val="002A5392"/>
    <w:rsid w:val="002A7F94"/>
    <w:rsid w:val="002B0FDC"/>
    <w:rsid w:val="002B109A"/>
    <w:rsid w:val="002C6D45"/>
    <w:rsid w:val="002D5433"/>
    <w:rsid w:val="002D6E53"/>
    <w:rsid w:val="002E6CBB"/>
    <w:rsid w:val="002E7A87"/>
    <w:rsid w:val="002F046D"/>
    <w:rsid w:val="002F118C"/>
    <w:rsid w:val="002F3023"/>
    <w:rsid w:val="00301764"/>
    <w:rsid w:val="003229D8"/>
    <w:rsid w:val="003307F0"/>
    <w:rsid w:val="00336C97"/>
    <w:rsid w:val="00337F88"/>
    <w:rsid w:val="00342432"/>
    <w:rsid w:val="0035223F"/>
    <w:rsid w:val="00352D4B"/>
    <w:rsid w:val="0035638C"/>
    <w:rsid w:val="0037452E"/>
    <w:rsid w:val="003873C5"/>
    <w:rsid w:val="0039451F"/>
    <w:rsid w:val="003A46BB"/>
    <w:rsid w:val="003A4EC7"/>
    <w:rsid w:val="003A5F6A"/>
    <w:rsid w:val="003A7295"/>
    <w:rsid w:val="003B1F60"/>
    <w:rsid w:val="003C2CC4"/>
    <w:rsid w:val="003C359D"/>
    <w:rsid w:val="003D4B23"/>
    <w:rsid w:val="003E278A"/>
    <w:rsid w:val="0040185F"/>
    <w:rsid w:val="00413520"/>
    <w:rsid w:val="004325CB"/>
    <w:rsid w:val="004338CA"/>
    <w:rsid w:val="00440A07"/>
    <w:rsid w:val="00462880"/>
    <w:rsid w:val="004717A4"/>
    <w:rsid w:val="00476F24"/>
    <w:rsid w:val="0048038E"/>
    <w:rsid w:val="004923A8"/>
    <w:rsid w:val="00492C14"/>
    <w:rsid w:val="00492D8D"/>
    <w:rsid w:val="004B4247"/>
    <w:rsid w:val="004C55B0"/>
    <w:rsid w:val="004D2755"/>
    <w:rsid w:val="004F6BA0"/>
    <w:rsid w:val="00503BEA"/>
    <w:rsid w:val="00511D78"/>
    <w:rsid w:val="00513F1D"/>
    <w:rsid w:val="00533616"/>
    <w:rsid w:val="00535ABA"/>
    <w:rsid w:val="0053768B"/>
    <w:rsid w:val="005420F2"/>
    <w:rsid w:val="0054285C"/>
    <w:rsid w:val="00547ED7"/>
    <w:rsid w:val="005612C9"/>
    <w:rsid w:val="00584173"/>
    <w:rsid w:val="00595520"/>
    <w:rsid w:val="00596266"/>
    <w:rsid w:val="005A1A0F"/>
    <w:rsid w:val="005A44B9"/>
    <w:rsid w:val="005B1BA0"/>
    <w:rsid w:val="005B245E"/>
    <w:rsid w:val="005B3DB3"/>
    <w:rsid w:val="005D15CA"/>
    <w:rsid w:val="005E4134"/>
    <w:rsid w:val="005F00F7"/>
    <w:rsid w:val="005F08DF"/>
    <w:rsid w:val="005F3066"/>
    <w:rsid w:val="005F3E61"/>
    <w:rsid w:val="00604DDD"/>
    <w:rsid w:val="00607811"/>
    <w:rsid w:val="006115CC"/>
    <w:rsid w:val="00611FC4"/>
    <w:rsid w:val="006176FB"/>
    <w:rsid w:val="00620F69"/>
    <w:rsid w:val="00630FCB"/>
    <w:rsid w:val="00640B26"/>
    <w:rsid w:val="00650A00"/>
    <w:rsid w:val="0065766B"/>
    <w:rsid w:val="00663C4B"/>
    <w:rsid w:val="00673095"/>
    <w:rsid w:val="006770B2"/>
    <w:rsid w:val="00686A48"/>
    <w:rsid w:val="00690D01"/>
    <w:rsid w:val="006940E1"/>
    <w:rsid w:val="00695FAB"/>
    <w:rsid w:val="006A10EC"/>
    <w:rsid w:val="006A3C72"/>
    <w:rsid w:val="006A7392"/>
    <w:rsid w:val="006B03A1"/>
    <w:rsid w:val="006B3924"/>
    <w:rsid w:val="006B3ABA"/>
    <w:rsid w:val="006B45CA"/>
    <w:rsid w:val="006B67D9"/>
    <w:rsid w:val="006C5535"/>
    <w:rsid w:val="006D0589"/>
    <w:rsid w:val="006E564B"/>
    <w:rsid w:val="006E7154"/>
    <w:rsid w:val="006F0F1A"/>
    <w:rsid w:val="006F2D59"/>
    <w:rsid w:val="007003CD"/>
    <w:rsid w:val="0070701E"/>
    <w:rsid w:val="0072632A"/>
    <w:rsid w:val="007358E8"/>
    <w:rsid w:val="00736ECE"/>
    <w:rsid w:val="0074533B"/>
    <w:rsid w:val="007643BC"/>
    <w:rsid w:val="00764C79"/>
    <w:rsid w:val="00780C68"/>
    <w:rsid w:val="0078563A"/>
    <w:rsid w:val="00785761"/>
    <w:rsid w:val="00795386"/>
    <w:rsid w:val="007959FE"/>
    <w:rsid w:val="007A0CF1"/>
    <w:rsid w:val="007A2C8E"/>
    <w:rsid w:val="007B09DD"/>
    <w:rsid w:val="007B6BA5"/>
    <w:rsid w:val="007C0418"/>
    <w:rsid w:val="007C3390"/>
    <w:rsid w:val="007C42D8"/>
    <w:rsid w:val="007C4F4B"/>
    <w:rsid w:val="007C5381"/>
    <w:rsid w:val="007C5EDB"/>
    <w:rsid w:val="007D7362"/>
    <w:rsid w:val="007F33B7"/>
    <w:rsid w:val="007F5695"/>
    <w:rsid w:val="007F5CE2"/>
    <w:rsid w:val="007F6611"/>
    <w:rsid w:val="00810BAC"/>
    <w:rsid w:val="00815316"/>
    <w:rsid w:val="008175E9"/>
    <w:rsid w:val="008242D7"/>
    <w:rsid w:val="0082577B"/>
    <w:rsid w:val="008304E1"/>
    <w:rsid w:val="00866893"/>
    <w:rsid w:val="00866F02"/>
    <w:rsid w:val="00867D18"/>
    <w:rsid w:val="00871F9A"/>
    <w:rsid w:val="00871FD5"/>
    <w:rsid w:val="00872533"/>
    <w:rsid w:val="0088172E"/>
    <w:rsid w:val="00881EFA"/>
    <w:rsid w:val="00884CB9"/>
    <w:rsid w:val="008879CB"/>
    <w:rsid w:val="008979B1"/>
    <w:rsid w:val="008A6B25"/>
    <w:rsid w:val="008A6C4F"/>
    <w:rsid w:val="008B389E"/>
    <w:rsid w:val="008C6230"/>
    <w:rsid w:val="008D045E"/>
    <w:rsid w:val="008D3F25"/>
    <w:rsid w:val="008D4D82"/>
    <w:rsid w:val="008E01BD"/>
    <w:rsid w:val="008E0E46"/>
    <w:rsid w:val="008E7116"/>
    <w:rsid w:val="008F143B"/>
    <w:rsid w:val="008F3882"/>
    <w:rsid w:val="008F4B7C"/>
    <w:rsid w:val="00907F1C"/>
    <w:rsid w:val="00910F6E"/>
    <w:rsid w:val="00912762"/>
    <w:rsid w:val="00926E47"/>
    <w:rsid w:val="00943748"/>
    <w:rsid w:val="00947162"/>
    <w:rsid w:val="00954785"/>
    <w:rsid w:val="009610D0"/>
    <w:rsid w:val="0096375C"/>
    <w:rsid w:val="009662E6"/>
    <w:rsid w:val="009679D0"/>
    <w:rsid w:val="0097095E"/>
    <w:rsid w:val="009757FA"/>
    <w:rsid w:val="00983869"/>
    <w:rsid w:val="009843E9"/>
    <w:rsid w:val="0098592B"/>
    <w:rsid w:val="00985FC4"/>
    <w:rsid w:val="00990766"/>
    <w:rsid w:val="00991261"/>
    <w:rsid w:val="009964C4"/>
    <w:rsid w:val="009A3F46"/>
    <w:rsid w:val="009A7B81"/>
    <w:rsid w:val="009B7657"/>
    <w:rsid w:val="009C73C8"/>
    <w:rsid w:val="009D01C0"/>
    <w:rsid w:val="009D1435"/>
    <w:rsid w:val="009D6A08"/>
    <w:rsid w:val="009E0A16"/>
    <w:rsid w:val="009E6CB7"/>
    <w:rsid w:val="009E7970"/>
    <w:rsid w:val="009F2EAC"/>
    <w:rsid w:val="009F57E3"/>
    <w:rsid w:val="00A06F27"/>
    <w:rsid w:val="00A10F4F"/>
    <w:rsid w:val="00A11067"/>
    <w:rsid w:val="00A1704A"/>
    <w:rsid w:val="00A425EB"/>
    <w:rsid w:val="00A43A76"/>
    <w:rsid w:val="00A5155B"/>
    <w:rsid w:val="00A52E56"/>
    <w:rsid w:val="00A613CE"/>
    <w:rsid w:val="00A72F22"/>
    <w:rsid w:val="00A733BC"/>
    <w:rsid w:val="00A748A6"/>
    <w:rsid w:val="00A76A69"/>
    <w:rsid w:val="00A828BA"/>
    <w:rsid w:val="00A879A4"/>
    <w:rsid w:val="00A901D7"/>
    <w:rsid w:val="00AA0FF8"/>
    <w:rsid w:val="00AB7E8A"/>
    <w:rsid w:val="00AC0F2C"/>
    <w:rsid w:val="00AC502A"/>
    <w:rsid w:val="00AE5A19"/>
    <w:rsid w:val="00AE5D2D"/>
    <w:rsid w:val="00AF0CA8"/>
    <w:rsid w:val="00AF4308"/>
    <w:rsid w:val="00AF58C1"/>
    <w:rsid w:val="00B04A3F"/>
    <w:rsid w:val="00B06643"/>
    <w:rsid w:val="00B06BCD"/>
    <w:rsid w:val="00B15055"/>
    <w:rsid w:val="00B1524D"/>
    <w:rsid w:val="00B20551"/>
    <w:rsid w:val="00B30179"/>
    <w:rsid w:val="00B32BC0"/>
    <w:rsid w:val="00B33FC7"/>
    <w:rsid w:val="00B37B15"/>
    <w:rsid w:val="00B45C02"/>
    <w:rsid w:val="00B70B63"/>
    <w:rsid w:val="00B72A1E"/>
    <w:rsid w:val="00B809AE"/>
    <w:rsid w:val="00B81E12"/>
    <w:rsid w:val="00B91036"/>
    <w:rsid w:val="00B95E74"/>
    <w:rsid w:val="00BA339B"/>
    <w:rsid w:val="00BA6C5A"/>
    <w:rsid w:val="00BB23CC"/>
    <w:rsid w:val="00BC1E7E"/>
    <w:rsid w:val="00BC74E9"/>
    <w:rsid w:val="00BD2AE3"/>
    <w:rsid w:val="00BE36A9"/>
    <w:rsid w:val="00BE618E"/>
    <w:rsid w:val="00BE7A2E"/>
    <w:rsid w:val="00BE7BEC"/>
    <w:rsid w:val="00BF0A5A"/>
    <w:rsid w:val="00BF0E63"/>
    <w:rsid w:val="00BF12A3"/>
    <w:rsid w:val="00BF16D7"/>
    <w:rsid w:val="00BF2373"/>
    <w:rsid w:val="00C044E2"/>
    <w:rsid w:val="00C048CB"/>
    <w:rsid w:val="00C066F3"/>
    <w:rsid w:val="00C12317"/>
    <w:rsid w:val="00C129E4"/>
    <w:rsid w:val="00C134FA"/>
    <w:rsid w:val="00C137B6"/>
    <w:rsid w:val="00C463DD"/>
    <w:rsid w:val="00C745C3"/>
    <w:rsid w:val="00C757E4"/>
    <w:rsid w:val="00C836B0"/>
    <w:rsid w:val="00C85CEE"/>
    <w:rsid w:val="00C92D29"/>
    <w:rsid w:val="00C95631"/>
    <w:rsid w:val="00C978F5"/>
    <w:rsid w:val="00CA24A4"/>
    <w:rsid w:val="00CA3581"/>
    <w:rsid w:val="00CB0EAD"/>
    <w:rsid w:val="00CB348D"/>
    <w:rsid w:val="00CB42AE"/>
    <w:rsid w:val="00CD3488"/>
    <w:rsid w:val="00CD46F5"/>
    <w:rsid w:val="00CE4A8F"/>
    <w:rsid w:val="00CF071D"/>
    <w:rsid w:val="00CF331B"/>
    <w:rsid w:val="00CF57AA"/>
    <w:rsid w:val="00D0123D"/>
    <w:rsid w:val="00D15B04"/>
    <w:rsid w:val="00D2031B"/>
    <w:rsid w:val="00D25FE2"/>
    <w:rsid w:val="00D30E3D"/>
    <w:rsid w:val="00D357C1"/>
    <w:rsid w:val="00D37DA9"/>
    <w:rsid w:val="00D406A7"/>
    <w:rsid w:val="00D43252"/>
    <w:rsid w:val="00D44070"/>
    <w:rsid w:val="00D44D86"/>
    <w:rsid w:val="00D50B7D"/>
    <w:rsid w:val="00D52012"/>
    <w:rsid w:val="00D704E5"/>
    <w:rsid w:val="00D72727"/>
    <w:rsid w:val="00D83C37"/>
    <w:rsid w:val="00D978C6"/>
    <w:rsid w:val="00DA0956"/>
    <w:rsid w:val="00DA357F"/>
    <w:rsid w:val="00DA3E12"/>
    <w:rsid w:val="00DC18AD"/>
    <w:rsid w:val="00DD0CD0"/>
    <w:rsid w:val="00DE455D"/>
    <w:rsid w:val="00DE5A41"/>
    <w:rsid w:val="00DF7CAE"/>
    <w:rsid w:val="00E11BD6"/>
    <w:rsid w:val="00E423C0"/>
    <w:rsid w:val="00E43B2D"/>
    <w:rsid w:val="00E6414C"/>
    <w:rsid w:val="00E7260F"/>
    <w:rsid w:val="00E8702D"/>
    <w:rsid w:val="00E87D58"/>
    <w:rsid w:val="00E905F4"/>
    <w:rsid w:val="00E910D1"/>
    <w:rsid w:val="00E916A9"/>
    <w:rsid w:val="00E916DE"/>
    <w:rsid w:val="00E925AD"/>
    <w:rsid w:val="00E96630"/>
    <w:rsid w:val="00E96995"/>
    <w:rsid w:val="00EA2B64"/>
    <w:rsid w:val="00EC22CE"/>
    <w:rsid w:val="00ED12EA"/>
    <w:rsid w:val="00ED18DC"/>
    <w:rsid w:val="00ED6201"/>
    <w:rsid w:val="00ED7A2A"/>
    <w:rsid w:val="00EF1D7F"/>
    <w:rsid w:val="00EF33DF"/>
    <w:rsid w:val="00EF6EA0"/>
    <w:rsid w:val="00F0137E"/>
    <w:rsid w:val="00F060D1"/>
    <w:rsid w:val="00F21786"/>
    <w:rsid w:val="00F3742B"/>
    <w:rsid w:val="00F41FDB"/>
    <w:rsid w:val="00F447D2"/>
    <w:rsid w:val="00F56D63"/>
    <w:rsid w:val="00F609A9"/>
    <w:rsid w:val="00F65422"/>
    <w:rsid w:val="00F659CC"/>
    <w:rsid w:val="00F76E00"/>
    <w:rsid w:val="00F80C99"/>
    <w:rsid w:val="00F81959"/>
    <w:rsid w:val="00F867EC"/>
    <w:rsid w:val="00F91B2B"/>
    <w:rsid w:val="00F91C33"/>
    <w:rsid w:val="00FA005A"/>
    <w:rsid w:val="00FC03CD"/>
    <w:rsid w:val="00FC0595"/>
    <w:rsid w:val="00FC0646"/>
    <w:rsid w:val="00FC68B7"/>
    <w:rsid w:val="00FD78EB"/>
    <w:rsid w:val="00FE567D"/>
    <w:rsid w:val="00FE6985"/>
    <w:rsid w:val="00FF02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9343"/>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rsid w:val="00EC22CE"/>
    <w:rPr>
      <w:lang w:val="en-GB"/>
    </w:rPr>
  </w:style>
  <w:style w:type="paragraph" w:customStyle="1" w:styleId="SingleTxt">
    <w:name w:val="__Single Txt"/>
    <w:basedOn w:val="Normal"/>
    <w:link w:val="SingleTxtChar"/>
    <w:qFormat/>
    <w:rsid w:val="00650A0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lang w:eastAsia="en-US"/>
    </w:rPr>
  </w:style>
  <w:style w:type="character" w:customStyle="1" w:styleId="SingleTxtChar">
    <w:name w:val="__Single Txt Char"/>
    <w:link w:val="SingleTxt"/>
    <w:qFormat/>
    <w:rsid w:val="00650A00"/>
    <w:rPr>
      <w:rFonts w:eastAsiaTheme="minorHAnsi"/>
      <w:spacing w:val="4"/>
      <w:w w:val="103"/>
      <w:kern w:val="14"/>
      <w:lang w:val="en-GB" w:eastAsia="en-US"/>
    </w:rPr>
  </w:style>
  <w:style w:type="paragraph" w:customStyle="1" w:styleId="7P">
    <w:name w:val="_ 7_ P"/>
    <w:basedOn w:val="Normal"/>
    <w:next w:val="Normal"/>
    <w:qFormat/>
    <w:rsid w:val="00A901D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lang w:eastAsia="en-US"/>
    </w:rPr>
  </w:style>
  <w:style w:type="paragraph" w:customStyle="1" w:styleId="H23">
    <w:name w:val="_ H_2/3"/>
    <w:basedOn w:val="Normal"/>
    <w:next w:val="SingleTxt"/>
    <w:link w:val="H23Char"/>
    <w:qFormat/>
    <w:rsid w:val="00C129E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hanging="1264"/>
      <w:outlineLvl w:val="1"/>
    </w:pPr>
    <w:rPr>
      <w:rFonts w:eastAsiaTheme="minorHAnsi"/>
      <w:b/>
      <w:spacing w:val="2"/>
      <w:w w:val="103"/>
      <w:kern w:val="14"/>
      <w:lang w:eastAsia="en-US"/>
    </w:rPr>
  </w:style>
  <w:style w:type="character" w:customStyle="1" w:styleId="H23Char">
    <w:name w:val="_ H_2/3 Char"/>
    <w:link w:val="H23"/>
    <w:locked/>
    <w:rsid w:val="00C129E4"/>
    <w:rPr>
      <w:rFonts w:eastAsiaTheme="minorHAnsi"/>
      <w:b/>
      <w:spacing w:val="2"/>
      <w:w w:val="103"/>
      <w:kern w:val="14"/>
      <w:lang w:val="en-GB" w:eastAsia="en-US"/>
    </w:rPr>
  </w:style>
  <w:style w:type="paragraph" w:customStyle="1" w:styleId="H4">
    <w:name w:val="_ H_4"/>
    <w:basedOn w:val="Normal"/>
    <w:next w:val="SingleTxt"/>
    <w:rsid w:val="0067309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hanging="1264"/>
      <w:outlineLvl w:val="3"/>
    </w:pPr>
    <w:rPr>
      <w:rFonts w:eastAsiaTheme="minorHAnsi"/>
      <w:i/>
      <w:spacing w:val="3"/>
      <w:w w:val="103"/>
      <w:kern w:val="14"/>
      <w:lang w:eastAsia="en-US"/>
    </w:rPr>
  </w:style>
  <w:style w:type="paragraph" w:styleId="ListParagraph">
    <w:name w:val="List Paragraph"/>
    <w:aliases w:val="Bullet Points,Colorful List - Accent 11,Dot pt,F5 List Paragraph,Indicator Text,List Paragraph Char Char Char,List Paragraph1,List Paragraph2,MAIN CONTENT,No Spacing1,Normal numbered,Numbered Para 1,Issue Action POC,3,Bullet,列出段落"/>
    <w:basedOn w:val="Normal"/>
    <w:link w:val="ListParagraphChar"/>
    <w:uiPriority w:val="34"/>
    <w:qFormat/>
    <w:rsid w:val="00673095"/>
    <w:pPr>
      <w:spacing w:line="240" w:lineRule="exact"/>
      <w:ind w:left="720"/>
      <w:contextualSpacing/>
    </w:pPr>
    <w:rPr>
      <w:rFonts w:eastAsiaTheme="minorHAnsi"/>
      <w:spacing w:val="4"/>
      <w:w w:val="103"/>
      <w:kern w:val="14"/>
      <w:lang w:eastAsia="en-US"/>
    </w:r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2 Char,MAIN CONTENT Char,No Spacing1 Char,3 Char,列出段落 Char"/>
    <w:basedOn w:val="DefaultParagraphFont"/>
    <w:link w:val="ListParagraph"/>
    <w:uiPriority w:val="34"/>
    <w:qFormat/>
    <w:locked/>
    <w:rsid w:val="00673095"/>
    <w:rPr>
      <w:rFonts w:eastAsiaTheme="minorHAnsi"/>
      <w:spacing w:val="4"/>
      <w:w w:val="103"/>
      <w:kern w:val="14"/>
      <w:lang w:val="en-GB" w:eastAsia="en-US"/>
    </w:rPr>
  </w:style>
  <w:style w:type="paragraph" w:customStyle="1" w:styleId="DualTxt">
    <w:name w:val="__Dual Txt"/>
    <w:basedOn w:val="Normal"/>
    <w:rsid w:val="00EF6EA0"/>
    <w:pPr>
      <w:tabs>
        <w:tab w:val="left" w:pos="480"/>
        <w:tab w:val="left" w:pos="960"/>
        <w:tab w:val="left" w:pos="1440"/>
        <w:tab w:val="left" w:pos="1915"/>
        <w:tab w:val="left" w:pos="2405"/>
        <w:tab w:val="left" w:pos="2880"/>
        <w:tab w:val="left" w:pos="3355"/>
      </w:tabs>
      <w:spacing w:after="120" w:line="240" w:lineRule="exact"/>
      <w:jc w:val="both"/>
    </w:pPr>
    <w:rPr>
      <w:rFonts w:eastAsiaTheme="minorHAnsi"/>
      <w:spacing w:val="4"/>
      <w:w w:val="103"/>
      <w:kern w:val="14"/>
      <w:lang w:eastAsia="en-US"/>
    </w:rPr>
  </w:style>
  <w:style w:type="paragraph" w:customStyle="1" w:styleId="SL">
    <w:name w:val="__S_L"/>
    <w:basedOn w:val="Normal"/>
    <w:next w:val="Normal"/>
    <w:rsid w:val="00E87D58"/>
    <w:pPr>
      <w:keepNext/>
      <w:keepLines/>
      <w:tabs>
        <w:tab w:val="right" w:leader="dot" w:pos="360"/>
      </w:tabs>
      <w:spacing w:line="540" w:lineRule="exact"/>
      <w:ind w:left="1267" w:right="1267"/>
      <w:outlineLvl w:val="0"/>
    </w:pPr>
    <w:rPr>
      <w:rFonts w:eastAsiaTheme="minorHAnsi"/>
      <w:b/>
      <w:spacing w:val="-8"/>
      <w:w w:val="96"/>
      <w:kern w:val="14"/>
      <w:sz w:val="57"/>
      <w:lang w:eastAsia="en-US"/>
    </w:rPr>
  </w:style>
  <w:style w:type="character" w:styleId="CommentReference">
    <w:name w:val="annotation reference"/>
    <w:basedOn w:val="DefaultParagraphFont"/>
    <w:semiHidden/>
    <w:unhideWhenUsed/>
    <w:rsid w:val="00492D8D"/>
    <w:rPr>
      <w:sz w:val="16"/>
      <w:szCs w:val="16"/>
    </w:rPr>
  </w:style>
  <w:style w:type="paragraph" w:styleId="CommentText">
    <w:name w:val="annotation text"/>
    <w:basedOn w:val="Normal"/>
    <w:link w:val="CommentTextChar"/>
    <w:semiHidden/>
    <w:unhideWhenUsed/>
    <w:rsid w:val="00492D8D"/>
    <w:pPr>
      <w:spacing w:line="240" w:lineRule="auto"/>
    </w:pPr>
  </w:style>
  <w:style w:type="character" w:customStyle="1" w:styleId="CommentTextChar">
    <w:name w:val="Comment Text Char"/>
    <w:basedOn w:val="DefaultParagraphFont"/>
    <w:link w:val="CommentText"/>
    <w:semiHidden/>
    <w:rsid w:val="00492D8D"/>
    <w:rPr>
      <w:lang w:val="en-GB"/>
    </w:rPr>
  </w:style>
  <w:style w:type="paragraph" w:styleId="CommentSubject">
    <w:name w:val="annotation subject"/>
    <w:basedOn w:val="CommentText"/>
    <w:next w:val="CommentText"/>
    <w:link w:val="CommentSubjectChar"/>
    <w:semiHidden/>
    <w:unhideWhenUsed/>
    <w:rsid w:val="00492D8D"/>
    <w:rPr>
      <w:b/>
      <w:bCs/>
    </w:rPr>
  </w:style>
  <w:style w:type="character" w:customStyle="1" w:styleId="CommentSubjectChar">
    <w:name w:val="Comment Subject Char"/>
    <w:basedOn w:val="CommentTextChar"/>
    <w:link w:val="CommentSubject"/>
    <w:semiHidden/>
    <w:rsid w:val="00492D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s://undocs.org/en/A/RES/69/213" TargetMode="External"/><Relationship Id="rId26" Type="http://schemas.openxmlformats.org/officeDocument/2006/relationships/hyperlink" Target="https://undocs.org/en/E/RES/2013/7" TargetMode="External"/><Relationship Id="rId3" Type="http://schemas.openxmlformats.org/officeDocument/2006/relationships/customXml" Target="../customXml/item3.xml"/><Relationship Id="rId21" Type="http://schemas.openxmlformats.org/officeDocument/2006/relationships/hyperlink" Target="https://undocs.org/en/A/RES/72/212"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s://undocs.org/en/A/RES/69/137" TargetMode="External"/><Relationship Id="rId25" Type="http://schemas.openxmlformats.org/officeDocument/2006/relationships/hyperlink" Target="https://www.un.org/en/ga/76/resolutions.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docs.org/en/A/RES/68/269" TargetMode="External"/><Relationship Id="rId20" Type="http://schemas.openxmlformats.org/officeDocument/2006/relationships/hyperlink" Target="https://undocs.org/en/A/RES/70/217" TargetMode="External"/><Relationship Id="rId29" Type="http://schemas.openxmlformats.org/officeDocument/2006/relationships/hyperlink" Target="https://unece.org/sites/default/files/2021-04/ECE-TRANS-304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undocs.org/en/A/RES/74/299"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docs.org/en/A/RES/58/9" TargetMode="External"/><Relationship Id="rId23" Type="http://schemas.openxmlformats.org/officeDocument/2006/relationships/hyperlink" Target="https://undocs.org/en/A/RES/73/243" TargetMode="External"/><Relationship Id="rId28" Type="http://schemas.openxmlformats.org/officeDocument/2006/relationships/hyperlink" Target="https://undocs.org/en/E/RES/2022/2"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undocs.org/en/A/RES/70/197"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hyperlink" Target="https://undocs.org/en/A/RES/72/271" TargetMode="External"/><Relationship Id="rId27" Type="http://schemas.openxmlformats.org/officeDocument/2006/relationships/hyperlink" Target="https://undocs.org/en/E/RES/2021/13" TargetMode="External"/><Relationship Id="rId30" Type="http://schemas.openxmlformats.org/officeDocument/2006/relationships/hyperlink" Target="https://unece.org/sites/default/files/2022-05/ECE_TRANS_316e%20new.pdf" TargetMode="Externa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67588699600187E-2"/>
          <c:y val="5.6465441819772519E-2"/>
          <c:w val="0.88859510898024741"/>
          <c:h val="0.74797390912667416"/>
        </c:manualLayout>
      </c:layout>
      <c:barChart>
        <c:barDir val="col"/>
        <c:grouping val="clustered"/>
        <c:varyColors val="0"/>
        <c:ser>
          <c:idx val="0"/>
          <c:order val="0"/>
          <c:tx>
            <c:strRef>
              <c:f>Sheet1!$B$1</c:f>
              <c:strCache>
                <c:ptCount val="1"/>
                <c:pt idx="0">
                  <c:v>Column1</c:v>
                </c:pt>
              </c:strCache>
            </c:strRef>
          </c:tx>
          <c:spPr>
            <a:solidFill>
              <a:sysClr val="window" lastClr="FFFFFF">
                <a:lumMod val="75000"/>
              </a:sysClr>
            </a:solidFill>
            <a:ln w="19050">
              <a:solidFill>
                <a:schemeClr val="bg1"/>
              </a:solidFill>
            </a:ln>
          </c:spPr>
          <c:invertIfNegative val="0"/>
          <c:dPt>
            <c:idx val="2"/>
            <c:invertIfNegative val="0"/>
            <c:bubble3D val="0"/>
            <c:extLst>
              <c:ext xmlns:c16="http://schemas.microsoft.com/office/drawing/2014/chart" uri="{C3380CC4-5D6E-409C-BE32-E72D297353CC}">
                <c16:uniqueId val="{00000000-50C9-42DD-8273-0B552156BA79}"/>
              </c:ext>
            </c:extLst>
          </c:dPt>
          <c:dLbls>
            <c:dLbl>
              <c:idx val="1"/>
              <c:numFmt formatCode="_(* #\ ##0_);_(* \(#\ ##0\);_(* &quot;-&quot;??_);_(@_)" sourceLinked="0"/>
              <c:spPr>
                <a:noFill/>
                <a:ln>
                  <a:noFill/>
                </a:ln>
                <a:effectLst/>
              </c:spPr>
              <c:txPr>
                <a:bodyPr/>
                <a:lstStyle/>
                <a:p>
                  <a:pPr>
                    <a:defRPr b="1"/>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C9-42DD-8273-0B552156BA79}"/>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C9-42DD-8273-0B552156BA79}"/>
                </c:ext>
              </c:extLst>
            </c:dLbl>
            <c:numFmt formatCode="_(* #\ ##0_);_(* \(#\ ##0\);_(* &quot;-&quot;??_);_(@_)" sourceLinked="0"/>
            <c:spPr>
              <a:solidFill>
                <a:sysClr val="window" lastClr="FFFFFF">
                  <a:alpha val="50000"/>
                </a:sysClr>
              </a:solidFill>
              <a:ln>
                <a:noFill/>
              </a:ln>
              <a:effectLst/>
            </c:spPr>
            <c:txPr>
              <a:bodyPr/>
              <a:lstStyle/>
              <a:p>
                <a:pPr>
                  <a:defRPr b="1"/>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Sheet1!$A$2:$A$4</c:f>
              <c:strCache>
                <c:ptCount val="3"/>
                <c:pt idx="0">
                  <c:v>2020 
(actual)</c:v>
                </c:pt>
                <c:pt idx="1">
                  <c:v>2021 
(actual)</c:v>
                </c:pt>
                <c:pt idx="2">
                  <c:v>2022 
(actual) </c:v>
                </c:pt>
              </c:strCache>
            </c:strRef>
          </c:cat>
          <c:val>
            <c:numRef>
              <c:f>Sheet1!$B$2:$B$4</c:f>
              <c:numCache>
                <c:formatCode>0</c:formatCode>
                <c:ptCount val="3"/>
                <c:pt idx="0">
                  <c:v>164</c:v>
                </c:pt>
                <c:pt idx="1">
                  <c:v>164</c:v>
                </c:pt>
                <c:pt idx="2">
                  <c:v>166</c:v>
                </c:pt>
              </c:numCache>
            </c:numRef>
          </c:val>
          <c:extLst>
            <c:ext xmlns:c16="http://schemas.microsoft.com/office/drawing/2014/chart" uri="{C3380CC4-5D6E-409C-BE32-E72D297353CC}">
              <c16:uniqueId val="{00000002-50C9-42DD-8273-0B552156BA79}"/>
            </c:ext>
          </c:extLst>
        </c:ser>
        <c:dLbls>
          <c:showLegendKey val="0"/>
          <c:showVal val="0"/>
          <c:showCatName val="0"/>
          <c:showSerName val="0"/>
          <c:showPercent val="0"/>
          <c:showBubbleSize val="0"/>
        </c:dLbls>
        <c:gapWidth val="200"/>
        <c:axId val="246724864"/>
        <c:axId val="246730752"/>
      </c:barChart>
      <c:catAx>
        <c:axId val="246724864"/>
        <c:scaling>
          <c:orientation val="minMax"/>
        </c:scaling>
        <c:delete val="0"/>
        <c:axPos val="b"/>
        <c:numFmt formatCode="General" sourceLinked="0"/>
        <c:majorTickMark val="out"/>
        <c:minorTickMark val="none"/>
        <c:tickLblPos val="nextTo"/>
        <c:spPr>
          <a:ln w="6350">
            <a:solidFill>
              <a:sysClr val="windowText" lastClr="000000"/>
            </a:solidFill>
          </a:ln>
        </c:spPr>
        <c:crossAx val="246730752"/>
        <c:crosses val="autoZero"/>
        <c:auto val="0"/>
        <c:lblAlgn val="ctr"/>
        <c:lblOffset val="100"/>
        <c:noMultiLvlLbl val="0"/>
      </c:catAx>
      <c:valAx>
        <c:axId val="246730752"/>
        <c:scaling>
          <c:orientation val="minMax"/>
        </c:scaling>
        <c:delete val="0"/>
        <c:axPos val="l"/>
        <c:numFmt formatCode="_(* #\ ##0_);_(* \(#\ ##0\);_(* &quot;-&quot;??_);_(@_)" sourceLinked="0"/>
        <c:majorTickMark val="out"/>
        <c:minorTickMark val="none"/>
        <c:tickLblPos val="nextTo"/>
        <c:spPr>
          <a:ln>
            <a:solidFill>
              <a:sysClr val="windowText" lastClr="000000"/>
            </a:solidFill>
          </a:ln>
        </c:spPr>
        <c:txPr>
          <a:bodyPr rot="0" vert="horz"/>
          <a:lstStyle/>
          <a:p>
            <a:pPr>
              <a:defRPr/>
            </a:pPr>
            <a:endParaRPr lang="en-US"/>
          </a:p>
        </c:txPr>
        <c:crossAx val="246724864"/>
        <c:crosses val="autoZero"/>
        <c:crossBetween val="between"/>
      </c:valAx>
      <c:spPr>
        <a:ln>
          <a:noFill/>
        </a:ln>
      </c:spPr>
    </c:plotArea>
    <c:plotVisOnly val="1"/>
    <c:dispBlanksAs val="gap"/>
    <c:showDLblsOverMax val="0"/>
  </c:chart>
  <c:spPr>
    <a:ln>
      <a:noFill/>
    </a:ln>
  </c:spPr>
  <c:txPr>
    <a:bodyPr/>
    <a:lstStyle/>
    <a:p>
      <a:pPr>
        <a:defRPr sz="8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393200784518525E-2"/>
          <c:y val="2.9449254594789542E-2"/>
          <c:w val="0.95060679921548152"/>
          <c:h val="0.85303833278325236"/>
        </c:manualLayout>
      </c:layout>
      <c:barChart>
        <c:barDir val="col"/>
        <c:grouping val="clustered"/>
        <c:varyColors val="0"/>
        <c:ser>
          <c:idx val="0"/>
          <c:order val="0"/>
          <c:tx>
            <c:strRef>
              <c:f>'Revised Indicator 2'!$C$2</c:f>
              <c:strCache>
                <c:ptCount val="1"/>
                <c:pt idx="0">
                  <c:v>Contracting Parties to core UN Road Safety conventions </c:v>
                </c:pt>
              </c:strCache>
            </c:strRef>
          </c:tx>
          <c:spPr>
            <a:solidFill>
              <a:sysClr val="window" lastClr="FFFFFF">
                <a:lumMod val="75000"/>
              </a:sysClr>
            </a:solidFill>
            <a:ln>
              <a:noFill/>
            </a:ln>
            <a:effectLst/>
          </c:spPr>
          <c:invertIfNegative val="0"/>
          <c:dLbls>
            <c:dLbl>
              <c:idx val="4"/>
              <c:tx>
                <c:rich>
                  <a:bodyPr/>
                  <a:lstStyle/>
                  <a:p>
                    <a:fld id="{E1116DFE-11AC-40AE-8C75-1A8D0EC42C4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C2D-4E5E-B8F7-01E75DD58CE5}"/>
                </c:ext>
              </c:extLst>
            </c:dLbl>
            <c:numFmt formatCode="#\ ##0" sourceLinked="0"/>
            <c:spPr>
              <a:noFill/>
              <a:ln>
                <a:noFill/>
              </a:ln>
              <a:effectLst/>
            </c:spPr>
            <c:txPr>
              <a:bodyPr rot="0" spcFirstLastPara="1" vertOverflow="ellipsis" vert="horz" wrap="square" lIns="38100" tIns="19050" rIns="38100" bIns="19050" numCol="1"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'Revised Indicator 2'!$B$3:$B$7</c:f>
              <c:strCache>
                <c:ptCount val="5"/>
                <c:pt idx="0">
                  <c:v>2020 (actual)</c:v>
                </c:pt>
                <c:pt idx="1">
                  <c:v>2021 (actual)</c:v>
                </c:pt>
                <c:pt idx="2">
                  <c:v>2022 (actual)</c:v>
                </c:pt>
                <c:pt idx="3">
                  <c:v>2023 (planned)</c:v>
                </c:pt>
                <c:pt idx="4">
                  <c:v>2024 (planned)</c:v>
                </c:pt>
              </c:strCache>
            </c:strRef>
          </c:cat>
          <c:val>
            <c:numRef>
              <c:f>'Revised Indicator 2'!$C$3:$C$7</c:f>
              <c:numCache>
                <c:formatCode>General</c:formatCode>
                <c:ptCount val="5"/>
                <c:pt idx="0">
                  <c:v>401</c:v>
                </c:pt>
                <c:pt idx="1">
                  <c:v>403</c:v>
                </c:pt>
                <c:pt idx="2">
                  <c:v>426</c:v>
                </c:pt>
                <c:pt idx="3">
                  <c:v>480</c:v>
                </c:pt>
                <c:pt idx="4">
                  <c:v>482</c:v>
                </c:pt>
              </c:numCache>
            </c:numRef>
          </c:val>
          <c:extLst>
            <c:ext xmlns:c16="http://schemas.microsoft.com/office/drawing/2014/chart" uri="{C3380CC4-5D6E-409C-BE32-E72D297353CC}">
              <c16:uniqueId val="{00000001-5C2D-4E5E-B8F7-01E75DD58CE5}"/>
            </c:ext>
          </c:extLst>
        </c:ser>
        <c:dLbls>
          <c:dLblPos val="outEnd"/>
          <c:showLegendKey val="0"/>
          <c:showVal val="1"/>
          <c:showCatName val="0"/>
          <c:showSerName val="0"/>
          <c:showPercent val="0"/>
          <c:showBubbleSize val="0"/>
        </c:dLbls>
        <c:gapWidth val="200"/>
        <c:axId val="659331552"/>
        <c:axId val="659329584"/>
      </c:barChart>
      <c:catAx>
        <c:axId val="659331552"/>
        <c:scaling>
          <c:orientation val="minMax"/>
        </c:scaling>
        <c:delete val="0"/>
        <c:axPos val="b"/>
        <c:numFmt formatCode="General" sourceLinked="1"/>
        <c:majorTickMark val="out"/>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29584"/>
        <c:crosses val="autoZero"/>
        <c:auto val="1"/>
        <c:lblAlgn val="ctr"/>
        <c:lblOffset val="100"/>
        <c:noMultiLvlLbl val="0"/>
      </c:catAx>
      <c:valAx>
        <c:axId val="659329584"/>
        <c:scaling>
          <c:orientation val="minMax"/>
        </c:scaling>
        <c:delete val="0"/>
        <c:axPos val="l"/>
        <c:numFmt formatCode="#\ ##0" sourceLinked="0"/>
        <c:majorTickMark val="out"/>
        <c:minorTickMark val="none"/>
        <c:tickLblPos val="nextTo"/>
        <c:spPr>
          <a:noFill/>
          <a:ln w="6350">
            <a:solidFill>
              <a:sysClr val="windowText" lastClr="000000"/>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3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193211278038095E-2"/>
          <c:y val="3.4447123665173961E-2"/>
          <c:w val="0.93280678872196188"/>
          <c:h val="0.82111635804394589"/>
        </c:manualLayout>
      </c:layout>
      <c:barChart>
        <c:barDir val="col"/>
        <c:grouping val="clustered"/>
        <c:varyColors val="0"/>
        <c:ser>
          <c:idx val="0"/>
          <c:order val="0"/>
          <c:tx>
            <c:strRef>
              <c:f>'Revised Indicator 2'!$C$2</c:f>
              <c:strCache>
                <c:ptCount val="1"/>
                <c:pt idx="0">
                  <c:v>Total number of Contracting Parties to all conventions </c:v>
                </c:pt>
              </c:strCache>
            </c:strRef>
          </c:tx>
          <c:spPr>
            <a:solidFill>
              <a:sysClr val="window" lastClr="FFFFFF">
                <a:lumMod val="75000"/>
              </a:sysClr>
            </a:solidFill>
            <a:ln>
              <a:noFill/>
            </a:ln>
            <a:effectLst/>
          </c:spPr>
          <c:invertIfNegative val="0"/>
          <c:dLbls>
            <c:numFmt formatCode="#\ ##0" sourceLinked="0"/>
            <c:spPr>
              <a:noFill/>
              <a:ln>
                <a:noFill/>
              </a:ln>
              <a:effectLst/>
            </c:spPr>
            <c:txPr>
              <a:bodyPr rot="0" spcFirstLastPara="1" vertOverflow="ellipsis" vert="horz" wrap="square" lIns="38100" tIns="19050" rIns="38100" bIns="19050" numCol="1"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'Revised Indicator 2'!$B$3:$B$7</c:f>
              <c:strCache>
                <c:ptCount val="5"/>
                <c:pt idx="0">
                  <c:v>2020 (actual)</c:v>
                </c:pt>
                <c:pt idx="1">
                  <c:v>2021 (actual)</c:v>
                </c:pt>
                <c:pt idx="2">
                  <c:v>2022 (actual)</c:v>
                </c:pt>
                <c:pt idx="3">
                  <c:v>2023 (planned)</c:v>
                </c:pt>
                <c:pt idx="4">
                  <c:v>2024 (planned)</c:v>
                </c:pt>
              </c:strCache>
            </c:strRef>
          </c:cat>
          <c:val>
            <c:numRef>
              <c:f>'Revised Indicator 2'!$C$3:$C$7</c:f>
              <c:numCache>
                <c:formatCode>General</c:formatCode>
                <c:ptCount val="5"/>
                <c:pt idx="0">
                  <c:v>1802</c:v>
                </c:pt>
                <c:pt idx="1">
                  <c:v>1808</c:v>
                </c:pt>
                <c:pt idx="2">
                  <c:v>1820</c:v>
                </c:pt>
                <c:pt idx="3">
                  <c:v>1813</c:v>
                </c:pt>
                <c:pt idx="4">
                  <c:v>1825</c:v>
                </c:pt>
              </c:numCache>
            </c:numRef>
          </c:val>
          <c:extLst>
            <c:ext xmlns:c16="http://schemas.microsoft.com/office/drawing/2014/chart" uri="{C3380CC4-5D6E-409C-BE32-E72D297353CC}">
              <c16:uniqueId val="{00000000-143C-472E-B277-D40432F8B453}"/>
            </c:ext>
          </c:extLst>
        </c:ser>
        <c:dLbls>
          <c:dLblPos val="outEnd"/>
          <c:showLegendKey val="0"/>
          <c:showVal val="1"/>
          <c:showCatName val="0"/>
          <c:showSerName val="0"/>
          <c:showPercent val="0"/>
          <c:showBubbleSize val="0"/>
        </c:dLbls>
        <c:gapWidth val="200"/>
        <c:axId val="659331552"/>
        <c:axId val="659329584"/>
      </c:barChart>
      <c:catAx>
        <c:axId val="659331552"/>
        <c:scaling>
          <c:orientation val="minMax"/>
        </c:scaling>
        <c:delete val="0"/>
        <c:axPos val="b"/>
        <c:numFmt formatCode="General" sourceLinked="1"/>
        <c:majorTickMark val="out"/>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29584"/>
        <c:crosses val="autoZero"/>
        <c:auto val="1"/>
        <c:lblAlgn val="ctr"/>
        <c:lblOffset val="100"/>
        <c:noMultiLvlLbl val="0"/>
      </c:catAx>
      <c:valAx>
        <c:axId val="659329584"/>
        <c:scaling>
          <c:orientation val="minMax"/>
        </c:scaling>
        <c:delete val="0"/>
        <c:axPos val="l"/>
        <c:numFmt formatCode="#\ ##0" sourceLinked="0"/>
        <c:majorTickMark val="out"/>
        <c:minorTickMark val="none"/>
        <c:tickLblPos val="nextTo"/>
        <c:spPr>
          <a:noFill/>
          <a:ln w="6350">
            <a:solidFill>
              <a:sysClr val="windowText" lastClr="000000"/>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933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535137166478767E-2"/>
          <c:y val="0.25202609087332584"/>
          <c:w val="0.89671776102614043"/>
          <c:h val="0.74797390912667416"/>
        </c:manualLayout>
      </c:layout>
      <c:barChart>
        <c:barDir val="col"/>
        <c:grouping val="clustered"/>
        <c:varyColors val="0"/>
        <c:ser>
          <c:idx val="0"/>
          <c:order val="0"/>
          <c:tx>
            <c:strRef>
              <c:f>Sheet1!$B$1</c:f>
              <c:strCache>
                <c:ptCount val="1"/>
                <c:pt idx="0">
                  <c:v>Column1</c:v>
                </c:pt>
              </c:strCache>
            </c:strRef>
          </c:tx>
          <c:spPr>
            <a:solidFill>
              <a:sysClr val="window" lastClr="FFFFFF">
                <a:lumMod val="75000"/>
              </a:sysClr>
            </a:solidFill>
            <a:ln w="19050">
              <a:solidFill>
                <a:schemeClr val="bg1"/>
              </a:solidFill>
            </a:ln>
          </c:spPr>
          <c:invertIfNegative val="0"/>
          <c:dPt>
            <c:idx val="2"/>
            <c:invertIfNegative val="0"/>
            <c:bubble3D val="0"/>
            <c:extLst>
              <c:ext xmlns:c16="http://schemas.microsoft.com/office/drawing/2014/chart" uri="{C3380CC4-5D6E-409C-BE32-E72D297353CC}">
                <c16:uniqueId val="{00000000-2CF8-420E-B4C3-7E57B8EF2288}"/>
              </c:ext>
            </c:extLst>
          </c:dPt>
          <c:dPt>
            <c:idx val="4"/>
            <c:invertIfNegative val="0"/>
            <c:bubble3D val="0"/>
            <c:extLst>
              <c:ext xmlns:c16="http://schemas.microsoft.com/office/drawing/2014/chart" uri="{C3380CC4-5D6E-409C-BE32-E72D297353CC}">
                <c16:uniqueId val="{00000001-2CF8-420E-B4C3-7E57B8EF2288}"/>
              </c:ext>
            </c:extLst>
          </c:dPt>
          <c:dLbls>
            <c:dLbl>
              <c:idx val="1"/>
              <c:numFmt formatCode="_(* #\ ##0_);_(* \(#\ ##0\);_(* &quot;-&quot;??_);_(@_)" sourceLinked="0"/>
              <c:spPr>
                <a:noFill/>
                <a:ln>
                  <a:noFill/>
                </a:ln>
                <a:effectLst/>
              </c:spPr>
              <c:txPr>
                <a:bodyPr/>
                <a:lstStyle/>
                <a:p>
                  <a:pPr>
                    <a:defRPr b="1"/>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F8-420E-B4C3-7E57B8EF2288}"/>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F8-420E-B4C3-7E57B8EF2288}"/>
                </c:ext>
              </c:extLst>
            </c:dLbl>
            <c:numFmt formatCode="_(* #\ ##0_);_(* \(#\ ##0\);_(* &quot;-&quot;??_);_(@_)" sourceLinked="0"/>
            <c:spPr>
              <a:solidFill>
                <a:sysClr val="window" lastClr="FFFFFF">
                  <a:alpha val="50000"/>
                </a:sysClr>
              </a:solidFill>
              <a:ln>
                <a:noFill/>
              </a:ln>
              <a:effectLst/>
            </c:spPr>
            <c:txPr>
              <a:bodyPr/>
              <a:lstStyle/>
              <a:p>
                <a:pPr>
                  <a:defRPr b="1"/>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Sheet1!$A$2:$A$6</c:f>
              <c:strCache>
                <c:ptCount val="5"/>
                <c:pt idx="0">
                  <c:v>2020 
(actual)</c:v>
                </c:pt>
                <c:pt idx="1">
                  <c:v>2021 
(actual)</c:v>
                </c:pt>
                <c:pt idx="2">
                  <c:v>2022 
(actual) </c:v>
                </c:pt>
                <c:pt idx="3">
                  <c:v>2023
(planned)</c:v>
                </c:pt>
                <c:pt idx="4">
                  <c:v>2024 
(planned)</c:v>
                </c:pt>
              </c:strCache>
            </c:strRef>
          </c:cat>
          <c:val>
            <c:numRef>
              <c:f>Sheet1!$B$2:$B$6</c:f>
              <c:numCache>
                <c:formatCode>0</c:formatCode>
                <c:ptCount val="5"/>
                <c:pt idx="0">
                  <c:v>13</c:v>
                </c:pt>
                <c:pt idx="1">
                  <c:v>19</c:v>
                </c:pt>
                <c:pt idx="2">
                  <c:v>24</c:v>
                </c:pt>
                <c:pt idx="3">
                  <c:v>28</c:v>
                </c:pt>
                <c:pt idx="4">
                  <c:v>32</c:v>
                </c:pt>
              </c:numCache>
            </c:numRef>
          </c:val>
          <c:extLst>
            <c:ext xmlns:c16="http://schemas.microsoft.com/office/drawing/2014/chart" uri="{C3380CC4-5D6E-409C-BE32-E72D297353CC}">
              <c16:uniqueId val="{00000003-2CF8-420E-B4C3-7E57B8EF2288}"/>
            </c:ext>
          </c:extLst>
        </c:ser>
        <c:dLbls>
          <c:showLegendKey val="0"/>
          <c:showVal val="0"/>
          <c:showCatName val="0"/>
          <c:showSerName val="0"/>
          <c:showPercent val="0"/>
          <c:showBubbleSize val="0"/>
        </c:dLbls>
        <c:gapWidth val="230"/>
        <c:axId val="246724864"/>
        <c:axId val="246730752"/>
      </c:barChart>
      <c:catAx>
        <c:axId val="246724864"/>
        <c:scaling>
          <c:orientation val="minMax"/>
        </c:scaling>
        <c:delete val="0"/>
        <c:axPos val="b"/>
        <c:numFmt formatCode="General" sourceLinked="0"/>
        <c:majorTickMark val="out"/>
        <c:minorTickMark val="none"/>
        <c:tickLblPos val="nextTo"/>
        <c:spPr>
          <a:ln w="6350">
            <a:solidFill>
              <a:sysClr val="windowText" lastClr="000000"/>
            </a:solidFill>
          </a:ln>
        </c:spPr>
        <c:crossAx val="246730752"/>
        <c:crosses val="autoZero"/>
        <c:auto val="0"/>
        <c:lblAlgn val="ctr"/>
        <c:lblOffset val="100"/>
        <c:noMultiLvlLbl val="0"/>
      </c:catAx>
      <c:valAx>
        <c:axId val="246730752"/>
        <c:scaling>
          <c:orientation val="minMax"/>
        </c:scaling>
        <c:delete val="0"/>
        <c:axPos val="l"/>
        <c:numFmt formatCode="_(* #\ ##0_);_(* \(#\ ##0\);_(* &quot;-&quot;??_);_(@_)" sourceLinked="0"/>
        <c:majorTickMark val="out"/>
        <c:minorTickMark val="none"/>
        <c:tickLblPos val="nextTo"/>
        <c:spPr>
          <a:ln>
            <a:solidFill>
              <a:sysClr val="windowText" lastClr="000000"/>
            </a:solidFill>
          </a:ln>
        </c:spPr>
        <c:txPr>
          <a:bodyPr rot="0" vert="horz"/>
          <a:lstStyle/>
          <a:p>
            <a:pPr>
              <a:defRPr/>
            </a:pPr>
            <a:endParaRPr lang="en-US"/>
          </a:p>
        </c:txPr>
        <c:crossAx val="246724864"/>
        <c:crosses val="autoZero"/>
        <c:crossBetween val="between"/>
      </c:valAx>
      <c:spPr>
        <a:ln>
          <a:noFill/>
        </a:ln>
      </c:spPr>
    </c:plotArea>
    <c:plotVisOnly val="1"/>
    <c:dispBlanksAs val="gap"/>
    <c:showDLblsOverMax val="0"/>
  </c:chart>
  <c:spPr>
    <a:ln>
      <a:noFill/>
    </a:ln>
  </c:spPr>
  <c:txPr>
    <a:bodyPr/>
    <a:lstStyle/>
    <a:p>
      <a:pPr>
        <a:defRPr sz="8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OS Color Scheme">
    <a:dk1>
      <a:srgbClr val="3CBBED"/>
    </a:dk1>
    <a:lt1>
      <a:srgbClr val="FFFFFF"/>
    </a:lt1>
    <a:dk2>
      <a:srgbClr val="117DB3"/>
    </a:dk2>
    <a:lt2>
      <a:srgbClr val="80878A"/>
    </a:lt2>
    <a:accent1>
      <a:srgbClr val="A8E6F8"/>
    </a:accent1>
    <a:accent2>
      <a:srgbClr val="FC8604"/>
    </a:accent2>
    <a:accent3>
      <a:srgbClr val="D13F05"/>
    </a:accent3>
    <a:accent4>
      <a:srgbClr val="FACD8A"/>
    </a:accent4>
    <a:accent5>
      <a:srgbClr val="4E5254"/>
    </a:accent5>
    <a:accent6>
      <a:srgbClr val="C3C6C7"/>
    </a:accent6>
    <a:hlink>
      <a:srgbClr val="3CBBED"/>
    </a:hlink>
    <a:folHlink>
      <a:srgbClr val="3CBBE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DOS Color Scheme">
    <a:dk1>
      <a:srgbClr val="3CBBED"/>
    </a:dk1>
    <a:lt1>
      <a:srgbClr val="FFFFFF"/>
    </a:lt1>
    <a:dk2>
      <a:srgbClr val="117DB3"/>
    </a:dk2>
    <a:lt2>
      <a:srgbClr val="80878A"/>
    </a:lt2>
    <a:accent1>
      <a:srgbClr val="A8E6F8"/>
    </a:accent1>
    <a:accent2>
      <a:srgbClr val="FC8604"/>
    </a:accent2>
    <a:accent3>
      <a:srgbClr val="D13F05"/>
    </a:accent3>
    <a:accent4>
      <a:srgbClr val="FACD8A"/>
    </a:accent4>
    <a:accent5>
      <a:srgbClr val="4E5254"/>
    </a:accent5>
    <a:accent6>
      <a:srgbClr val="C3C6C7"/>
    </a:accent6>
    <a:hlink>
      <a:srgbClr val="3CBBED"/>
    </a:hlink>
    <a:folHlink>
      <a:srgbClr val="3CBBE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E499BC8D4AB41A22914F70C56D00B" ma:contentTypeVersion="16" ma:contentTypeDescription="Create a new document." ma:contentTypeScope="" ma:versionID="72c3e64bbc53a6d59c4ac535561e9062">
  <xsd:schema xmlns:xsd="http://www.w3.org/2001/XMLSchema" xmlns:xs="http://www.w3.org/2001/XMLSchema" xmlns:p="http://schemas.microsoft.com/office/2006/metadata/properties" xmlns:ns2="9f574a69-6113-48f8-8a10-50e06038c6cb" xmlns:ns3="b74d0cff-1a86-4c28-8fbe-ac645d255c1b" xmlns:ns4="985ec44e-1bab-4c0b-9df0-6ba128686fc9" targetNamespace="http://schemas.microsoft.com/office/2006/metadata/properties" ma:root="true" ma:fieldsID="a5da2feb7a4d373abe62678fdc4ff845" ns2:_="" ns3:_="" ns4:_="">
    <xsd:import namespace="9f574a69-6113-48f8-8a10-50e06038c6cb"/>
    <xsd:import namespace="b74d0cff-1a86-4c28-8fbe-ac645d255c1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74a69-6113-48f8-8a10-50e06038c6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d0cff-1a86-4c28-8fbe-ac645d255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294922-d77b-42e2-8b98-6baa9d44c2a8}" ma:internalName="TaxCatchAll" ma:showField="CatchAllData" ma:web="9f574a69-6113-48f8-8a10-50e06038c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74d0cff-1a86-4c28-8fbe-ac645d255c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21420-F7B9-4895-BD42-7B50BD52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74a69-6113-48f8-8a10-50e06038c6cb"/>
    <ds:schemaRef ds:uri="b74d0cff-1a86-4c28-8fbe-ac645d255c1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 ds:uri="985ec44e-1bab-4c0b-9df0-6ba128686fc9"/>
    <ds:schemaRef ds:uri="b74d0cff-1a86-4c28-8fbe-ac645d255c1b"/>
  </ds:schemaRefs>
</ds:datastoreItem>
</file>

<file path=customXml/itemProps3.xml><?xml version="1.0" encoding="utf-8"?>
<ds:datastoreItem xmlns:ds="http://schemas.openxmlformats.org/officeDocument/2006/customXml" ds:itemID="{344798AB-F688-433E-80C7-B3E9554C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3470</Words>
  <Characters>20291</Characters>
  <Application>Microsoft Office Word</Application>
  <DocSecurity>0</DocSecurity>
  <Lines>648</Lines>
  <Paragraphs>420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ECE/TRANS/2022/9</vt:lpstr>
      <vt:lpstr/>
    </vt:vector>
  </TitlesOfParts>
  <Company>CSD</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ECE/TRANS/2023/12</dc:title>
  <dc:subject>2228266</dc:subject>
  <dc:creator>Anastasia Barinova</dc:creator>
  <cp:keywords/>
  <dc:description/>
  <cp:lastModifiedBy>Maria Rosario Corazon Gatmaytan</cp:lastModifiedBy>
  <cp:revision>2</cp:revision>
  <cp:lastPrinted>2009-02-18T09:36:00Z</cp:lastPrinted>
  <dcterms:created xsi:type="dcterms:W3CDTF">2022-12-13T08:11:00Z</dcterms:created>
  <dcterms:modified xsi:type="dcterms:W3CDTF">2022-12-13T08:11:00Z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