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theme/themeOverride2.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F99E9A1" w14:textId="77777777" w:rsidTr="00387CD4">
        <w:trPr>
          <w:trHeight w:hRule="exact" w:val="851"/>
        </w:trPr>
        <w:tc>
          <w:tcPr>
            <w:tcW w:w="142" w:type="dxa"/>
            <w:tcBorders>
              <w:bottom w:val="single" w:sz="4" w:space="0" w:color="auto"/>
            </w:tcBorders>
          </w:tcPr>
          <w:p w14:paraId="38CA817F" w14:textId="77777777" w:rsidR="002D5AAC" w:rsidRDefault="002D5AAC" w:rsidP="00D712D1">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4BD6B66F"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7219D3D" w14:textId="1174EB1A" w:rsidR="002D5AAC" w:rsidRDefault="00D712D1" w:rsidP="00D712D1">
            <w:pPr>
              <w:jc w:val="right"/>
            </w:pPr>
            <w:r w:rsidRPr="00D712D1">
              <w:rPr>
                <w:sz w:val="40"/>
              </w:rPr>
              <w:t>ECE</w:t>
            </w:r>
            <w:r>
              <w:t>/TRANS/2023/11</w:t>
            </w:r>
          </w:p>
        </w:tc>
      </w:tr>
      <w:tr w:rsidR="002D5AAC" w:rsidRPr="00735B7F" w14:paraId="2F9B3D0E" w14:textId="77777777" w:rsidTr="00387CD4">
        <w:trPr>
          <w:trHeight w:hRule="exact" w:val="2835"/>
        </w:trPr>
        <w:tc>
          <w:tcPr>
            <w:tcW w:w="1280" w:type="dxa"/>
            <w:gridSpan w:val="2"/>
            <w:tcBorders>
              <w:top w:val="single" w:sz="4" w:space="0" w:color="auto"/>
              <w:bottom w:val="single" w:sz="12" w:space="0" w:color="auto"/>
            </w:tcBorders>
          </w:tcPr>
          <w:p w14:paraId="3EA48F5E" w14:textId="77777777" w:rsidR="002D5AAC" w:rsidRDefault="002E5067" w:rsidP="00387CD4">
            <w:pPr>
              <w:spacing w:before="120"/>
              <w:jc w:val="center"/>
            </w:pPr>
            <w:r>
              <w:rPr>
                <w:noProof/>
                <w:lang w:val="fr-CH" w:eastAsia="fr-CH"/>
              </w:rPr>
              <w:drawing>
                <wp:inline distT="0" distB="0" distL="0" distR="0" wp14:anchorId="59BAF69F" wp14:editId="74942A8B">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4A1CE6BC"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E7705E2" w14:textId="77777777" w:rsidR="002D5AAC" w:rsidRDefault="00D712D1" w:rsidP="00387CD4">
            <w:pPr>
              <w:spacing w:before="240"/>
              <w:rPr>
                <w:lang w:val="en-US"/>
              </w:rPr>
            </w:pPr>
            <w:r>
              <w:rPr>
                <w:lang w:val="en-US"/>
              </w:rPr>
              <w:t>Distr.: General</w:t>
            </w:r>
          </w:p>
          <w:p w14:paraId="094658B5" w14:textId="77777777" w:rsidR="00D712D1" w:rsidRDefault="00D712D1" w:rsidP="00D712D1">
            <w:pPr>
              <w:spacing w:line="240" w:lineRule="exact"/>
              <w:rPr>
                <w:lang w:val="en-US"/>
              </w:rPr>
            </w:pPr>
            <w:r>
              <w:rPr>
                <w:lang w:val="en-US"/>
              </w:rPr>
              <w:t>12 December 2022</w:t>
            </w:r>
          </w:p>
          <w:p w14:paraId="2F00185B" w14:textId="77777777" w:rsidR="00D712D1" w:rsidRDefault="00D712D1" w:rsidP="00D712D1">
            <w:pPr>
              <w:spacing w:line="240" w:lineRule="exact"/>
              <w:rPr>
                <w:lang w:val="en-US"/>
              </w:rPr>
            </w:pPr>
            <w:r>
              <w:rPr>
                <w:lang w:val="en-US"/>
              </w:rPr>
              <w:t>Russian</w:t>
            </w:r>
          </w:p>
          <w:p w14:paraId="51CC8F1D" w14:textId="42A2517F" w:rsidR="00D712D1" w:rsidRPr="008D53B6" w:rsidRDefault="00D712D1" w:rsidP="00D712D1">
            <w:pPr>
              <w:spacing w:line="240" w:lineRule="exact"/>
              <w:rPr>
                <w:lang w:val="en-US"/>
              </w:rPr>
            </w:pPr>
            <w:r>
              <w:rPr>
                <w:lang w:val="en-US"/>
              </w:rPr>
              <w:t>Original: English</w:t>
            </w:r>
          </w:p>
        </w:tc>
      </w:tr>
    </w:tbl>
    <w:p w14:paraId="7181FCAD"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258CBE4B" w14:textId="77777777" w:rsidR="00D712D1" w:rsidRPr="00C63226" w:rsidRDefault="00D712D1" w:rsidP="00D712D1">
      <w:pPr>
        <w:spacing w:before="120"/>
        <w:rPr>
          <w:sz w:val="28"/>
          <w:szCs w:val="28"/>
        </w:rPr>
      </w:pPr>
      <w:r w:rsidRPr="00C63226">
        <w:rPr>
          <w:sz w:val="28"/>
          <w:szCs w:val="28"/>
        </w:rPr>
        <w:t>Комитет по внутреннему транспорту</w:t>
      </w:r>
    </w:p>
    <w:p w14:paraId="236D1226" w14:textId="77777777" w:rsidR="00D712D1" w:rsidRPr="00FD1F6B" w:rsidRDefault="00D712D1" w:rsidP="00D712D1">
      <w:pPr>
        <w:spacing w:before="120"/>
        <w:rPr>
          <w:b/>
          <w:bCs/>
        </w:rPr>
      </w:pPr>
      <w:r>
        <w:rPr>
          <w:b/>
          <w:bCs/>
        </w:rPr>
        <w:t>Восемьдесят пятая сессия</w:t>
      </w:r>
    </w:p>
    <w:p w14:paraId="23D17B7E" w14:textId="77777777" w:rsidR="0065310A" w:rsidRDefault="00D712D1" w:rsidP="00D712D1">
      <w:r>
        <w:t>Женева, 21–24 февраля 2023 года</w:t>
      </w:r>
    </w:p>
    <w:p w14:paraId="728AE436" w14:textId="77777777" w:rsidR="0065310A" w:rsidRDefault="00D712D1" w:rsidP="00D712D1">
      <w:r>
        <w:t>Пункт 6 а) предварительной повестки дня</w:t>
      </w:r>
    </w:p>
    <w:p w14:paraId="2A5DF98C" w14:textId="355755FF" w:rsidR="00D712D1" w:rsidRPr="00FD1F6B" w:rsidRDefault="00D712D1" w:rsidP="00D712D1">
      <w:pPr>
        <w:rPr>
          <w:b/>
          <w:bCs/>
        </w:rPr>
      </w:pPr>
      <w:r>
        <w:rPr>
          <w:b/>
          <w:bCs/>
        </w:rPr>
        <w:t>Программные вопросы:</w:t>
      </w:r>
    </w:p>
    <w:p w14:paraId="723B3D1C" w14:textId="05F626F1" w:rsidR="00D712D1" w:rsidRPr="00FD1F6B" w:rsidRDefault="00D712D1" w:rsidP="00D712D1">
      <w:pPr>
        <w:rPr>
          <w:b/>
          <w:bCs/>
        </w:rPr>
      </w:pPr>
      <w:r>
        <w:rPr>
          <w:b/>
          <w:bCs/>
        </w:rPr>
        <w:t xml:space="preserve">Программа работы на 2023 год и рекомендации </w:t>
      </w:r>
      <w:r w:rsidR="0065310A">
        <w:rPr>
          <w:b/>
          <w:bCs/>
        </w:rPr>
        <w:br/>
      </w:r>
      <w:r>
        <w:rPr>
          <w:b/>
          <w:bCs/>
        </w:rPr>
        <w:t xml:space="preserve">в отношении ключевых компонентов </w:t>
      </w:r>
      <w:r w:rsidR="0065310A">
        <w:rPr>
          <w:b/>
          <w:bCs/>
        </w:rPr>
        <w:br/>
      </w:r>
      <w:r>
        <w:rPr>
          <w:b/>
          <w:bCs/>
        </w:rPr>
        <w:t>программы работы на 2025 год</w:t>
      </w:r>
    </w:p>
    <w:p w14:paraId="38C8A8CA" w14:textId="77777777" w:rsidR="00D712D1" w:rsidRPr="00D712D1" w:rsidRDefault="00D712D1" w:rsidP="0065310A">
      <w:pPr>
        <w:pStyle w:val="HChG"/>
      </w:pPr>
      <w:r w:rsidRPr="00D712D1">
        <w:tab/>
      </w:r>
      <w:r w:rsidRPr="00D712D1">
        <w:tab/>
      </w:r>
      <w:r w:rsidRPr="00D712D1">
        <w:tab/>
        <w:t>Проект программы работы по подпрограмме «Транспорт» на 2023 год</w:t>
      </w:r>
    </w:p>
    <w:p w14:paraId="0500310B" w14:textId="403D0AE1" w:rsidR="00D712D1" w:rsidRPr="00D712D1" w:rsidRDefault="00D712D1" w:rsidP="0065310A">
      <w:pPr>
        <w:pStyle w:val="H1G"/>
      </w:pPr>
      <w:r w:rsidRPr="00D712D1">
        <w:tab/>
      </w:r>
      <w:r w:rsidRPr="00D712D1">
        <w:tab/>
        <w:t>Записка секретариата</w:t>
      </w:r>
      <w:r w:rsidRPr="0065310A">
        <w:rPr>
          <w:b w:val="0"/>
          <w:bCs/>
          <w:sz w:val="20"/>
          <w:szCs w:val="16"/>
        </w:rPr>
        <w:footnoteReference w:customMarkFollows="1" w:id="1"/>
        <w:t>*</w:t>
      </w:r>
    </w:p>
    <w:p w14:paraId="7366166F" w14:textId="77777777" w:rsidR="00D712D1" w:rsidRPr="00D712D1" w:rsidRDefault="00D712D1" w:rsidP="0065310A">
      <w:pPr>
        <w:pStyle w:val="HChG"/>
      </w:pPr>
      <w:r w:rsidRPr="00D712D1">
        <w:tab/>
      </w:r>
      <w:r w:rsidRPr="00D712D1">
        <w:tab/>
        <w:t>Введение</w:t>
      </w:r>
    </w:p>
    <w:p w14:paraId="2E779D4E" w14:textId="77777777" w:rsidR="00D712D1" w:rsidRPr="00D712D1" w:rsidRDefault="00D712D1" w:rsidP="00D712D1">
      <w:pPr>
        <w:pStyle w:val="SingleTxtG"/>
      </w:pPr>
      <w:r w:rsidRPr="00D712D1">
        <w:t>1.</w:t>
      </w:r>
      <w:r w:rsidRPr="00D712D1">
        <w:tab/>
        <w:t xml:space="preserve">В настоящем документе содержится проект программы работы по подпрограмме («подпрограмма») «Транспорт» на 2023 год. Комитету по внутреннему транспорту («Комитет») предлагается </w:t>
      </w:r>
      <w:r w:rsidRPr="00D712D1">
        <w:rPr>
          <w:b/>
          <w:bCs/>
        </w:rPr>
        <w:t xml:space="preserve">принять его и рекомендовать для утверждения </w:t>
      </w:r>
      <w:r w:rsidRPr="00D712D1">
        <w:t>Исполнительному комитету (Исполкому). Любые последующие дополнительные, прекращенные или перенесенные виды деятельности будут отражены в системе «Умоджа» Организации Объединенных Наций, используемой секретариатом для планирования, контроля и отчетности о ходе осуществления программы.</w:t>
      </w:r>
    </w:p>
    <w:p w14:paraId="3DDA9247" w14:textId="111A7F31" w:rsidR="00D712D1" w:rsidRPr="00D712D1" w:rsidRDefault="00D712D1" w:rsidP="00D712D1">
      <w:pPr>
        <w:pStyle w:val="SingleTxtG"/>
      </w:pPr>
      <w:r w:rsidRPr="00D712D1">
        <w:t>2.</w:t>
      </w:r>
      <w:r w:rsidRPr="00D712D1">
        <w:tab/>
        <w:t>В проекте программы работы применяется концепция управления, нацеленного на результат (УНР),</w:t>
      </w:r>
      <w:r w:rsidR="0065310A" w:rsidRPr="0065310A">
        <w:t xml:space="preserve"> </w:t>
      </w:r>
      <w:r w:rsidRPr="00D712D1">
        <w:t>— широкая концепция управления, которая устанавливает логическую связь между многоуровневой системой результатов (деятельность</w:t>
      </w:r>
      <w:r w:rsidR="0065310A" w:rsidRPr="0065310A">
        <w:t xml:space="preserve"> </w:t>
      </w:r>
      <w:r w:rsidRPr="00D712D1">
        <w:t>— результаты</w:t>
      </w:r>
      <w:r w:rsidR="0065310A" w:rsidRPr="0065310A">
        <w:t xml:space="preserve"> </w:t>
      </w:r>
      <w:r w:rsidRPr="00D712D1">
        <w:t>— задачи</w:t>
      </w:r>
      <w:r w:rsidR="0065310A" w:rsidRPr="0065310A">
        <w:t xml:space="preserve"> </w:t>
      </w:r>
      <w:r w:rsidRPr="00D712D1">
        <w:t>— воздействие), или «цепью результатов», ресурсами (людскими и финансовыми), или «вводимыми факторами», и внешними факторами (стратегическими, управленческими, оперативными, финансовыми), которые могут препятствовать достижению задачи.</w:t>
      </w:r>
    </w:p>
    <w:p w14:paraId="052A7893" w14:textId="1FA0B2A7" w:rsidR="00D712D1" w:rsidRPr="00D712D1" w:rsidRDefault="00D712D1" w:rsidP="00D712D1">
      <w:pPr>
        <w:pStyle w:val="SingleTxtG"/>
      </w:pPr>
      <w:r w:rsidRPr="00D712D1">
        <w:t>3.</w:t>
      </w:r>
      <w:r w:rsidRPr="00D712D1">
        <w:tab/>
        <w:t>Цель, стратегия, запланированные результаты и предусмотренная деятельность, указанные в проекте программы работы, соответствуют результатам и видам деятельности, которые предусмотрены в предлагаемом бюджете по программам ЕЭК на 2023 год (</w:t>
      </w:r>
      <w:hyperlink r:id="rId8" w:history="1">
        <w:r w:rsidRPr="00D712D1">
          <w:rPr>
            <w:rStyle w:val="af1"/>
          </w:rPr>
          <w:t xml:space="preserve">A/77/6 </w:t>
        </w:r>
      </w:hyperlink>
      <w:r w:rsidRPr="00D712D1">
        <w:t xml:space="preserve">(разд. 20)). Работа по подпрограмме согласуется с целями в области устойчивого развития. Для достижения своей цели подпрограмма опирается на межсекторальное сотрудничество с другими подпрограммами в соответствующих </w:t>
      </w:r>
      <w:r w:rsidRPr="00D712D1">
        <w:lastRenderedPageBreak/>
        <w:t>областях ЕЭК, в которых имеет место совпадение нескольких ЦУР</w:t>
      </w:r>
      <w:r w:rsidRPr="00D712D1">
        <w:rPr>
          <w:sz w:val="18"/>
          <w:szCs w:val="18"/>
          <w:vertAlign w:val="superscript"/>
        </w:rPr>
        <w:footnoteReference w:id="2"/>
      </w:r>
      <w:r w:rsidRPr="00D712D1">
        <w:t>. Такой тип сотрудничества позволяет добиться максимального синергетического эффекта подпрограммы, повысить ее эффективность и увеличить отдачу от действий по оказанию поддержки странам в достижении целей в области устойчивого развития. Мероприятия подпрограммы подразделяются на следующие основные категории: а) содействие межправительственному процессу и работе групп экспертов; b) генерирование и передача знаний, включая проекты технического сотрудничества, учебные мероприятия, семинары, рабочие совещания и публикации; c) прочая основная деятельность; и d) деятельность в области коммуникации.</w:t>
      </w:r>
    </w:p>
    <w:p w14:paraId="49605D85" w14:textId="77777777" w:rsidR="00D712D1" w:rsidRPr="00D712D1" w:rsidRDefault="00D712D1" w:rsidP="00D712D1">
      <w:pPr>
        <w:pStyle w:val="SingleTxtG"/>
      </w:pPr>
      <w:r w:rsidRPr="00D712D1">
        <w:t>4.</w:t>
      </w:r>
      <w:r w:rsidRPr="00D712D1">
        <w:tab/>
        <w:t>Подробные сведения о предлагаемых публикациях содержатся в приложении I. Общие мандаты директивных органов, касающиеся ЕЭК, и мандаты директивных органов, конкретно относящиеся к подпрограмме, перечислены в приложении II.</w:t>
      </w:r>
      <w:bookmarkStart w:id="0" w:name="_Hlk5788519"/>
      <w:bookmarkEnd w:id="0"/>
    </w:p>
    <w:p w14:paraId="10F0810D" w14:textId="2E80298B" w:rsidR="00D712D1" w:rsidRPr="00D712D1" w:rsidRDefault="00D712D1" w:rsidP="00D712D1">
      <w:pPr>
        <w:pStyle w:val="SingleTxtG"/>
      </w:pPr>
      <w:r w:rsidRPr="00D712D1">
        <w:t>5.</w:t>
      </w:r>
      <w:r w:rsidRPr="00D712D1">
        <w:tab/>
        <w:t>В таблице 1 приложения III перечислены виды деятельности, вошедшие в программу работы по подпрограмме «Транспорт» на 2023 год, однако не включенные в предлагаемый бюджет по программам ЕЭК на 2023 год. Эти виды деятельности были либо утверждены в соответствии с установленными процедурами ЕЭК после принятия бюджета по программам ЕЭК на 2023 год, либо первоначально запланированы на 2022</w:t>
      </w:r>
      <w:r w:rsidR="0065310A">
        <w:rPr>
          <w:lang w:val="en-US"/>
        </w:rPr>
        <w:t> </w:t>
      </w:r>
      <w:r w:rsidRPr="00D712D1">
        <w:t>год, однако их реализация оказалась невозможной из-за последствий пандемии COVID-19. В этой связи возникла необходимость отложить их осуществление до 2023</w:t>
      </w:r>
      <w:r w:rsidR="0065310A">
        <w:rPr>
          <w:lang w:val="en-US"/>
        </w:rPr>
        <w:t> </w:t>
      </w:r>
      <w:r w:rsidRPr="00D712D1">
        <w:t>года и, таким образом, добавить их к деятельности, предусмотренной в предлагаемом бюджете по программам ЕЭК на 2023 год.</w:t>
      </w:r>
    </w:p>
    <w:p w14:paraId="75937901" w14:textId="77777777" w:rsidR="00D712D1" w:rsidRPr="00D712D1" w:rsidRDefault="00D712D1" w:rsidP="0065310A">
      <w:pPr>
        <w:pStyle w:val="HChG"/>
      </w:pPr>
      <w:r w:rsidRPr="00D712D1">
        <w:tab/>
        <w:t>I.</w:t>
      </w:r>
      <w:r w:rsidRPr="00D712D1">
        <w:tab/>
        <w:t>Цель</w:t>
      </w:r>
    </w:p>
    <w:p w14:paraId="35961ECA" w14:textId="77777777" w:rsidR="00D712D1" w:rsidRPr="00D712D1" w:rsidRDefault="00D712D1" w:rsidP="00D712D1">
      <w:pPr>
        <w:pStyle w:val="SingleTxtG"/>
      </w:pPr>
      <w:r w:rsidRPr="00D712D1">
        <w:t>6.</w:t>
      </w:r>
      <w:r w:rsidRPr="00D712D1">
        <w:tab/>
        <w:t>Цель, достижению которой способствует осуществление данной подпрограммы, заключается в совершенствовании системы устойчивого внутреннего транспорта (автомобильного, железнодорожного, внутреннего водного транспорта и интермодальных перевозок) на региональном и глобальном уровнях путем повышения ее безопасности, экологичности, эффективности и доступности как в части грузовых перевозок, так и в части обеспечения индивидуальной мобильности.</w:t>
      </w:r>
    </w:p>
    <w:p w14:paraId="5B27F5EF" w14:textId="77777777" w:rsidR="00D712D1" w:rsidRPr="00D712D1" w:rsidRDefault="00D712D1" w:rsidP="0065310A">
      <w:pPr>
        <w:pStyle w:val="HChG"/>
      </w:pPr>
      <w:r w:rsidRPr="00D712D1">
        <w:tab/>
        <w:t>II.</w:t>
      </w:r>
      <w:r w:rsidRPr="00D712D1">
        <w:tab/>
        <w:t>Стратегия</w:t>
      </w:r>
    </w:p>
    <w:p w14:paraId="2712C7C3" w14:textId="77777777" w:rsidR="00D712D1" w:rsidRPr="00D712D1" w:rsidRDefault="00D712D1" w:rsidP="00D712D1">
      <w:pPr>
        <w:pStyle w:val="SingleTxtG"/>
      </w:pPr>
      <w:r w:rsidRPr="00D712D1">
        <w:t>7.</w:t>
      </w:r>
      <w:r w:rsidRPr="00D712D1">
        <w:tab/>
        <w:t>В целях содействия достижению этой цели подпрограмма будет:</w:t>
      </w:r>
    </w:p>
    <w:p w14:paraId="168659EF" w14:textId="6D4EA7F1" w:rsidR="00D712D1" w:rsidRPr="00D712D1" w:rsidRDefault="0065310A" w:rsidP="00D712D1">
      <w:pPr>
        <w:pStyle w:val="SingleTxtG"/>
      </w:pPr>
      <w:r>
        <w:tab/>
      </w:r>
      <w:r w:rsidR="00D712D1" w:rsidRPr="00D712D1">
        <w:t>a)</w:t>
      </w:r>
      <w:r w:rsidR="00D712D1" w:rsidRPr="00D712D1">
        <w:tab/>
        <w:t>оказывать содействие эффективному удовлетворению региональных и глобальных потребностей в области внутреннего транспорта и развитию устойчивых транспортных систем на региональном и глобальном уровнях посредством обслуживания Комитета по внутреннему транспорту и его 20 рабочих групп и 11</w:t>
      </w:r>
      <w:r>
        <w:rPr>
          <w:lang w:val="en-US"/>
        </w:rPr>
        <w:t> </w:t>
      </w:r>
      <w:r w:rsidR="00D712D1" w:rsidRPr="00D712D1">
        <w:t>административных комитетов, а также Комитета экспертов по перевозке опасных грузов и Согласованной на глобальном уровне системе классификации опасности и маркировки химической продукции и более чем 50 официальных и неофициальных сетей экспертов;</w:t>
      </w:r>
    </w:p>
    <w:p w14:paraId="3B34F45A" w14:textId="4155FD24" w:rsidR="00D712D1" w:rsidRPr="00D712D1" w:rsidRDefault="0065310A" w:rsidP="00D712D1">
      <w:pPr>
        <w:pStyle w:val="SingleTxtG"/>
      </w:pPr>
      <w:r>
        <w:tab/>
      </w:r>
      <w:r w:rsidR="00D712D1" w:rsidRPr="00D712D1">
        <w:t>b)</w:t>
      </w:r>
      <w:r w:rsidR="00D712D1" w:rsidRPr="00D712D1">
        <w:tab/>
        <w:t xml:space="preserve">осуществлять управление международной нормативно-правовой базой в области внутреннего транспорта, которая включает в себя 59 правовых документов Организации Объединенных Наций по вопросам безопасности, загрязнения, эффективности и действенности (нормативная функция), на основе разработки новых и обновления существующих правовых документов по мере возникновения соответствующей необходимости, включая обслуживание базы данных по международным нормативно-правовым рамкам в области внутреннего транспорта. Это позволит обеспечить, чтобы регламентирующая деятельность Комитета не отставала от существующих технологий и инноваций в сфере транспорта (например, </w:t>
      </w:r>
      <w:r>
        <w:br/>
      </w:r>
      <w:r w:rsidR="00D712D1" w:rsidRPr="00D712D1">
        <w:lastRenderedPageBreak/>
        <w:t>в области интеллектуальных транспортных систем, автономных транспортных средств и цифровизации) и оставалась открытой для всех государств — членов Организации Объединенных Наций по мере необходимости;</w:t>
      </w:r>
    </w:p>
    <w:p w14:paraId="798EE1F4" w14:textId="4F40A818" w:rsidR="00D712D1" w:rsidRPr="00D712D1" w:rsidRDefault="0065310A" w:rsidP="00D712D1">
      <w:pPr>
        <w:pStyle w:val="SingleTxtG"/>
      </w:pPr>
      <w:r>
        <w:tab/>
      </w:r>
      <w:r w:rsidR="00D712D1" w:rsidRPr="00D712D1">
        <w:t>c)</w:t>
      </w:r>
      <w:r w:rsidR="00D712D1" w:rsidRPr="00D712D1">
        <w:tab/>
        <w:t>предоставлять платформу для диалога по вопросам политики на ежегодных сессиях Комитета по внутреннему транспорту в целях рассмотрения возникающих проблем и чрезвычайных ситуаций; поддерживать формирование консенсуса в ходе мероприятий Комитета, посвященных, среди прочего, развитию региональной и межрегиональной транспортной связанности, в том числе путем принятия заявлений или резолюций высокого уровня о согласованных действиях государств-членов и договаривающихся сторон в целях обеспечения полноценного выполнения мандата Комитета;</w:t>
      </w:r>
    </w:p>
    <w:p w14:paraId="797F55DB" w14:textId="7E7D7190" w:rsidR="00D712D1" w:rsidRPr="00D712D1" w:rsidRDefault="0065310A" w:rsidP="00D712D1">
      <w:pPr>
        <w:pStyle w:val="SingleTxtG"/>
      </w:pPr>
      <w:r>
        <w:tab/>
      </w:r>
      <w:r w:rsidR="00D712D1" w:rsidRPr="00D712D1">
        <w:t>d)</w:t>
      </w:r>
      <w:r w:rsidR="00D712D1" w:rsidRPr="00D712D1">
        <w:tab/>
        <w:t>по просьбе государств-членов и договаривающихся сторон, дополнять функции диалога по вопросам нормативно-правового регулирования и выработке политики аналитической работой, технической помощью и деятельностью по наращиванию потенциала по вопросам присоединения к правовым документам и их применения;</w:t>
      </w:r>
    </w:p>
    <w:p w14:paraId="250DBB74" w14:textId="2D7AA124" w:rsidR="00D712D1" w:rsidRPr="00D712D1" w:rsidRDefault="0065310A" w:rsidP="00D712D1">
      <w:pPr>
        <w:pStyle w:val="SingleTxtG"/>
      </w:pPr>
      <w:r>
        <w:tab/>
      </w:r>
      <w:r w:rsidR="00D712D1" w:rsidRPr="00D712D1">
        <w:t>e)</w:t>
      </w:r>
      <w:r w:rsidR="00D712D1" w:rsidRPr="00D712D1">
        <w:tab/>
        <w:t>оказывать поддержку деятельности Специального посланника Генерального секретаря по безопасности дорожного движения и Целевого фонда Организации Объединенных Наций по безопасности дорожного движения, направленной на содействие повышению безопасности дорожного движения во всем мире, посредством ведения на заседаниях Комитета диалога по вопросам политики, и обеспечивать наращивание потенциала и оказание консультативной помощи в вопросах продвижения правовых документов, а также участвовать в работе руководящих органов, призывах о внесении предложений и других соответствующих мероприятиях, сообразно обстоятельствам;</w:t>
      </w:r>
    </w:p>
    <w:p w14:paraId="1ADD2596" w14:textId="5484B76C" w:rsidR="00D712D1" w:rsidRPr="00D712D1" w:rsidRDefault="0065310A" w:rsidP="00D712D1">
      <w:pPr>
        <w:pStyle w:val="SingleTxtG"/>
      </w:pPr>
      <w:r>
        <w:tab/>
      </w:r>
      <w:r w:rsidR="00D712D1" w:rsidRPr="00D712D1">
        <w:t>f)</w:t>
      </w:r>
      <w:r w:rsidR="00D712D1" w:rsidRPr="00D712D1">
        <w:tab/>
        <w:t>оказывать поддержку усилиям государств-членов по реагированию на чрезвычайные ситуации, включая пандемии, и преодолению их последствий при сведении к минимуму сбоев в функционировании национальных, региональных и международных транспортных систем и осуществлении повестки дня в области устойчивого развития;</w:t>
      </w:r>
    </w:p>
    <w:p w14:paraId="30F7BA2B" w14:textId="027D7FCE" w:rsidR="00D712D1" w:rsidRPr="00D712D1" w:rsidRDefault="0065310A" w:rsidP="00D712D1">
      <w:pPr>
        <w:pStyle w:val="SingleTxtG"/>
      </w:pPr>
      <w:r>
        <w:tab/>
      </w:r>
      <w:r w:rsidR="00D712D1" w:rsidRPr="00D712D1">
        <w:t>g)</w:t>
      </w:r>
      <w:r w:rsidR="00D712D1" w:rsidRPr="00D712D1">
        <w:tab/>
        <w:t>осуществлять содействие обмену знаниями и сотрудничеству между правительствами и ключевыми заинтересованными сторонами, повышение осведомленности о возникающих проблемах и оптимальных ответных мерах, содействие улучшению мониторинга и измерения целей в области устойчивого развития, поддержку адаптации юридически обязывающих документов и рамок к новым реалиям, а также разработку новых руководств.</w:t>
      </w:r>
    </w:p>
    <w:p w14:paraId="2AADD2D2" w14:textId="77777777" w:rsidR="00D712D1" w:rsidRPr="00D712D1" w:rsidRDefault="00D712D1" w:rsidP="00D712D1">
      <w:pPr>
        <w:pStyle w:val="SingleTxtG"/>
      </w:pPr>
      <w:r w:rsidRPr="00D712D1">
        <w:t>8.</w:t>
      </w:r>
      <w:r w:rsidRPr="00D712D1">
        <w:tab/>
        <w:t>Ожидается, что вышеупомянутая работа позволит:</w:t>
      </w:r>
    </w:p>
    <w:p w14:paraId="697D9BE7" w14:textId="239CC5F3" w:rsidR="00D712D1" w:rsidRPr="00D712D1" w:rsidRDefault="0065310A" w:rsidP="00D712D1">
      <w:pPr>
        <w:pStyle w:val="SingleTxtG"/>
      </w:pPr>
      <w:r>
        <w:tab/>
      </w:r>
      <w:r w:rsidR="00D712D1" w:rsidRPr="00D712D1">
        <w:t>a)</w:t>
      </w:r>
      <w:r w:rsidR="00D712D1" w:rsidRPr="00D712D1">
        <w:tab/>
        <w:t>улучшить положение в области устойчивой мобильности, а также мониторинга и оценки достижения целей в области устойчивого развития;</w:t>
      </w:r>
    </w:p>
    <w:p w14:paraId="12D2D00D" w14:textId="5062B307" w:rsidR="00D712D1" w:rsidRPr="00D712D1" w:rsidRDefault="0065310A" w:rsidP="00D712D1">
      <w:pPr>
        <w:pStyle w:val="SingleTxtG"/>
      </w:pPr>
      <w:r>
        <w:tab/>
      </w:r>
      <w:r w:rsidR="00D712D1" w:rsidRPr="00D712D1">
        <w:t>b)</w:t>
      </w:r>
      <w:r w:rsidR="00D712D1" w:rsidRPr="00D712D1">
        <w:tab/>
        <w:t>улучшить положение в сфере внутреннего транспорта, в результате чего будут созданы более безопасные, экологически более чистые, более эффективные и доступные системы для договаривающихся сторон конвенций Организации Объединенных Наций по внутреннему транспорту;</w:t>
      </w:r>
    </w:p>
    <w:p w14:paraId="3C84421D" w14:textId="757AE36A" w:rsidR="00D712D1" w:rsidRPr="00D712D1" w:rsidRDefault="0065310A" w:rsidP="00D712D1">
      <w:pPr>
        <w:pStyle w:val="SingleTxtG"/>
      </w:pPr>
      <w:r>
        <w:tab/>
      </w:r>
      <w:r w:rsidR="00D712D1" w:rsidRPr="00D712D1">
        <w:t>c)</w:t>
      </w:r>
      <w:r w:rsidR="00D712D1" w:rsidRPr="00D712D1">
        <w:tab/>
        <w:t>повысить эффективность и устойчивость трансграничной перевозки товаров и людей как на региональном, так и на глобальном уровнях;</w:t>
      </w:r>
    </w:p>
    <w:p w14:paraId="38E91FA3" w14:textId="06734B7A" w:rsidR="00D712D1" w:rsidRPr="00D712D1" w:rsidRDefault="0065310A" w:rsidP="00D712D1">
      <w:pPr>
        <w:pStyle w:val="SingleTxtG"/>
      </w:pPr>
      <w:r>
        <w:tab/>
      </w:r>
      <w:r w:rsidR="00D712D1" w:rsidRPr="00D712D1">
        <w:t>d)</w:t>
      </w:r>
      <w:r w:rsidR="00D712D1" w:rsidRPr="00D712D1">
        <w:tab/>
        <w:t>добиться расширения межправительственного сотрудничества в условиях чрезвычайных ситуаций и минимизации сбоев в непрерывном осуществлении и обновлении конвенций Организации Объединенных Наций по внутреннему транспорту.</w:t>
      </w:r>
    </w:p>
    <w:p w14:paraId="626F8688" w14:textId="77777777" w:rsidR="00D712D1" w:rsidRPr="00D712D1" w:rsidRDefault="00D712D1" w:rsidP="0065310A">
      <w:pPr>
        <w:pStyle w:val="HChG"/>
      </w:pPr>
      <w:r w:rsidRPr="00D712D1">
        <w:lastRenderedPageBreak/>
        <w:tab/>
        <w:t>III.</w:t>
      </w:r>
      <w:r w:rsidRPr="00D712D1">
        <w:tab/>
        <w:t>Результаты, запланированные на 2023 год</w:t>
      </w:r>
    </w:p>
    <w:p w14:paraId="6B88F2D5" w14:textId="61D087EE" w:rsidR="00D712D1" w:rsidRPr="00D712D1" w:rsidRDefault="0065310A" w:rsidP="0065310A">
      <w:pPr>
        <w:pStyle w:val="H23G"/>
      </w:pPr>
      <w:r>
        <w:tab/>
      </w:r>
      <w:r>
        <w:tab/>
      </w:r>
      <w:r w:rsidR="00D712D1" w:rsidRPr="00D712D1">
        <w:t>Результат 1: увеличение числа новых государств</w:t>
      </w:r>
      <w:r w:rsidRPr="0065310A">
        <w:t xml:space="preserve"> </w:t>
      </w:r>
      <w:r w:rsidR="00D712D1" w:rsidRPr="00D712D1">
        <w:t>— членов Организации Объединенных Наций, присоединившихся к нормативно-правовой базе для</w:t>
      </w:r>
      <w:r>
        <w:rPr>
          <w:lang w:val="en-US"/>
        </w:rPr>
        <w:t> </w:t>
      </w:r>
      <w:r w:rsidR="00D712D1" w:rsidRPr="00D712D1">
        <w:t>регулирования устойчивых систем внутреннего транспорта</w:t>
      </w:r>
    </w:p>
    <w:p w14:paraId="7FD8D700" w14:textId="2A2DDDB4" w:rsidR="00D712D1" w:rsidRPr="00D712D1" w:rsidRDefault="00D712D1" w:rsidP="0065310A">
      <w:pPr>
        <w:pStyle w:val="H23G"/>
      </w:pPr>
      <w:r w:rsidRPr="00D712D1">
        <w:tab/>
      </w:r>
      <w:r w:rsidR="0065310A">
        <w:tab/>
      </w:r>
      <w:r w:rsidR="0065310A">
        <w:tab/>
      </w:r>
      <w:r w:rsidRPr="00D712D1">
        <w:t>Выполнение программы в 2021 году и целевой показатель на 2023 год</w:t>
      </w:r>
    </w:p>
    <w:p w14:paraId="3CBD247E" w14:textId="6191A78D" w:rsidR="00D712D1" w:rsidRPr="00D712D1" w:rsidRDefault="00D712D1" w:rsidP="00D712D1">
      <w:pPr>
        <w:pStyle w:val="SingleTxtG"/>
      </w:pPr>
      <w:r w:rsidRPr="00D712D1">
        <w:t>9.</w:t>
      </w:r>
      <w:r w:rsidRPr="00D712D1">
        <w:tab/>
        <w:t>Работа в рамках подпрограммы способствовала тому, что еще одно новое государство-член</w:t>
      </w:r>
      <w:r w:rsidR="0065310A" w:rsidRPr="0065310A">
        <w:t xml:space="preserve"> </w:t>
      </w:r>
      <w:r w:rsidRPr="00D712D1">
        <w:t>— Эфиопия</w:t>
      </w:r>
      <w:r w:rsidR="0065310A" w:rsidRPr="0065310A">
        <w:t xml:space="preserve"> </w:t>
      </w:r>
      <w:r w:rsidRPr="00D712D1">
        <w:t>— присоединилось в 2021 году к одной из основных конвенций Организации Объединенных Наций по безопасности дорожного движения, в результате чего был превышен запланированный целевой показатель в 150</w:t>
      </w:r>
      <w:r w:rsidR="0065310A">
        <w:rPr>
          <w:lang w:val="en-US"/>
        </w:rPr>
        <w:t> </w:t>
      </w:r>
      <w:r w:rsidRPr="00D712D1">
        <w:t>государств</w:t>
      </w:r>
      <w:r w:rsidR="0065310A" w:rsidRPr="0065310A">
        <w:t xml:space="preserve"> </w:t>
      </w:r>
      <w:r w:rsidRPr="00D712D1">
        <w:t>— членов Организации Объединенных Наций, являющихся договаривающимися сторонами конвенций Организации Объединенных Наций по внутреннему транспорту, находящихся в ведении Комиссии.</w:t>
      </w:r>
    </w:p>
    <w:p w14:paraId="3F2DDB9A" w14:textId="77777777" w:rsidR="00D712D1" w:rsidRPr="00D712D1" w:rsidRDefault="00D712D1" w:rsidP="00D712D1">
      <w:pPr>
        <w:pStyle w:val="SingleTxtG"/>
      </w:pPr>
      <w:r w:rsidRPr="00D712D1">
        <w:t>10.</w:t>
      </w:r>
      <w:r w:rsidRPr="00D712D1">
        <w:tab/>
        <w:t>О прогрессе в достижении цели и целевого показателя на 2023 год позволяет судить представленный ниже показатель для оценки работы (см. рис. 1).</w:t>
      </w:r>
    </w:p>
    <w:p w14:paraId="3A948B28" w14:textId="6059AD9C" w:rsidR="00E12C5F" w:rsidRDefault="0065310A" w:rsidP="0065310A">
      <w:pPr>
        <w:pStyle w:val="1"/>
        <w:spacing w:before="240" w:after="120"/>
        <w:ind w:left="1134" w:right="1133" w:hanging="1134"/>
        <w:jc w:val="left"/>
      </w:pPr>
      <w:r w:rsidRPr="0065310A">
        <w:rPr>
          <w:rFonts w:cs="Times New Roman"/>
          <w:b w:val="0"/>
          <w:bCs w:val="0"/>
          <w:szCs w:val="20"/>
        </w:rPr>
        <w:tab/>
      </w:r>
      <w:r w:rsidRPr="0065310A">
        <w:rPr>
          <w:rFonts w:cs="Times New Roman"/>
          <w:b w:val="0"/>
          <w:bCs w:val="0"/>
          <w:szCs w:val="20"/>
        </w:rPr>
        <w:tab/>
      </w:r>
      <w:r w:rsidR="00D712D1" w:rsidRPr="0065310A">
        <w:rPr>
          <w:rFonts w:cs="Times New Roman"/>
          <w:b w:val="0"/>
          <w:bCs w:val="0"/>
          <w:szCs w:val="20"/>
        </w:rPr>
        <w:t>Рис. 1</w:t>
      </w:r>
      <w:r w:rsidRPr="0065310A">
        <w:rPr>
          <w:b w:val="0"/>
          <w:bCs w:val="0"/>
        </w:rPr>
        <w:br/>
      </w:r>
      <w:r w:rsidR="00D712D1" w:rsidRPr="00D712D1">
        <w:t>Показатель для оценки работы: число государств</w:t>
      </w:r>
      <w:r w:rsidRPr="0065310A">
        <w:t xml:space="preserve"> </w:t>
      </w:r>
      <w:r w:rsidR="00D712D1" w:rsidRPr="00D712D1">
        <w:t xml:space="preserve">— членов Европейской </w:t>
      </w:r>
      <w:r>
        <w:br/>
      </w:r>
      <w:r w:rsidR="00D712D1" w:rsidRPr="00D712D1">
        <w:t>экономической комиссии и общее число государств</w:t>
      </w:r>
      <w:r w:rsidRPr="0065310A">
        <w:t xml:space="preserve"> </w:t>
      </w:r>
      <w:r w:rsidR="00D712D1" w:rsidRPr="00D712D1">
        <w:t xml:space="preserve">— членов Организации </w:t>
      </w:r>
      <w:r>
        <w:br/>
      </w:r>
      <w:r w:rsidR="00D712D1" w:rsidRPr="00D712D1">
        <w:t xml:space="preserve">Объединенных Наций, являющихся договаривающимися сторонами конвенций Организации Объединенных Наций по внутреннему транспорту, находящихся </w:t>
      </w:r>
      <w:r>
        <w:br/>
      </w:r>
      <w:r w:rsidR="00D712D1" w:rsidRPr="00D712D1">
        <w:t>в ведении Комиссии (сводный показатель)</w:t>
      </w:r>
    </w:p>
    <w:p w14:paraId="7DA0DD86" w14:textId="77777777" w:rsidR="0065310A" w:rsidRPr="00537600" w:rsidRDefault="0065310A" w:rsidP="006531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pacing w:val="4"/>
          <w:w w:val="103"/>
          <w:kern w:val="14"/>
          <w:sz w:val="10"/>
        </w:rPr>
      </w:pPr>
      <w:r w:rsidRPr="00C9204A">
        <w:rPr>
          <w:noProof/>
          <w:color w:val="000000" w:themeColor="text1"/>
          <w:shd w:val="clear" w:color="auto" w:fill="E6E6E6"/>
          <w:lang w:eastAsia="en-GB"/>
        </w:rPr>
        <w:drawing>
          <wp:anchor distT="0" distB="0" distL="114300" distR="114300" simplePos="0" relativeHeight="251659264" behindDoc="0" locked="0" layoutInCell="1" allowOverlap="1" wp14:anchorId="1F5F55DE" wp14:editId="6CE7509F">
            <wp:simplePos x="0" y="0"/>
            <wp:positionH relativeFrom="column">
              <wp:posOffset>0</wp:posOffset>
            </wp:positionH>
            <wp:positionV relativeFrom="paragraph">
              <wp:posOffset>78740</wp:posOffset>
            </wp:positionV>
            <wp:extent cx="6254115" cy="2453640"/>
            <wp:effectExtent l="0" t="0" r="0" b="3810"/>
            <wp:wrapTopAndBottom/>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C342D91" w14:textId="635DC7BB" w:rsidR="00D712D1" w:rsidRPr="00D712D1" w:rsidRDefault="0065310A" w:rsidP="0065310A">
      <w:pPr>
        <w:pStyle w:val="H23G"/>
      </w:pPr>
      <w:r>
        <w:tab/>
      </w:r>
      <w:r>
        <w:tab/>
      </w:r>
      <w:r w:rsidR="00D712D1" w:rsidRPr="00D712D1">
        <w:t>Результат 2: укрепление нормативно-правовой поддержки в области безопасности дорожного движения, способствующей снижению смертности и</w:t>
      </w:r>
      <w:r w:rsidR="005146A6">
        <w:rPr>
          <w:lang w:val="en-US"/>
        </w:rPr>
        <w:t> </w:t>
      </w:r>
      <w:r w:rsidR="00D712D1" w:rsidRPr="00D712D1">
        <w:t>травматизма в результате ДТП во всем мире</w:t>
      </w:r>
    </w:p>
    <w:p w14:paraId="08C4E534" w14:textId="2561DC04" w:rsidR="00D712D1" w:rsidRPr="00D712D1" w:rsidRDefault="0065310A" w:rsidP="0065310A">
      <w:pPr>
        <w:pStyle w:val="H23G"/>
      </w:pPr>
      <w:r>
        <w:tab/>
      </w:r>
      <w:r>
        <w:tab/>
      </w:r>
      <w:r w:rsidR="00D712D1" w:rsidRPr="00D712D1">
        <w:t>Выполнение программы в 2021 году и целевой показатель на 2023 год</w:t>
      </w:r>
    </w:p>
    <w:p w14:paraId="0499A0FC" w14:textId="46DE8A48" w:rsidR="00D712D1" w:rsidRPr="00D712D1" w:rsidRDefault="00D712D1" w:rsidP="00D712D1">
      <w:pPr>
        <w:pStyle w:val="SingleTxtG"/>
      </w:pPr>
      <w:r w:rsidRPr="00D712D1">
        <w:t>11.</w:t>
      </w:r>
      <w:r w:rsidRPr="00D712D1">
        <w:tab/>
        <w:t>Работа в рамках подпрограммы способствовала присоединению в 2021 году двух новых членов, что не соответствовало запланированному показателю в 406</w:t>
      </w:r>
      <w:r w:rsidR="00BE5680">
        <w:t> </w:t>
      </w:r>
      <w:r w:rsidRPr="00D712D1">
        <w:t>договаривающихся сторон. Целевой показатель не был достигнут из-за воздействия пандемии на деятельность секретариата по наращиванию потенциала и его информационную работу.</w:t>
      </w:r>
    </w:p>
    <w:p w14:paraId="14C193A7" w14:textId="77777777" w:rsidR="00D712D1" w:rsidRPr="00D712D1" w:rsidRDefault="00D712D1" w:rsidP="00D712D1">
      <w:pPr>
        <w:pStyle w:val="SingleTxtG"/>
      </w:pPr>
      <w:r w:rsidRPr="00D712D1">
        <w:t>12.</w:t>
      </w:r>
      <w:r w:rsidRPr="00D712D1">
        <w:tab/>
        <w:t>О прогрессе в достижении цели и целевого показателя на 2023 год позволяет судить представленный ниже показатель для оценки работы (см. рис. 2).</w:t>
      </w:r>
    </w:p>
    <w:p w14:paraId="15DE394D" w14:textId="4250EDF1" w:rsidR="00D712D1" w:rsidRPr="00BE5680" w:rsidRDefault="00BE5680" w:rsidP="002B3CD5">
      <w:pPr>
        <w:pStyle w:val="1"/>
        <w:keepLines/>
        <w:spacing w:before="240" w:after="120"/>
        <w:ind w:left="1134" w:right="1134" w:hanging="1134"/>
        <w:jc w:val="left"/>
        <w:rPr>
          <w:rFonts w:cs="Times New Roman"/>
          <w:b w:val="0"/>
          <w:bCs w:val="0"/>
          <w:szCs w:val="20"/>
        </w:rPr>
      </w:pPr>
      <w:r>
        <w:rPr>
          <w:rFonts w:cs="Times New Roman"/>
          <w:b w:val="0"/>
          <w:bCs w:val="0"/>
          <w:szCs w:val="20"/>
        </w:rPr>
        <w:lastRenderedPageBreak/>
        <w:tab/>
      </w:r>
      <w:r>
        <w:rPr>
          <w:rFonts w:cs="Times New Roman"/>
          <w:b w:val="0"/>
          <w:bCs w:val="0"/>
          <w:szCs w:val="20"/>
        </w:rPr>
        <w:tab/>
      </w:r>
      <w:r w:rsidR="00D712D1" w:rsidRPr="00D712D1">
        <w:rPr>
          <w:rFonts w:cs="Times New Roman"/>
          <w:b w:val="0"/>
          <w:bCs w:val="0"/>
          <w:szCs w:val="20"/>
        </w:rPr>
        <w:t>Рис. 2</w:t>
      </w:r>
      <w:r w:rsidRPr="00BE5680">
        <w:rPr>
          <w:rFonts w:cs="Times New Roman"/>
          <w:b w:val="0"/>
          <w:bCs w:val="0"/>
          <w:szCs w:val="20"/>
        </w:rPr>
        <w:br/>
      </w:r>
      <w:r w:rsidR="00D712D1" w:rsidRPr="002B3CD5">
        <w:rPr>
          <w:rFonts w:cs="Times New Roman"/>
          <w:szCs w:val="20"/>
        </w:rPr>
        <w:t>Показатель для оценки работы: число договаривающихся сторон основных конвенций</w:t>
      </w:r>
      <w:r w:rsidR="00D712D1" w:rsidRPr="002B3CD5">
        <w:rPr>
          <w:rFonts w:cs="Times New Roman"/>
          <w:b w:val="0"/>
          <w:bCs w:val="0"/>
          <w:i/>
          <w:iCs/>
          <w:sz w:val="18"/>
          <w:szCs w:val="18"/>
          <w:vertAlign w:val="superscript"/>
        </w:rPr>
        <w:t>a</w:t>
      </w:r>
      <w:r w:rsidR="00D712D1" w:rsidRPr="002B3CD5">
        <w:rPr>
          <w:rFonts w:cs="Times New Roman"/>
          <w:szCs w:val="20"/>
        </w:rPr>
        <w:t xml:space="preserve"> Организации Объединенных Наций в области безопасности дорожного движения (сводный показатель)</w:t>
      </w:r>
    </w:p>
    <w:p w14:paraId="52BC0340" w14:textId="753FF0E1" w:rsidR="00D712D1" w:rsidRPr="002B3CD5" w:rsidRDefault="002B3CD5" w:rsidP="002B3CD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pacing w:val="4"/>
          <w:w w:val="103"/>
          <w:kern w:val="14"/>
          <w:sz w:val="10"/>
        </w:rPr>
      </w:pPr>
      <w:r w:rsidRPr="002B3CD5">
        <w:rPr>
          <w:rFonts w:eastAsia="Calibri"/>
          <w:noProof/>
          <w:spacing w:val="4"/>
          <w:w w:val="103"/>
          <w:kern w:val="14"/>
          <w:sz w:val="10"/>
        </w:rPr>
        <w:drawing>
          <wp:anchor distT="0" distB="0" distL="114300" distR="114300" simplePos="0" relativeHeight="251661312" behindDoc="0" locked="0" layoutInCell="1" allowOverlap="1" wp14:anchorId="3DC91619" wp14:editId="2ABAF9F0">
            <wp:simplePos x="0" y="0"/>
            <wp:positionH relativeFrom="margin">
              <wp:align>left</wp:align>
            </wp:positionH>
            <wp:positionV relativeFrom="paragraph">
              <wp:posOffset>102870</wp:posOffset>
            </wp:positionV>
            <wp:extent cx="6233795" cy="2120900"/>
            <wp:effectExtent l="0" t="0" r="0" b="0"/>
            <wp:wrapTopAndBottom/>
            <wp:docPr id="19" name="Chart 19">
              <a:extLst xmlns:a="http://schemas.openxmlformats.org/drawingml/2006/main">
                <a:ext uri="{FF2B5EF4-FFF2-40B4-BE49-F238E27FC236}">
                  <a16:creationId xmlns:a16="http://schemas.microsoft.com/office/drawing/2014/main" id="{A4A0B984-A635-4DA2-B973-B11C6556D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94D8ABA" w14:textId="2AD385A7" w:rsidR="00D712D1" w:rsidRPr="00D712D1" w:rsidRDefault="00D712D1" w:rsidP="002B3CD5">
      <w:pPr>
        <w:pStyle w:val="SingleTxtG"/>
        <w:spacing w:before="120" w:line="220" w:lineRule="exact"/>
        <w:ind w:firstLine="170"/>
        <w:jc w:val="left"/>
        <w:rPr>
          <w:sz w:val="18"/>
          <w:szCs w:val="18"/>
        </w:rPr>
      </w:pPr>
      <w:r w:rsidRPr="00D712D1">
        <w:rPr>
          <w:i/>
          <w:iCs/>
          <w:sz w:val="18"/>
          <w:szCs w:val="18"/>
          <w:vertAlign w:val="superscript"/>
        </w:rPr>
        <w:t>a</w:t>
      </w:r>
      <w:r w:rsidR="002B3CD5" w:rsidRPr="002B3CD5">
        <w:rPr>
          <w:sz w:val="18"/>
          <w:szCs w:val="18"/>
        </w:rPr>
        <w:t xml:space="preserve">  </w:t>
      </w:r>
      <w:r w:rsidRPr="00D712D1">
        <w:rPr>
          <w:sz w:val="18"/>
          <w:szCs w:val="18"/>
        </w:rPr>
        <w:t>Для цели 2023 года будет восемь основных конвенций Организации Объединенных Наций по безопасности дорожного движения в соответствии с решением Рабочей группы по автомобильному транспорту Комитета по внутреннему транспорту поддержать открытие для глобального присоединения к новому соглашению Европейского соглашения, касающегося работы экипажей транспортных средств, производящих международные автомобильные перевозки, касающегося профессиональных водителей.</w:t>
      </w:r>
    </w:p>
    <w:p w14:paraId="5ECFEE4A" w14:textId="7181A020" w:rsidR="00D712D1" w:rsidRPr="00D712D1" w:rsidRDefault="002B3CD5" w:rsidP="002B3CD5">
      <w:pPr>
        <w:pStyle w:val="H23G"/>
      </w:pPr>
      <w:r>
        <w:tab/>
      </w:r>
      <w:r>
        <w:tab/>
      </w:r>
      <w:r w:rsidR="00D712D1" w:rsidRPr="00D712D1">
        <w:t>Результат 3: совершенствование нормативно-правовой базы для регулирования устойчивых систем внутреннего транспорта</w:t>
      </w:r>
    </w:p>
    <w:p w14:paraId="69F57C39" w14:textId="4510E82E" w:rsidR="00D712D1" w:rsidRPr="00D712D1" w:rsidRDefault="002B3CD5" w:rsidP="002B3CD5">
      <w:pPr>
        <w:pStyle w:val="H23G"/>
      </w:pPr>
      <w:r>
        <w:tab/>
      </w:r>
      <w:r>
        <w:tab/>
      </w:r>
      <w:r w:rsidR="00D712D1" w:rsidRPr="00D712D1">
        <w:t>Предлагаемый план по программам на 2023 год</w:t>
      </w:r>
    </w:p>
    <w:p w14:paraId="09AB93C4" w14:textId="77777777" w:rsidR="00D712D1" w:rsidRPr="00D712D1" w:rsidRDefault="00D712D1" w:rsidP="00D712D1">
      <w:pPr>
        <w:pStyle w:val="SingleTxtG"/>
      </w:pPr>
      <w:r w:rsidRPr="00D712D1">
        <w:t>13.</w:t>
      </w:r>
      <w:r w:rsidRPr="00D712D1">
        <w:tab/>
        <w:t>Устойчивый транспорт и мобильность являются важнейшими элементами для достижения целей в области устойчивого развития, однако показатели прогресса в разных регионах и субрегионах разнятся, как, например, в случае с задачей 6 цели 3, предусматривающей сокращение вдвое глобальных показателей смертности и травматизма в результате дорожно-транспортных происшествий. Фактические данные свидетельствуют о том, что страны, присоединившиеся к большему числу конвенций и соглашений, обслуживаемых в рамках подпрограммы, добиваются более высоких результатов с точки зрения повышения устойчивости своих транспортных систем.</w:t>
      </w:r>
    </w:p>
    <w:p w14:paraId="16507FC0" w14:textId="77777777" w:rsidR="00D712D1" w:rsidRPr="00D712D1" w:rsidRDefault="00D712D1" w:rsidP="00D712D1">
      <w:pPr>
        <w:pStyle w:val="SingleTxtG"/>
      </w:pPr>
      <w:r w:rsidRPr="00D712D1">
        <w:t>14.</w:t>
      </w:r>
      <w:r w:rsidRPr="00D712D1">
        <w:tab/>
        <w:t>Работа по совершенствованию нормативно-правовой базы, проведенная в последние годы в рамках подпрограммы, увенчалась важным обновлением правовых документов. Она также позволила предоставить консультативную помощь и рекомендации по вопросам политики в поддержку усилий государств-членов и договаривающихся сторон по дальнейшему развитию устойчивых систем внутреннего транспорта.</w:t>
      </w:r>
    </w:p>
    <w:p w14:paraId="2941AF69" w14:textId="610BE648" w:rsidR="00D712D1" w:rsidRPr="00D712D1" w:rsidRDefault="002B3CD5" w:rsidP="002B3CD5">
      <w:pPr>
        <w:pStyle w:val="H4G"/>
      </w:pPr>
      <w:r>
        <w:tab/>
      </w:r>
      <w:r>
        <w:tab/>
      </w:r>
      <w:r w:rsidR="00D712D1" w:rsidRPr="00D712D1">
        <w:t>Извлеченные уроки и планируемые изменения</w:t>
      </w:r>
    </w:p>
    <w:p w14:paraId="57F30DA2" w14:textId="77777777" w:rsidR="00D712D1" w:rsidRPr="00D712D1" w:rsidRDefault="00D712D1" w:rsidP="00D712D1">
      <w:pPr>
        <w:pStyle w:val="SingleTxtG"/>
      </w:pPr>
      <w:r w:rsidRPr="00D712D1">
        <w:t>15.</w:t>
      </w:r>
      <w:r w:rsidRPr="00D712D1">
        <w:tab/>
        <w:t>Извлеченный урок заключается в том, что в рамках подпрограммы необходимо скорректировать подход и сосредоточить усилия таким образом, чтобы лучше удовлетворять растущие потребности государств — членов Организации Объединенных Наций в области развития устойчивых систем внутреннего транспорта. Для достижения этой цели решающее значение имеет усиление комплексной нормативно-правовой поддержки и модернизация правовых документов, в том числе путем цифровизации документооборота и процедур в транспортной отрасли и содействия безопасному скорейшему внедрению автоматизированных транспортных средств.</w:t>
      </w:r>
    </w:p>
    <w:p w14:paraId="225EEC6D" w14:textId="77777777" w:rsidR="00D712D1" w:rsidRPr="00D712D1" w:rsidRDefault="00D712D1" w:rsidP="00D712D1">
      <w:pPr>
        <w:pStyle w:val="SingleTxtG"/>
      </w:pPr>
      <w:r w:rsidRPr="00D712D1">
        <w:t>16.</w:t>
      </w:r>
      <w:r w:rsidRPr="00D712D1">
        <w:tab/>
        <w:t xml:space="preserve">С учетом этого урока при реализации подпрограммы будут приложены дополнительные усилия с целью поддержать развитие на международном уровне </w:t>
      </w:r>
      <w:r w:rsidRPr="00D712D1">
        <w:lastRenderedPageBreak/>
        <w:t>устойчивых систем внутреннего транспорта и обеспечить, чтобы осуществляемые в контексте подпрограммы мероприятия приносили пользу региону ЕЭК и служили источником передового опыта для других регионов в контексте их собственных усилий по снижению уровня смертности и травматизма на дорогах; улучшить экологические показатели систем внутреннего транспорта, включая необходимость содействия экономике замкнутого цикла и устойчивому использованию природных ресурсов, а также сокращению выбросов; и повысить эффективность, транспортную связанность и доступность для всех, включая людей с инвалидностью, благодаря цифровизации документооборота и процедур, относящихся к транспортной отрасли, и поощрению использования автоматизированных транспортных средств. В рамках подпрограммы планируется усилить нормативно-правовую поддержку в области реализации Стратегии Комитета по внутреннему транспорту на период до 2030 года (см. ECE/TRANS/288/Add.2), в частности посредством анализа тенденций и проблем в других регионах, чтобы стимулировать более широкое участие стран, не входящих в регион ЕЭК, и женщин в деятельности Комитета и его вспомогательных органов. Планируется также расширение масштабов информационно-просветительской деятельности и деятельности по наращиванию потенциала, в том числе в рамках партнерств со структурами системы Организации Объединенных Наций и внешними заинтересованными сторонами.</w:t>
      </w:r>
    </w:p>
    <w:p w14:paraId="2EA0CCA4" w14:textId="77777777" w:rsidR="00D712D1" w:rsidRPr="00D712D1" w:rsidRDefault="00D712D1" w:rsidP="00D712D1">
      <w:pPr>
        <w:pStyle w:val="SingleTxtG"/>
      </w:pPr>
      <w:r w:rsidRPr="00D712D1">
        <w:t>17.</w:t>
      </w:r>
      <w:r w:rsidRPr="00D712D1">
        <w:tab/>
        <w:t>Об ожидаемом прогрессе в достижении цели позволяет судить представленный ниже показатель для оценки работы (см. рис. 3).</w:t>
      </w:r>
    </w:p>
    <w:p w14:paraId="47D2AC07" w14:textId="5E44447C" w:rsidR="00D712D1" w:rsidRPr="002B3CD5" w:rsidRDefault="002B3CD5" w:rsidP="002B3CD5">
      <w:pPr>
        <w:pStyle w:val="1"/>
        <w:spacing w:before="240" w:after="120"/>
        <w:ind w:left="1134" w:right="1133" w:hanging="1134"/>
        <w:jc w:val="left"/>
        <w:rPr>
          <w:rFonts w:cs="Times New Roman"/>
          <w:b w:val="0"/>
          <w:bCs w:val="0"/>
          <w:szCs w:val="20"/>
        </w:rPr>
      </w:pPr>
      <w:r>
        <w:rPr>
          <w:rFonts w:cs="Times New Roman"/>
          <w:b w:val="0"/>
          <w:bCs w:val="0"/>
          <w:szCs w:val="20"/>
        </w:rPr>
        <w:tab/>
      </w:r>
      <w:r>
        <w:rPr>
          <w:rFonts w:cs="Times New Roman"/>
          <w:b w:val="0"/>
          <w:bCs w:val="0"/>
          <w:szCs w:val="20"/>
        </w:rPr>
        <w:tab/>
      </w:r>
      <w:r w:rsidR="00D712D1" w:rsidRPr="00D712D1">
        <w:rPr>
          <w:rFonts w:cs="Times New Roman"/>
          <w:b w:val="0"/>
          <w:bCs w:val="0"/>
          <w:szCs w:val="20"/>
        </w:rPr>
        <w:t>Рис. 3</w:t>
      </w:r>
      <w:r w:rsidRPr="002B3CD5">
        <w:rPr>
          <w:rFonts w:cs="Times New Roman"/>
          <w:b w:val="0"/>
          <w:bCs w:val="0"/>
          <w:szCs w:val="20"/>
        </w:rPr>
        <w:br/>
      </w:r>
      <w:r w:rsidR="00D712D1" w:rsidRPr="002B3CD5">
        <w:rPr>
          <w:rFonts w:cs="Times New Roman"/>
          <w:szCs w:val="20"/>
        </w:rPr>
        <w:t>Показатель для оценки работы: число договаривающихся сторон правовых документов Организации Объединенных Наций в области транспорта, находящихся в ведении Европейской экономической комиссии (сводный показатель)</w:t>
      </w:r>
    </w:p>
    <w:p w14:paraId="0D0E96C5" w14:textId="294259C9" w:rsidR="00D712D1" w:rsidRPr="00F607A5" w:rsidRDefault="00D712D1" w:rsidP="00F607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spacing w:val="4"/>
          <w:w w:val="103"/>
          <w:kern w:val="14"/>
          <w:sz w:val="10"/>
        </w:rPr>
      </w:pPr>
    </w:p>
    <w:p w14:paraId="08867310" w14:textId="619AB198" w:rsidR="00F607A5" w:rsidRDefault="00F607A5" w:rsidP="00F607A5">
      <w:pPr>
        <w:pStyle w:val="SingleTxtG"/>
        <w:ind w:left="0"/>
        <w:rPr>
          <w:b/>
          <w:bCs/>
        </w:rPr>
      </w:pPr>
      <w:r w:rsidRPr="00F607A5">
        <w:rPr>
          <w:rFonts w:eastAsia="Calibri"/>
          <w:noProof/>
          <w:spacing w:val="4"/>
          <w:w w:val="103"/>
          <w:kern w:val="14"/>
          <w:sz w:val="10"/>
        </w:rPr>
        <w:drawing>
          <wp:inline distT="0" distB="0" distL="0" distR="0" wp14:anchorId="069C09A3" wp14:editId="2EBC8A8A">
            <wp:extent cx="6120130" cy="1816640"/>
            <wp:effectExtent l="0" t="0" r="0" b="0"/>
            <wp:docPr id="18" name="Chart 18">
              <a:extLst xmlns:a="http://schemas.openxmlformats.org/drawingml/2006/main">
                <a:ext uri="{FF2B5EF4-FFF2-40B4-BE49-F238E27FC236}">
                  <a16:creationId xmlns:a16="http://schemas.microsoft.com/office/drawing/2014/main" id="{A4A0B984-A635-4DA2-B973-B11C6556D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B55F65" w14:textId="0139267E" w:rsidR="00D712D1" w:rsidRPr="00D712D1" w:rsidRDefault="00D712D1" w:rsidP="00F607A5">
      <w:pPr>
        <w:pStyle w:val="HChG"/>
      </w:pPr>
      <w:r w:rsidRPr="00D712D1">
        <w:tab/>
        <w:t>IV.</w:t>
      </w:r>
      <w:r w:rsidRPr="00D712D1">
        <w:tab/>
        <w:t>Внешние факторы</w:t>
      </w:r>
    </w:p>
    <w:p w14:paraId="7B199B8D" w14:textId="77777777" w:rsidR="00D712D1" w:rsidRPr="00D712D1" w:rsidRDefault="00D712D1" w:rsidP="00D712D1">
      <w:pPr>
        <w:pStyle w:val="SingleTxtG"/>
      </w:pPr>
      <w:r w:rsidRPr="00D712D1">
        <w:t>18.</w:t>
      </w:r>
      <w:r w:rsidRPr="00D712D1">
        <w:tab/>
        <w:t>Предполагается, что цели подпрограммы будут реализованы, если: a) заинтересованные стороны смогут достичь консенсуса при обновлении действующих и разработке новых правовых документов; b) будут действовать благоприятные условия для присоединения к конвенциям Организации Объединенных Наций в области транспорта, их осуществления и обеспечения их соблюдения на национальном уровне; c) на международном уровне будет наблюдаться стабильный политический климат, способствующий расширению транспортной инфраструктуры и транспортных сетей и упрощению процедур пересечения границ; d) будет проявлена политическая воля для поддержания развития устойчивой мобильности.</w:t>
      </w:r>
    </w:p>
    <w:p w14:paraId="207165B6" w14:textId="7974FF94" w:rsidR="00D712D1" w:rsidRPr="00D712D1" w:rsidRDefault="00D712D1" w:rsidP="00F607A5">
      <w:pPr>
        <w:pStyle w:val="HChG"/>
      </w:pPr>
      <w:r w:rsidRPr="00D712D1">
        <w:lastRenderedPageBreak/>
        <w:tab/>
        <w:t>V.</w:t>
      </w:r>
      <w:r w:rsidRPr="00D712D1">
        <w:tab/>
        <w:t>Виды деятельности, подлежащие осуществлению в</w:t>
      </w:r>
      <w:r w:rsidR="00F607A5">
        <w:t> </w:t>
      </w:r>
      <w:r w:rsidRPr="00D712D1">
        <w:t>2023</w:t>
      </w:r>
      <w:r w:rsidR="00F607A5">
        <w:t> </w:t>
      </w:r>
      <w:r w:rsidRPr="00D712D1">
        <w:t>году</w:t>
      </w:r>
    </w:p>
    <w:p w14:paraId="30686C00" w14:textId="1B82B63F" w:rsidR="00D712D1" w:rsidRPr="00D712D1" w:rsidRDefault="00D712D1" w:rsidP="00D712D1">
      <w:pPr>
        <w:pStyle w:val="SingleTxtG"/>
      </w:pPr>
      <w:r w:rsidRPr="00D712D1">
        <w:t>19.</w:t>
      </w:r>
      <w:r w:rsidRPr="00D712D1">
        <w:tab/>
        <w:t>В нижеследующей таблице</w:t>
      </w:r>
      <w:r w:rsidR="00F607A5">
        <w:t xml:space="preserve"> </w:t>
      </w:r>
      <w:r w:rsidRPr="00D712D1">
        <w:t>— в разбивке по категориям и подкатегориям</w:t>
      </w:r>
      <w:r w:rsidR="00F607A5">
        <w:t xml:space="preserve"> </w:t>
      </w:r>
      <w:r w:rsidRPr="00D712D1">
        <w:t>— перечислены все виды деятельности, которые, как ожидается, будут способствовать достижению изложенной выше цели.</w:t>
      </w:r>
    </w:p>
    <w:tbl>
      <w:tblPr>
        <w:tblStyle w:val="TableGrid1"/>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96"/>
        <w:gridCol w:w="34"/>
        <w:gridCol w:w="1275"/>
      </w:tblGrid>
      <w:tr w:rsidR="00D712D1" w:rsidRPr="00AB6FC3" w14:paraId="0DB5CF76" w14:textId="77777777" w:rsidTr="00F607A5">
        <w:trPr>
          <w:tblHeader/>
        </w:trPr>
        <w:tc>
          <w:tcPr>
            <w:tcW w:w="7230" w:type="dxa"/>
            <w:gridSpan w:val="2"/>
            <w:tcBorders>
              <w:top w:val="single" w:sz="4" w:space="0" w:color="auto"/>
              <w:bottom w:val="single" w:sz="12" w:space="0" w:color="auto"/>
            </w:tcBorders>
            <w:shd w:val="clear" w:color="auto" w:fill="auto"/>
            <w:vAlign w:val="bottom"/>
          </w:tcPr>
          <w:p w14:paraId="60D0CC3B" w14:textId="77777777" w:rsidR="00D712D1" w:rsidRPr="002F409F" w:rsidRDefault="00D712D1" w:rsidP="00F607A5">
            <w:pPr>
              <w:spacing w:before="80" w:after="80" w:line="200" w:lineRule="exact"/>
              <w:ind w:right="40"/>
              <w:rPr>
                <w:i/>
                <w:spacing w:val="4"/>
                <w:w w:val="103"/>
                <w:kern w:val="14"/>
                <w:sz w:val="16"/>
                <w:szCs w:val="16"/>
              </w:rPr>
            </w:pPr>
            <w:r w:rsidRPr="002F409F">
              <w:rPr>
                <w:i/>
                <w:iCs/>
                <w:sz w:val="16"/>
                <w:szCs w:val="16"/>
              </w:rPr>
              <w:t>Категория и подкатегория</w:t>
            </w:r>
          </w:p>
        </w:tc>
        <w:tc>
          <w:tcPr>
            <w:tcW w:w="1275" w:type="dxa"/>
            <w:tcBorders>
              <w:top w:val="single" w:sz="4" w:space="0" w:color="auto"/>
              <w:bottom w:val="single" w:sz="12" w:space="0" w:color="auto"/>
            </w:tcBorders>
            <w:shd w:val="clear" w:color="auto" w:fill="auto"/>
            <w:vAlign w:val="bottom"/>
          </w:tcPr>
          <w:p w14:paraId="4537EE17" w14:textId="75F50980" w:rsidR="00D712D1" w:rsidRPr="002F409F" w:rsidRDefault="00D712D1" w:rsidP="00F607A5">
            <w:pPr>
              <w:spacing w:before="80" w:after="80" w:line="200" w:lineRule="exact"/>
              <w:ind w:right="40"/>
              <w:jc w:val="right"/>
              <w:rPr>
                <w:i/>
                <w:spacing w:val="4"/>
                <w:w w:val="103"/>
                <w:kern w:val="14"/>
                <w:sz w:val="16"/>
                <w:szCs w:val="16"/>
              </w:rPr>
            </w:pPr>
            <w:r w:rsidRPr="002F409F">
              <w:rPr>
                <w:i/>
                <w:iCs/>
                <w:sz w:val="16"/>
                <w:szCs w:val="16"/>
              </w:rPr>
              <w:t>2023 год  Запланированныйпоказатель</w:t>
            </w:r>
          </w:p>
        </w:tc>
      </w:tr>
      <w:tr w:rsidR="00D712D1" w:rsidRPr="00AB6FC3" w14:paraId="496A8A77" w14:textId="77777777" w:rsidTr="00F607A5">
        <w:trPr>
          <w:trHeight w:hRule="exact" w:val="115"/>
          <w:tblHeader/>
        </w:trPr>
        <w:tc>
          <w:tcPr>
            <w:tcW w:w="7230" w:type="dxa"/>
            <w:gridSpan w:val="2"/>
            <w:tcBorders>
              <w:top w:val="single" w:sz="12" w:space="0" w:color="auto"/>
            </w:tcBorders>
            <w:shd w:val="clear" w:color="auto" w:fill="auto"/>
            <w:vAlign w:val="bottom"/>
          </w:tcPr>
          <w:p w14:paraId="12E492F3" w14:textId="77777777" w:rsidR="00D712D1" w:rsidRPr="00AB6FC3" w:rsidRDefault="00D712D1" w:rsidP="00C22FAD">
            <w:pPr>
              <w:spacing w:before="40" w:after="40" w:line="210" w:lineRule="exact"/>
              <w:ind w:right="40"/>
              <w:rPr>
                <w:spacing w:val="4"/>
                <w:w w:val="103"/>
                <w:kern w:val="14"/>
                <w:sz w:val="17"/>
              </w:rPr>
            </w:pPr>
          </w:p>
        </w:tc>
        <w:tc>
          <w:tcPr>
            <w:tcW w:w="1275" w:type="dxa"/>
            <w:tcBorders>
              <w:top w:val="single" w:sz="12" w:space="0" w:color="auto"/>
            </w:tcBorders>
            <w:shd w:val="clear" w:color="auto" w:fill="auto"/>
            <w:vAlign w:val="bottom"/>
          </w:tcPr>
          <w:p w14:paraId="65E626C7" w14:textId="77777777" w:rsidR="00D712D1" w:rsidRPr="00AB6FC3" w:rsidRDefault="00D712D1" w:rsidP="00C22FAD">
            <w:pPr>
              <w:spacing w:before="40" w:after="40" w:line="210" w:lineRule="exact"/>
              <w:ind w:left="101" w:right="40"/>
              <w:jc w:val="right"/>
              <w:rPr>
                <w:spacing w:val="4"/>
                <w:w w:val="103"/>
                <w:kern w:val="14"/>
                <w:sz w:val="17"/>
              </w:rPr>
            </w:pPr>
          </w:p>
        </w:tc>
      </w:tr>
      <w:tr w:rsidR="00D712D1" w:rsidRPr="00F607A5" w14:paraId="05AE7A79" w14:textId="77777777" w:rsidTr="00F607A5">
        <w:tc>
          <w:tcPr>
            <w:tcW w:w="7230" w:type="dxa"/>
            <w:gridSpan w:val="2"/>
            <w:shd w:val="clear" w:color="auto" w:fill="auto"/>
            <w:vAlign w:val="bottom"/>
          </w:tcPr>
          <w:p w14:paraId="174EDFD5" w14:textId="77777777" w:rsidR="00D712D1" w:rsidRPr="00F607A5" w:rsidRDefault="00D712D1" w:rsidP="00F607A5">
            <w:pPr>
              <w:tabs>
                <w:tab w:val="left" w:pos="288"/>
                <w:tab w:val="left" w:pos="576"/>
                <w:tab w:val="left" w:pos="864"/>
                <w:tab w:val="left" w:pos="1152"/>
              </w:tabs>
              <w:spacing w:before="40" w:after="40" w:line="220" w:lineRule="exact"/>
              <w:ind w:right="40"/>
              <w:rPr>
                <w:b/>
                <w:bCs/>
                <w:spacing w:val="4"/>
                <w:w w:val="103"/>
                <w:kern w:val="14"/>
                <w:sz w:val="18"/>
                <w:szCs w:val="18"/>
              </w:rPr>
            </w:pPr>
            <w:r w:rsidRPr="00F607A5">
              <w:rPr>
                <w:b/>
                <w:bCs/>
                <w:sz w:val="18"/>
                <w:szCs w:val="18"/>
              </w:rPr>
              <w:t>A.</w:t>
            </w:r>
            <w:r w:rsidRPr="00F607A5">
              <w:rPr>
                <w:sz w:val="18"/>
                <w:szCs w:val="18"/>
              </w:rPr>
              <w:tab/>
            </w:r>
            <w:r w:rsidRPr="00F607A5">
              <w:rPr>
                <w:b/>
                <w:bCs/>
                <w:sz w:val="18"/>
                <w:szCs w:val="18"/>
              </w:rPr>
              <w:t>Содействие межправительственному процессу и работе экспертных органов</w:t>
            </w:r>
          </w:p>
        </w:tc>
        <w:tc>
          <w:tcPr>
            <w:tcW w:w="1275" w:type="dxa"/>
            <w:shd w:val="clear" w:color="auto" w:fill="auto"/>
            <w:vAlign w:val="bottom"/>
          </w:tcPr>
          <w:p w14:paraId="47EDB7BC"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p>
        </w:tc>
      </w:tr>
      <w:tr w:rsidR="00D712D1" w:rsidRPr="00F607A5" w14:paraId="35CA373D" w14:textId="77777777" w:rsidTr="00F607A5">
        <w:tc>
          <w:tcPr>
            <w:tcW w:w="7230" w:type="dxa"/>
            <w:gridSpan w:val="2"/>
            <w:shd w:val="clear" w:color="auto" w:fill="auto"/>
            <w:vAlign w:val="bottom"/>
          </w:tcPr>
          <w:p w14:paraId="119D18E6"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 xml:space="preserve">Документация для заседающих органов </w:t>
            </w:r>
            <w:r w:rsidRPr="00F607A5">
              <w:rPr>
                <w:sz w:val="18"/>
                <w:szCs w:val="18"/>
              </w:rPr>
              <w:t>(количество документов)</w:t>
            </w:r>
          </w:p>
        </w:tc>
        <w:tc>
          <w:tcPr>
            <w:tcW w:w="1275" w:type="dxa"/>
            <w:shd w:val="clear" w:color="auto" w:fill="auto"/>
            <w:vAlign w:val="center"/>
          </w:tcPr>
          <w:p w14:paraId="52D0F816"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1 266</w:t>
            </w:r>
          </w:p>
        </w:tc>
      </w:tr>
      <w:tr w:rsidR="00D712D1" w:rsidRPr="00F607A5" w14:paraId="33C246EB" w14:textId="77777777" w:rsidTr="00F607A5">
        <w:tc>
          <w:tcPr>
            <w:tcW w:w="7230" w:type="dxa"/>
            <w:gridSpan w:val="2"/>
            <w:shd w:val="clear" w:color="auto" w:fill="auto"/>
            <w:vAlign w:val="bottom"/>
          </w:tcPr>
          <w:p w14:paraId="29B5F16F" w14:textId="3D13649C"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w:t>
            </w:r>
            <w:r w:rsidR="00F607A5">
              <w:rPr>
                <w:sz w:val="18"/>
                <w:szCs w:val="18"/>
              </w:rPr>
              <w:tab/>
            </w:r>
            <w:r w:rsidRPr="00F607A5">
              <w:rPr>
                <w:sz w:val="18"/>
                <w:szCs w:val="18"/>
              </w:rPr>
              <w:t>Документация для Комитета по внутреннему транспорту</w:t>
            </w:r>
          </w:p>
        </w:tc>
        <w:tc>
          <w:tcPr>
            <w:tcW w:w="1275" w:type="dxa"/>
            <w:shd w:val="clear" w:color="auto" w:fill="auto"/>
            <w:vAlign w:val="center"/>
          </w:tcPr>
          <w:p w14:paraId="43FBF3BC"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1 080</w:t>
            </w:r>
          </w:p>
        </w:tc>
      </w:tr>
      <w:tr w:rsidR="00D712D1" w:rsidRPr="00F607A5" w14:paraId="4B571474" w14:textId="77777777" w:rsidTr="00F607A5">
        <w:tc>
          <w:tcPr>
            <w:tcW w:w="7230" w:type="dxa"/>
            <w:gridSpan w:val="2"/>
            <w:shd w:val="clear" w:color="auto" w:fill="auto"/>
            <w:vAlign w:val="bottom"/>
          </w:tcPr>
          <w:p w14:paraId="3F27741F"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a.</w:t>
            </w:r>
            <w:r w:rsidRPr="00F607A5">
              <w:rPr>
                <w:sz w:val="18"/>
                <w:szCs w:val="18"/>
              </w:rPr>
              <w:tab/>
              <w:t>Комитет по внутреннему транспорту и Бюро</w:t>
            </w:r>
          </w:p>
        </w:tc>
        <w:tc>
          <w:tcPr>
            <w:tcW w:w="1275" w:type="dxa"/>
            <w:shd w:val="clear" w:color="auto" w:fill="auto"/>
            <w:vAlign w:val="center"/>
          </w:tcPr>
          <w:p w14:paraId="679E9F6D"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31</w:t>
            </w:r>
          </w:p>
        </w:tc>
      </w:tr>
      <w:tr w:rsidR="00D712D1" w:rsidRPr="00F607A5" w14:paraId="27EDB3D8" w14:textId="77777777" w:rsidTr="00F607A5">
        <w:tc>
          <w:tcPr>
            <w:tcW w:w="7230" w:type="dxa"/>
            <w:gridSpan w:val="2"/>
            <w:shd w:val="clear" w:color="auto" w:fill="auto"/>
            <w:vAlign w:val="bottom"/>
          </w:tcPr>
          <w:p w14:paraId="66B889A5"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b.</w:t>
            </w:r>
            <w:r w:rsidRPr="00F607A5">
              <w:rPr>
                <w:sz w:val="18"/>
                <w:szCs w:val="18"/>
              </w:rPr>
              <w:tab/>
              <w:t>Всемирный форум для согласования правил в области транспортных средств</w:t>
            </w:r>
          </w:p>
        </w:tc>
        <w:tc>
          <w:tcPr>
            <w:tcW w:w="1275" w:type="dxa"/>
            <w:shd w:val="clear" w:color="auto" w:fill="auto"/>
            <w:vAlign w:val="center"/>
          </w:tcPr>
          <w:p w14:paraId="5085612C"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500</w:t>
            </w:r>
          </w:p>
        </w:tc>
      </w:tr>
      <w:tr w:rsidR="00D712D1" w:rsidRPr="00F607A5" w14:paraId="27487B4F" w14:textId="77777777" w:rsidTr="00F607A5">
        <w:tc>
          <w:tcPr>
            <w:tcW w:w="7230" w:type="dxa"/>
            <w:gridSpan w:val="2"/>
            <w:shd w:val="clear" w:color="auto" w:fill="auto"/>
            <w:vAlign w:val="bottom"/>
          </w:tcPr>
          <w:p w14:paraId="65193DA8"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c.</w:t>
            </w:r>
            <w:r w:rsidRPr="00F607A5">
              <w:rPr>
                <w:sz w:val="18"/>
                <w:szCs w:val="18"/>
              </w:rPr>
              <w:tab/>
              <w:t>Рабочая группа по перевозкам скоропортящихся пищевых продуктов</w:t>
            </w:r>
          </w:p>
        </w:tc>
        <w:tc>
          <w:tcPr>
            <w:tcW w:w="1275" w:type="dxa"/>
            <w:shd w:val="clear" w:color="auto" w:fill="auto"/>
            <w:vAlign w:val="center"/>
          </w:tcPr>
          <w:p w14:paraId="145F4E38"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33</w:t>
            </w:r>
          </w:p>
        </w:tc>
      </w:tr>
      <w:tr w:rsidR="00D712D1" w:rsidRPr="00F607A5" w14:paraId="5E21D533" w14:textId="77777777" w:rsidTr="00F607A5">
        <w:tc>
          <w:tcPr>
            <w:tcW w:w="7230" w:type="dxa"/>
            <w:gridSpan w:val="2"/>
            <w:shd w:val="clear" w:color="auto" w:fill="auto"/>
            <w:vAlign w:val="bottom"/>
          </w:tcPr>
          <w:p w14:paraId="22AF4BAF"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d.</w:t>
            </w:r>
            <w:r w:rsidRPr="00F607A5">
              <w:rPr>
                <w:sz w:val="18"/>
                <w:szCs w:val="18"/>
              </w:rPr>
              <w:tab/>
              <w:t>Рабочая группа по перевозкам опасных грузов</w:t>
            </w:r>
          </w:p>
        </w:tc>
        <w:tc>
          <w:tcPr>
            <w:tcW w:w="1275" w:type="dxa"/>
            <w:shd w:val="clear" w:color="auto" w:fill="auto"/>
            <w:vAlign w:val="center"/>
          </w:tcPr>
          <w:p w14:paraId="39F74514"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 xml:space="preserve">214 </w:t>
            </w:r>
          </w:p>
        </w:tc>
      </w:tr>
      <w:tr w:rsidR="00D712D1" w:rsidRPr="00F607A5" w14:paraId="4BD17D8E" w14:textId="77777777" w:rsidTr="00F607A5">
        <w:tc>
          <w:tcPr>
            <w:tcW w:w="7230" w:type="dxa"/>
            <w:gridSpan w:val="2"/>
            <w:shd w:val="clear" w:color="auto" w:fill="auto"/>
            <w:vAlign w:val="bottom"/>
          </w:tcPr>
          <w:p w14:paraId="52FCE390"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e.</w:t>
            </w:r>
            <w:r w:rsidRPr="00F607A5">
              <w:rPr>
                <w:sz w:val="18"/>
                <w:szCs w:val="18"/>
              </w:rPr>
              <w:tab/>
              <w:t>Рабочая группа по тенденциям и экономике транспорта и вспомогательные группы экспертов</w:t>
            </w:r>
          </w:p>
        </w:tc>
        <w:tc>
          <w:tcPr>
            <w:tcW w:w="1275" w:type="dxa"/>
            <w:shd w:val="clear" w:color="auto" w:fill="auto"/>
            <w:vAlign w:val="center"/>
          </w:tcPr>
          <w:p w14:paraId="4AB2E394"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28</w:t>
            </w:r>
          </w:p>
        </w:tc>
      </w:tr>
      <w:tr w:rsidR="00D712D1" w:rsidRPr="00F607A5" w14:paraId="6BC269C9" w14:textId="77777777" w:rsidTr="00F607A5">
        <w:tc>
          <w:tcPr>
            <w:tcW w:w="7230" w:type="dxa"/>
            <w:gridSpan w:val="2"/>
            <w:shd w:val="clear" w:color="auto" w:fill="auto"/>
            <w:vAlign w:val="bottom"/>
          </w:tcPr>
          <w:p w14:paraId="3ECA93CB"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f.</w:t>
            </w:r>
            <w:r w:rsidRPr="00F607A5">
              <w:rPr>
                <w:sz w:val="18"/>
                <w:szCs w:val="18"/>
              </w:rPr>
              <w:tab/>
              <w:t>Рабочая группа по статистике транспорта</w:t>
            </w:r>
          </w:p>
        </w:tc>
        <w:tc>
          <w:tcPr>
            <w:tcW w:w="1275" w:type="dxa"/>
            <w:shd w:val="clear" w:color="auto" w:fill="auto"/>
            <w:vAlign w:val="center"/>
          </w:tcPr>
          <w:p w14:paraId="7C94991A"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14</w:t>
            </w:r>
          </w:p>
        </w:tc>
      </w:tr>
      <w:tr w:rsidR="00D712D1" w:rsidRPr="00F607A5" w14:paraId="361A86DF" w14:textId="77777777" w:rsidTr="00F607A5">
        <w:tc>
          <w:tcPr>
            <w:tcW w:w="7230" w:type="dxa"/>
            <w:gridSpan w:val="2"/>
            <w:shd w:val="clear" w:color="auto" w:fill="auto"/>
            <w:vAlign w:val="bottom"/>
          </w:tcPr>
          <w:p w14:paraId="1C61413A"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g.</w:t>
            </w:r>
            <w:r w:rsidRPr="00F607A5">
              <w:rPr>
                <w:sz w:val="18"/>
                <w:szCs w:val="18"/>
              </w:rPr>
              <w:tab/>
              <w:t>Рабочая группа по автомобильному транспорту и вспомогательные группы экспертов</w:t>
            </w:r>
          </w:p>
        </w:tc>
        <w:tc>
          <w:tcPr>
            <w:tcW w:w="1275" w:type="dxa"/>
            <w:shd w:val="clear" w:color="auto" w:fill="auto"/>
            <w:vAlign w:val="center"/>
          </w:tcPr>
          <w:p w14:paraId="5A1015A0"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28</w:t>
            </w:r>
          </w:p>
        </w:tc>
      </w:tr>
      <w:tr w:rsidR="00D712D1" w:rsidRPr="00F607A5" w14:paraId="1FE65CE3" w14:textId="77777777" w:rsidTr="00F607A5">
        <w:tc>
          <w:tcPr>
            <w:tcW w:w="7230" w:type="dxa"/>
            <w:gridSpan w:val="2"/>
            <w:shd w:val="clear" w:color="auto" w:fill="auto"/>
            <w:vAlign w:val="bottom"/>
          </w:tcPr>
          <w:p w14:paraId="32B4FA7F"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h.</w:t>
            </w:r>
            <w:r w:rsidRPr="00F607A5">
              <w:rPr>
                <w:sz w:val="18"/>
                <w:szCs w:val="18"/>
              </w:rPr>
              <w:tab/>
              <w:t>Глобальный форум по безопасности дорожного движения и вспомогательные группы экспертов</w:t>
            </w:r>
          </w:p>
        </w:tc>
        <w:tc>
          <w:tcPr>
            <w:tcW w:w="1275" w:type="dxa"/>
            <w:shd w:val="clear" w:color="auto" w:fill="auto"/>
            <w:vAlign w:val="center"/>
          </w:tcPr>
          <w:p w14:paraId="63FA99AD"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40</w:t>
            </w:r>
          </w:p>
        </w:tc>
      </w:tr>
      <w:tr w:rsidR="00D712D1" w:rsidRPr="00F607A5" w14:paraId="74238947" w14:textId="77777777" w:rsidTr="00F607A5">
        <w:tc>
          <w:tcPr>
            <w:tcW w:w="7230" w:type="dxa"/>
            <w:gridSpan w:val="2"/>
            <w:shd w:val="clear" w:color="auto" w:fill="auto"/>
            <w:vAlign w:val="bottom"/>
          </w:tcPr>
          <w:p w14:paraId="63863E8A"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i.</w:t>
            </w:r>
            <w:r w:rsidRPr="00F607A5">
              <w:rPr>
                <w:sz w:val="18"/>
                <w:szCs w:val="18"/>
              </w:rPr>
              <w:tab/>
              <w:t>Рабочая группа по железнодорожному транспорту и вспомогательные группы экспертов</w:t>
            </w:r>
          </w:p>
        </w:tc>
        <w:tc>
          <w:tcPr>
            <w:tcW w:w="1275" w:type="dxa"/>
            <w:shd w:val="clear" w:color="auto" w:fill="auto"/>
            <w:vAlign w:val="center"/>
          </w:tcPr>
          <w:p w14:paraId="301A1850"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30</w:t>
            </w:r>
          </w:p>
        </w:tc>
      </w:tr>
      <w:tr w:rsidR="00D712D1" w:rsidRPr="00F607A5" w14:paraId="078FDEC7" w14:textId="77777777" w:rsidTr="00F607A5">
        <w:tc>
          <w:tcPr>
            <w:tcW w:w="7230" w:type="dxa"/>
            <w:gridSpan w:val="2"/>
            <w:shd w:val="clear" w:color="auto" w:fill="auto"/>
            <w:vAlign w:val="bottom"/>
          </w:tcPr>
          <w:p w14:paraId="12566F4B"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j.</w:t>
            </w:r>
            <w:r w:rsidRPr="00F607A5">
              <w:rPr>
                <w:sz w:val="18"/>
                <w:szCs w:val="18"/>
              </w:rPr>
              <w:tab/>
              <w:t>Рабочая группа по интермодальным перевозкам и логистике</w:t>
            </w:r>
          </w:p>
        </w:tc>
        <w:tc>
          <w:tcPr>
            <w:tcW w:w="1275" w:type="dxa"/>
            <w:shd w:val="clear" w:color="auto" w:fill="auto"/>
            <w:vAlign w:val="center"/>
          </w:tcPr>
          <w:p w14:paraId="18F84586"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15</w:t>
            </w:r>
          </w:p>
        </w:tc>
      </w:tr>
      <w:tr w:rsidR="00D712D1" w:rsidRPr="00F607A5" w14:paraId="30F73897" w14:textId="77777777" w:rsidTr="00F607A5">
        <w:tc>
          <w:tcPr>
            <w:tcW w:w="7230" w:type="dxa"/>
            <w:gridSpan w:val="2"/>
            <w:shd w:val="clear" w:color="auto" w:fill="auto"/>
            <w:vAlign w:val="bottom"/>
          </w:tcPr>
          <w:p w14:paraId="35623B81"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k.</w:t>
            </w:r>
            <w:r w:rsidRPr="00F607A5">
              <w:rPr>
                <w:sz w:val="18"/>
                <w:szCs w:val="18"/>
              </w:rPr>
              <w:tab/>
              <w:t>Рабочая группа по внутреннему водному транспорту</w:t>
            </w:r>
          </w:p>
        </w:tc>
        <w:tc>
          <w:tcPr>
            <w:tcW w:w="1275" w:type="dxa"/>
            <w:shd w:val="clear" w:color="auto" w:fill="auto"/>
            <w:vAlign w:val="center"/>
          </w:tcPr>
          <w:p w14:paraId="14919B15"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47</w:t>
            </w:r>
          </w:p>
        </w:tc>
      </w:tr>
      <w:tr w:rsidR="00D712D1" w:rsidRPr="00F607A5" w14:paraId="0A2C08BD" w14:textId="77777777" w:rsidTr="00F607A5">
        <w:tc>
          <w:tcPr>
            <w:tcW w:w="7230" w:type="dxa"/>
            <w:gridSpan w:val="2"/>
            <w:shd w:val="clear" w:color="auto" w:fill="auto"/>
            <w:vAlign w:val="bottom"/>
          </w:tcPr>
          <w:p w14:paraId="1742C908" w14:textId="77777777" w:rsidR="00D712D1" w:rsidRPr="00F607A5" w:rsidRDefault="00D712D1" w:rsidP="002F1A3A">
            <w:pPr>
              <w:tabs>
                <w:tab w:val="left" w:pos="288"/>
                <w:tab w:val="left" w:pos="576"/>
                <w:tab w:val="left" w:pos="864"/>
                <w:tab w:val="left" w:pos="1152"/>
              </w:tabs>
              <w:spacing w:before="40" w:after="40" w:line="220" w:lineRule="exact"/>
              <w:ind w:left="864" w:right="14" w:hanging="298"/>
              <w:rPr>
                <w:spacing w:val="2"/>
                <w:w w:val="101"/>
                <w:kern w:val="14"/>
                <w:sz w:val="18"/>
                <w:szCs w:val="18"/>
              </w:rPr>
            </w:pPr>
            <w:r w:rsidRPr="00F607A5">
              <w:rPr>
                <w:sz w:val="18"/>
                <w:szCs w:val="18"/>
              </w:rPr>
              <w:t>l.</w:t>
            </w:r>
            <w:r w:rsidRPr="00F607A5">
              <w:rPr>
                <w:sz w:val="18"/>
                <w:szCs w:val="18"/>
              </w:rPr>
              <w:tab/>
              <w:t>Рабочая группа по таможенным вопросам, связанным с транспортом, и вспомогательные группы экспертов</w:t>
            </w:r>
          </w:p>
        </w:tc>
        <w:tc>
          <w:tcPr>
            <w:tcW w:w="1275" w:type="dxa"/>
            <w:shd w:val="clear" w:color="auto" w:fill="auto"/>
            <w:vAlign w:val="bottom"/>
          </w:tcPr>
          <w:p w14:paraId="7826F904"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100</w:t>
            </w:r>
          </w:p>
        </w:tc>
      </w:tr>
      <w:tr w:rsidR="00D712D1" w:rsidRPr="00F607A5" w14:paraId="646804DC" w14:textId="77777777" w:rsidTr="00F607A5">
        <w:tc>
          <w:tcPr>
            <w:tcW w:w="7230" w:type="dxa"/>
            <w:gridSpan w:val="2"/>
            <w:shd w:val="clear" w:color="auto" w:fill="auto"/>
            <w:vAlign w:val="bottom"/>
          </w:tcPr>
          <w:p w14:paraId="5657FEEB"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2.</w:t>
            </w:r>
            <w:r w:rsidRPr="00F607A5">
              <w:rPr>
                <w:sz w:val="18"/>
                <w:szCs w:val="18"/>
              </w:rPr>
              <w:tab/>
              <w:t>Документация для Экономического и Социального Совета</w:t>
            </w:r>
          </w:p>
        </w:tc>
        <w:tc>
          <w:tcPr>
            <w:tcW w:w="1275" w:type="dxa"/>
            <w:shd w:val="clear" w:color="auto" w:fill="auto"/>
            <w:vAlign w:val="bottom"/>
          </w:tcPr>
          <w:p w14:paraId="08DB696C"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183</w:t>
            </w:r>
          </w:p>
        </w:tc>
      </w:tr>
      <w:tr w:rsidR="00D712D1" w:rsidRPr="00F607A5" w14:paraId="77E9AA72" w14:textId="77777777" w:rsidTr="00F607A5">
        <w:tc>
          <w:tcPr>
            <w:tcW w:w="7230" w:type="dxa"/>
            <w:gridSpan w:val="2"/>
            <w:shd w:val="clear" w:color="auto" w:fill="auto"/>
            <w:vAlign w:val="bottom"/>
          </w:tcPr>
          <w:p w14:paraId="058F67B5"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a.</w:t>
            </w:r>
            <w:r w:rsidRPr="00F607A5">
              <w:rPr>
                <w:sz w:val="18"/>
                <w:szCs w:val="18"/>
              </w:rPr>
              <w:tab/>
              <w:t>Комитет экспертов по перевозке опасных грузов и Согласованной на глобальном уровне системе классификации опасности и маркировки химической продукции</w:t>
            </w:r>
          </w:p>
        </w:tc>
        <w:tc>
          <w:tcPr>
            <w:tcW w:w="1275" w:type="dxa"/>
            <w:shd w:val="clear" w:color="auto" w:fill="auto"/>
            <w:vAlign w:val="bottom"/>
          </w:tcPr>
          <w:p w14:paraId="698A40ED"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44BC0305" w14:textId="77777777" w:rsidTr="00F607A5">
        <w:tc>
          <w:tcPr>
            <w:tcW w:w="7230" w:type="dxa"/>
            <w:gridSpan w:val="2"/>
            <w:shd w:val="clear" w:color="auto" w:fill="auto"/>
            <w:vAlign w:val="bottom"/>
          </w:tcPr>
          <w:p w14:paraId="5A3CDC43" w14:textId="77777777" w:rsidR="00D712D1" w:rsidRPr="00F607A5" w:rsidRDefault="00D712D1" w:rsidP="002F1A3A">
            <w:pPr>
              <w:tabs>
                <w:tab w:val="left" w:pos="288"/>
                <w:tab w:val="left" w:pos="576"/>
                <w:tab w:val="left" w:pos="864"/>
                <w:tab w:val="left" w:pos="1152"/>
              </w:tabs>
              <w:spacing w:before="40" w:after="40" w:line="220" w:lineRule="exact"/>
              <w:ind w:left="850" w:right="40" w:hanging="298"/>
              <w:rPr>
                <w:spacing w:val="4"/>
                <w:w w:val="103"/>
                <w:kern w:val="14"/>
                <w:sz w:val="18"/>
                <w:szCs w:val="18"/>
              </w:rPr>
            </w:pPr>
            <w:r w:rsidRPr="00F607A5">
              <w:rPr>
                <w:sz w:val="18"/>
                <w:szCs w:val="18"/>
              </w:rPr>
              <w:t>b.</w:t>
            </w:r>
            <w:r w:rsidRPr="00F607A5">
              <w:rPr>
                <w:sz w:val="18"/>
                <w:szCs w:val="18"/>
              </w:rPr>
              <w:tab/>
              <w:t>Подкомитет экспертов по перевозке опасных грузов</w:t>
            </w:r>
          </w:p>
        </w:tc>
        <w:tc>
          <w:tcPr>
            <w:tcW w:w="1275" w:type="dxa"/>
            <w:shd w:val="clear" w:color="auto" w:fill="auto"/>
            <w:vAlign w:val="bottom"/>
          </w:tcPr>
          <w:p w14:paraId="6BDAD220"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150</w:t>
            </w:r>
          </w:p>
        </w:tc>
      </w:tr>
      <w:tr w:rsidR="00D712D1" w:rsidRPr="00F607A5" w14:paraId="50D0A5FF" w14:textId="77777777" w:rsidTr="00F607A5">
        <w:tc>
          <w:tcPr>
            <w:tcW w:w="7230" w:type="dxa"/>
            <w:gridSpan w:val="2"/>
            <w:shd w:val="clear" w:color="auto" w:fill="auto"/>
            <w:vAlign w:val="bottom"/>
          </w:tcPr>
          <w:p w14:paraId="7BCCB825"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c.</w:t>
            </w:r>
            <w:r w:rsidRPr="00F607A5">
              <w:rPr>
                <w:sz w:val="18"/>
                <w:szCs w:val="18"/>
              </w:rPr>
              <w:tab/>
              <w:t>Подкомитет экспертов по Согласованной на глобальном уровне системе классификации опасности и маркировки химической продукции</w:t>
            </w:r>
          </w:p>
        </w:tc>
        <w:tc>
          <w:tcPr>
            <w:tcW w:w="1275" w:type="dxa"/>
            <w:shd w:val="clear" w:color="auto" w:fill="auto"/>
            <w:vAlign w:val="bottom"/>
          </w:tcPr>
          <w:p w14:paraId="77C161C4"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32</w:t>
            </w:r>
          </w:p>
        </w:tc>
      </w:tr>
      <w:tr w:rsidR="00D712D1" w:rsidRPr="00F607A5" w14:paraId="42980DA0" w14:textId="77777777" w:rsidTr="00F607A5">
        <w:tc>
          <w:tcPr>
            <w:tcW w:w="7230" w:type="dxa"/>
            <w:gridSpan w:val="2"/>
            <w:shd w:val="clear" w:color="auto" w:fill="auto"/>
            <w:vAlign w:val="bottom"/>
          </w:tcPr>
          <w:p w14:paraId="6F7D02F9" w14:textId="77777777" w:rsidR="00D712D1" w:rsidRPr="00F607A5" w:rsidRDefault="00D712D1" w:rsidP="002F1A3A">
            <w:pPr>
              <w:tabs>
                <w:tab w:val="left" w:pos="288"/>
                <w:tab w:val="left" w:pos="576"/>
                <w:tab w:val="left" w:pos="864"/>
                <w:tab w:val="left" w:pos="1152"/>
              </w:tabs>
              <w:spacing w:before="40" w:after="40" w:line="220" w:lineRule="exact"/>
              <w:ind w:left="576" w:right="40" w:hanging="293"/>
              <w:rPr>
                <w:spacing w:val="4"/>
                <w:w w:val="103"/>
                <w:kern w:val="14"/>
                <w:sz w:val="18"/>
                <w:szCs w:val="18"/>
              </w:rPr>
            </w:pPr>
            <w:r w:rsidRPr="00F607A5">
              <w:rPr>
                <w:sz w:val="18"/>
                <w:szCs w:val="18"/>
              </w:rPr>
              <w:t>3.</w:t>
            </w:r>
            <w:r w:rsidRPr="00F607A5">
              <w:rPr>
                <w:sz w:val="18"/>
                <w:szCs w:val="18"/>
              </w:rPr>
              <w:tab/>
              <w:t>Документация для Совещания высокого уровня по транспорту, окружающей среде и охране здоровья</w:t>
            </w:r>
          </w:p>
        </w:tc>
        <w:tc>
          <w:tcPr>
            <w:tcW w:w="1275" w:type="dxa"/>
            <w:shd w:val="clear" w:color="auto" w:fill="auto"/>
            <w:vAlign w:val="bottom"/>
          </w:tcPr>
          <w:p w14:paraId="29E7F468"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w:t>
            </w:r>
          </w:p>
        </w:tc>
      </w:tr>
      <w:tr w:rsidR="00D712D1" w:rsidRPr="00F607A5" w14:paraId="0AADC57D" w14:textId="77777777" w:rsidTr="00F607A5">
        <w:tc>
          <w:tcPr>
            <w:tcW w:w="7230" w:type="dxa"/>
            <w:gridSpan w:val="2"/>
            <w:shd w:val="clear" w:color="auto" w:fill="auto"/>
            <w:vAlign w:val="bottom"/>
          </w:tcPr>
          <w:p w14:paraId="5E4F96C7"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 xml:space="preserve">Основное обслуживание заседаний </w:t>
            </w:r>
            <w:r w:rsidRPr="00F607A5">
              <w:rPr>
                <w:sz w:val="18"/>
                <w:szCs w:val="18"/>
              </w:rPr>
              <w:t>(количество трехчасовых заседаний)</w:t>
            </w:r>
          </w:p>
        </w:tc>
        <w:tc>
          <w:tcPr>
            <w:tcW w:w="1275" w:type="dxa"/>
            <w:shd w:val="clear" w:color="auto" w:fill="auto"/>
            <w:vAlign w:val="bottom"/>
          </w:tcPr>
          <w:p w14:paraId="2E584076"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456</w:t>
            </w:r>
          </w:p>
        </w:tc>
      </w:tr>
      <w:tr w:rsidR="00D712D1" w:rsidRPr="00F607A5" w14:paraId="2BBD166B" w14:textId="77777777" w:rsidTr="00F607A5">
        <w:tc>
          <w:tcPr>
            <w:tcW w:w="7230" w:type="dxa"/>
            <w:gridSpan w:val="2"/>
            <w:shd w:val="clear" w:color="auto" w:fill="auto"/>
            <w:vAlign w:val="bottom"/>
          </w:tcPr>
          <w:p w14:paraId="477DFEFD"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4.</w:t>
            </w:r>
            <w:r w:rsidRPr="00F607A5">
              <w:rPr>
                <w:sz w:val="18"/>
                <w:szCs w:val="18"/>
              </w:rPr>
              <w:tab/>
              <w:t>Заседания Комитета по внутреннему транспорту</w:t>
            </w:r>
          </w:p>
        </w:tc>
        <w:tc>
          <w:tcPr>
            <w:tcW w:w="1275" w:type="dxa"/>
            <w:shd w:val="clear" w:color="auto" w:fill="auto"/>
            <w:vAlign w:val="bottom"/>
          </w:tcPr>
          <w:p w14:paraId="47ABFAB0"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419</w:t>
            </w:r>
          </w:p>
        </w:tc>
      </w:tr>
      <w:tr w:rsidR="00D712D1" w:rsidRPr="00F607A5" w14:paraId="3F6B6B48" w14:textId="77777777" w:rsidTr="00F607A5">
        <w:tc>
          <w:tcPr>
            <w:tcW w:w="7230" w:type="dxa"/>
            <w:gridSpan w:val="2"/>
            <w:shd w:val="clear" w:color="auto" w:fill="auto"/>
            <w:vAlign w:val="bottom"/>
          </w:tcPr>
          <w:p w14:paraId="1011D09B"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a.</w:t>
            </w:r>
            <w:r w:rsidRPr="00F607A5">
              <w:rPr>
                <w:sz w:val="18"/>
                <w:szCs w:val="18"/>
              </w:rPr>
              <w:tab/>
              <w:t>Комитет по внутреннему транспорту и Бюро</w:t>
            </w:r>
          </w:p>
        </w:tc>
        <w:tc>
          <w:tcPr>
            <w:tcW w:w="1275" w:type="dxa"/>
            <w:shd w:val="clear" w:color="auto" w:fill="auto"/>
            <w:vAlign w:val="bottom"/>
          </w:tcPr>
          <w:p w14:paraId="167C7399"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16</w:t>
            </w:r>
          </w:p>
        </w:tc>
      </w:tr>
      <w:tr w:rsidR="00D712D1" w:rsidRPr="00F607A5" w14:paraId="02C0749E" w14:textId="77777777" w:rsidTr="00F607A5">
        <w:tc>
          <w:tcPr>
            <w:tcW w:w="7230" w:type="dxa"/>
            <w:gridSpan w:val="2"/>
            <w:shd w:val="clear" w:color="auto" w:fill="auto"/>
            <w:vAlign w:val="bottom"/>
          </w:tcPr>
          <w:p w14:paraId="16FF7390"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b.</w:t>
            </w:r>
            <w:r w:rsidRPr="00F607A5">
              <w:rPr>
                <w:sz w:val="18"/>
                <w:szCs w:val="18"/>
              </w:rPr>
              <w:tab/>
              <w:t>Всемирный форум для согласования правил в области транспортных средств</w:t>
            </w:r>
          </w:p>
        </w:tc>
        <w:tc>
          <w:tcPr>
            <w:tcW w:w="1275" w:type="dxa"/>
            <w:shd w:val="clear" w:color="auto" w:fill="auto"/>
            <w:vAlign w:val="bottom"/>
          </w:tcPr>
          <w:p w14:paraId="61011CF3"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111</w:t>
            </w:r>
          </w:p>
        </w:tc>
      </w:tr>
      <w:tr w:rsidR="00D712D1" w:rsidRPr="00F607A5" w14:paraId="5223BF5B" w14:textId="77777777" w:rsidTr="00F607A5">
        <w:tc>
          <w:tcPr>
            <w:tcW w:w="7230" w:type="dxa"/>
            <w:gridSpan w:val="2"/>
            <w:shd w:val="clear" w:color="auto" w:fill="auto"/>
            <w:vAlign w:val="bottom"/>
          </w:tcPr>
          <w:p w14:paraId="2C4678D0"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c.</w:t>
            </w:r>
            <w:r w:rsidRPr="00F607A5">
              <w:rPr>
                <w:sz w:val="18"/>
                <w:szCs w:val="18"/>
              </w:rPr>
              <w:tab/>
              <w:t>Рабочая группа по перевозкам скоропортящихся пищевых продуктов</w:t>
            </w:r>
          </w:p>
        </w:tc>
        <w:tc>
          <w:tcPr>
            <w:tcW w:w="1275" w:type="dxa"/>
            <w:shd w:val="clear" w:color="auto" w:fill="auto"/>
            <w:vAlign w:val="bottom"/>
          </w:tcPr>
          <w:p w14:paraId="26958BDF"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8</w:t>
            </w:r>
          </w:p>
        </w:tc>
      </w:tr>
      <w:tr w:rsidR="00D712D1" w:rsidRPr="00F607A5" w14:paraId="40AD92B1" w14:textId="77777777" w:rsidTr="00F607A5">
        <w:tc>
          <w:tcPr>
            <w:tcW w:w="7230" w:type="dxa"/>
            <w:gridSpan w:val="2"/>
            <w:shd w:val="clear" w:color="auto" w:fill="auto"/>
            <w:vAlign w:val="bottom"/>
          </w:tcPr>
          <w:p w14:paraId="4070DBA1"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d.</w:t>
            </w:r>
            <w:r w:rsidRPr="00F607A5">
              <w:rPr>
                <w:sz w:val="18"/>
                <w:szCs w:val="18"/>
              </w:rPr>
              <w:tab/>
              <w:t>Рабочая группа по перевозкам опасных грузов</w:t>
            </w:r>
          </w:p>
        </w:tc>
        <w:tc>
          <w:tcPr>
            <w:tcW w:w="1275" w:type="dxa"/>
            <w:shd w:val="clear" w:color="auto" w:fill="auto"/>
            <w:vAlign w:val="bottom"/>
          </w:tcPr>
          <w:p w14:paraId="44A67399"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68</w:t>
            </w:r>
          </w:p>
        </w:tc>
      </w:tr>
      <w:tr w:rsidR="00D712D1" w:rsidRPr="00F607A5" w14:paraId="5FD73F44" w14:textId="77777777" w:rsidTr="00F607A5">
        <w:tc>
          <w:tcPr>
            <w:tcW w:w="7230" w:type="dxa"/>
            <w:gridSpan w:val="2"/>
            <w:shd w:val="clear" w:color="auto" w:fill="auto"/>
            <w:vAlign w:val="bottom"/>
          </w:tcPr>
          <w:p w14:paraId="5DE16F88"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e.</w:t>
            </w:r>
            <w:r w:rsidRPr="00F607A5">
              <w:rPr>
                <w:sz w:val="18"/>
                <w:szCs w:val="18"/>
              </w:rPr>
              <w:tab/>
              <w:t>Рабочая группа по тенденциям и экономике транспорта и вспомогательные группы экспертов</w:t>
            </w:r>
          </w:p>
        </w:tc>
        <w:tc>
          <w:tcPr>
            <w:tcW w:w="1275" w:type="dxa"/>
            <w:shd w:val="clear" w:color="auto" w:fill="auto"/>
            <w:vAlign w:val="bottom"/>
          </w:tcPr>
          <w:p w14:paraId="2C80AF71"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22</w:t>
            </w:r>
          </w:p>
        </w:tc>
      </w:tr>
      <w:tr w:rsidR="00D712D1" w:rsidRPr="00F607A5" w14:paraId="76387998" w14:textId="77777777" w:rsidTr="00F607A5">
        <w:tc>
          <w:tcPr>
            <w:tcW w:w="7230" w:type="dxa"/>
            <w:gridSpan w:val="2"/>
            <w:shd w:val="clear" w:color="auto" w:fill="auto"/>
            <w:vAlign w:val="bottom"/>
          </w:tcPr>
          <w:p w14:paraId="5FA2FCE7"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f.</w:t>
            </w:r>
            <w:r w:rsidRPr="00F607A5">
              <w:rPr>
                <w:sz w:val="18"/>
                <w:szCs w:val="18"/>
              </w:rPr>
              <w:tab/>
              <w:t>Рабочая группа по статистике транспорта</w:t>
            </w:r>
          </w:p>
        </w:tc>
        <w:tc>
          <w:tcPr>
            <w:tcW w:w="1275" w:type="dxa"/>
            <w:shd w:val="clear" w:color="auto" w:fill="auto"/>
            <w:vAlign w:val="bottom"/>
          </w:tcPr>
          <w:p w14:paraId="0ACD04A9"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6</w:t>
            </w:r>
          </w:p>
        </w:tc>
      </w:tr>
      <w:tr w:rsidR="00D712D1" w:rsidRPr="00F607A5" w14:paraId="47046674" w14:textId="77777777" w:rsidTr="00F607A5">
        <w:tc>
          <w:tcPr>
            <w:tcW w:w="7230" w:type="dxa"/>
            <w:gridSpan w:val="2"/>
            <w:shd w:val="clear" w:color="auto" w:fill="auto"/>
            <w:vAlign w:val="bottom"/>
          </w:tcPr>
          <w:p w14:paraId="6F9DB0E1"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g.</w:t>
            </w:r>
            <w:r w:rsidRPr="00F607A5">
              <w:rPr>
                <w:sz w:val="18"/>
                <w:szCs w:val="18"/>
              </w:rPr>
              <w:tab/>
              <w:t>Рабочая группа по автомобильному транспорту и вспомогательные группы экспертов</w:t>
            </w:r>
          </w:p>
        </w:tc>
        <w:tc>
          <w:tcPr>
            <w:tcW w:w="1275" w:type="dxa"/>
            <w:shd w:val="clear" w:color="auto" w:fill="auto"/>
            <w:vAlign w:val="bottom"/>
          </w:tcPr>
          <w:p w14:paraId="0F97A0E7"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30</w:t>
            </w:r>
          </w:p>
        </w:tc>
      </w:tr>
      <w:tr w:rsidR="00D712D1" w:rsidRPr="00F607A5" w14:paraId="02939CF9" w14:textId="77777777" w:rsidTr="00F607A5">
        <w:tc>
          <w:tcPr>
            <w:tcW w:w="7230" w:type="dxa"/>
            <w:gridSpan w:val="2"/>
            <w:shd w:val="clear" w:color="auto" w:fill="auto"/>
            <w:vAlign w:val="bottom"/>
          </w:tcPr>
          <w:p w14:paraId="0EDB5440"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h.</w:t>
            </w:r>
            <w:r w:rsidRPr="00F607A5">
              <w:rPr>
                <w:sz w:val="18"/>
                <w:szCs w:val="18"/>
              </w:rPr>
              <w:tab/>
              <w:t>Глобальный форум по безопасности дорожного движения и вспомогательные группы экспертов</w:t>
            </w:r>
          </w:p>
        </w:tc>
        <w:tc>
          <w:tcPr>
            <w:tcW w:w="1275" w:type="dxa"/>
            <w:shd w:val="clear" w:color="auto" w:fill="auto"/>
            <w:vAlign w:val="bottom"/>
          </w:tcPr>
          <w:p w14:paraId="0F3BC224"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28</w:t>
            </w:r>
          </w:p>
        </w:tc>
      </w:tr>
      <w:tr w:rsidR="00D712D1" w:rsidRPr="00F607A5" w14:paraId="6B07ABA2" w14:textId="77777777" w:rsidTr="00F607A5">
        <w:tc>
          <w:tcPr>
            <w:tcW w:w="7230" w:type="dxa"/>
            <w:gridSpan w:val="2"/>
            <w:shd w:val="clear" w:color="auto" w:fill="auto"/>
            <w:vAlign w:val="bottom"/>
          </w:tcPr>
          <w:p w14:paraId="73F9B147"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lastRenderedPageBreak/>
              <w:t>i.</w:t>
            </w:r>
            <w:r w:rsidRPr="00F607A5">
              <w:rPr>
                <w:sz w:val="18"/>
                <w:szCs w:val="18"/>
              </w:rPr>
              <w:tab/>
              <w:t>Рабочая группа по железнодорожному транспорту и вспомогательные группы экспертов</w:t>
            </w:r>
          </w:p>
        </w:tc>
        <w:tc>
          <w:tcPr>
            <w:tcW w:w="1275" w:type="dxa"/>
            <w:shd w:val="clear" w:color="auto" w:fill="auto"/>
            <w:vAlign w:val="bottom"/>
          </w:tcPr>
          <w:p w14:paraId="4D12F32C"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30</w:t>
            </w:r>
          </w:p>
        </w:tc>
      </w:tr>
      <w:tr w:rsidR="00D712D1" w:rsidRPr="00F607A5" w14:paraId="6B304BC6" w14:textId="77777777" w:rsidTr="00F607A5">
        <w:tc>
          <w:tcPr>
            <w:tcW w:w="7230" w:type="dxa"/>
            <w:gridSpan w:val="2"/>
            <w:shd w:val="clear" w:color="auto" w:fill="auto"/>
            <w:vAlign w:val="bottom"/>
          </w:tcPr>
          <w:p w14:paraId="20505F16"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j.</w:t>
            </w:r>
            <w:r w:rsidRPr="00F607A5">
              <w:rPr>
                <w:sz w:val="18"/>
                <w:szCs w:val="18"/>
              </w:rPr>
              <w:tab/>
              <w:t>Рабочая группа по интермодальным перевозкам и логистике</w:t>
            </w:r>
          </w:p>
        </w:tc>
        <w:tc>
          <w:tcPr>
            <w:tcW w:w="1275" w:type="dxa"/>
            <w:shd w:val="clear" w:color="auto" w:fill="auto"/>
            <w:vAlign w:val="bottom"/>
          </w:tcPr>
          <w:p w14:paraId="465CA4EF"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 xml:space="preserve">12 </w:t>
            </w:r>
          </w:p>
        </w:tc>
      </w:tr>
      <w:tr w:rsidR="00D712D1" w:rsidRPr="00F607A5" w14:paraId="7E5EF846" w14:textId="77777777" w:rsidTr="00F607A5">
        <w:tc>
          <w:tcPr>
            <w:tcW w:w="7230" w:type="dxa"/>
            <w:gridSpan w:val="2"/>
            <w:shd w:val="clear" w:color="auto" w:fill="auto"/>
            <w:vAlign w:val="bottom"/>
          </w:tcPr>
          <w:p w14:paraId="36D7DACC"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k.</w:t>
            </w:r>
            <w:r w:rsidRPr="00F607A5">
              <w:rPr>
                <w:sz w:val="18"/>
                <w:szCs w:val="18"/>
              </w:rPr>
              <w:tab/>
              <w:t>Рабочая группа по внутреннему водному транспорту</w:t>
            </w:r>
          </w:p>
        </w:tc>
        <w:tc>
          <w:tcPr>
            <w:tcW w:w="1275" w:type="dxa"/>
            <w:shd w:val="clear" w:color="auto" w:fill="auto"/>
            <w:vAlign w:val="bottom"/>
          </w:tcPr>
          <w:p w14:paraId="11F1A54B"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18</w:t>
            </w:r>
          </w:p>
        </w:tc>
      </w:tr>
      <w:tr w:rsidR="00D712D1" w:rsidRPr="00F607A5" w14:paraId="0698591F" w14:textId="77777777" w:rsidTr="00F607A5">
        <w:tc>
          <w:tcPr>
            <w:tcW w:w="7230" w:type="dxa"/>
            <w:gridSpan w:val="2"/>
            <w:shd w:val="clear" w:color="auto" w:fill="auto"/>
            <w:vAlign w:val="bottom"/>
          </w:tcPr>
          <w:p w14:paraId="1C6780F4" w14:textId="77777777" w:rsidR="00D712D1" w:rsidRPr="00F607A5" w:rsidRDefault="00D712D1" w:rsidP="002F1A3A">
            <w:pPr>
              <w:tabs>
                <w:tab w:val="left" w:pos="288"/>
                <w:tab w:val="left" w:pos="576"/>
                <w:tab w:val="left" w:pos="864"/>
                <w:tab w:val="left" w:pos="1152"/>
              </w:tabs>
              <w:spacing w:before="40" w:after="40" w:line="220" w:lineRule="exact"/>
              <w:ind w:left="864" w:hanging="298"/>
              <w:rPr>
                <w:spacing w:val="2"/>
                <w:w w:val="101"/>
                <w:kern w:val="14"/>
                <w:sz w:val="18"/>
                <w:szCs w:val="18"/>
              </w:rPr>
            </w:pPr>
            <w:r w:rsidRPr="00F607A5">
              <w:rPr>
                <w:sz w:val="18"/>
                <w:szCs w:val="18"/>
              </w:rPr>
              <w:t>l.</w:t>
            </w:r>
            <w:r w:rsidRPr="00F607A5">
              <w:rPr>
                <w:sz w:val="18"/>
                <w:szCs w:val="18"/>
              </w:rPr>
              <w:tab/>
              <w:t>Рабочая группа по таможенным вопросам, связанным с транспортом, и вспомогательные группы экспертов</w:t>
            </w:r>
          </w:p>
        </w:tc>
        <w:tc>
          <w:tcPr>
            <w:tcW w:w="1275" w:type="dxa"/>
            <w:shd w:val="clear" w:color="auto" w:fill="auto"/>
            <w:vAlign w:val="bottom"/>
          </w:tcPr>
          <w:p w14:paraId="49CADD4B"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70</w:t>
            </w:r>
          </w:p>
        </w:tc>
      </w:tr>
      <w:tr w:rsidR="00D712D1" w:rsidRPr="00F607A5" w14:paraId="09A1292D" w14:textId="77777777" w:rsidTr="00F607A5">
        <w:tc>
          <w:tcPr>
            <w:tcW w:w="7230" w:type="dxa"/>
            <w:gridSpan w:val="2"/>
            <w:shd w:val="clear" w:color="auto" w:fill="auto"/>
            <w:vAlign w:val="bottom"/>
          </w:tcPr>
          <w:p w14:paraId="1D9FA9B2"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5.</w:t>
            </w:r>
            <w:r w:rsidRPr="00F607A5">
              <w:rPr>
                <w:sz w:val="18"/>
                <w:szCs w:val="18"/>
              </w:rPr>
              <w:tab/>
              <w:t>Заседания Экономического и Социального Совета</w:t>
            </w:r>
          </w:p>
        </w:tc>
        <w:tc>
          <w:tcPr>
            <w:tcW w:w="1275" w:type="dxa"/>
            <w:shd w:val="clear" w:color="auto" w:fill="auto"/>
            <w:vAlign w:val="bottom"/>
          </w:tcPr>
          <w:p w14:paraId="113DC452"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35</w:t>
            </w:r>
          </w:p>
        </w:tc>
      </w:tr>
      <w:tr w:rsidR="00D712D1" w:rsidRPr="00F607A5" w14:paraId="5BAA7C07" w14:textId="77777777" w:rsidTr="00F607A5">
        <w:tc>
          <w:tcPr>
            <w:tcW w:w="7230" w:type="dxa"/>
            <w:gridSpan w:val="2"/>
            <w:shd w:val="clear" w:color="auto" w:fill="auto"/>
            <w:vAlign w:val="bottom"/>
          </w:tcPr>
          <w:p w14:paraId="06B55D59"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a.</w:t>
            </w:r>
            <w:r w:rsidRPr="00F607A5">
              <w:rPr>
                <w:sz w:val="18"/>
                <w:szCs w:val="18"/>
              </w:rPr>
              <w:tab/>
              <w:t>Комитет экспертов по перевозке опасных грузов и Согласованной на глобальном уровне системе классификации опасности и маркировки химической продукции</w:t>
            </w:r>
          </w:p>
        </w:tc>
        <w:tc>
          <w:tcPr>
            <w:tcW w:w="1275" w:type="dxa"/>
            <w:shd w:val="clear" w:color="auto" w:fill="auto"/>
            <w:vAlign w:val="bottom"/>
          </w:tcPr>
          <w:p w14:paraId="76CAC312" w14:textId="0C633193" w:rsidR="00D712D1" w:rsidRPr="00F607A5" w:rsidRDefault="0010460B"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Pr>
                <w:rFonts w:cs="Times New Roman"/>
                <w:sz w:val="18"/>
                <w:szCs w:val="18"/>
              </w:rPr>
              <w:t>–</w:t>
            </w:r>
          </w:p>
        </w:tc>
      </w:tr>
      <w:tr w:rsidR="00D712D1" w:rsidRPr="00F607A5" w14:paraId="702B0734" w14:textId="77777777" w:rsidTr="00F607A5">
        <w:tc>
          <w:tcPr>
            <w:tcW w:w="7230" w:type="dxa"/>
            <w:gridSpan w:val="2"/>
            <w:shd w:val="clear" w:color="auto" w:fill="auto"/>
            <w:vAlign w:val="bottom"/>
          </w:tcPr>
          <w:p w14:paraId="3665075D" w14:textId="77777777" w:rsidR="00D712D1" w:rsidRPr="00F607A5" w:rsidRDefault="00D712D1" w:rsidP="002F1A3A">
            <w:pPr>
              <w:tabs>
                <w:tab w:val="left" w:pos="288"/>
                <w:tab w:val="left" w:pos="576"/>
                <w:tab w:val="left" w:pos="864"/>
                <w:tab w:val="left" w:pos="1152"/>
              </w:tabs>
              <w:spacing w:before="40" w:after="40" w:line="220" w:lineRule="exact"/>
              <w:ind w:left="850" w:right="40" w:hanging="298"/>
              <w:rPr>
                <w:spacing w:val="4"/>
                <w:w w:val="103"/>
                <w:kern w:val="14"/>
                <w:sz w:val="18"/>
                <w:szCs w:val="18"/>
              </w:rPr>
            </w:pPr>
            <w:r w:rsidRPr="00F607A5">
              <w:rPr>
                <w:sz w:val="18"/>
                <w:szCs w:val="18"/>
              </w:rPr>
              <w:t>b.</w:t>
            </w:r>
            <w:r w:rsidRPr="00F607A5">
              <w:rPr>
                <w:sz w:val="18"/>
                <w:szCs w:val="18"/>
              </w:rPr>
              <w:tab/>
              <w:t>Подкомитет экспертов по перевозке опасных грузов</w:t>
            </w:r>
          </w:p>
        </w:tc>
        <w:tc>
          <w:tcPr>
            <w:tcW w:w="1275" w:type="dxa"/>
            <w:shd w:val="clear" w:color="auto" w:fill="auto"/>
            <w:vAlign w:val="bottom"/>
          </w:tcPr>
          <w:p w14:paraId="5CD84710"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25</w:t>
            </w:r>
          </w:p>
        </w:tc>
      </w:tr>
      <w:tr w:rsidR="00D712D1" w:rsidRPr="00F607A5" w14:paraId="2B457F89" w14:textId="77777777" w:rsidTr="00F607A5">
        <w:tc>
          <w:tcPr>
            <w:tcW w:w="7230" w:type="dxa"/>
            <w:gridSpan w:val="2"/>
            <w:shd w:val="clear" w:color="auto" w:fill="auto"/>
            <w:vAlign w:val="bottom"/>
          </w:tcPr>
          <w:p w14:paraId="3DC0404A" w14:textId="77777777" w:rsidR="00D712D1" w:rsidRPr="00F607A5" w:rsidRDefault="00D712D1" w:rsidP="002F1A3A">
            <w:pPr>
              <w:tabs>
                <w:tab w:val="left" w:pos="288"/>
                <w:tab w:val="left" w:pos="576"/>
                <w:tab w:val="left" w:pos="864"/>
                <w:tab w:val="left" w:pos="1152"/>
              </w:tabs>
              <w:spacing w:before="40" w:after="40" w:line="220" w:lineRule="exact"/>
              <w:ind w:left="864" w:right="40" w:hanging="298"/>
              <w:rPr>
                <w:spacing w:val="4"/>
                <w:w w:val="103"/>
                <w:kern w:val="14"/>
                <w:sz w:val="18"/>
                <w:szCs w:val="18"/>
              </w:rPr>
            </w:pPr>
            <w:r w:rsidRPr="00F607A5">
              <w:rPr>
                <w:sz w:val="18"/>
                <w:szCs w:val="18"/>
              </w:rPr>
              <w:t>c.</w:t>
            </w:r>
            <w:r w:rsidRPr="00F607A5">
              <w:rPr>
                <w:sz w:val="18"/>
                <w:szCs w:val="18"/>
              </w:rPr>
              <w:tab/>
              <w:t>Подкомитет экспертов по Согласованной на глобальном уровне системе классификации опасности и маркировки химической продукции</w:t>
            </w:r>
          </w:p>
        </w:tc>
        <w:tc>
          <w:tcPr>
            <w:tcW w:w="1275" w:type="dxa"/>
            <w:shd w:val="clear" w:color="auto" w:fill="auto"/>
            <w:vAlign w:val="bottom"/>
          </w:tcPr>
          <w:p w14:paraId="136F2E07"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10</w:t>
            </w:r>
          </w:p>
        </w:tc>
      </w:tr>
      <w:tr w:rsidR="00D712D1" w:rsidRPr="00F607A5" w14:paraId="17B73B74" w14:textId="77777777" w:rsidTr="00F607A5">
        <w:tc>
          <w:tcPr>
            <w:tcW w:w="7230" w:type="dxa"/>
            <w:gridSpan w:val="2"/>
            <w:shd w:val="clear" w:color="auto" w:fill="auto"/>
            <w:vAlign w:val="bottom"/>
          </w:tcPr>
          <w:p w14:paraId="243A7F11" w14:textId="77777777" w:rsidR="00D712D1" w:rsidRPr="00F607A5" w:rsidRDefault="00D712D1" w:rsidP="002F1A3A">
            <w:pPr>
              <w:tabs>
                <w:tab w:val="left" w:pos="288"/>
                <w:tab w:val="left" w:pos="576"/>
                <w:tab w:val="left" w:pos="864"/>
                <w:tab w:val="left" w:pos="1152"/>
              </w:tabs>
              <w:spacing w:before="40" w:after="40" w:line="220" w:lineRule="exact"/>
              <w:ind w:left="576" w:right="40" w:hanging="293"/>
              <w:rPr>
                <w:spacing w:val="4"/>
                <w:w w:val="103"/>
                <w:kern w:val="14"/>
                <w:sz w:val="18"/>
                <w:szCs w:val="18"/>
              </w:rPr>
            </w:pPr>
            <w:r w:rsidRPr="00F607A5">
              <w:rPr>
                <w:sz w:val="18"/>
                <w:szCs w:val="18"/>
              </w:rPr>
              <w:t>6.</w:t>
            </w:r>
            <w:r w:rsidRPr="00F607A5">
              <w:rPr>
                <w:sz w:val="18"/>
                <w:szCs w:val="18"/>
              </w:rPr>
              <w:tab/>
              <w:t>Заседания Совещания высокого уровня по транспорту, окружающей среде и охране здоровья</w:t>
            </w:r>
          </w:p>
        </w:tc>
        <w:tc>
          <w:tcPr>
            <w:tcW w:w="1275" w:type="dxa"/>
            <w:shd w:val="clear" w:color="auto" w:fill="auto"/>
            <w:vAlign w:val="bottom"/>
          </w:tcPr>
          <w:p w14:paraId="73296FE9"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2</w:t>
            </w:r>
          </w:p>
        </w:tc>
      </w:tr>
      <w:tr w:rsidR="00D712D1" w:rsidRPr="00F607A5" w14:paraId="1FAA5C65" w14:textId="77777777" w:rsidTr="00F607A5">
        <w:tc>
          <w:tcPr>
            <w:tcW w:w="7230" w:type="dxa"/>
            <w:gridSpan w:val="2"/>
            <w:shd w:val="clear" w:color="auto" w:fill="auto"/>
            <w:vAlign w:val="bottom"/>
          </w:tcPr>
          <w:p w14:paraId="6B7083B7" w14:textId="77777777" w:rsidR="00D712D1" w:rsidRPr="00F607A5" w:rsidRDefault="00D712D1" w:rsidP="00F607A5">
            <w:pPr>
              <w:tabs>
                <w:tab w:val="left" w:pos="288"/>
                <w:tab w:val="left" w:pos="576"/>
                <w:tab w:val="left" w:pos="864"/>
                <w:tab w:val="left" w:pos="1152"/>
              </w:tabs>
              <w:spacing w:before="40" w:after="40" w:line="220" w:lineRule="exact"/>
              <w:ind w:right="40"/>
              <w:rPr>
                <w:b/>
                <w:bCs/>
                <w:spacing w:val="4"/>
                <w:w w:val="103"/>
                <w:kern w:val="14"/>
                <w:sz w:val="18"/>
                <w:szCs w:val="18"/>
              </w:rPr>
            </w:pPr>
            <w:r w:rsidRPr="00F607A5">
              <w:rPr>
                <w:b/>
                <w:bCs/>
                <w:sz w:val="18"/>
                <w:szCs w:val="18"/>
              </w:rPr>
              <w:t>B.</w:t>
            </w:r>
            <w:r w:rsidRPr="00F607A5">
              <w:rPr>
                <w:sz w:val="18"/>
                <w:szCs w:val="18"/>
              </w:rPr>
              <w:tab/>
            </w:r>
            <w:r w:rsidRPr="00F607A5">
              <w:rPr>
                <w:b/>
                <w:bCs/>
                <w:sz w:val="18"/>
                <w:szCs w:val="18"/>
              </w:rPr>
              <w:t>Генерирование и передача знаний</w:t>
            </w:r>
          </w:p>
        </w:tc>
        <w:tc>
          <w:tcPr>
            <w:tcW w:w="1275" w:type="dxa"/>
            <w:shd w:val="clear" w:color="auto" w:fill="auto"/>
            <w:vAlign w:val="bottom"/>
          </w:tcPr>
          <w:p w14:paraId="5679F49F"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p>
        </w:tc>
      </w:tr>
      <w:tr w:rsidR="00D712D1" w:rsidRPr="00F607A5" w14:paraId="591C40CE" w14:textId="77777777" w:rsidTr="00F607A5">
        <w:tc>
          <w:tcPr>
            <w:tcW w:w="7230" w:type="dxa"/>
            <w:gridSpan w:val="2"/>
            <w:shd w:val="clear" w:color="auto" w:fill="auto"/>
            <w:vAlign w:val="bottom"/>
          </w:tcPr>
          <w:p w14:paraId="65A73FFE"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 xml:space="preserve">Проекты на местах и проекты технического сотрудничества </w:t>
            </w:r>
            <w:r w:rsidRPr="00F607A5">
              <w:rPr>
                <w:sz w:val="18"/>
                <w:szCs w:val="18"/>
              </w:rPr>
              <w:t>(количество проектов)</w:t>
            </w:r>
          </w:p>
        </w:tc>
        <w:tc>
          <w:tcPr>
            <w:tcW w:w="1275" w:type="dxa"/>
            <w:shd w:val="clear" w:color="auto" w:fill="auto"/>
            <w:vAlign w:val="bottom"/>
          </w:tcPr>
          <w:p w14:paraId="5C4EE10B"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2</w:t>
            </w:r>
          </w:p>
        </w:tc>
      </w:tr>
      <w:tr w:rsidR="00D712D1" w:rsidRPr="00F607A5" w14:paraId="7E703686" w14:textId="77777777" w:rsidTr="00F607A5">
        <w:tc>
          <w:tcPr>
            <w:tcW w:w="7230" w:type="dxa"/>
            <w:gridSpan w:val="2"/>
            <w:shd w:val="clear" w:color="auto" w:fill="auto"/>
            <w:vAlign w:val="bottom"/>
          </w:tcPr>
          <w:p w14:paraId="2BEF0890"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7.</w:t>
            </w:r>
            <w:r w:rsidRPr="00F607A5">
              <w:rPr>
                <w:sz w:val="18"/>
                <w:szCs w:val="18"/>
              </w:rPr>
              <w:tab/>
              <w:t>Трансъевропейская автомагистраль «Север</w:t>
            </w:r>
            <w:r w:rsidRPr="00F607A5">
              <w:rPr>
                <w:sz w:val="18"/>
                <w:szCs w:val="18"/>
                <w:lang w:val="fr-CH"/>
              </w:rPr>
              <w:t> </w:t>
            </w:r>
            <w:r w:rsidRPr="00F607A5">
              <w:rPr>
                <w:sz w:val="18"/>
                <w:szCs w:val="18"/>
              </w:rPr>
              <w:t xml:space="preserve">— Юг» </w:t>
            </w:r>
          </w:p>
        </w:tc>
        <w:tc>
          <w:tcPr>
            <w:tcW w:w="1275" w:type="dxa"/>
            <w:shd w:val="clear" w:color="auto" w:fill="auto"/>
            <w:vAlign w:val="bottom"/>
          </w:tcPr>
          <w:p w14:paraId="0C283B1B"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6F7CA154" w14:textId="77777777" w:rsidTr="00F607A5">
        <w:tc>
          <w:tcPr>
            <w:tcW w:w="7230" w:type="dxa"/>
            <w:gridSpan w:val="2"/>
            <w:shd w:val="clear" w:color="auto" w:fill="auto"/>
            <w:vAlign w:val="bottom"/>
          </w:tcPr>
          <w:p w14:paraId="31E8A9F7"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8.</w:t>
            </w:r>
            <w:r w:rsidRPr="00F607A5">
              <w:rPr>
                <w:sz w:val="18"/>
                <w:szCs w:val="18"/>
              </w:rPr>
              <w:tab/>
              <w:t>Трансъевропейская железнодорожная магистраль</w:t>
            </w:r>
          </w:p>
        </w:tc>
        <w:tc>
          <w:tcPr>
            <w:tcW w:w="1275" w:type="dxa"/>
            <w:shd w:val="clear" w:color="auto" w:fill="auto"/>
            <w:vAlign w:val="bottom"/>
          </w:tcPr>
          <w:p w14:paraId="45CD492A"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453D4E3C" w14:textId="77777777" w:rsidTr="00F607A5">
        <w:tc>
          <w:tcPr>
            <w:tcW w:w="7230" w:type="dxa"/>
            <w:gridSpan w:val="2"/>
            <w:shd w:val="clear" w:color="auto" w:fill="auto"/>
            <w:vAlign w:val="bottom"/>
          </w:tcPr>
          <w:p w14:paraId="1B4601E3"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Семинары, рабочие совещания и учебные мероприятия</w:t>
            </w:r>
            <w:r w:rsidRPr="00F607A5">
              <w:rPr>
                <w:sz w:val="18"/>
                <w:szCs w:val="18"/>
              </w:rPr>
              <w:t xml:space="preserve"> (количество дней)</w:t>
            </w:r>
          </w:p>
        </w:tc>
        <w:tc>
          <w:tcPr>
            <w:tcW w:w="1275" w:type="dxa"/>
            <w:shd w:val="clear" w:color="auto" w:fill="auto"/>
            <w:vAlign w:val="bottom"/>
          </w:tcPr>
          <w:p w14:paraId="67C32A5E"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10</w:t>
            </w:r>
          </w:p>
        </w:tc>
      </w:tr>
      <w:tr w:rsidR="00D712D1" w:rsidRPr="00F607A5" w14:paraId="6A55F9FB" w14:textId="77777777" w:rsidTr="00F607A5">
        <w:tc>
          <w:tcPr>
            <w:tcW w:w="7230" w:type="dxa"/>
            <w:gridSpan w:val="2"/>
            <w:shd w:val="clear" w:color="auto" w:fill="auto"/>
            <w:vAlign w:val="bottom"/>
          </w:tcPr>
          <w:p w14:paraId="5BEF37D3" w14:textId="77777777" w:rsidR="00D712D1" w:rsidRPr="00F607A5" w:rsidRDefault="00D712D1" w:rsidP="002F1A3A">
            <w:pPr>
              <w:tabs>
                <w:tab w:val="left" w:pos="288"/>
                <w:tab w:val="left" w:pos="576"/>
                <w:tab w:val="left" w:pos="864"/>
                <w:tab w:val="left" w:pos="1152"/>
              </w:tabs>
              <w:spacing w:before="40" w:after="40" w:line="220" w:lineRule="exact"/>
              <w:ind w:left="576" w:right="40" w:hanging="293"/>
              <w:rPr>
                <w:spacing w:val="2"/>
                <w:w w:val="102"/>
                <w:kern w:val="14"/>
                <w:sz w:val="18"/>
                <w:szCs w:val="18"/>
              </w:rPr>
            </w:pPr>
            <w:r w:rsidRPr="00F607A5">
              <w:rPr>
                <w:sz w:val="18"/>
                <w:szCs w:val="18"/>
              </w:rPr>
              <w:t>9.</w:t>
            </w:r>
            <w:r w:rsidRPr="00F607A5">
              <w:rPr>
                <w:sz w:val="18"/>
                <w:szCs w:val="18"/>
              </w:rPr>
              <w:tab/>
              <w:t>Рабочие совещания для государственных должностных лиц и других заинтересованных сторон в регионе ЕЭК и в странах, являющихся договаривающимися сторонами правовых документов, относящихся к сфере компетенции Комитета по внутреннему транспорту, по следующим темам: интеллектуальные транспортные системы; статистика транспорта и тенденции в области транспорта; вопросы, касающиеся автомобильного, железнодорожного и внутреннего водного транспорта и интермодальных перевозок; соглашения и правила в области транспортных средств</w:t>
            </w:r>
          </w:p>
        </w:tc>
        <w:tc>
          <w:tcPr>
            <w:tcW w:w="1275" w:type="dxa"/>
            <w:shd w:val="clear" w:color="auto" w:fill="auto"/>
            <w:vAlign w:val="bottom"/>
          </w:tcPr>
          <w:p w14:paraId="033D864D"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9</w:t>
            </w:r>
          </w:p>
        </w:tc>
      </w:tr>
      <w:tr w:rsidR="00D712D1" w:rsidRPr="00F607A5" w14:paraId="00DCECA2" w14:textId="77777777" w:rsidTr="00F607A5">
        <w:tc>
          <w:tcPr>
            <w:tcW w:w="7230" w:type="dxa"/>
            <w:gridSpan w:val="2"/>
            <w:shd w:val="clear" w:color="auto" w:fill="auto"/>
            <w:vAlign w:val="bottom"/>
          </w:tcPr>
          <w:p w14:paraId="7F64135C" w14:textId="77777777" w:rsidR="00D712D1" w:rsidRPr="00F607A5" w:rsidRDefault="00D712D1" w:rsidP="002F1A3A">
            <w:pPr>
              <w:tabs>
                <w:tab w:val="left" w:pos="288"/>
                <w:tab w:val="left" w:pos="576"/>
                <w:tab w:val="left" w:pos="864"/>
                <w:tab w:val="left" w:pos="1152"/>
              </w:tabs>
              <w:spacing w:before="40" w:after="40" w:line="220" w:lineRule="exact"/>
              <w:ind w:left="576" w:hanging="293"/>
              <w:rPr>
                <w:spacing w:val="2"/>
                <w:w w:val="102"/>
                <w:kern w:val="14"/>
                <w:sz w:val="18"/>
                <w:szCs w:val="18"/>
              </w:rPr>
            </w:pPr>
            <w:r w:rsidRPr="00F607A5">
              <w:rPr>
                <w:sz w:val="18"/>
                <w:szCs w:val="18"/>
              </w:rPr>
              <w:t>10.</w:t>
            </w:r>
            <w:r w:rsidRPr="00F607A5">
              <w:rPr>
                <w:sz w:val="18"/>
                <w:szCs w:val="18"/>
              </w:rPr>
              <w:tab/>
              <w:t>Семинары для национальных координаторов, экспертов, сотрудников таможенных органов и транспортной отрасли по Таможенной конвенции о международной перевозке грузов с применением книжки МДП (Конвенция МДП) и проектам Трансъевропейской автомагистрали «Север — Юг» и Трансъевропейской железнодорожной магистрали</w:t>
            </w:r>
          </w:p>
        </w:tc>
        <w:tc>
          <w:tcPr>
            <w:tcW w:w="1275" w:type="dxa"/>
            <w:shd w:val="clear" w:color="auto" w:fill="auto"/>
            <w:vAlign w:val="bottom"/>
          </w:tcPr>
          <w:p w14:paraId="3D47A6F5"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13780698" w14:textId="77777777" w:rsidTr="00F607A5">
        <w:tc>
          <w:tcPr>
            <w:tcW w:w="7230" w:type="dxa"/>
            <w:gridSpan w:val="2"/>
            <w:shd w:val="clear" w:color="auto" w:fill="auto"/>
            <w:vAlign w:val="bottom"/>
          </w:tcPr>
          <w:p w14:paraId="366EBE58"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 xml:space="preserve">Публикации </w:t>
            </w:r>
            <w:r w:rsidRPr="00F607A5">
              <w:rPr>
                <w:sz w:val="18"/>
                <w:szCs w:val="18"/>
              </w:rPr>
              <w:t>(количество публикаций)</w:t>
            </w:r>
          </w:p>
        </w:tc>
        <w:tc>
          <w:tcPr>
            <w:tcW w:w="1275" w:type="dxa"/>
            <w:shd w:val="clear" w:color="auto" w:fill="auto"/>
            <w:vAlign w:val="bottom"/>
          </w:tcPr>
          <w:p w14:paraId="5189185A"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9</w:t>
            </w:r>
          </w:p>
        </w:tc>
      </w:tr>
      <w:tr w:rsidR="00D712D1" w:rsidRPr="00F607A5" w14:paraId="0C3256DC" w14:textId="77777777" w:rsidTr="00F607A5">
        <w:tc>
          <w:tcPr>
            <w:tcW w:w="7230" w:type="dxa"/>
            <w:gridSpan w:val="2"/>
            <w:shd w:val="clear" w:color="auto" w:fill="auto"/>
            <w:vAlign w:val="bottom"/>
          </w:tcPr>
          <w:p w14:paraId="7EA1BD25"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11.</w:t>
            </w:r>
            <w:r w:rsidRPr="00F607A5">
              <w:rPr>
                <w:sz w:val="18"/>
                <w:szCs w:val="18"/>
              </w:rPr>
              <w:tab/>
              <w:t xml:space="preserve">По перевозке опасных грузов </w:t>
            </w:r>
          </w:p>
        </w:tc>
        <w:tc>
          <w:tcPr>
            <w:tcW w:w="1275" w:type="dxa"/>
            <w:shd w:val="clear" w:color="auto" w:fill="auto"/>
            <w:vAlign w:val="bottom"/>
          </w:tcPr>
          <w:p w14:paraId="1DE24308"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w:t>
            </w:r>
          </w:p>
        </w:tc>
      </w:tr>
      <w:tr w:rsidR="00D712D1" w:rsidRPr="00F607A5" w14:paraId="643D8375" w14:textId="77777777" w:rsidTr="00F607A5">
        <w:tc>
          <w:tcPr>
            <w:tcW w:w="7230" w:type="dxa"/>
            <w:gridSpan w:val="2"/>
            <w:shd w:val="clear" w:color="auto" w:fill="auto"/>
            <w:vAlign w:val="bottom"/>
          </w:tcPr>
          <w:p w14:paraId="023AFE4F"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12.</w:t>
            </w:r>
            <w:r w:rsidRPr="00F607A5">
              <w:rPr>
                <w:sz w:val="18"/>
                <w:szCs w:val="18"/>
              </w:rPr>
              <w:tab/>
              <w:t>По перевозкам скоропортящихся пищевых продуктов</w:t>
            </w:r>
          </w:p>
        </w:tc>
        <w:tc>
          <w:tcPr>
            <w:tcW w:w="1275" w:type="dxa"/>
            <w:shd w:val="clear" w:color="auto" w:fill="auto"/>
            <w:vAlign w:val="bottom"/>
          </w:tcPr>
          <w:p w14:paraId="2C3ABBA5"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6084D7C3" w14:textId="77777777" w:rsidTr="00F607A5">
        <w:tc>
          <w:tcPr>
            <w:tcW w:w="7230" w:type="dxa"/>
            <w:gridSpan w:val="2"/>
            <w:shd w:val="clear" w:color="auto" w:fill="auto"/>
            <w:vAlign w:val="bottom"/>
          </w:tcPr>
          <w:p w14:paraId="26E8FA2B"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13.</w:t>
            </w:r>
            <w:r w:rsidRPr="00F607A5">
              <w:rPr>
                <w:sz w:val="18"/>
                <w:szCs w:val="18"/>
              </w:rPr>
              <w:tab/>
              <w:t>По облегчению процесса организации перевозок</w:t>
            </w:r>
          </w:p>
        </w:tc>
        <w:tc>
          <w:tcPr>
            <w:tcW w:w="1275" w:type="dxa"/>
            <w:shd w:val="clear" w:color="auto" w:fill="auto"/>
            <w:vAlign w:val="bottom"/>
          </w:tcPr>
          <w:p w14:paraId="52D21538" w14:textId="0CBED3B8" w:rsidR="00D712D1" w:rsidRPr="00F607A5" w:rsidRDefault="00141CDF"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Pr>
                <w:rFonts w:cs="Times New Roman"/>
                <w:sz w:val="18"/>
                <w:szCs w:val="18"/>
              </w:rPr>
              <w:t>–</w:t>
            </w:r>
          </w:p>
        </w:tc>
      </w:tr>
      <w:tr w:rsidR="00D712D1" w:rsidRPr="00F607A5" w14:paraId="685C4B71" w14:textId="77777777" w:rsidTr="00F607A5">
        <w:tc>
          <w:tcPr>
            <w:tcW w:w="7230" w:type="dxa"/>
            <w:gridSpan w:val="2"/>
            <w:shd w:val="clear" w:color="auto" w:fill="auto"/>
            <w:vAlign w:val="bottom"/>
          </w:tcPr>
          <w:p w14:paraId="63564C8C"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14.</w:t>
            </w:r>
            <w:r w:rsidRPr="00F607A5">
              <w:rPr>
                <w:sz w:val="18"/>
                <w:szCs w:val="18"/>
              </w:rPr>
              <w:tab/>
              <w:t>По экологичным и безопасным перевозкам и сквозным вопросам</w:t>
            </w:r>
          </w:p>
        </w:tc>
        <w:tc>
          <w:tcPr>
            <w:tcW w:w="1275" w:type="dxa"/>
            <w:shd w:val="clear" w:color="auto" w:fill="auto"/>
            <w:vAlign w:val="bottom"/>
          </w:tcPr>
          <w:p w14:paraId="00C3889B"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3</w:t>
            </w:r>
          </w:p>
        </w:tc>
      </w:tr>
      <w:tr w:rsidR="00D712D1" w:rsidRPr="00F607A5" w14:paraId="5E3F80C1" w14:textId="77777777" w:rsidTr="00F607A5">
        <w:tc>
          <w:tcPr>
            <w:tcW w:w="7230" w:type="dxa"/>
            <w:gridSpan w:val="2"/>
            <w:shd w:val="clear" w:color="auto" w:fill="auto"/>
            <w:vAlign w:val="bottom"/>
          </w:tcPr>
          <w:p w14:paraId="37C7238A"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15.</w:t>
            </w:r>
            <w:r w:rsidRPr="00F607A5">
              <w:rPr>
                <w:sz w:val="18"/>
                <w:szCs w:val="18"/>
              </w:rPr>
              <w:tab/>
              <w:t>По правилам в области транспортных средств</w:t>
            </w:r>
          </w:p>
        </w:tc>
        <w:tc>
          <w:tcPr>
            <w:tcW w:w="1275" w:type="dxa"/>
            <w:shd w:val="clear" w:color="auto" w:fill="auto"/>
            <w:vAlign w:val="bottom"/>
          </w:tcPr>
          <w:p w14:paraId="6DAB433E"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2B2F44E8" w14:textId="77777777" w:rsidTr="00F607A5">
        <w:tc>
          <w:tcPr>
            <w:tcW w:w="7230" w:type="dxa"/>
            <w:gridSpan w:val="2"/>
            <w:shd w:val="clear" w:color="auto" w:fill="auto"/>
            <w:vAlign w:val="bottom"/>
          </w:tcPr>
          <w:p w14:paraId="453B6738" w14:textId="77777777" w:rsidR="00D712D1" w:rsidRPr="00F607A5" w:rsidRDefault="00D712D1" w:rsidP="002F1A3A">
            <w:pPr>
              <w:tabs>
                <w:tab w:val="left" w:pos="288"/>
                <w:tab w:val="left" w:pos="576"/>
                <w:tab w:val="left" w:pos="864"/>
                <w:tab w:val="left" w:pos="1152"/>
              </w:tabs>
              <w:spacing w:before="40" w:after="40" w:line="220" w:lineRule="exact"/>
              <w:ind w:left="283" w:right="40"/>
              <w:rPr>
                <w:spacing w:val="4"/>
                <w:w w:val="103"/>
                <w:kern w:val="14"/>
                <w:sz w:val="18"/>
                <w:szCs w:val="18"/>
              </w:rPr>
            </w:pPr>
            <w:r w:rsidRPr="00F607A5">
              <w:rPr>
                <w:sz w:val="18"/>
                <w:szCs w:val="18"/>
              </w:rPr>
              <w:t>16.</w:t>
            </w:r>
            <w:r w:rsidRPr="00F607A5">
              <w:rPr>
                <w:sz w:val="18"/>
                <w:szCs w:val="18"/>
              </w:rPr>
              <w:tab/>
              <w:t>По статистике</w:t>
            </w:r>
          </w:p>
        </w:tc>
        <w:tc>
          <w:tcPr>
            <w:tcW w:w="1275" w:type="dxa"/>
            <w:shd w:val="clear" w:color="auto" w:fill="auto"/>
            <w:vAlign w:val="bottom"/>
          </w:tcPr>
          <w:p w14:paraId="12F3B9E5"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0DCEF25C" w14:textId="77777777" w:rsidTr="00F607A5">
        <w:tc>
          <w:tcPr>
            <w:tcW w:w="7230" w:type="dxa"/>
            <w:gridSpan w:val="2"/>
            <w:shd w:val="clear" w:color="auto" w:fill="auto"/>
            <w:vAlign w:val="bottom"/>
          </w:tcPr>
          <w:p w14:paraId="4F735365"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sz w:val="18"/>
                <w:szCs w:val="18"/>
              </w:rPr>
              <w:tab/>
            </w:r>
            <w:r w:rsidRPr="00F607A5">
              <w:rPr>
                <w:b/>
                <w:bCs/>
                <w:sz w:val="18"/>
                <w:szCs w:val="18"/>
              </w:rPr>
              <w:t xml:space="preserve">Технические материалы </w:t>
            </w:r>
            <w:r w:rsidRPr="00F607A5">
              <w:rPr>
                <w:sz w:val="18"/>
                <w:szCs w:val="18"/>
              </w:rPr>
              <w:t>(количество материалов)</w:t>
            </w:r>
          </w:p>
        </w:tc>
        <w:tc>
          <w:tcPr>
            <w:tcW w:w="1275" w:type="dxa"/>
            <w:shd w:val="clear" w:color="auto" w:fill="auto"/>
            <w:vAlign w:val="bottom"/>
          </w:tcPr>
          <w:p w14:paraId="16531EBD"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b/>
                <w:bCs/>
                <w:spacing w:val="4"/>
                <w:w w:val="103"/>
                <w:kern w:val="14"/>
                <w:sz w:val="18"/>
                <w:szCs w:val="18"/>
              </w:rPr>
            </w:pPr>
            <w:r w:rsidRPr="00F607A5">
              <w:rPr>
                <w:b/>
                <w:bCs/>
                <w:sz w:val="18"/>
                <w:szCs w:val="18"/>
              </w:rPr>
              <w:t>1</w:t>
            </w:r>
          </w:p>
        </w:tc>
      </w:tr>
      <w:tr w:rsidR="00D712D1" w:rsidRPr="00F607A5" w14:paraId="1A4A311E" w14:textId="77777777" w:rsidTr="00F607A5">
        <w:tc>
          <w:tcPr>
            <w:tcW w:w="7230" w:type="dxa"/>
            <w:gridSpan w:val="2"/>
            <w:shd w:val="clear" w:color="auto" w:fill="auto"/>
            <w:vAlign w:val="bottom"/>
          </w:tcPr>
          <w:p w14:paraId="573461A7" w14:textId="77777777" w:rsidR="00D712D1" w:rsidRPr="00F607A5" w:rsidRDefault="00D712D1" w:rsidP="002F1A3A">
            <w:pPr>
              <w:tabs>
                <w:tab w:val="left" w:pos="288"/>
                <w:tab w:val="left" w:pos="576"/>
                <w:tab w:val="left" w:pos="864"/>
                <w:tab w:val="left" w:pos="1152"/>
              </w:tabs>
              <w:spacing w:before="40" w:after="40" w:line="220" w:lineRule="exact"/>
              <w:ind w:left="576" w:right="40" w:hanging="293"/>
              <w:rPr>
                <w:spacing w:val="4"/>
                <w:w w:val="103"/>
                <w:kern w:val="14"/>
                <w:sz w:val="18"/>
                <w:szCs w:val="18"/>
              </w:rPr>
            </w:pPr>
            <w:r w:rsidRPr="00F607A5">
              <w:rPr>
                <w:sz w:val="18"/>
                <w:szCs w:val="18"/>
              </w:rPr>
              <w:t>17.</w:t>
            </w:r>
            <w:r w:rsidRPr="00F607A5">
              <w:rPr>
                <w:sz w:val="18"/>
                <w:szCs w:val="18"/>
              </w:rPr>
              <w:tab/>
              <w:t xml:space="preserve">Фактологический бюллетень «Что следует знать о современных системах помощи водителю» </w:t>
            </w:r>
          </w:p>
        </w:tc>
        <w:tc>
          <w:tcPr>
            <w:tcW w:w="1275" w:type="dxa"/>
            <w:shd w:val="clear" w:color="auto" w:fill="auto"/>
            <w:vAlign w:val="bottom"/>
          </w:tcPr>
          <w:p w14:paraId="0F932048" w14:textId="24ACDAEF" w:rsidR="00D712D1" w:rsidRPr="00F607A5" w:rsidRDefault="0010460B"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Pr>
                <w:rFonts w:cs="Times New Roman"/>
                <w:sz w:val="18"/>
                <w:szCs w:val="18"/>
              </w:rPr>
              <w:t>–</w:t>
            </w:r>
          </w:p>
        </w:tc>
      </w:tr>
      <w:tr w:rsidR="00D712D1" w:rsidRPr="00F607A5" w14:paraId="1ECDD47C" w14:textId="77777777" w:rsidTr="00F607A5">
        <w:tc>
          <w:tcPr>
            <w:tcW w:w="7230" w:type="dxa"/>
            <w:gridSpan w:val="2"/>
            <w:shd w:val="clear" w:color="auto" w:fill="auto"/>
            <w:vAlign w:val="bottom"/>
          </w:tcPr>
          <w:p w14:paraId="2B4AFFE6" w14:textId="77777777" w:rsidR="00D712D1" w:rsidRPr="00F607A5" w:rsidRDefault="00D712D1" w:rsidP="002F1A3A">
            <w:pPr>
              <w:tabs>
                <w:tab w:val="left" w:pos="288"/>
                <w:tab w:val="left" w:pos="576"/>
                <w:tab w:val="left" w:pos="864"/>
                <w:tab w:val="left" w:pos="1152"/>
              </w:tabs>
              <w:spacing w:before="40" w:after="40" w:line="220" w:lineRule="exact"/>
              <w:ind w:left="576" w:right="40" w:hanging="293"/>
              <w:rPr>
                <w:spacing w:val="4"/>
                <w:w w:val="103"/>
                <w:kern w:val="14"/>
                <w:sz w:val="18"/>
                <w:szCs w:val="18"/>
              </w:rPr>
            </w:pPr>
            <w:r w:rsidRPr="00F607A5">
              <w:rPr>
                <w:sz w:val="18"/>
                <w:szCs w:val="18"/>
              </w:rPr>
              <w:t>18.</w:t>
            </w:r>
            <w:r w:rsidRPr="00F607A5">
              <w:rPr>
                <w:sz w:val="18"/>
                <w:szCs w:val="18"/>
              </w:rPr>
              <w:tab/>
              <w:t>Статистика транспорта: страновые обзоры</w:t>
            </w:r>
          </w:p>
        </w:tc>
        <w:tc>
          <w:tcPr>
            <w:tcW w:w="1275" w:type="dxa"/>
            <w:shd w:val="clear" w:color="auto" w:fill="auto"/>
            <w:vAlign w:val="bottom"/>
          </w:tcPr>
          <w:p w14:paraId="7747F6A3"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r w:rsidRPr="00F607A5">
              <w:rPr>
                <w:sz w:val="18"/>
                <w:szCs w:val="18"/>
              </w:rPr>
              <w:t>1</w:t>
            </w:r>
          </w:p>
        </w:tc>
      </w:tr>
      <w:tr w:rsidR="00D712D1" w:rsidRPr="00F607A5" w14:paraId="7360B539" w14:textId="77777777" w:rsidTr="00F607A5">
        <w:tc>
          <w:tcPr>
            <w:tcW w:w="7230" w:type="dxa"/>
            <w:gridSpan w:val="2"/>
            <w:shd w:val="clear" w:color="auto" w:fill="auto"/>
            <w:vAlign w:val="bottom"/>
          </w:tcPr>
          <w:p w14:paraId="595D69E5" w14:textId="77777777" w:rsidR="00D712D1" w:rsidRPr="00F607A5" w:rsidRDefault="00D712D1" w:rsidP="00F607A5">
            <w:pPr>
              <w:tabs>
                <w:tab w:val="left" w:pos="288"/>
                <w:tab w:val="left" w:pos="576"/>
                <w:tab w:val="left" w:pos="864"/>
                <w:tab w:val="left" w:pos="1152"/>
              </w:tabs>
              <w:spacing w:before="40" w:after="40" w:line="220" w:lineRule="exact"/>
              <w:ind w:right="40"/>
              <w:rPr>
                <w:spacing w:val="4"/>
                <w:w w:val="103"/>
                <w:kern w:val="14"/>
                <w:sz w:val="18"/>
                <w:szCs w:val="18"/>
              </w:rPr>
            </w:pPr>
            <w:r w:rsidRPr="00F607A5">
              <w:rPr>
                <w:b/>
                <w:bCs/>
                <w:sz w:val="18"/>
                <w:szCs w:val="18"/>
              </w:rPr>
              <w:t>C.</w:t>
            </w:r>
            <w:r w:rsidRPr="00F607A5">
              <w:rPr>
                <w:sz w:val="18"/>
                <w:szCs w:val="18"/>
              </w:rPr>
              <w:tab/>
            </w:r>
            <w:r w:rsidRPr="00F607A5">
              <w:rPr>
                <w:b/>
                <w:bCs/>
                <w:sz w:val="18"/>
                <w:szCs w:val="18"/>
              </w:rPr>
              <w:t>Основная деятельность</w:t>
            </w:r>
          </w:p>
        </w:tc>
        <w:tc>
          <w:tcPr>
            <w:tcW w:w="1275" w:type="dxa"/>
            <w:shd w:val="clear" w:color="auto" w:fill="auto"/>
            <w:vAlign w:val="bottom"/>
          </w:tcPr>
          <w:p w14:paraId="6FB44FA7"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18"/>
              </w:rPr>
            </w:pPr>
          </w:p>
        </w:tc>
      </w:tr>
      <w:tr w:rsidR="00D712D1" w:rsidRPr="00F607A5" w14:paraId="29565AB1" w14:textId="77777777" w:rsidTr="00F607A5">
        <w:tc>
          <w:tcPr>
            <w:tcW w:w="8505" w:type="dxa"/>
            <w:gridSpan w:val="3"/>
            <w:shd w:val="clear" w:color="auto" w:fill="auto"/>
            <w:vAlign w:val="bottom"/>
          </w:tcPr>
          <w:p w14:paraId="601539C6" w14:textId="77777777" w:rsidR="00D712D1" w:rsidRPr="00F607A5" w:rsidRDefault="00D712D1" w:rsidP="002F1A3A">
            <w:pPr>
              <w:tabs>
                <w:tab w:val="left" w:pos="288"/>
                <w:tab w:val="left" w:pos="576"/>
                <w:tab w:val="left" w:pos="864"/>
                <w:tab w:val="left" w:pos="1152"/>
              </w:tabs>
              <w:spacing w:before="40" w:after="40" w:line="220" w:lineRule="exact"/>
              <w:ind w:left="55" w:right="63"/>
              <w:jc w:val="both"/>
              <w:rPr>
                <w:spacing w:val="4"/>
                <w:w w:val="103"/>
                <w:kern w:val="14"/>
                <w:sz w:val="18"/>
                <w:szCs w:val="20"/>
              </w:rPr>
            </w:pPr>
            <w:r w:rsidRPr="00F607A5">
              <w:rPr>
                <w:b/>
                <w:bCs/>
                <w:sz w:val="18"/>
                <w:szCs w:val="20"/>
              </w:rPr>
              <w:t>Проведение консультаций, формулирование рекомендаций и информационно-просветительская работа</w:t>
            </w:r>
            <w:r w:rsidRPr="002F1A3A">
              <w:rPr>
                <w:b/>
                <w:bCs/>
                <w:sz w:val="18"/>
                <w:szCs w:val="20"/>
              </w:rPr>
              <w:t>:</w:t>
            </w:r>
            <w:r w:rsidRPr="00F607A5">
              <w:rPr>
                <w:sz w:val="18"/>
                <w:szCs w:val="20"/>
              </w:rPr>
              <w:t xml:space="preserve"> консультационные услуги для договаривающихся сторон транспортных конвенций Организации Объединенных Наций, находящихся в ведении ЕЭК, в связи с правовыми документами, касающимися внутреннего транспорта; облегчения процесса организации перевозок; пересечения границ; безопасности дорожного движения; конструкции транспортных средств; перевозки опасных грузов и других специальных грузов.</w:t>
            </w:r>
          </w:p>
        </w:tc>
      </w:tr>
      <w:tr w:rsidR="00D712D1" w:rsidRPr="00F607A5" w14:paraId="271357F9" w14:textId="77777777" w:rsidTr="00F607A5">
        <w:tc>
          <w:tcPr>
            <w:tcW w:w="8505" w:type="dxa"/>
            <w:gridSpan w:val="3"/>
            <w:shd w:val="clear" w:color="auto" w:fill="auto"/>
            <w:vAlign w:val="bottom"/>
          </w:tcPr>
          <w:p w14:paraId="70E1F225" w14:textId="77777777" w:rsidR="00D712D1" w:rsidRPr="00F607A5" w:rsidRDefault="00D712D1" w:rsidP="002F1A3A">
            <w:pPr>
              <w:tabs>
                <w:tab w:val="left" w:pos="288"/>
                <w:tab w:val="left" w:pos="576"/>
                <w:tab w:val="left" w:pos="864"/>
                <w:tab w:val="left" w:pos="1152"/>
              </w:tabs>
              <w:spacing w:before="40" w:after="40" w:line="220" w:lineRule="exact"/>
              <w:ind w:left="55" w:right="77"/>
              <w:jc w:val="both"/>
              <w:rPr>
                <w:spacing w:val="4"/>
                <w:w w:val="103"/>
                <w:kern w:val="14"/>
                <w:sz w:val="18"/>
                <w:szCs w:val="20"/>
              </w:rPr>
            </w:pPr>
            <w:r w:rsidRPr="00F607A5">
              <w:rPr>
                <w:b/>
                <w:bCs/>
                <w:sz w:val="18"/>
                <w:szCs w:val="20"/>
              </w:rPr>
              <w:lastRenderedPageBreak/>
              <w:t>Базы данных и электронные материалы по вопросам, относящимся к основной деятельности</w:t>
            </w:r>
            <w:r w:rsidRPr="00141CDF">
              <w:rPr>
                <w:b/>
                <w:bCs/>
                <w:sz w:val="18"/>
                <w:szCs w:val="20"/>
              </w:rPr>
              <w:t>:</w:t>
            </w:r>
            <w:r w:rsidRPr="00F607A5">
              <w:rPr>
                <w:sz w:val="18"/>
                <w:szCs w:val="20"/>
              </w:rPr>
              <w:t xml:space="preserve"> обновление и обслуживание Международного банка данных МДП, который включает в себя перечень из более чем 31 000 транспортных компаний, авторизованных для использования системы МДП, и открыт для доступа пользователей из более чем 70 договаривающихся сторон Конвенции МДП; веб-сайты МДП и eTIR; международная система eTIR, позволяющая осуществлять обмен данными между заинтересованными сторонами eTIR в ходе перевозок МДП в соответствии с процедурой eTIR; база данных по стандартам инфраструктуры внутреннего водного транспорта; сетевая база существующих стандартов и параметров Европейского соглашения о международных магистральных железнодорожных линиях и Европейского соглашения о важнейших линиях международных комбинированных перевозок и соответствующих объектах; базы данных по транспортной статистике, дорожно-транспортным происшествиям, перевозкам опасных грузов, перевозкам скоропортящихся пищевых продуктов, городскому транспорту и вопросам транспорта и окружающей среды; онлайновый центр мониторинга железнодорожной безопасности; цифровизация знаков и сигналов (E-CoRSS) в соответствии с Конвенцией о дорожных знаках и сигналах; платформа электронного обучения по вопросам «умной» и устойчивой транспортной связанности.</w:t>
            </w:r>
          </w:p>
        </w:tc>
      </w:tr>
      <w:tr w:rsidR="00D712D1" w:rsidRPr="00F607A5" w14:paraId="54B0C96B" w14:textId="77777777" w:rsidTr="00F607A5">
        <w:tc>
          <w:tcPr>
            <w:tcW w:w="7196" w:type="dxa"/>
            <w:shd w:val="clear" w:color="auto" w:fill="auto"/>
            <w:vAlign w:val="bottom"/>
          </w:tcPr>
          <w:p w14:paraId="2C22BFE7" w14:textId="77777777" w:rsidR="00D712D1" w:rsidRPr="00F607A5" w:rsidRDefault="00D712D1" w:rsidP="00F607A5">
            <w:pPr>
              <w:tabs>
                <w:tab w:val="left" w:pos="288"/>
                <w:tab w:val="left" w:pos="576"/>
                <w:tab w:val="left" w:pos="864"/>
                <w:tab w:val="left" w:pos="1152"/>
              </w:tabs>
              <w:spacing w:before="40" w:after="40" w:line="220" w:lineRule="exact"/>
              <w:ind w:right="40"/>
              <w:rPr>
                <w:b/>
                <w:bCs/>
                <w:spacing w:val="4"/>
                <w:w w:val="103"/>
                <w:kern w:val="14"/>
                <w:sz w:val="18"/>
                <w:szCs w:val="20"/>
              </w:rPr>
            </w:pPr>
            <w:r w:rsidRPr="00F607A5">
              <w:rPr>
                <w:b/>
                <w:bCs/>
                <w:sz w:val="18"/>
                <w:szCs w:val="20"/>
              </w:rPr>
              <w:t>D.</w:t>
            </w:r>
            <w:r w:rsidRPr="00F607A5">
              <w:rPr>
                <w:sz w:val="18"/>
                <w:szCs w:val="20"/>
              </w:rPr>
              <w:tab/>
            </w:r>
            <w:r w:rsidRPr="00F607A5">
              <w:rPr>
                <w:b/>
                <w:bCs/>
                <w:sz w:val="18"/>
                <w:szCs w:val="20"/>
              </w:rPr>
              <w:t>Деятельность в области коммуникации</w:t>
            </w:r>
          </w:p>
        </w:tc>
        <w:tc>
          <w:tcPr>
            <w:tcW w:w="1309" w:type="dxa"/>
            <w:gridSpan w:val="2"/>
            <w:shd w:val="clear" w:color="auto" w:fill="auto"/>
            <w:vAlign w:val="bottom"/>
          </w:tcPr>
          <w:p w14:paraId="4C28CF98" w14:textId="77777777" w:rsidR="00D712D1" w:rsidRPr="00F607A5" w:rsidRDefault="00D712D1" w:rsidP="00F607A5">
            <w:pPr>
              <w:tabs>
                <w:tab w:val="left" w:pos="288"/>
                <w:tab w:val="left" w:pos="576"/>
                <w:tab w:val="left" w:pos="864"/>
                <w:tab w:val="left" w:pos="1152"/>
              </w:tabs>
              <w:spacing w:before="40" w:after="40" w:line="220" w:lineRule="exact"/>
              <w:ind w:left="101" w:right="40"/>
              <w:jc w:val="right"/>
              <w:rPr>
                <w:spacing w:val="4"/>
                <w:w w:val="103"/>
                <w:kern w:val="14"/>
                <w:sz w:val="18"/>
                <w:szCs w:val="20"/>
              </w:rPr>
            </w:pPr>
          </w:p>
        </w:tc>
      </w:tr>
      <w:tr w:rsidR="00D712D1" w:rsidRPr="00F607A5" w14:paraId="385C632E" w14:textId="77777777" w:rsidTr="00F607A5">
        <w:tc>
          <w:tcPr>
            <w:tcW w:w="8505" w:type="dxa"/>
            <w:gridSpan w:val="3"/>
            <w:shd w:val="clear" w:color="auto" w:fill="auto"/>
            <w:vAlign w:val="bottom"/>
          </w:tcPr>
          <w:p w14:paraId="1D2BE77D" w14:textId="77777777" w:rsidR="00D712D1" w:rsidRPr="00F607A5" w:rsidRDefault="00D712D1" w:rsidP="002F1A3A">
            <w:pPr>
              <w:tabs>
                <w:tab w:val="left" w:pos="288"/>
                <w:tab w:val="left" w:pos="576"/>
                <w:tab w:val="left" w:pos="864"/>
                <w:tab w:val="left" w:pos="1152"/>
              </w:tabs>
              <w:spacing w:before="40" w:after="40" w:line="220" w:lineRule="exact"/>
              <w:ind w:left="101" w:right="91"/>
              <w:jc w:val="both"/>
              <w:rPr>
                <w:spacing w:val="4"/>
                <w:w w:val="103"/>
                <w:kern w:val="14"/>
                <w:sz w:val="18"/>
                <w:szCs w:val="20"/>
              </w:rPr>
            </w:pPr>
            <w:r w:rsidRPr="00F607A5">
              <w:rPr>
                <w:sz w:val="18"/>
                <w:szCs w:val="20"/>
              </w:rPr>
              <w:tab/>
            </w:r>
            <w:r w:rsidRPr="00F607A5">
              <w:rPr>
                <w:b/>
                <w:bCs/>
                <w:sz w:val="18"/>
                <w:szCs w:val="20"/>
              </w:rPr>
              <w:t>Информационно-просветительские программы, специальные мероприятия и информационные материалы</w:t>
            </w:r>
            <w:r w:rsidRPr="002F1A3A">
              <w:rPr>
                <w:b/>
                <w:bCs/>
                <w:sz w:val="18"/>
                <w:szCs w:val="20"/>
              </w:rPr>
              <w:t>:</w:t>
            </w:r>
            <w:r w:rsidRPr="00F607A5">
              <w:rPr>
                <w:sz w:val="18"/>
                <w:szCs w:val="20"/>
              </w:rPr>
              <w:t xml:space="preserve"> информационные материалы по правовым документам и мероприятиям в рамках подпрограммы, предназначенные для повсеместного и регионального использования.</w:t>
            </w:r>
          </w:p>
        </w:tc>
      </w:tr>
      <w:tr w:rsidR="00D712D1" w:rsidRPr="00F607A5" w14:paraId="2E2C018C" w14:textId="77777777" w:rsidTr="00F607A5">
        <w:tc>
          <w:tcPr>
            <w:tcW w:w="8505" w:type="dxa"/>
            <w:gridSpan w:val="3"/>
            <w:shd w:val="clear" w:color="auto" w:fill="auto"/>
            <w:vAlign w:val="bottom"/>
          </w:tcPr>
          <w:p w14:paraId="4B559B1A" w14:textId="77777777" w:rsidR="00D712D1" w:rsidRPr="00F607A5" w:rsidRDefault="00D712D1" w:rsidP="002F1A3A">
            <w:pPr>
              <w:tabs>
                <w:tab w:val="left" w:pos="288"/>
                <w:tab w:val="left" w:pos="576"/>
                <w:tab w:val="left" w:pos="864"/>
                <w:tab w:val="left" w:pos="1152"/>
              </w:tabs>
              <w:spacing w:before="40" w:after="40" w:line="220" w:lineRule="exact"/>
              <w:ind w:left="101" w:right="91"/>
              <w:jc w:val="both"/>
              <w:rPr>
                <w:spacing w:val="4"/>
                <w:w w:val="103"/>
                <w:kern w:val="14"/>
                <w:sz w:val="18"/>
                <w:szCs w:val="20"/>
              </w:rPr>
            </w:pPr>
            <w:r w:rsidRPr="00F607A5">
              <w:rPr>
                <w:sz w:val="18"/>
                <w:szCs w:val="20"/>
              </w:rPr>
              <w:tab/>
            </w:r>
            <w:r w:rsidRPr="00F607A5">
              <w:rPr>
                <w:b/>
                <w:bCs/>
                <w:sz w:val="18"/>
                <w:szCs w:val="20"/>
              </w:rPr>
              <w:t>Внешние связи и связи со средствами массовой информации</w:t>
            </w:r>
            <w:r w:rsidRPr="002F1A3A">
              <w:rPr>
                <w:b/>
                <w:bCs/>
                <w:sz w:val="18"/>
                <w:szCs w:val="20"/>
              </w:rPr>
              <w:t>:</w:t>
            </w:r>
            <w:r w:rsidRPr="00F607A5">
              <w:rPr>
                <w:sz w:val="18"/>
                <w:szCs w:val="20"/>
              </w:rPr>
              <w:t xml:space="preserve"> пресс-релизы о деятельности в рамках подпрограммы.</w:t>
            </w:r>
          </w:p>
        </w:tc>
      </w:tr>
      <w:tr w:rsidR="00D712D1" w:rsidRPr="00F607A5" w14:paraId="77AC57C6" w14:textId="77777777" w:rsidTr="00F607A5">
        <w:tc>
          <w:tcPr>
            <w:tcW w:w="8505" w:type="dxa"/>
            <w:gridSpan w:val="3"/>
            <w:shd w:val="clear" w:color="auto" w:fill="auto"/>
            <w:vAlign w:val="bottom"/>
          </w:tcPr>
          <w:p w14:paraId="69442E2D" w14:textId="77777777" w:rsidR="00D712D1" w:rsidRPr="00F607A5" w:rsidRDefault="00D712D1" w:rsidP="002F1A3A">
            <w:pPr>
              <w:tabs>
                <w:tab w:val="left" w:pos="288"/>
                <w:tab w:val="left" w:pos="576"/>
                <w:tab w:val="left" w:pos="864"/>
                <w:tab w:val="left" w:pos="1152"/>
              </w:tabs>
              <w:spacing w:before="40" w:after="40" w:line="220" w:lineRule="exact"/>
              <w:ind w:left="101" w:right="91"/>
              <w:jc w:val="both"/>
              <w:rPr>
                <w:spacing w:val="4"/>
                <w:w w:val="103"/>
                <w:kern w:val="14"/>
                <w:sz w:val="18"/>
                <w:szCs w:val="20"/>
              </w:rPr>
            </w:pPr>
            <w:r w:rsidRPr="00F607A5">
              <w:rPr>
                <w:sz w:val="18"/>
                <w:szCs w:val="20"/>
              </w:rPr>
              <w:tab/>
            </w:r>
            <w:r w:rsidRPr="00F607A5">
              <w:rPr>
                <w:b/>
                <w:bCs/>
                <w:sz w:val="18"/>
                <w:szCs w:val="20"/>
              </w:rPr>
              <w:t>Цифровые платформы и мультимедийные материалы</w:t>
            </w:r>
            <w:r w:rsidRPr="002F1A3A">
              <w:rPr>
                <w:b/>
                <w:bCs/>
                <w:sz w:val="18"/>
                <w:szCs w:val="20"/>
              </w:rPr>
              <w:t>:</w:t>
            </w:r>
            <w:r w:rsidRPr="00F607A5">
              <w:rPr>
                <w:sz w:val="18"/>
                <w:szCs w:val="20"/>
              </w:rPr>
              <w:t xml:space="preserve"> цифровые платформы и мультимедийные материалы по вопросам устойчивого транспорта и мобильности; и веб-сайт подпрограммы, предназначенный для повсеместного и регионального использования.</w:t>
            </w:r>
          </w:p>
        </w:tc>
      </w:tr>
    </w:tbl>
    <w:p w14:paraId="2873CB8A" w14:textId="77777777" w:rsidR="00D712D1" w:rsidRDefault="00D712D1">
      <w:pPr>
        <w:suppressAutoHyphens w:val="0"/>
        <w:spacing w:line="240" w:lineRule="auto"/>
        <w:rPr>
          <w:rFonts w:eastAsia="Times New Roman" w:cs="Times New Roman"/>
          <w:szCs w:val="20"/>
        </w:rPr>
      </w:pPr>
      <w:r>
        <w:br w:type="page"/>
      </w:r>
    </w:p>
    <w:p w14:paraId="57508390" w14:textId="77777777" w:rsidR="00D712D1" w:rsidRPr="00D712D1" w:rsidRDefault="00D712D1" w:rsidP="002F1A3A">
      <w:pPr>
        <w:pStyle w:val="HChG"/>
      </w:pPr>
      <w:r w:rsidRPr="00D712D1">
        <w:lastRenderedPageBreak/>
        <w:t>Приложение I</w:t>
      </w:r>
    </w:p>
    <w:p w14:paraId="46D4078D" w14:textId="6764E2AD" w:rsidR="00D712D1" w:rsidRPr="00D712D1" w:rsidRDefault="00D712D1" w:rsidP="002F1A3A">
      <w:pPr>
        <w:pStyle w:val="HChG"/>
      </w:pPr>
      <w:r w:rsidRPr="00D712D1">
        <w:tab/>
      </w:r>
      <w:r w:rsidRPr="00D712D1">
        <w:tab/>
        <w:t>Подробная информация о предлагаемых публикациях и</w:t>
      </w:r>
      <w:r w:rsidR="002F1A3A">
        <w:t> </w:t>
      </w:r>
      <w:r w:rsidRPr="00D712D1">
        <w:t>информационных материалах на 2023 год</w:t>
      </w:r>
    </w:p>
    <w:p w14:paraId="25CDF3BF" w14:textId="4F3276B3" w:rsidR="00D712D1" w:rsidRDefault="00D712D1" w:rsidP="002F1A3A">
      <w:pPr>
        <w:pStyle w:val="H1G"/>
      </w:pPr>
      <w:r w:rsidRPr="00D712D1">
        <w:tab/>
        <w:t>A.</w:t>
      </w:r>
      <w:r w:rsidRPr="00D712D1">
        <w:tab/>
        <w:t>Периодические публикации</w:t>
      </w:r>
    </w:p>
    <w:tbl>
      <w:tblPr>
        <w:tblW w:w="9637" w:type="dxa"/>
        <w:tblLayout w:type="fixed"/>
        <w:tblCellMar>
          <w:left w:w="0" w:type="dxa"/>
          <w:right w:w="0" w:type="dxa"/>
        </w:tblCellMar>
        <w:tblLook w:val="01E0" w:firstRow="1" w:lastRow="1" w:firstColumn="1" w:lastColumn="1" w:noHBand="0" w:noVBand="0"/>
      </w:tblPr>
      <w:tblGrid>
        <w:gridCol w:w="308"/>
        <w:gridCol w:w="2114"/>
        <w:gridCol w:w="1302"/>
        <w:gridCol w:w="1260"/>
        <w:gridCol w:w="1133"/>
        <w:gridCol w:w="770"/>
        <w:gridCol w:w="924"/>
        <w:gridCol w:w="910"/>
        <w:gridCol w:w="916"/>
      </w:tblGrid>
      <w:tr w:rsidR="002F1A3A" w:rsidRPr="002F1A3A" w14:paraId="135C7884" w14:textId="77777777" w:rsidTr="00FE4BFE">
        <w:trPr>
          <w:tblHeader/>
        </w:trPr>
        <w:tc>
          <w:tcPr>
            <w:tcW w:w="308" w:type="dxa"/>
            <w:tcBorders>
              <w:top w:val="single" w:sz="4" w:space="0" w:color="auto"/>
              <w:bottom w:val="single" w:sz="12" w:space="0" w:color="auto"/>
            </w:tcBorders>
            <w:shd w:val="clear" w:color="auto" w:fill="auto"/>
            <w:noWrap/>
            <w:vAlign w:val="bottom"/>
          </w:tcPr>
          <w:p w14:paraId="2406ABE7" w14:textId="77777777" w:rsidR="00D712D1" w:rsidRPr="002F1A3A" w:rsidRDefault="00D712D1" w:rsidP="002F1A3A">
            <w:pPr>
              <w:spacing w:before="80" w:after="80" w:line="200" w:lineRule="exact"/>
              <w:ind w:left="28"/>
              <w:rPr>
                <w:rFonts w:cs="Times New Roman"/>
                <w:i/>
                <w:sz w:val="16"/>
                <w:szCs w:val="16"/>
              </w:rPr>
            </w:pPr>
            <w:r w:rsidRPr="002F1A3A">
              <w:rPr>
                <w:rFonts w:cs="Times New Roman"/>
                <w:i/>
                <w:sz w:val="16"/>
              </w:rPr>
              <w:t>№</w:t>
            </w:r>
          </w:p>
        </w:tc>
        <w:tc>
          <w:tcPr>
            <w:tcW w:w="2114" w:type="dxa"/>
            <w:tcBorders>
              <w:top w:val="single" w:sz="4" w:space="0" w:color="auto"/>
              <w:bottom w:val="single" w:sz="12" w:space="0" w:color="auto"/>
            </w:tcBorders>
            <w:shd w:val="clear" w:color="auto" w:fill="auto"/>
            <w:noWrap/>
            <w:vAlign w:val="bottom"/>
          </w:tcPr>
          <w:p w14:paraId="2EFD8D18" w14:textId="77777777" w:rsidR="00D712D1" w:rsidRPr="002F1A3A" w:rsidRDefault="00D712D1" w:rsidP="00FE4BFE">
            <w:pPr>
              <w:spacing w:before="80" w:after="80" w:line="200" w:lineRule="exact"/>
              <w:rPr>
                <w:rFonts w:cs="Times New Roman"/>
                <w:i/>
                <w:sz w:val="16"/>
                <w:szCs w:val="16"/>
              </w:rPr>
            </w:pPr>
            <w:r w:rsidRPr="002F1A3A">
              <w:rPr>
                <w:rFonts w:cs="Times New Roman"/>
                <w:i/>
                <w:sz w:val="16"/>
              </w:rPr>
              <w:t>Название</w:t>
            </w:r>
          </w:p>
        </w:tc>
        <w:tc>
          <w:tcPr>
            <w:tcW w:w="1302" w:type="dxa"/>
            <w:tcBorders>
              <w:top w:val="single" w:sz="4" w:space="0" w:color="auto"/>
              <w:bottom w:val="single" w:sz="12" w:space="0" w:color="auto"/>
            </w:tcBorders>
            <w:shd w:val="clear" w:color="auto" w:fill="auto"/>
            <w:noWrap/>
            <w:vAlign w:val="bottom"/>
          </w:tcPr>
          <w:p w14:paraId="501A92D5" w14:textId="77777777" w:rsidR="00D712D1" w:rsidRPr="002F1A3A" w:rsidRDefault="00D712D1" w:rsidP="00FE4BFE">
            <w:pPr>
              <w:spacing w:before="80" w:after="80" w:line="200" w:lineRule="exact"/>
              <w:rPr>
                <w:rFonts w:cs="Times New Roman"/>
                <w:i/>
                <w:sz w:val="16"/>
                <w:szCs w:val="16"/>
              </w:rPr>
            </w:pPr>
            <w:r w:rsidRPr="002F1A3A">
              <w:rPr>
                <w:rFonts w:cs="Times New Roman"/>
                <w:i/>
                <w:sz w:val="16"/>
              </w:rPr>
              <w:t>Мандат</w:t>
            </w:r>
          </w:p>
        </w:tc>
        <w:tc>
          <w:tcPr>
            <w:tcW w:w="1260" w:type="dxa"/>
            <w:tcBorders>
              <w:top w:val="single" w:sz="4" w:space="0" w:color="auto"/>
              <w:bottom w:val="single" w:sz="12" w:space="0" w:color="auto"/>
            </w:tcBorders>
            <w:shd w:val="clear" w:color="auto" w:fill="auto"/>
            <w:noWrap/>
            <w:vAlign w:val="bottom"/>
          </w:tcPr>
          <w:p w14:paraId="267FC94D" w14:textId="32421FD5" w:rsidR="00D712D1" w:rsidRPr="002F1A3A" w:rsidRDefault="00D712D1" w:rsidP="00FE4BFE">
            <w:pPr>
              <w:spacing w:before="80" w:after="80" w:line="200" w:lineRule="exact"/>
              <w:rPr>
                <w:rFonts w:cs="Times New Roman"/>
                <w:i/>
                <w:sz w:val="16"/>
                <w:szCs w:val="16"/>
              </w:rPr>
            </w:pPr>
            <w:r w:rsidRPr="002F1A3A">
              <w:rPr>
                <w:rFonts w:cs="Times New Roman"/>
                <w:i/>
                <w:sz w:val="16"/>
              </w:rPr>
              <w:t xml:space="preserve">В печатном </w:t>
            </w:r>
            <w:r w:rsidR="002F1A3A">
              <w:rPr>
                <w:rFonts w:cs="Times New Roman"/>
                <w:i/>
                <w:sz w:val="16"/>
              </w:rPr>
              <w:br/>
            </w:r>
            <w:r w:rsidRPr="002F1A3A">
              <w:rPr>
                <w:rFonts w:cs="Times New Roman"/>
                <w:i/>
                <w:sz w:val="16"/>
              </w:rPr>
              <w:t>и/или цифровом формате</w:t>
            </w:r>
          </w:p>
        </w:tc>
        <w:tc>
          <w:tcPr>
            <w:tcW w:w="1133" w:type="dxa"/>
            <w:tcBorders>
              <w:top w:val="single" w:sz="4" w:space="0" w:color="auto"/>
              <w:bottom w:val="single" w:sz="12" w:space="0" w:color="auto"/>
            </w:tcBorders>
            <w:shd w:val="clear" w:color="auto" w:fill="auto"/>
            <w:noWrap/>
            <w:vAlign w:val="bottom"/>
          </w:tcPr>
          <w:p w14:paraId="0F5A533C" w14:textId="77777777" w:rsidR="00D712D1" w:rsidRPr="002F1A3A" w:rsidRDefault="00D712D1" w:rsidP="00FE4BFE">
            <w:pPr>
              <w:spacing w:before="80" w:after="80" w:line="200" w:lineRule="exact"/>
              <w:rPr>
                <w:rFonts w:cs="Times New Roman"/>
                <w:i/>
                <w:sz w:val="16"/>
                <w:szCs w:val="16"/>
              </w:rPr>
            </w:pPr>
            <w:r w:rsidRPr="002F1A3A">
              <w:rPr>
                <w:rFonts w:cs="Times New Roman"/>
                <w:i/>
                <w:sz w:val="16"/>
              </w:rPr>
              <w:t>Послеобрезной формат</w:t>
            </w:r>
          </w:p>
        </w:tc>
        <w:tc>
          <w:tcPr>
            <w:tcW w:w="770" w:type="dxa"/>
            <w:tcBorders>
              <w:top w:val="single" w:sz="4" w:space="0" w:color="auto"/>
              <w:bottom w:val="single" w:sz="12" w:space="0" w:color="auto"/>
            </w:tcBorders>
            <w:shd w:val="clear" w:color="auto" w:fill="auto"/>
            <w:noWrap/>
            <w:vAlign w:val="bottom"/>
          </w:tcPr>
          <w:p w14:paraId="1737EA7C" w14:textId="77777777" w:rsidR="00D712D1" w:rsidRPr="002F1A3A" w:rsidRDefault="00D712D1" w:rsidP="00FE4BFE">
            <w:pPr>
              <w:spacing w:before="80" w:after="80" w:line="200" w:lineRule="exact"/>
              <w:rPr>
                <w:rFonts w:cs="Times New Roman"/>
                <w:i/>
                <w:sz w:val="16"/>
                <w:szCs w:val="16"/>
              </w:rPr>
            </w:pPr>
            <w:r w:rsidRPr="002F1A3A">
              <w:rPr>
                <w:rFonts w:cs="Times New Roman"/>
                <w:i/>
                <w:sz w:val="16"/>
              </w:rPr>
              <w:t>Кол-во страниц</w:t>
            </w:r>
          </w:p>
        </w:tc>
        <w:tc>
          <w:tcPr>
            <w:tcW w:w="924" w:type="dxa"/>
            <w:tcBorders>
              <w:top w:val="single" w:sz="4" w:space="0" w:color="auto"/>
              <w:bottom w:val="single" w:sz="12" w:space="0" w:color="auto"/>
            </w:tcBorders>
            <w:shd w:val="clear" w:color="auto" w:fill="auto"/>
            <w:noWrap/>
            <w:vAlign w:val="bottom"/>
          </w:tcPr>
          <w:p w14:paraId="572B47AD" w14:textId="57383917" w:rsidR="00D712D1" w:rsidRPr="002F1A3A" w:rsidRDefault="00D712D1" w:rsidP="00FE4BFE">
            <w:pPr>
              <w:spacing w:before="80" w:after="80" w:line="200" w:lineRule="exact"/>
              <w:rPr>
                <w:rFonts w:cs="Times New Roman"/>
                <w:i/>
                <w:sz w:val="16"/>
                <w:szCs w:val="16"/>
              </w:rPr>
            </w:pPr>
            <w:r w:rsidRPr="002F1A3A">
              <w:rPr>
                <w:rFonts w:cs="Times New Roman"/>
                <w:i/>
                <w:sz w:val="16"/>
              </w:rPr>
              <w:t>Язык(и) оригинала</w:t>
            </w:r>
            <w:r w:rsidRPr="002F1A3A">
              <w:rPr>
                <w:rFonts w:cs="Times New Roman"/>
                <w:i/>
                <w:sz w:val="16"/>
                <w:vertAlign w:val="superscript"/>
              </w:rPr>
              <w:t>1</w:t>
            </w:r>
          </w:p>
        </w:tc>
        <w:tc>
          <w:tcPr>
            <w:tcW w:w="910" w:type="dxa"/>
            <w:tcBorders>
              <w:top w:val="single" w:sz="4" w:space="0" w:color="auto"/>
              <w:bottom w:val="single" w:sz="12" w:space="0" w:color="auto"/>
            </w:tcBorders>
            <w:shd w:val="clear" w:color="auto" w:fill="auto"/>
            <w:noWrap/>
            <w:vAlign w:val="bottom"/>
          </w:tcPr>
          <w:p w14:paraId="32698D44" w14:textId="77777777" w:rsidR="00D712D1" w:rsidRPr="002F1A3A" w:rsidRDefault="00D712D1" w:rsidP="00FE4BFE">
            <w:pPr>
              <w:spacing w:before="80" w:after="80" w:line="200" w:lineRule="exact"/>
              <w:rPr>
                <w:rFonts w:cs="Times New Roman"/>
                <w:i/>
                <w:sz w:val="16"/>
                <w:szCs w:val="16"/>
              </w:rPr>
            </w:pPr>
            <w:r w:rsidRPr="002F1A3A">
              <w:rPr>
                <w:rFonts w:cs="Times New Roman"/>
                <w:i/>
                <w:sz w:val="16"/>
              </w:rPr>
              <w:t>Язык(и) перевода</w:t>
            </w:r>
          </w:p>
        </w:tc>
        <w:tc>
          <w:tcPr>
            <w:tcW w:w="916" w:type="dxa"/>
            <w:tcBorders>
              <w:top w:val="single" w:sz="4" w:space="0" w:color="auto"/>
              <w:bottom w:val="single" w:sz="12" w:space="0" w:color="auto"/>
            </w:tcBorders>
            <w:shd w:val="clear" w:color="auto" w:fill="auto"/>
            <w:noWrap/>
            <w:vAlign w:val="bottom"/>
          </w:tcPr>
          <w:p w14:paraId="165D463E" w14:textId="762FEDFC" w:rsidR="00D712D1" w:rsidRPr="002F1A3A" w:rsidRDefault="00D712D1" w:rsidP="00FE4BFE">
            <w:pPr>
              <w:spacing w:before="80" w:after="80" w:line="200" w:lineRule="exact"/>
              <w:rPr>
                <w:rFonts w:cs="Times New Roman"/>
                <w:i/>
                <w:sz w:val="16"/>
              </w:rPr>
            </w:pPr>
            <w:r w:rsidRPr="002F1A3A">
              <w:rPr>
                <w:rFonts w:cs="Times New Roman"/>
                <w:i/>
                <w:sz w:val="16"/>
              </w:rPr>
              <w:t xml:space="preserve">Кол-во экземпляров </w:t>
            </w:r>
            <w:r w:rsidR="002F1A3A">
              <w:rPr>
                <w:rFonts w:cs="Times New Roman"/>
                <w:i/>
                <w:sz w:val="16"/>
              </w:rPr>
              <w:br/>
            </w:r>
            <w:r w:rsidRPr="002F1A3A">
              <w:rPr>
                <w:rFonts w:cs="Times New Roman"/>
                <w:i/>
                <w:sz w:val="16"/>
              </w:rPr>
              <w:t>и язык(и)</w:t>
            </w:r>
          </w:p>
        </w:tc>
      </w:tr>
      <w:tr w:rsidR="002F1A3A" w:rsidRPr="002F1A3A" w14:paraId="6FB974E7" w14:textId="77777777" w:rsidTr="00FE4BFE">
        <w:trPr>
          <w:trHeight w:hRule="exact" w:val="113"/>
        </w:trPr>
        <w:tc>
          <w:tcPr>
            <w:tcW w:w="308" w:type="dxa"/>
            <w:tcBorders>
              <w:top w:val="single" w:sz="12" w:space="0" w:color="auto"/>
            </w:tcBorders>
            <w:shd w:val="clear" w:color="auto" w:fill="auto"/>
            <w:noWrap/>
          </w:tcPr>
          <w:p w14:paraId="15EC08C8" w14:textId="77777777" w:rsidR="002F1A3A" w:rsidRPr="002F1A3A" w:rsidRDefault="002F1A3A" w:rsidP="002F1A3A">
            <w:pPr>
              <w:spacing w:before="40" w:after="120"/>
              <w:ind w:right="113"/>
              <w:rPr>
                <w:rFonts w:cs="Times New Roman"/>
              </w:rPr>
            </w:pPr>
          </w:p>
        </w:tc>
        <w:tc>
          <w:tcPr>
            <w:tcW w:w="2114" w:type="dxa"/>
            <w:tcBorders>
              <w:top w:val="single" w:sz="12" w:space="0" w:color="auto"/>
            </w:tcBorders>
            <w:shd w:val="clear" w:color="auto" w:fill="auto"/>
            <w:noWrap/>
          </w:tcPr>
          <w:p w14:paraId="1B19957C" w14:textId="77777777" w:rsidR="002F1A3A" w:rsidRPr="002F1A3A" w:rsidRDefault="002F1A3A" w:rsidP="002F1A3A">
            <w:pPr>
              <w:spacing w:before="40" w:after="120"/>
              <w:ind w:right="113"/>
              <w:rPr>
                <w:rFonts w:cs="Times New Roman"/>
              </w:rPr>
            </w:pPr>
          </w:p>
        </w:tc>
        <w:tc>
          <w:tcPr>
            <w:tcW w:w="1302" w:type="dxa"/>
            <w:tcBorders>
              <w:top w:val="single" w:sz="12" w:space="0" w:color="auto"/>
            </w:tcBorders>
            <w:shd w:val="clear" w:color="auto" w:fill="auto"/>
            <w:noWrap/>
          </w:tcPr>
          <w:p w14:paraId="3F886BB2" w14:textId="77777777" w:rsidR="002F1A3A" w:rsidRPr="002F1A3A" w:rsidRDefault="002F1A3A" w:rsidP="002F1A3A">
            <w:pPr>
              <w:spacing w:before="40" w:after="120"/>
              <w:ind w:right="113"/>
              <w:rPr>
                <w:rFonts w:cs="Times New Roman"/>
              </w:rPr>
            </w:pPr>
          </w:p>
        </w:tc>
        <w:tc>
          <w:tcPr>
            <w:tcW w:w="1260" w:type="dxa"/>
            <w:tcBorders>
              <w:top w:val="single" w:sz="12" w:space="0" w:color="auto"/>
            </w:tcBorders>
            <w:shd w:val="clear" w:color="auto" w:fill="auto"/>
            <w:noWrap/>
          </w:tcPr>
          <w:p w14:paraId="6F986799" w14:textId="77777777" w:rsidR="002F1A3A" w:rsidRPr="002F1A3A" w:rsidRDefault="002F1A3A" w:rsidP="002F1A3A">
            <w:pPr>
              <w:spacing w:before="40" w:after="120"/>
              <w:ind w:right="113"/>
              <w:rPr>
                <w:rFonts w:cs="Times New Roman"/>
              </w:rPr>
            </w:pPr>
          </w:p>
        </w:tc>
        <w:tc>
          <w:tcPr>
            <w:tcW w:w="1133" w:type="dxa"/>
            <w:tcBorders>
              <w:top w:val="single" w:sz="12" w:space="0" w:color="auto"/>
            </w:tcBorders>
            <w:shd w:val="clear" w:color="auto" w:fill="auto"/>
            <w:noWrap/>
          </w:tcPr>
          <w:p w14:paraId="44CB53EA" w14:textId="77777777" w:rsidR="002F1A3A" w:rsidRPr="002F1A3A" w:rsidRDefault="002F1A3A" w:rsidP="002F1A3A">
            <w:pPr>
              <w:spacing w:before="40" w:after="120"/>
              <w:ind w:right="113"/>
              <w:rPr>
                <w:rFonts w:cs="Times New Roman"/>
              </w:rPr>
            </w:pPr>
          </w:p>
        </w:tc>
        <w:tc>
          <w:tcPr>
            <w:tcW w:w="770" w:type="dxa"/>
            <w:tcBorders>
              <w:top w:val="single" w:sz="12" w:space="0" w:color="auto"/>
            </w:tcBorders>
            <w:shd w:val="clear" w:color="auto" w:fill="auto"/>
            <w:noWrap/>
          </w:tcPr>
          <w:p w14:paraId="475F113F" w14:textId="77777777" w:rsidR="002F1A3A" w:rsidRPr="002F1A3A" w:rsidRDefault="002F1A3A" w:rsidP="002F1A3A">
            <w:pPr>
              <w:spacing w:before="40" w:after="120"/>
              <w:ind w:right="113"/>
              <w:rPr>
                <w:rFonts w:cs="Times New Roman"/>
              </w:rPr>
            </w:pPr>
          </w:p>
        </w:tc>
        <w:tc>
          <w:tcPr>
            <w:tcW w:w="924" w:type="dxa"/>
            <w:tcBorders>
              <w:top w:val="single" w:sz="12" w:space="0" w:color="auto"/>
            </w:tcBorders>
            <w:shd w:val="clear" w:color="auto" w:fill="auto"/>
            <w:noWrap/>
          </w:tcPr>
          <w:p w14:paraId="2525848A" w14:textId="77777777" w:rsidR="002F1A3A" w:rsidRPr="002F1A3A" w:rsidRDefault="002F1A3A" w:rsidP="002F1A3A">
            <w:pPr>
              <w:spacing w:before="40" w:after="120"/>
              <w:ind w:right="113"/>
              <w:rPr>
                <w:rFonts w:cs="Times New Roman"/>
              </w:rPr>
            </w:pPr>
          </w:p>
        </w:tc>
        <w:tc>
          <w:tcPr>
            <w:tcW w:w="910" w:type="dxa"/>
            <w:tcBorders>
              <w:top w:val="single" w:sz="12" w:space="0" w:color="auto"/>
            </w:tcBorders>
            <w:shd w:val="clear" w:color="auto" w:fill="auto"/>
            <w:noWrap/>
          </w:tcPr>
          <w:p w14:paraId="2B5A7621" w14:textId="77777777" w:rsidR="002F1A3A" w:rsidRPr="002F1A3A" w:rsidRDefault="002F1A3A" w:rsidP="002F1A3A">
            <w:pPr>
              <w:spacing w:before="40" w:after="120"/>
              <w:ind w:right="113"/>
              <w:rPr>
                <w:rFonts w:cs="Times New Roman"/>
              </w:rPr>
            </w:pPr>
          </w:p>
        </w:tc>
        <w:tc>
          <w:tcPr>
            <w:tcW w:w="916" w:type="dxa"/>
            <w:tcBorders>
              <w:top w:val="single" w:sz="12" w:space="0" w:color="auto"/>
            </w:tcBorders>
            <w:shd w:val="clear" w:color="auto" w:fill="auto"/>
            <w:noWrap/>
          </w:tcPr>
          <w:p w14:paraId="48729B37" w14:textId="77777777" w:rsidR="002F1A3A" w:rsidRPr="002F1A3A" w:rsidRDefault="002F1A3A" w:rsidP="002F1A3A">
            <w:pPr>
              <w:spacing w:before="40" w:after="120"/>
              <w:ind w:right="113"/>
              <w:rPr>
                <w:rFonts w:cs="Times New Roman"/>
              </w:rPr>
            </w:pPr>
          </w:p>
        </w:tc>
      </w:tr>
      <w:tr w:rsidR="002F1A3A" w:rsidRPr="002F1A3A" w14:paraId="41325E2D" w14:textId="77777777" w:rsidTr="00FE4BFE">
        <w:tc>
          <w:tcPr>
            <w:tcW w:w="308" w:type="dxa"/>
            <w:shd w:val="clear" w:color="auto" w:fill="auto"/>
            <w:noWrap/>
          </w:tcPr>
          <w:p w14:paraId="5D881813" w14:textId="77777777" w:rsidR="00D712D1" w:rsidRPr="002F1A3A" w:rsidRDefault="00D712D1" w:rsidP="002F1A3A">
            <w:pPr>
              <w:spacing w:before="40" w:after="120"/>
              <w:ind w:right="113"/>
              <w:rPr>
                <w:rFonts w:cs="Times New Roman"/>
              </w:rPr>
            </w:pPr>
            <w:r w:rsidRPr="002F1A3A">
              <w:rPr>
                <w:rFonts w:cs="Times New Roman"/>
              </w:rPr>
              <w:t>1</w:t>
            </w:r>
          </w:p>
        </w:tc>
        <w:tc>
          <w:tcPr>
            <w:tcW w:w="2114" w:type="dxa"/>
            <w:shd w:val="clear" w:color="auto" w:fill="auto"/>
            <w:noWrap/>
          </w:tcPr>
          <w:p w14:paraId="49106C9D" w14:textId="77777777" w:rsidR="00D712D1" w:rsidRPr="002F1A3A" w:rsidRDefault="00D712D1" w:rsidP="002F1A3A">
            <w:pPr>
              <w:spacing w:before="40" w:after="120"/>
              <w:ind w:right="113"/>
              <w:rPr>
                <w:rFonts w:cs="Times New Roman"/>
              </w:rPr>
            </w:pPr>
            <w:r w:rsidRPr="002F1A3A">
              <w:rPr>
                <w:rFonts w:cs="Times New Roman"/>
              </w:rPr>
              <w:t>Рекомендации по перевозке опасных грузов: Типовые правила, двадцать третье пересмотренное издание, том I и том II</w:t>
            </w:r>
          </w:p>
        </w:tc>
        <w:tc>
          <w:tcPr>
            <w:tcW w:w="1302" w:type="dxa"/>
            <w:shd w:val="clear" w:color="auto" w:fill="auto"/>
            <w:noWrap/>
          </w:tcPr>
          <w:p w14:paraId="1623A977"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7128F951" w14:textId="1A8EC4E6"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4BF19661"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0E22EE1E" w14:textId="77777777" w:rsidR="00D712D1" w:rsidRPr="002F1A3A" w:rsidRDefault="00D712D1" w:rsidP="002F1A3A">
            <w:pPr>
              <w:spacing w:before="40" w:after="120"/>
              <w:ind w:right="113"/>
              <w:rPr>
                <w:rFonts w:cs="Times New Roman"/>
              </w:rPr>
            </w:pPr>
            <w:r w:rsidRPr="002F1A3A">
              <w:rPr>
                <w:rFonts w:cs="Times New Roman"/>
              </w:rPr>
              <w:t>950</w:t>
            </w:r>
          </w:p>
        </w:tc>
        <w:tc>
          <w:tcPr>
            <w:tcW w:w="924" w:type="dxa"/>
            <w:shd w:val="clear" w:color="auto" w:fill="auto"/>
            <w:noWrap/>
          </w:tcPr>
          <w:p w14:paraId="6D15B76F" w14:textId="77777777" w:rsidR="00D712D1" w:rsidRPr="002F1A3A" w:rsidRDefault="00D712D1" w:rsidP="002F1A3A">
            <w:pPr>
              <w:spacing w:before="40" w:after="120"/>
              <w:ind w:right="113"/>
              <w:rPr>
                <w:rFonts w:cs="Times New Roman"/>
              </w:rPr>
            </w:pPr>
            <w:r w:rsidRPr="002F1A3A">
              <w:rPr>
                <w:rFonts w:cs="Times New Roman"/>
              </w:rPr>
              <w:t>А, И, Ф</w:t>
            </w:r>
          </w:p>
        </w:tc>
        <w:tc>
          <w:tcPr>
            <w:tcW w:w="910" w:type="dxa"/>
            <w:shd w:val="clear" w:color="auto" w:fill="auto"/>
            <w:noWrap/>
          </w:tcPr>
          <w:p w14:paraId="752B028D" w14:textId="77777777" w:rsidR="00D712D1" w:rsidRPr="002F1A3A" w:rsidRDefault="00D712D1" w:rsidP="002F1A3A">
            <w:pPr>
              <w:spacing w:before="40" w:after="120"/>
              <w:ind w:right="113"/>
              <w:rPr>
                <w:rFonts w:cs="Times New Roman"/>
              </w:rPr>
            </w:pPr>
            <w:r w:rsidRPr="002F1A3A">
              <w:rPr>
                <w:rFonts w:cs="Times New Roman"/>
              </w:rPr>
              <w:t>Ар., К, Р</w:t>
            </w:r>
          </w:p>
        </w:tc>
        <w:tc>
          <w:tcPr>
            <w:tcW w:w="916" w:type="dxa"/>
            <w:shd w:val="clear" w:color="auto" w:fill="auto"/>
            <w:noWrap/>
          </w:tcPr>
          <w:p w14:paraId="0E0DC45A" w14:textId="77777777" w:rsidR="00D712D1" w:rsidRPr="002F1A3A" w:rsidRDefault="00D712D1" w:rsidP="002F1A3A">
            <w:pPr>
              <w:spacing w:before="40" w:after="120"/>
              <w:ind w:right="113"/>
              <w:rPr>
                <w:rFonts w:cs="Times New Roman"/>
                <w:szCs w:val="18"/>
              </w:rPr>
            </w:pPr>
            <w:r w:rsidRPr="002F1A3A">
              <w:rPr>
                <w:rFonts w:cs="Times New Roman"/>
              </w:rPr>
              <w:t>855А, 40Aр., 120И, 47К, 58Р, 277Ф</w:t>
            </w:r>
          </w:p>
        </w:tc>
      </w:tr>
      <w:tr w:rsidR="002F1A3A" w:rsidRPr="002F1A3A" w14:paraId="1A93B22B" w14:textId="77777777" w:rsidTr="00FE4BFE">
        <w:tc>
          <w:tcPr>
            <w:tcW w:w="308" w:type="dxa"/>
            <w:shd w:val="clear" w:color="auto" w:fill="auto"/>
            <w:noWrap/>
          </w:tcPr>
          <w:p w14:paraId="4453C801" w14:textId="77777777" w:rsidR="00D712D1" w:rsidRPr="002F1A3A" w:rsidRDefault="00D712D1" w:rsidP="002F1A3A">
            <w:pPr>
              <w:spacing w:before="40" w:after="120"/>
              <w:ind w:right="113"/>
              <w:rPr>
                <w:rFonts w:cs="Times New Roman"/>
              </w:rPr>
            </w:pPr>
            <w:r w:rsidRPr="002F1A3A">
              <w:rPr>
                <w:rFonts w:cs="Times New Roman"/>
              </w:rPr>
              <w:t>2</w:t>
            </w:r>
          </w:p>
        </w:tc>
        <w:tc>
          <w:tcPr>
            <w:tcW w:w="2114" w:type="dxa"/>
            <w:shd w:val="clear" w:color="auto" w:fill="auto"/>
            <w:noWrap/>
          </w:tcPr>
          <w:p w14:paraId="5D2C982B" w14:textId="77777777" w:rsidR="00D712D1" w:rsidRPr="002F1A3A" w:rsidRDefault="00D712D1" w:rsidP="002F1A3A">
            <w:pPr>
              <w:spacing w:before="40" w:after="120"/>
              <w:ind w:right="113"/>
              <w:rPr>
                <w:rFonts w:cs="Times New Roman"/>
              </w:rPr>
            </w:pPr>
            <w:r w:rsidRPr="002F1A3A">
              <w:rPr>
                <w:rFonts w:cs="Times New Roman"/>
              </w:rPr>
              <w:t>Согласованная на глобальном уровне система классификации опасности и маркировки химической продукции (СГС), десятое пересмотренное издание</w:t>
            </w:r>
          </w:p>
        </w:tc>
        <w:tc>
          <w:tcPr>
            <w:tcW w:w="1302" w:type="dxa"/>
            <w:shd w:val="clear" w:color="auto" w:fill="auto"/>
            <w:noWrap/>
          </w:tcPr>
          <w:p w14:paraId="12D6803E"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4A027D1A" w14:textId="2CD4465F"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5C861939"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1F828430" w14:textId="77777777" w:rsidR="00D712D1" w:rsidRPr="002F1A3A" w:rsidRDefault="00D712D1" w:rsidP="002F1A3A">
            <w:pPr>
              <w:spacing w:before="40" w:after="120"/>
              <w:ind w:right="113"/>
              <w:rPr>
                <w:rFonts w:cs="Times New Roman"/>
              </w:rPr>
            </w:pPr>
            <w:r w:rsidRPr="002F1A3A">
              <w:rPr>
                <w:rFonts w:cs="Times New Roman"/>
              </w:rPr>
              <w:t>600</w:t>
            </w:r>
          </w:p>
        </w:tc>
        <w:tc>
          <w:tcPr>
            <w:tcW w:w="924" w:type="dxa"/>
            <w:shd w:val="clear" w:color="auto" w:fill="auto"/>
            <w:noWrap/>
          </w:tcPr>
          <w:p w14:paraId="6D15EF2A" w14:textId="77777777" w:rsidR="00D712D1" w:rsidRPr="002F1A3A" w:rsidRDefault="00D712D1" w:rsidP="002F1A3A">
            <w:pPr>
              <w:spacing w:before="40" w:after="120"/>
              <w:ind w:right="113"/>
              <w:rPr>
                <w:rFonts w:cs="Times New Roman"/>
              </w:rPr>
            </w:pPr>
            <w:r w:rsidRPr="002F1A3A">
              <w:rPr>
                <w:rFonts w:cs="Times New Roman"/>
              </w:rPr>
              <w:t>А, Ф</w:t>
            </w:r>
          </w:p>
        </w:tc>
        <w:tc>
          <w:tcPr>
            <w:tcW w:w="910" w:type="dxa"/>
            <w:shd w:val="clear" w:color="auto" w:fill="auto"/>
            <w:noWrap/>
          </w:tcPr>
          <w:p w14:paraId="7D851444" w14:textId="77777777" w:rsidR="00D712D1" w:rsidRPr="002F1A3A" w:rsidRDefault="00D712D1" w:rsidP="002F1A3A">
            <w:pPr>
              <w:spacing w:before="40" w:after="120"/>
              <w:ind w:right="113"/>
              <w:rPr>
                <w:rFonts w:cs="Times New Roman"/>
              </w:rPr>
            </w:pPr>
            <w:r w:rsidRPr="002F1A3A">
              <w:rPr>
                <w:rFonts w:cs="Times New Roman"/>
              </w:rPr>
              <w:t>Ар., К, Р</w:t>
            </w:r>
          </w:p>
        </w:tc>
        <w:tc>
          <w:tcPr>
            <w:tcW w:w="916" w:type="dxa"/>
            <w:shd w:val="clear" w:color="auto" w:fill="auto"/>
            <w:noWrap/>
          </w:tcPr>
          <w:p w14:paraId="75677833" w14:textId="77777777" w:rsidR="00D712D1" w:rsidRPr="002F1A3A" w:rsidRDefault="00D712D1" w:rsidP="002F1A3A">
            <w:pPr>
              <w:spacing w:before="40" w:after="120"/>
              <w:ind w:right="113"/>
              <w:rPr>
                <w:rFonts w:cs="Times New Roman"/>
                <w:szCs w:val="18"/>
              </w:rPr>
            </w:pPr>
            <w:r w:rsidRPr="002F1A3A">
              <w:rPr>
                <w:rFonts w:cs="Times New Roman"/>
              </w:rPr>
              <w:t>926А, 40Aр., 91И, 48К, 50Р, 174Ф</w:t>
            </w:r>
          </w:p>
          <w:p w14:paraId="1D7B3457" w14:textId="77777777" w:rsidR="00D712D1" w:rsidRPr="002F1A3A" w:rsidRDefault="00D712D1" w:rsidP="002F1A3A">
            <w:pPr>
              <w:spacing w:before="40" w:after="120"/>
              <w:ind w:right="113"/>
              <w:rPr>
                <w:rFonts w:cs="Times New Roman"/>
                <w:szCs w:val="18"/>
              </w:rPr>
            </w:pPr>
          </w:p>
        </w:tc>
      </w:tr>
      <w:tr w:rsidR="002F1A3A" w:rsidRPr="002F1A3A" w14:paraId="6EFE21D2" w14:textId="77777777" w:rsidTr="00FE4BFE">
        <w:tc>
          <w:tcPr>
            <w:tcW w:w="308" w:type="dxa"/>
            <w:shd w:val="clear" w:color="auto" w:fill="auto"/>
            <w:noWrap/>
          </w:tcPr>
          <w:p w14:paraId="2F26D6D1" w14:textId="77777777" w:rsidR="00D712D1" w:rsidRPr="002F1A3A" w:rsidRDefault="00D712D1" w:rsidP="002F1A3A">
            <w:pPr>
              <w:spacing w:before="40" w:after="120"/>
              <w:ind w:right="113"/>
              <w:rPr>
                <w:rFonts w:cs="Times New Roman"/>
              </w:rPr>
            </w:pPr>
            <w:r w:rsidRPr="002F1A3A">
              <w:rPr>
                <w:rFonts w:cs="Times New Roman"/>
              </w:rPr>
              <w:t>3</w:t>
            </w:r>
          </w:p>
        </w:tc>
        <w:tc>
          <w:tcPr>
            <w:tcW w:w="2114" w:type="dxa"/>
            <w:shd w:val="clear" w:color="auto" w:fill="auto"/>
            <w:noWrap/>
          </w:tcPr>
          <w:p w14:paraId="000BD670" w14:textId="50D82E6A" w:rsidR="00D712D1" w:rsidRPr="002F1A3A" w:rsidRDefault="00D712D1" w:rsidP="002F1A3A">
            <w:pPr>
              <w:spacing w:before="40" w:after="120"/>
              <w:ind w:right="113"/>
              <w:rPr>
                <w:rFonts w:cs="Times New Roman"/>
              </w:rPr>
            </w:pPr>
            <w:r w:rsidRPr="002F1A3A">
              <w:rPr>
                <w:rFonts w:cs="Times New Roman"/>
              </w:rPr>
              <w:t>Руководство по испытаниям и критериям (восьмое пересмотренное издание или поправка</w:t>
            </w:r>
            <w:r w:rsidR="00FE4BFE">
              <w:rPr>
                <w:rFonts w:cs="Times New Roman"/>
              </w:rPr>
              <w:t> </w:t>
            </w:r>
            <w:r w:rsidRPr="002F1A3A">
              <w:rPr>
                <w:rFonts w:cs="Times New Roman"/>
              </w:rPr>
              <w:t>2 к седьмому пересмотренному изданию)</w:t>
            </w:r>
          </w:p>
        </w:tc>
        <w:tc>
          <w:tcPr>
            <w:tcW w:w="1302" w:type="dxa"/>
            <w:shd w:val="clear" w:color="auto" w:fill="auto"/>
            <w:noWrap/>
          </w:tcPr>
          <w:p w14:paraId="612E373D"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450A13FA" w14:textId="7C387B37"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2EAD25C1"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438E1EFA" w14:textId="77777777" w:rsidR="00D712D1" w:rsidRPr="002F1A3A" w:rsidRDefault="00D712D1" w:rsidP="002F1A3A">
            <w:pPr>
              <w:spacing w:before="40" w:after="120"/>
              <w:ind w:right="113"/>
              <w:rPr>
                <w:rFonts w:cs="Times New Roman"/>
              </w:rPr>
            </w:pPr>
            <w:r w:rsidRPr="002F1A3A">
              <w:rPr>
                <w:rFonts w:cs="Times New Roman"/>
              </w:rPr>
              <w:t>550</w:t>
            </w:r>
          </w:p>
        </w:tc>
        <w:tc>
          <w:tcPr>
            <w:tcW w:w="924" w:type="dxa"/>
            <w:shd w:val="clear" w:color="auto" w:fill="auto"/>
            <w:noWrap/>
          </w:tcPr>
          <w:p w14:paraId="3E4729B2" w14:textId="77777777" w:rsidR="00D712D1" w:rsidRPr="002F1A3A" w:rsidRDefault="00D712D1" w:rsidP="002F1A3A">
            <w:pPr>
              <w:spacing w:before="40" w:after="120"/>
              <w:ind w:right="113"/>
              <w:rPr>
                <w:rFonts w:cs="Times New Roman"/>
              </w:rPr>
            </w:pPr>
            <w:r w:rsidRPr="002F1A3A">
              <w:rPr>
                <w:rFonts w:cs="Times New Roman"/>
              </w:rPr>
              <w:t xml:space="preserve">А, И, Ф </w:t>
            </w:r>
          </w:p>
        </w:tc>
        <w:tc>
          <w:tcPr>
            <w:tcW w:w="910" w:type="dxa"/>
            <w:shd w:val="clear" w:color="auto" w:fill="auto"/>
            <w:noWrap/>
          </w:tcPr>
          <w:p w14:paraId="4B177970" w14:textId="77777777" w:rsidR="00D712D1" w:rsidRPr="002F1A3A" w:rsidRDefault="00D712D1" w:rsidP="002F1A3A">
            <w:pPr>
              <w:spacing w:before="40" w:after="120"/>
              <w:ind w:right="113"/>
              <w:rPr>
                <w:rFonts w:cs="Times New Roman"/>
              </w:rPr>
            </w:pPr>
            <w:r w:rsidRPr="002F1A3A">
              <w:rPr>
                <w:rFonts w:cs="Times New Roman"/>
              </w:rPr>
              <w:t>Ар., К, Р</w:t>
            </w:r>
          </w:p>
        </w:tc>
        <w:tc>
          <w:tcPr>
            <w:tcW w:w="916" w:type="dxa"/>
            <w:shd w:val="clear" w:color="auto" w:fill="auto"/>
            <w:noWrap/>
          </w:tcPr>
          <w:p w14:paraId="5E9AAD7B" w14:textId="77777777" w:rsidR="00D712D1" w:rsidRPr="002F1A3A" w:rsidRDefault="00D712D1" w:rsidP="002F1A3A">
            <w:pPr>
              <w:spacing w:before="40" w:after="120"/>
              <w:ind w:right="113"/>
              <w:rPr>
                <w:rFonts w:cs="Times New Roman"/>
                <w:szCs w:val="18"/>
              </w:rPr>
            </w:pPr>
            <w:r w:rsidRPr="002F1A3A">
              <w:rPr>
                <w:rFonts w:cs="Times New Roman"/>
              </w:rPr>
              <w:t>640А, 40Aр., 80И, 46К, 46Р, 147Ф</w:t>
            </w:r>
          </w:p>
        </w:tc>
      </w:tr>
      <w:tr w:rsidR="002F1A3A" w:rsidRPr="002F1A3A" w14:paraId="0B750A61" w14:textId="77777777" w:rsidTr="00FE4BFE">
        <w:tc>
          <w:tcPr>
            <w:tcW w:w="308" w:type="dxa"/>
            <w:shd w:val="clear" w:color="auto" w:fill="auto"/>
            <w:noWrap/>
          </w:tcPr>
          <w:p w14:paraId="266462D6" w14:textId="77777777" w:rsidR="00D712D1" w:rsidRPr="002F1A3A" w:rsidRDefault="00D712D1" w:rsidP="002F1A3A">
            <w:pPr>
              <w:spacing w:before="40" w:after="120"/>
              <w:ind w:right="113"/>
              <w:rPr>
                <w:rFonts w:cs="Times New Roman"/>
              </w:rPr>
            </w:pPr>
            <w:r w:rsidRPr="002F1A3A">
              <w:rPr>
                <w:rFonts w:cs="Times New Roman"/>
              </w:rPr>
              <w:t>4</w:t>
            </w:r>
          </w:p>
        </w:tc>
        <w:tc>
          <w:tcPr>
            <w:tcW w:w="2114" w:type="dxa"/>
            <w:shd w:val="clear" w:color="auto" w:fill="auto"/>
            <w:noWrap/>
          </w:tcPr>
          <w:p w14:paraId="743074CB" w14:textId="77777777" w:rsidR="00D712D1" w:rsidRPr="002F1A3A" w:rsidRDefault="00D712D1" w:rsidP="002F1A3A">
            <w:pPr>
              <w:spacing w:before="40" w:after="120"/>
              <w:ind w:right="113"/>
              <w:rPr>
                <w:rFonts w:cs="Times New Roman"/>
              </w:rPr>
            </w:pPr>
            <w:r w:rsidRPr="002F1A3A">
              <w:rPr>
                <w:rFonts w:cs="Times New Roman"/>
              </w:rPr>
              <w:t>Соглашение о международных перевозках скоропортящихся пищевых продуктов и о специальных транспортных средствах, предназначенных для этих перевозок (СПС)</w:t>
            </w:r>
          </w:p>
        </w:tc>
        <w:tc>
          <w:tcPr>
            <w:tcW w:w="1302" w:type="dxa"/>
            <w:shd w:val="clear" w:color="auto" w:fill="auto"/>
            <w:noWrap/>
          </w:tcPr>
          <w:p w14:paraId="01FD93C6"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781AC880" w14:textId="19FBAC41"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368AD1D6"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06A0C88D" w14:textId="77777777" w:rsidR="00D712D1" w:rsidRPr="002F1A3A" w:rsidRDefault="00D712D1" w:rsidP="002F1A3A">
            <w:pPr>
              <w:spacing w:before="40" w:after="120"/>
              <w:ind w:right="113"/>
              <w:rPr>
                <w:rFonts w:cs="Times New Roman"/>
              </w:rPr>
            </w:pPr>
            <w:r w:rsidRPr="002F1A3A">
              <w:rPr>
                <w:rFonts w:cs="Times New Roman"/>
              </w:rPr>
              <w:t>140</w:t>
            </w:r>
          </w:p>
        </w:tc>
        <w:tc>
          <w:tcPr>
            <w:tcW w:w="924" w:type="dxa"/>
            <w:shd w:val="clear" w:color="auto" w:fill="auto"/>
            <w:noWrap/>
          </w:tcPr>
          <w:p w14:paraId="613A797A" w14:textId="77777777" w:rsidR="00D712D1" w:rsidRPr="002F1A3A" w:rsidRDefault="00D712D1" w:rsidP="002F1A3A">
            <w:pPr>
              <w:spacing w:before="40" w:after="120"/>
              <w:ind w:right="113"/>
              <w:rPr>
                <w:rFonts w:cs="Times New Roman"/>
              </w:rPr>
            </w:pPr>
            <w:r w:rsidRPr="002F1A3A">
              <w:rPr>
                <w:rFonts w:cs="Times New Roman"/>
              </w:rPr>
              <w:t xml:space="preserve">А, Ф </w:t>
            </w:r>
          </w:p>
        </w:tc>
        <w:tc>
          <w:tcPr>
            <w:tcW w:w="910" w:type="dxa"/>
            <w:shd w:val="clear" w:color="auto" w:fill="auto"/>
            <w:noWrap/>
          </w:tcPr>
          <w:p w14:paraId="1B531643" w14:textId="77777777" w:rsidR="00D712D1" w:rsidRPr="002F1A3A" w:rsidRDefault="00D712D1" w:rsidP="002F1A3A">
            <w:pPr>
              <w:spacing w:before="40" w:after="120"/>
              <w:ind w:right="113"/>
              <w:rPr>
                <w:rFonts w:cs="Times New Roman"/>
              </w:rPr>
            </w:pPr>
            <w:r w:rsidRPr="002F1A3A">
              <w:rPr>
                <w:rFonts w:cs="Times New Roman"/>
              </w:rPr>
              <w:t>Р</w:t>
            </w:r>
          </w:p>
        </w:tc>
        <w:tc>
          <w:tcPr>
            <w:tcW w:w="916" w:type="dxa"/>
            <w:shd w:val="clear" w:color="auto" w:fill="auto"/>
            <w:noWrap/>
          </w:tcPr>
          <w:p w14:paraId="5D89D31E" w14:textId="77777777" w:rsidR="00D712D1" w:rsidRPr="002F1A3A" w:rsidRDefault="00D712D1" w:rsidP="002F1A3A">
            <w:pPr>
              <w:spacing w:before="40" w:after="120"/>
              <w:ind w:right="113"/>
              <w:rPr>
                <w:rFonts w:cs="Times New Roman"/>
                <w:szCs w:val="18"/>
              </w:rPr>
            </w:pPr>
            <w:r w:rsidRPr="002F1A3A">
              <w:rPr>
                <w:rFonts w:cs="Times New Roman"/>
              </w:rPr>
              <w:t>500А, 110Р, 150Ф</w:t>
            </w:r>
          </w:p>
        </w:tc>
      </w:tr>
      <w:tr w:rsidR="002F1A3A" w:rsidRPr="002F1A3A" w14:paraId="187A3823" w14:textId="77777777" w:rsidTr="00FE4BFE">
        <w:tc>
          <w:tcPr>
            <w:tcW w:w="308" w:type="dxa"/>
            <w:shd w:val="clear" w:color="auto" w:fill="auto"/>
            <w:noWrap/>
          </w:tcPr>
          <w:p w14:paraId="241BF4F8" w14:textId="77777777" w:rsidR="00D712D1" w:rsidRPr="002F1A3A" w:rsidRDefault="00D712D1" w:rsidP="002F1A3A">
            <w:pPr>
              <w:spacing w:before="40" w:after="120"/>
              <w:ind w:right="113"/>
              <w:rPr>
                <w:rFonts w:cs="Times New Roman"/>
              </w:rPr>
            </w:pPr>
            <w:r w:rsidRPr="002F1A3A">
              <w:rPr>
                <w:rFonts w:cs="Times New Roman"/>
              </w:rPr>
              <w:t>5</w:t>
            </w:r>
          </w:p>
        </w:tc>
        <w:tc>
          <w:tcPr>
            <w:tcW w:w="2114" w:type="dxa"/>
            <w:shd w:val="clear" w:color="auto" w:fill="auto"/>
            <w:noWrap/>
          </w:tcPr>
          <w:p w14:paraId="5F919DBE" w14:textId="77777777" w:rsidR="00D712D1" w:rsidRPr="002F1A3A" w:rsidRDefault="00D712D1" w:rsidP="002F1A3A">
            <w:pPr>
              <w:spacing w:before="40" w:after="120"/>
              <w:ind w:right="113"/>
              <w:rPr>
                <w:rFonts w:cs="Times New Roman"/>
              </w:rPr>
            </w:pPr>
            <w:r w:rsidRPr="002F1A3A">
              <w:rPr>
                <w:rFonts w:cs="Times New Roman"/>
              </w:rPr>
              <w:t>Всемирный форум для согласования правил в области транспортных средств (WP.29). Методы работы, порядок присоединения</w:t>
            </w:r>
          </w:p>
        </w:tc>
        <w:tc>
          <w:tcPr>
            <w:tcW w:w="1302" w:type="dxa"/>
            <w:shd w:val="clear" w:color="auto" w:fill="auto"/>
            <w:noWrap/>
          </w:tcPr>
          <w:p w14:paraId="705D5F15"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49159965" w14:textId="1D473BF7"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5CAA9FC4"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18C00782" w14:textId="77777777" w:rsidR="00D712D1" w:rsidRPr="002F1A3A" w:rsidRDefault="00D712D1" w:rsidP="002F1A3A">
            <w:pPr>
              <w:spacing w:before="40" w:after="120"/>
              <w:ind w:right="113"/>
              <w:rPr>
                <w:rFonts w:cs="Times New Roman"/>
              </w:rPr>
            </w:pPr>
            <w:r w:rsidRPr="002F1A3A">
              <w:rPr>
                <w:rFonts w:cs="Times New Roman"/>
              </w:rPr>
              <w:t>120</w:t>
            </w:r>
          </w:p>
        </w:tc>
        <w:tc>
          <w:tcPr>
            <w:tcW w:w="924" w:type="dxa"/>
            <w:shd w:val="clear" w:color="auto" w:fill="auto"/>
            <w:noWrap/>
          </w:tcPr>
          <w:p w14:paraId="19ECCFE2" w14:textId="77777777" w:rsidR="00D712D1" w:rsidRPr="002F1A3A" w:rsidRDefault="00D712D1" w:rsidP="002F1A3A">
            <w:pPr>
              <w:spacing w:before="40" w:after="120"/>
              <w:ind w:right="113"/>
              <w:rPr>
                <w:rFonts w:cs="Times New Roman"/>
              </w:rPr>
            </w:pPr>
            <w:r w:rsidRPr="002F1A3A">
              <w:rPr>
                <w:rFonts w:cs="Times New Roman"/>
              </w:rPr>
              <w:t>А, Ф</w:t>
            </w:r>
          </w:p>
        </w:tc>
        <w:tc>
          <w:tcPr>
            <w:tcW w:w="910" w:type="dxa"/>
            <w:shd w:val="clear" w:color="auto" w:fill="auto"/>
            <w:noWrap/>
          </w:tcPr>
          <w:p w14:paraId="2CEFD9C9" w14:textId="77777777" w:rsidR="00D712D1" w:rsidRPr="002F1A3A" w:rsidRDefault="00D712D1" w:rsidP="002F1A3A">
            <w:pPr>
              <w:spacing w:before="40" w:after="120"/>
              <w:ind w:right="113"/>
              <w:rPr>
                <w:rFonts w:cs="Times New Roman"/>
              </w:rPr>
            </w:pPr>
            <w:r w:rsidRPr="002F1A3A">
              <w:rPr>
                <w:rFonts w:cs="Times New Roman"/>
              </w:rPr>
              <w:t>Р</w:t>
            </w:r>
          </w:p>
        </w:tc>
        <w:tc>
          <w:tcPr>
            <w:tcW w:w="916" w:type="dxa"/>
            <w:shd w:val="clear" w:color="auto" w:fill="auto"/>
            <w:noWrap/>
          </w:tcPr>
          <w:p w14:paraId="0882AED8" w14:textId="77777777" w:rsidR="00D712D1" w:rsidRPr="002F1A3A" w:rsidRDefault="00D712D1" w:rsidP="002F1A3A">
            <w:pPr>
              <w:spacing w:before="40" w:after="120"/>
              <w:ind w:right="113"/>
              <w:rPr>
                <w:rFonts w:cs="Times New Roman"/>
                <w:szCs w:val="18"/>
              </w:rPr>
            </w:pPr>
            <w:r w:rsidRPr="002F1A3A">
              <w:rPr>
                <w:rFonts w:cs="Times New Roman"/>
              </w:rPr>
              <w:t>350А, 150Р, 100Ф</w:t>
            </w:r>
          </w:p>
        </w:tc>
      </w:tr>
      <w:tr w:rsidR="002F1A3A" w:rsidRPr="002F1A3A" w14:paraId="69660E1C" w14:textId="77777777" w:rsidTr="00FE4BFE">
        <w:tc>
          <w:tcPr>
            <w:tcW w:w="308" w:type="dxa"/>
            <w:shd w:val="clear" w:color="auto" w:fill="auto"/>
            <w:noWrap/>
          </w:tcPr>
          <w:p w14:paraId="23C85BE0" w14:textId="77777777" w:rsidR="00D712D1" w:rsidRPr="002F1A3A" w:rsidRDefault="00D712D1" w:rsidP="002F1A3A">
            <w:pPr>
              <w:spacing w:before="40" w:after="120"/>
              <w:ind w:right="113"/>
              <w:rPr>
                <w:rFonts w:cs="Times New Roman"/>
              </w:rPr>
            </w:pPr>
            <w:r w:rsidRPr="002F1A3A">
              <w:rPr>
                <w:rFonts w:cs="Times New Roman"/>
              </w:rPr>
              <w:lastRenderedPageBreak/>
              <w:t>6</w:t>
            </w:r>
          </w:p>
        </w:tc>
        <w:tc>
          <w:tcPr>
            <w:tcW w:w="2114" w:type="dxa"/>
            <w:shd w:val="clear" w:color="auto" w:fill="auto"/>
            <w:noWrap/>
          </w:tcPr>
          <w:p w14:paraId="58796CF3" w14:textId="77777777" w:rsidR="00D712D1" w:rsidRPr="002F1A3A" w:rsidRDefault="00D712D1" w:rsidP="002F1A3A">
            <w:pPr>
              <w:spacing w:before="40" w:after="120"/>
              <w:ind w:right="113"/>
              <w:rPr>
                <w:rFonts w:cs="Times New Roman"/>
              </w:rPr>
            </w:pPr>
            <w:r w:rsidRPr="002F1A3A">
              <w:rPr>
                <w:rFonts w:cs="Times New Roman"/>
              </w:rPr>
              <w:t>Статистика дорожно-транспортных происшествий в Европе и Северной Америке</w:t>
            </w:r>
          </w:p>
        </w:tc>
        <w:tc>
          <w:tcPr>
            <w:tcW w:w="1302" w:type="dxa"/>
            <w:shd w:val="clear" w:color="auto" w:fill="auto"/>
            <w:noWrap/>
          </w:tcPr>
          <w:p w14:paraId="4555988B"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shd w:val="clear" w:color="auto" w:fill="auto"/>
            <w:noWrap/>
          </w:tcPr>
          <w:p w14:paraId="7FC9E668" w14:textId="7748DFB9"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shd w:val="clear" w:color="auto" w:fill="auto"/>
            <w:noWrap/>
          </w:tcPr>
          <w:p w14:paraId="7F9922C8"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shd w:val="clear" w:color="auto" w:fill="auto"/>
            <w:noWrap/>
          </w:tcPr>
          <w:p w14:paraId="30D84E5D" w14:textId="77777777" w:rsidR="00D712D1" w:rsidRPr="002F1A3A" w:rsidRDefault="00D712D1" w:rsidP="002F1A3A">
            <w:pPr>
              <w:spacing w:before="40" w:after="120"/>
              <w:ind w:right="113"/>
              <w:rPr>
                <w:rFonts w:cs="Times New Roman"/>
              </w:rPr>
            </w:pPr>
            <w:r w:rsidRPr="002F1A3A">
              <w:rPr>
                <w:rFonts w:cs="Times New Roman"/>
              </w:rPr>
              <w:t>180</w:t>
            </w:r>
          </w:p>
        </w:tc>
        <w:tc>
          <w:tcPr>
            <w:tcW w:w="924" w:type="dxa"/>
            <w:shd w:val="clear" w:color="auto" w:fill="auto"/>
            <w:noWrap/>
          </w:tcPr>
          <w:p w14:paraId="75431B6D" w14:textId="77777777" w:rsidR="00D712D1" w:rsidRPr="002F1A3A" w:rsidRDefault="00D712D1" w:rsidP="002F1A3A">
            <w:pPr>
              <w:spacing w:before="40" w:after="120"/>
              <w:ind w:right="113"/>
              <w:rPr>
                <w:rFonts w:cs="Times New Roman"/>
              </w:rPr>
            </w:pPr>
            <w:r w:rsidRPr="002F1A3A">
              <w:rPr>
                <w:rFonts w:cs="Times New Roman"/>
              </w:rPr>
              <w:t>А</w:t>
            </w:r>
          </w:p>
        </w:tc>
        <w:tc>
          <w:tcPr>
            <w:tcW w:w="910" w:type="dxa"/>
            <w:shd w:val="clear" w:color="auto" w:fill="auto"/>
            <w:noWrap/>
          </w:tcPr>
          <w:p w14:paraId="2A80160A" w14:textId="77777777" w:rsidR="00D712D1" w:rsidRPr="002F1A3A" w:rsidRDefault="00D712D1" w:rsidP="002F1A3A">
            <w:pPr>
              <w:spacing w:before="40" w:after="120"/>
              <w:ind w:right="113"/>
              <w:rPr>
                <w:rFonts w:cs="Times New Roman"/>
              </w:rPr>
            </w:pPr>
            <w:r w:rsidRPr="002F1A3A">
              <w:rPr>
                <w:rFonts w:cs="Times New Roman"/>
              </w:rPr>
              <w:t>Р, Ф</w:t>
            </w:r>
          </w:p>
        </w:tc>
        <w:tc>
          <w:tcPr>
            <w:tcW w:w="916" w:type="dxa"/>
            <w:shd w:val="clear" w:color="auto" w:fill="auto"/>
            <w:noWrap/>
          </w:tcPr>
          <w:p w14:paraId="0EDA57C6" w14:textId="77777777" w:rsidR="00D712D1" w:rsidRPr="002F1A3A" w:rsidRDefault="00D712D1" w:rsidP="002F1A3A">
            <w:pPr>
              <w:spacing w:before="40" w:after="120"/>
              <w:ind w:right="113"/>
              <w:rPr>
                <w:rFonts w:cs="Times New Roman"/>
                <w:szCs w:val="18"/>
              </w:rPr>
            </w:pPr>
          </w:p>
        </w:tc>
      </w:tr>
      <w:tr w:rsidR="002F1A3A" w:rsidRPr="002F1A3A" w14:paraId="2FADE7ED" w14:textId="77777777" w:rsidTr="00FE4BFE">
        <w:tc>
          <w:tcPr>
            <w:tcW w:w="308" w:type="dxa"/>
            <w:tcBorders>
              <w:bottom w:val="single" w:sz="12" w:space="0" w:color="auto"/>
            </w:tcBorders>
            <w:shd w:val="clear" w:color="auto" w:fill="auto"/>
            <w:noWrap/>
          </w:tcPr>
          <w:p w14:paraId="0B383772" w14:textId="77777777" w:rsidR="00D712D1" w:rsidRPr="002F1A3A" w:rsidRDefault="00D712D1" w:rsidP="002F1A3A">
            <w:pPr>
              <w:spacing w:before="40" w:after="120"/>
              <w:ind w:right="113"/>
              <w:rPr>
                <w:rFonts w:cs="Times New Roman"/>
              </w:rPr>
            </w:pPr>
            <w:r w:rsidRPr="002F1A3A">
              <w:rPr>
                <w:rFonts w:cs="Times New Roman"/>
              </w:rPr>
              <w:t>7</w:t>
            </w:r>
          </w:p>
        </w:tc>
        <w:tc>
          <w:tcPr>
            <w:tcW w:w="2114" w:type="dxa"/>
            <w:tcBorders>
              <w:bottom w:val="single" w:sz="12" w:space="0" w:color="auto"/>
            </w:tcBorders>
            <w:shd w:val="clear" w:color="auto" w:fill="auto"/>
            <w:noWrap/>
          </w:tcPr>
          <w:p w14:paraId="06B3B9C7" w14:textId="77777777" w:rsidR="00D712D1" w:rsidRPr="002F1A3A" w:rsidRDefault="00D712D1" w:rsidP="002F1A3A">
            <w:pPr>
              <w:spacing w:before="40" w:after="120"/>
              <w:ind w:right="113"/>
              <w:rPr>
                <w:rFonts w:cs="Times New Roman"/>
              </w:rPr>
            </w:pPr>
            <w:r w:rsidRPr="002F1A3A">
              <w:rPr>
                <w:rFonts w:cs="Times New Roman"/>
              </w:rPr>
              <w:t>Тенденции и экономика транспорта</w:t>
            </w:r>
          </w:p>
        </w:tc>
        <w:tc>
          <w:tcPr>
            <w:tcW w:w="1302" w:type="dxa"/>
            <w:tcBorders>
              <w:bottom w:val="single" w:sz="12" w:space="0" w:color="auto"/>
            </w:tcBorders>
            <w:shd w:val="clear" w:color="auto" w:fill="auto"/>
            <w:noWrap/>
          </w:tcPr>
          <w:p w14:paraId="37EAC4F6" w14:textId="77777777" w:rsidR="00D712D1" w:rsidRPr="002F1A3A" w:rsidRDefault="00D712D1" w:rsidP="002F1A3A">
            <w:pPr>
              <w:spacing w:before="40" w:after="120"/>
              <w:ind w:right="113"/>
              <w:rPr>
                <w:rFonts w:cs="Times New Roman"/>
              </w:rPr>
            </w:pPr>
            <w:r w:rsidRPr="002F1A3A">
              <w:rPr>
                <w:rFonts w:cs="Times New Roman"/>
              </w:rPr>
              <w:t>ECE/TRANS/316, пункт 36</w:t>
            </w:r>
          </w:p>
        </w:tc>
        <w:tc>
          <w:tcPr>
            <w:tcW w:w="1260" w:type="dxa"/>
            <w:tcBorders>
              <w:bottom w:val="single" w:sz="12" w:space="0" w:color="auto"/>
            </w:tcBorders>
            <w:shd w:val="clear" w:color="auto" w:fill="auto"/>
            <w:noWrap/>
          </w:tcPr>
          <w:p w14:paraId="4492D7A6" w14:textId="58800DC0" w:rsidR="00D712D1" w:rsidRPr="002F1A3A" w:rsidRDefault="00D712D1" w:rsidP="002F1A3A">
            <w:pPr>
              <w:spacing w:before="40" w:after="120"/>
              <w:ind w:right="113"/>
              <w:rPr>
                <w:rFonts w:cs="Times New Roman"/>
              </w:rPr>
            </w:pPr>
            <w:r w:rsidRPr="002F1A3A">
              <w:rPr>
                <w:rFonts w:cs="Times New Roman"/>
              </w:rPr>
              <w:t>В печатном и</w:t>
            </w:r>
            <w:r w:rsidR="00FE4BFE">
              <w:rPr>
                <w:rFonts w:cs="Times New Roman"/>
              </w:rPr>
              <w:t> </w:t>
            </w:r>
            <w:r w:rsidRPr="002F1A3A">
              <w:rPr>
                <w:rFonts w:cs="Times New Roman"/>
              </w:rPr>
              <w:t>цифровом формате</w:t>
            </w:r>
          </w:p>
        </w:tc>
        <w:tc>
          <w:tcPr>
            <w:tcW w:w="1133" w:type="dxa"/>
            <w:tcBorders>
              <w:bottom w:val="single" w:sz="12" w:space="0" w:color="auto"/>
            </w:tcBorders>
            <w:shd w:val="clear" w:color="auto" w:fill="auto"/>
            <w:noWrap/>
          </w:tcPr>
          <w:p w14:paraId="5067E3AE" w14:textId="77777777" w:rsidR="00D712D1" w:rsidRPr="002F1A3A" w:rsidRDefault="00D712D1" w:rsidP="002F1A3A">
            <w:pPr>
              <w:spacing w:before="40" w:after="120"/>
              <w:ind w:right="113"/>
              <w:rPr>
                <w:rFonts w:cs="Times New Roman"/>
              </w:rPr>
            </w:pPr>
            <w:r w:rsidRPr="002F1A3A">
              <w:rPr>
                <w:rFonts w:cs="Times New Roman"/>
              </w:rPr>
              <w:t>A4</w:t>
            </w:r>
          </w:p>
        </w:tc>
        <w:tc>
          <w:tcPr>
            <w:tcW w:w="770" w:type="dxa"/>
            <w:tcBorders>
              <w:bottom w:val="single" w:sz="12" w:space="0" w:color="auto"/>
            </w:tcBorders>
            <w:shd w:val="clear" w:color="auto" w:fill="auto"/>
            <w:noWrap/>
          </w:tcPr>
          <w:p w14:paraId="3C966506" w14:textId="77777777" w:rsidR="00D712D1" w:rsidRPr="002F1A3A" w:rsidRDefault="00D712D1" w:rsidP="002F1A3A">
            <w:pPr>
              <w:spacing w:before="40" w:after="120"/>
              <w:ind w:right="113"/>
              <w:rPr>
                <w:rFonts w:cs="Times New Roman"/>
              </w:rPr>
            </w:pPr>
            <w:r w:rsidRPr="002F1A3A">
              <w:rPr>
                <w:rFonts w:cs="Times New Roman"/>
              </w:rPr>
              <w:t>140</w:t>
            </w:r>
          </w:p>
        </w:tc>
        <w:tc>
          <w:tcPr>
            <w:tcW w:w="924" w:type="dxa"/>
            <w:tcBorders>
              <w:bottom w:val="single" w:sz="12" w:space="0" w:color="auto"/>
            </w:tcBorders>
            <w:shd w:val="clear" w:color="auto" w:fill="auto"/>
            <w:noWrap/>
          </w:tcPr>
          <w:p w14:paraId="70AE76B6" w14:textId="77777777" w:rsidR="00D712D1" w:rsidRPr="002F1A3A" w:rsidRDefault="00D712D1" w:rsidP="002F1A3A">
            <w:pPr>
              <w:spacing w:before="40" w:after="120"/>
              <w:ind w:right="113"/>
              <w:rPr>
                <w:rFonts w:cs="Times New Roman"/>
              </w:rPr>
            </w:pPr>
            <w:r w:rsidRPr="002F1A3A">
              <w:rPr>
                <w:rFonts w:cs="Times New Roman"/>
              </w:rPr>
              <w:t>А, Р, Ф</w:t>
            </w:r>
          </w:p>
        </w:tc>
        <w:tc>
          <w:tcPr>
            <w:tcW w:w="910" w:type="dxa"/>
            <w:tcBorders>
              <w:bottom w:val="single" w:sz="12" w:space="0" w:color="auto"/>
            </w:tcBorders>
            <w:shd w:val="clear" w:color="auto" w:fill="auto"/>
            <w:noWrap/>
          </w:tcPr>
          <w:p w14:paraId="700D14A8" w14:textId="77777777" w:rsidR="00D712D1" w:rsidRPr="002F1A3A" w:rsidRDefault="00D712D1" w:rsidP="002F1A3A">
            <w:pPr>
              <w:spacing w:before="40" w:after="120"/>
              <w:ind w:right="113"/>
              <w:rPr>
                <w:rFonts w:cs="Times New Roman"/>
              </w:rPr>
            </w:pPr>
          </w:p>
        </w:tc>
        <w:tc>
          <w:tcPr>
            <w:tcW w:w="916" w:type="dxa"/>
            <w:tcBorders>
              <w:bottom w:val="single" w:sz="12" w:space="0" w:color="auto"/>
            </w:tcBorders>
            <w:shd w:val="clear" w:color="auto" w:fill="auto"/>
            <w:noWrap/>
          </w:tcPr>
          <w:p w14:paraId="40DE6AA4" w14:textId="77777777" w:rsidR="00D712D1" w:rsidRPr="002F1A3A" w:rsidRDefault="00D712D1" w:rsidP="002F1A3A">
            <w:pPr>
              <w:spacing w:before="40" w:after="120"/>
              <w:ind w:right="113"/>
              <w:rPr>
                <w:rFonts w:cs="Times New Roman"/>
                <w:szCs w:val="18"/>
              </w:rPr>
            </w:pPr>
            <w:r w:rsidRPr="002F1A3A">
              <w:rPr>
                <w:rFonts w:cs="Times New Roman"/>
              </w:rPr>
              <w:t>200А, 200Р, 50Ф</w:t>
            </w:r>
          </w:p>
        </w:tc>
      </w:tr>
    </w:tbl>
    <w:p w14:paraId="24961CAB" w14:textId="183F7F47" w:rsidR="00D712D1" w:rsidRPr="00D712D1" w:rsidRDefault="00D712D1" w:rsidP="00FE4BFE">
      <w:pPr>
        <w:pStyle w:val="SingleTxtG"/>
        <w:spacing w:before="120" w:line="220" w:lineRule="atLeast"/>
        <w:ind w:left="0" w:right="-1" w:firstLine="170"/>
        <w:jc w:val="left"/>
        <w:rPr>
          <w:sz w:val="18"/>
          <w:szCs w:val="18"/>
        </w:rPr>
      </w:pPr>
      <w:r w:rsidRPr="00D712D1">
        <w:rPr>
          <w:i/>
          <w:iCs/>
          <w:sz w:val="18"/>
          <w:szCs w:val="18"/>
          <w:vertAlign w:val="superscript"/>
        </w:rPr>
        <w:t>1</w:t>
      </w:r>
      <w:r w:rsidRPr="00D712D1">
        <w:rPr>
          <w:sz w:val="18"/>
          <w:szCs w:val="18"/>
        </w:rPr>
        <w:t xml:space="preserve"> </w:t>
      </w:r>
      <w:r w:rsidR="00FE4BFE" w:rsidRPr="00FE4BFE">
        <w:rPr>
          <w:sz w:val="18"/>
          <w:szCs w:val="18"/>
        </w:rPr>
        <w:t xml:space="preserve"> </w:t>
      </w:r>
      <w:r w:rsidRPr="00D712D1">
        <w:rPr>
          <w:sz w:val="18"/>
          <w:szCs w:val="18"/>
        </w:rPr>
        <w:t>Языки: английский — А; арабский — Ар.; китайский — К; испанский — И; русский — Р; французский — Ф.</w:t>
      </w:r>
    </w:p>
    <w:p w14:paraId="409FDC0D" w14:textId="19349EE5" w:rsidR="00D712D1" w:rsidRDefault="00D712D1" w:rsidP="00FE4BFE">
      <w:pPr>
        <w:pStyle w:val="H1G"/>
      </w:pPr>
      <w:r w:rsidRPr="00D712D1">
        <w:tab/>
        <w:t>B.</w:t>
      </w:r>
      <w:r w:rsidRPr="00D712D1">
        <w:tab/>
        <w:t>Непериодические публикации</w:t>
      </w:r>
    </w:p>
    <w:tbl>
      <w:tblPr>
        <w:tblW w:w="9637" w:type="dxa"/>
        <w:tblLayout w:type="fixed"/>
        <w:tblCellMar>
          <w:left w:w="0" w:type="dxa"/>
          <w:right w:w="0" w:type="dxa"/>
        </w:tblCellMar>
        <w:tblLook w:val="01E0" w:firstRow="1" w:lastRow="1" w:firstColumn="1" w:lastColumn="1" w:noHBand="0" w:noVBand="0"/>
      </w:tblPr>
      <w:tblGrid>
        <w:gridCol w:w="308"/>
        <w:gridCol w:w="2114"/>
        <w:gridCol w:w="1302"/>
        <w:gridCol w:w="1260"/>
        <w:gridCol w:w="1119"/>
        <w:gridCol w:w="770"/>
        <w:gridCol w:w="938"/>
        <w:gridCol w:w="896"/>
        <w:gridCol w:w="930"/>
      </w:tblGrid>
      <w:tr w:rsidR="00FE4BFE" w:rsidRPr="00FE4BFE" w14:paraId="16F091F4" w14:textId="77777777" w:rsidTr="00FE4BFE">
        <w:trPr>
          <w:tblHeader/>
        </w:trPr>
        <w:tc>
          <w:tcPr>
            <w:tcW w:w="308" w:type="dxa"/>
            <w:tcBorders>
              <w:top w:val="single" w:sz="4" w:space="0" w:color="auto"/>
              <w:bottom w:val="single" w:sz="12" w:space="0" w:color="auto"/>
            </w:tcBorders>
            <w:shd w:val="clear" w:color="auto" w:fill="auto"/>
            <w:noWrap/>
            <w:vAlign w:val="bottom"/>
          </w:tcPr>
          <w:p w14:paraId="4C16FE8D" w14:textId="77777777" w:rsidR="00D712D1" w:rsidRPr="00FE4BFE" w:rsidRDefault="00D712D1" w:rsidP="00FE4BFE">
            <w:pPr>
              <w:spacing w:before="80" w:after="80" w:line="200" w:lineRule="exact"/>
              <w:ind w:left="28"/>
              <w:rPr>
                <w:rFonts w:cs="Times New Roman"/>
                <w:i/>
                <w:sz w:val="16"/>
                <w:szCs w:val="16"/>
              </w:rPr>
            </w:pPr>
            <w:r w:rsidRPr="00FE4BFE">
              <w:rPr>
                <w:rFonts w:cs="Times New Roman"/>
                <w:i/>
                <w:sz w:val="16"/>
              </w:rPr>
              <w:t>№</w:t>
            </w:r>
          </w:p>
        </w:tc>
        <w:tc>
          <w:tcPr>
            <w:tcW w:w="2114" w:type="dxa"/>
            <w:tcBorders>
              <w:top w:val="single" w:sz="4" w:space="0" w:color="auto"/>
              <w:bottom w:val="single" w:sz="12" w:space="0" w:color="auto"/>
            </w:tcBorders>
            <w:shd w:val="clear" w:color="auto" w:fill="auto"/>
            <w:noWrap/>
            <w:vAlign w:val="bottom"/>
          </w:tcPr>
          <w:p w14:paraId="293037FF"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Название</w:t>
            </w:r>
          </w:p>
        </w:tc>
        <w:tc>
          <w:tcPr>
            <w:tcW w:w="1302" w:type="dxa"/>
            <w:tcBorders>
              <w:top w:val="single" w:sz="4" w:space="0" w:color="auto"/>
              <w:bottom w:val="single" w:sz="12" w:space="0" w:color="auto"/>
            </w:tcBorders>
            <w:shd w:val="clear" w:color="auto" w:fill="auto"/>
            <w:noWrap/>
            <w:vAlign w:val="bottom"/>
          </w:tcPr>
          <w:p w14:paraId="39E10422"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Мандат</w:t>
            </w:r>
          </w:p>
        </w:tc>
        <w:tc>
          <w:tcPr>
            <w:tcW w:w="1260" w:type="dxa"/>
            <w:tcBorders>
              <w:top w:val="single" w:sz="4" w:space="0" w:color="auto"/>
              <w:bottom w:val="single" w:sz="12" w:space="0" w:color="auto"/>
            </w:tcBorders>
            <w:shd w:val="clear" w:color="auto" w:fill="auto"/>
            <w:noWrap/>
            <w:vAlign w:val="bottom"/>
          </w:tcPr>
          <w:p w14:paraId="086865AB" w14:textId="0D1EA5CC" w:rsidR="00D712D1" w:rsidRPr="00FE4BFE" w:rsidRDefault="00D712D1" w:rsidP="00FE4BFE">
            <w:pPr>
              <w:spacing w:before="80" w:after="80" w:line="200" w:lineRule="exact"/>
              <w:rPr>
                <w:rFonts w:cs="Times New Roman"/>
                <w:i/>
                <w:sz w:val="16"/>
                <w:szCs w:val="16"/>
              </w:rPr>
            </w:pPr>
            <w:r w:rsidRPr="00FE4BFE">
              <w:rPr>
                <w:rFonts w:cs="Times New Roman"/>
                <w:i/>
                <w:sz w:val="16"/>
              </w:rPr>
              <w:t xml:space="preserve">В печатном </w:t>
            </w:r>
            <w:r w:rsidR="003F2914">
              <w:rPr>
                <w:rFonts w:cs="Times New Roman"/>
                <w:i/>
                <w:sz w:val="16"/>
              </w:rPr>
              <w:br/>
            </w:r>
            <w:r w:rsidRPr="00FE4BFE">
              <w:rPr>
                <w:rFonts w:cs="Times New Roman"/>
                <w:i/>
                <w:sz w:val="16"/>
              </w:rPr>
              <w:t>и/или цифровом формате</w:t>
            </w:r>
          </w:p>
        </w:tc>
        <w:tc>
          <w:tcPr>
            <w:tcW w:w="1119" w:type="dxa"/>
            <w:tcBorders>
              <w:top w:val="single" w:sz="4" w:space="0" w:color="auto"/>
              <w:bottom w:val="single" w:sz="12" w:space="0" w:color="auto"/>
            </w:tcBorders>
            <w:shd w:val="clear" w:color="auto" w:fill="auto"/>
            <w:noWrap/>
            <w:vAlign w:val="bottom"/>
          </w:tcPr>
          <w:p w14:paraId="28111861"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Послеобрезной формат</w:t>
            </w:r>
          </w:p>
        </w:tc>
        <w:tc>
          <w:tcPr>
            <w:tcW w:w="770" w:type="dxa"/>
            <w:tcBorders>
              <w:top w:val="single" w:sz="4" w:space="0" w:color="auto"/>
              <w:bottom w:val="single" w:sz="12" w:space="0" w:color="auto"/>
            </w:tcBorders>
            <w:shd w:val="clear" w:color="auto" w:fill="auto"/>
            <w:noWrap/>
            <w:vAlign w:val="bottom"/>
          </w:tcPr>
          <w:p w14:paraId="32E1111D"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Кол-во страниц</w:t>
            </w:r>
          </w:p>
        </w:tc>
        <w:tc>
          <w:tcPr>
            <w:tcW w:w="938" w:type="dxa"/>
            <w:tcBorders>
              <w:top w:val="single" w:sz="4" w:space="0" w:color="auto"/>
              <w:bottom w:val="single" w:sz="12" w:space="0" w:color="auto"/>
            </w:tcBorders>
            <w:shd w:val="clear" w:color="auto" w:fill="auto"/>
            <w:noWrap/>
            <w:vAlign w:val="bottom"/>
          </w:tcPr>
          <w:p w14:paraId="7F5A5122" w14:textId="22F3108F" w:rsidR="00D712D1" w:rsidRPr="00FE4BFE" w:rsidRDefault="00D712D1" w:rsidP="00FE4BFE">
            <w:pPr>
              <w:spacing w:before="80" w:after="80" w:line="200" w:lineRule="exact"/>
              <w:rPr>
                <w:rFonts w:cs="Times New Roman"/>
                <w:i/>
                <w:sz w:val="16"/>
                <w:szCs w:val="16"/>
              </w:rPr>
            </w:pPr>
            <w:r w:rsidRPr="00FE4BFE">
              <w:rPr>
                <w:rFonts w:cs="Times New Roman"/>
                <w:i/>
                <w:sz w:val="16"/>
              </w:rPr>
              <w:t>Язык(и) оригинала</w:t>
            </w:r>
            <w:r w:rsidRPr="00FE4BFE">
              <w:rPr>
                <w:rFonts w:cs="Times New Roman"/>
                <w:i/>
                <w:sz w:val="16"/>
                <w:vertAlign w:val="superscript"/>
              </w:rPr>
              <w:t>1</w:t>
            </w:r>
          </w:p>
        </w:tc>
        <w:tc>
          <w:tcPr>
            <w:tcW w:w="896" w:type="dxa"/>
            <w:tcBorders>
              <w:top w:val="single" w:sz="4" w:space="0" w:color="auto"/>
              <w:bottom w:val="single" w:sz="12" w:space="0" w:color="auto"/>
            </w:tcBorders>
            <w:shd w:val="clear" w:color="auto" w:fill="auto"/>
            <w:noWrap/>
            <w:vAlign w:val="bottom"/>
          </w:tcPr>
          <w:p w14:paraId="46E7901E"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Язык(и) перевода</w:t>
            </w:r>
          </w:p>
        </w:tc>
        <w:tc>
          <w:tcPr>
            <w:tcW w:w="930" w:type="dxa"/>
            <w:tcBorders>
              <w:top w:val="single" w:sz="4" w:space="0" w:color="auto"/>
              <w:bottom w:val="single" w:sz="12" w:space="0" w:color="auto"/>
            </w:tcBorders>
            <w:shd w:val="clear" w:color="auto" w:fill="auto"/>
            <w:noWrap/>
            <w:vAlign w:val="bottom"/>
          </w:tcPr>
          <w:p w14:paraId="3C90B806"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Кол-во экземпляров и язык(и)</w:t>
            </w:r>
          </w:p>
        </w:tc>
      </w:tr>
      <w:tr w:rsidR="00FE4BFE" w:rsidRPr="00FE4BFE" w14:paraId="1480D1A0" w14:textId="77777777" w:rsidTr="00FE4BFE">
        <w:trPr>
          <w:trHeight w:hRule="exact" w:val="113"/>
        </w:trPr>
        <w:tc>
          <w:tcPr>
            <w:tcW w:w="308" w:type="dxa"/>
            <w:tcBorders>
              <w:top w:val="single" w:sz="12" w:space="0" w:color="auto"/>
            </w:tcBorders>
            <w:shd w:val="clear" w:color="auto" w:fill="auto"/>
            <w:noWrap/>
          </w:tcPr>
          <w:p w14:paraId="7F3507A9" w14:textId="77777777" w:rsidR="00FE4BFE" w:rsidRPr="00FE4BFE" w:rsidRDefault="00FE4BFE" w:rsidP="00FE4BFE">
            <w:pPr>
              <w:spacing w:before="40" w:after="120"/>
              <w:ind w:right="113"/>
              <w:rPr>
                <w:rFonts w:cs="Times New Roman"/>
              </w:rPr>
            </w:pPr>
          </w:p>
        </w:tc>
        <w:tc>
          <w:tcPr>
            <w:tcW w:w="2114" w:type="dxa"/>
            <w:tcBorders>
              <w:top w:val="single" w:sz="12" w:space="0" w:color="auto"/>
            </w:tcBorders>
            <w:shd w:val="clear" w:color="auto" w:fill="auto"/>
            <w:noWrap/>
          </w:tcPr>
          <w:p w14:paraId="3073CF03" w14:textId="77777777" w:rsidR="00FE4BFE" w:rsidRPr="00FE4BFE" w:rsidRDefault="00FE4BFE" w:rsidP="00FE4BFE">
            <w:pPr>
              <w:spacing w:before="40" w:after="120"/>
              <w:ind w:right="113"/>
              <w:rPr>
                <w:rFonts w:cs="Times New Roman"/>
              </w:rPr>
            </w:pPr>
          </w:p>
        </w:tc>
        <w:tc>
          <w:tcPr>
            <w:tcW w:w="1302" w:type="dxa"/>
            <w:tcBorders>
              <w:top w:val="single" w:sz="12" w:space="0" w:color="auto"/>
            </w:tcBorders>
            <w:shd w:val="clear" w:color="auto" w:fill="auto"/>
            <w:noWrap/>
          </w:tcPr>
          <w:p w14:paraId="65D9803A" w14:textId="77777777" w:rsidR="00FE4BFE" w:rsidRPr="00FE4BFE" w:rsidRDefault="00FE4BFE" w:rsidP="00FE4BFE">
            <w:pPr>
              <w:spacing w:before="40" w:after="120"/>
              <w:ind w:right="113"/>
              <w:rPr>
                <w:rFonts w:cs="Times New Roman"/>
              </w:rPr>
            </w:pPr>
          </w:p>
        </w:tc>
        <w:tc>
          <w:tcPr>
            <w:tcW w:w="1260" w:type="dxa"/>
            <w:tcBorders>
              <w:top w:val="single" w:sz="12" w:space="0" w:color="auto"/>
            </w:tcBorders>
            <w:shd w:val="clear" w:color="auto" w:fill="auto"/>
            <w:noWrap/>
          </w:tcPr>
          <w:p w14:paraId="64191E9D" w14:textId="77777777" w:rsidR="00FE4BFE" w:rsidRPr="00FE4BFE" w:rsidRDefault="00FE4BFE" w:rsidP="00FE4BFE">
            <w:pPr>
              <w:spacing w:before="40" w:after="120"/>
              <w:ind w:right="113"/>
              <w:rPr>
                <w:rFonts w:cs="Times New Roman"/>
              </w:rPr>
            </w:pPr>
          </w:p>
        </w:tc>
        <w:tc>
          <w:tcPr>
            <w:tcW w:w="1119" w:type="dxa"/>
            <w:tcBorders>
              <w:top w:val="single" w:sz="12" w:space="0" w:color="auto"/>
            </w:tcBorders>
            <w:shd w:val="clear" w:color="auto" w:fill="auto"/>
            <w:noWrap/>
          </w:tcPr>
          <w:p w14:paraId="32B85C4E" w14:textId="77777777" w:rsidR="00FE4BFE" w:rsidRPr="00FE4BFE" w:rsidRDefault="00FE4BFE" w:rsidP="00FE4BFE">
            <w:pPr>
              <w:spacing w:before="40" w:after="120"/>
              <w:ind w:right="113"/>
              <w:rPr>
                <w:rFonts w:cs="Times New Roman"/>
              </w:rPr>
            </w:pPr>
          </w:p>
        </w:tc>
        <w:tc>
          <w:tcPr>
            <w:tcW w:w="770" w:type="dxa"/>
            <w:tcBorders>
              <w:top w:val="single" w:sz="12" w:space="0" w:color="auto"/>
            </w:tcBorders>
            <w:shd w:val="clear" w:color="auto" w:fill="auto"/>
            <w:noWrap/>
          </w:tcPr>
          <w:p w14:paraId="65B9EC0F" w14:textId="77777777" w:rsidR="00FE4BFE" w:rsidRPr="00FE4BFE" w:rsidRDefault="00FE4BFE" w:rsidP="00FE4BFE">
            <w:pPr>
              <w:spacing w:before="40" w:after="120"/>
              <w:ind w:right="113"/>
              <w:rPr>
                <w:rFonts w:cs="Times New Roman"/>
              </w:rPr>
            </w:pPr>
          </w:p>
        </w:tc>
        <w:tc>
          <w:tcPr>
            <w:tcW w:w="938" w:type="dxa"/>
            <w:tcBorders>
              <w:top w:val="single" w:sz="12" w:space="0" w:color="auto"/>
            </w:tcBorders>
            <w:shd w:val="clear" w:color="auto" w:fill="auto"/>
            <w:noWrap/>
          </w:tcPr>
          <w:p w14:paraId="28A1DF7B" w14:textId="77777777" w:rsidR="00FE4BFE" w:rsidRPr="00FE4BFE" w:rsidRDefault="00FE4BFE" w:rsidP="00FE4BFE">
            <w:pPr>
              <w:spacing w:before="40" w:after="120"/>
              <w:ind w:right="113"/>
              <w:rPr>
                <w:rFonts w:cs="Times New Roman"/>
              </w:rPr>
            </w:pPr>
          </w:p>
        </w:tc>
        <w:tc>
          <w:tcPr>
            <w:tcW w:w="896" w:type="dxa"/>
            <w:tcBorders>
              <w:top w:val="single" w:sz="12" w:space="0" w:color="auto"/>
            </w:tcBorders>
            <w:shd w:val="clear" w:color="auto" w:fill="auto"/>
            <w:noWrap/>
          </w:tcPr>
          <w:p w14:paraId="650737F7" w14:textId="77777777" w:rsidR="00FE4BFE" w:rsidRPr="00FE4BFE" w:rsidRDefault="00FE4BFE" w:rsidP="00FE4BFE">
            <w:pPr>
              <w:spacing w:before="40" w:after="120"/>
              <w:ind w:right="113"/>
              <w:rPr>
                <w:rFonts w:cs="Times New Roman"/>
              </w:rPr>
            </w:pPr>
          </w:p>
        </w:tc>
        <w:tc>
          <w:tcPr>
            <w:tcW w:w="930" w:type="dxa"/>
            <w:tcBorders>
              <w:top w:val="single" w:sz="12" w:space="0" w:color="auto"/>
            </w:tcBorders>
            <w:shd w:val="clear" w:color="auto" w:fill="auto"/>
            <w:noWrap/>
          </w:tcPr>
          <w:p w14:paraId="60FAE71B" w14:textId="77777777" w:rsidR="00FE4BFE" w:rsidRPr="00FE4BFE" w:rsidRDefault="00FE4BFE" w:rsidP="00FE4BFE">
            <w:pPr>
              <w:spacing w:before="40" w:after="120"/>
              <w:ind w:right="113"/>
              <w:rPr>
                <w:rFonts w:cs="Times New Roman"/>
              </w:rPr>
            </w:pPr>
          </w:p>
        </w:tc>
      </w:tr>
      <w:tr w:rsidR="00FE4BFE" w:rsidRPr="00FE4BFE" w14:paraId="14573A65" w14:textId="77777777" w:rsidTr="00FE4BFE">
        <w:tc>
          <w:tcPr>
            <w:tcW w:w="308" w:type="dxa"/>
            <w:shd w:val="clear" w:color="auto" w:fill="auto"/>
            <w:noWrap/>
          </w:tcPr>
          <w:p w14:paraId="261BF3F7" w14:textId="77777777" w:rsidR="00D712D1" w:rsidRPr="00FE4BFE" w:rsidRDefault="00D712D1" w:rsidP="00FE4BFE">
            <w:pPr>
              <w:spacing w:before="40" w:after="120"/>
              <w:ind w:right="113"/>
              <w:rPr>
                <w:rFonts w:cs="Times New Roman"/>
              </w:rPr>
            </w:pPr>
            <w:r w:rsidRPr="00FE4BFE">
              <w:rPr>
                <w:rFonts w:cs="Times New Roman"/>
              </w:rPr>
              <w:t>1</w:t>
            </w:r>
          </w:p>
        </w:tc>
        <w:tc>
          <w:tcPr>
            <w:tcW w:w="2114" w:type="dxa"/>
            <w:shd w:val="clear" w:color="auto" w:fill="auto"/>
            <w:noWrap/>
          </w:tcPr>
          <w:p w14:paraId="196B18A9" w14:textId="77777777" w:rsidR="00D712D1" w:rsidRPr="00FE4BFE" w:rsidRDefault="00D712D1" w:rsidP="00FE4BFE">
            <w:pPr>
              <w:spacing w:before="40" w:after="120"/>
              <w:ind w:right="113"/>
              <w:rPr>
                <w:rFonts w:cs="Times New Roman"/>
              </w:rPr>
            </w:pPr>
            <w:r w:rsidRPr="00FE4BFE">
              <w:rPr>
                <w:rFonts w:cs="Times New Roman"/>
              </w:rPr>
              <w:t>Перечень основных характеристик и параметров сети водных путей категории Е, «Синяя книга», четвертое пересмотренное издание</w:t>
            </w:r>
          </w:p>
        </w:tc>
        <w:tc>
          <w:tcPr>
            <w:tcW w:w="1302" w:type="dxa"/>
            <w:shd w:val="clear" w:color="auto" w:fill="auto"/>
            <w:noWrap/>
          </w:tcPr>
          <w:p w14:paraId="3C9DBB46" w14:textId="77777777" w:rsidR="00D712D1" w:rsidRPr="00FE4BFE" w:rsidRDefault="00D712D1" w:rsidP="00FE4BFE">
            <w:pPr>
              <w:spacing w:before="40" w:after="120"/>
              <w:ind w:right="113"/>
              <w:rPr>
                <w:rFonts w:cs="Times New Roman"/>
              </w:rPr>
            </w:pPr>
            <w:r w:rsidRPr="00FE4BFE">
              <w:rPr>
                <w:rFonts w:cs="Times New Roman"/>
              </w:rPr>
              <w:t>ECE/TRANS/316, пункт 36</w:t>
            </w:r>
          </w:p>
        </w:tc>
        <w:tc>
          <w:tcPr>
            <w:tcW w:w="1260" w:type="dxa"/>
            <w:shd w:val="clear" w:color="auto" w:fill="auto"/>
            <w:noWrap/>
          </w:tcPr>
          <w:p w14:paraId="0A2648E5" w14:textId="04B9F6A3" w:rsidR="00D712D1" w:rsidRPr="00FE4BFE" w:rsidRDefault="00D712D1" w:rsidP="00FE4BFE">
            <w:pPr>
              <w:spacing w:before="40" w:after="120"/>
              <w:ind w:right="113"/>
              <w:rPr>
                <w:rFonts w:cs="Times New Roman"/>
              </w:rPr>
            </w:pPr>
            <w:r w:rsidRPr="00FE4BFE">
              <w:rPr>
                <w:rFonts w:cs="Times New Roman"/>
              </w:rPr>
              <w:t>В печатном и</w:t>
            </w:r>
            <w:r w:rsidR="00FE4BFE">
              <w:rPr>
                <w:rFonts w:cs="Times New Roman"/>
              </w:rPr>
              <w:t> </w:t>
            </w:r>
            <w:r w:rsidRPr="00FE4BFE">
              <w:rPr>
                <w:rFonts w:cs="Times New Roman"/>
              </w:rPr>
              <w:t>цифровом формате</w:t>
            </w:r>
          </w:p>
        </w:tc>
        <w:tc>
          <w:tcPr>
            <w:tcW w:w="1119" w:type="dxa"/>
            <w:shd w:val="clear" w:color="auto" w:fill="auto"/>
            <w:noWrap/>
          </w:tcPr>
          <w:p w14:paraId="79C73235" w14:textId="77777777" w:rsidR="00D712D1" w:rsidRPr="00FE4BFE" w:rsidRDefault="00D712D1" w:rsidP="00FE4BFE">
            <w:pPr>
              <w:spacing w:before="40" w:after="120"/>
              <w:ind w:right="113"/>
              <w:rPr>
                <w:rFonts w:cs="Times New Roman"/>
              </w:rPr>
            </w:pPr>
            <w:r w:rsidRPr="00FE4BFE">
              <w:rPr>
                <w:rFonts w:cs="Times New Roman"/>
              </w:rPr>
              <w:t>A4</w:t>
            </w:r>
          </w:p>
        </w:tc>
        <w:tc>
          <w:tcPr>
            <w:tcW w:w="770" w:type="dxa"/>
            <w:shd w:val="clear" w:color="auto" w:fill="auto"/>
            <w:noWrap/>
          </w:tcPr>
          <w:p w14:paraId="69DE2438" w14:textId="77777777" w:rsidR="00D712D1" w:rsidRPr="00FE4BFE" w:rsidRDefault="00D712D1" w:rsidP="00FE4BFE">
            <w:pPr>
              <w:spacing w:before="40" w:after="120"/>
              <w:ind w:right="113"/>
              <w:rPr>
                <w:rFonts w:cs="Times New Roman"/>
              </w:rPr>
            </w:pPr>
            <w:r w:rsidRPr="00FE4BFE">
              <w:rPr>
                <w:rFonts w:cs="Times New Roman"/>
              </w:rPr>
              <w:t>120</w:t>
            </w:r>
          </w:p>
        </w:tc>
        <w:tc>
          <w:tcPr>
            <w:tcW w:w="938" w:type="dxa"/>
            <w:shd w:val="clear" w:color="auto" w:fill="auto"/>
            <w:noWrap/>
          </w:tcPr>
          <w:p w14:paraId="0A207A0C" w14:textId="77777777" w:rsidR="00D712D1" w:rsidRPr="00FE4BFE" w:rsidRDefault="00D712D1" w:rsidP="00FE4BFE">
            <w:pPr>
              <w:spacing w:before="40" w:after="120"/>
              <w:ind w:right="113"/>
              <w:rPr>
                <w:rFonts w:cs="Times New Roman"/>
              </w:rPr>
            </w:pPr>
            <w:r w:rsidRPr="00FE4BFE">
              <w:rPr>
                <w:rFonts w:cs="Times New Roman"/>
              </w:rPr>
              <w:t>А, Р, Ф</w:t>
            </w:r>
          </w:p>
        </w:tc>
        <w:tc>
          <w:tcPr>
            <w:tcW w:w="896" w:type="dxa"/>
            <w:shd w:val="clear" w:color="auto" w:fill="auto"/>
            <w:noWrap/>
          </w:tcPr>
          <w:p w14:paraId="1AF6E1F3" w14:textId="77777777" w:rsidR="00D712D1" w:rsidRPr="00FE4BFE" w:rsidRDefault="00D712D1" w:rsidP="00FE4BFE">
            <w:pPr>
              <w:spacing w:before="40" w:after="120"/>
              <w:ind w:right="113"/>
              <w:rPr>
                <w:rFonts w:cs="Times New Roman"/>
              </w:rPr>
            </w:pPr>
          </w:p>
        </w:tc>
        <w:tc>
          <w:tcPr>
            <w:tcW w:w="930" w:type="dxa"/>
            <w:shd w:val="clear" w:color="auto" w:fill="auto"/>
            <w:noWrap/>
          </w:tcPr>
          <w:p w14:paraId="0C46D49D" w14:textId="77777777" w:rsidR="00D712D1" w:rsidRPr="00FE4BFE" w:rsidRDefault="00D712D1" w:rsidP="00FE4BFE">
            <w:pPr>
              <w:spacing w:before="40" w:after="120"/>
              <w:ind w:right="113"/>
              <w:rPr>
                <w:rFonts w:cs="Times New Roman"/>
              </w:rPr>
            </w:pPr>
            <w:r w:rsidRPr="00FE4BFE">
              <w:rPr>
                <w:rFonts w:cs="Times New Roman"/>
              </w:rPr>
              <w:t>250А, 150Р, 100Ф</w:t>
            </w:r>
          </w:p>
        </w:tc>
      </w:tr>
      <w:tr w:rsidR="00FE4BFE" w:rsidRPr="00FE4BFE" w14:paraId="5FE7EBF7" w14:textId="77777777" w:rsidTr="00FE4BFE">
        <w:tc>
          <w:tcPr>
            <w:tcW w:w="308" w:type="dxa"/>
            <w:tcBorders>
              <w:bottom w:val="single" w:sz="12" w:space="0" w:color="auto"/>
            </w:tcBorders>
            <w:shd w:val="clear" w:color="auto" w:fill="auto"/>
            <w:noWrap/>
          </w:tcPr>
          <w:p w14:paraId="7167E05F" w14:textId="77777777" w:rsidR="00D712D1" w:rsidRPr="00FE4BFE" w:rsidRDefault="00D712D1" w:rsidP="00FE4BFE">
            <w:pPr>
              <w:spacing w:before="40" w:after="120"/>
              <w:ind w:right="113"/>
              <w:rPr>
                <w:rFonts w:cs="Times New Roman"/>
              </w:rPr>
            </w:pPr>
            <w:r w:rsidRPr="00FE4BFE">
              <w:rPr>
                <w:rFonts w:cs="Times New Roman"/>
              </w:rPr>
              <w:t>2</w:t>
            </w:r>
          </w:p>
        </w:tc>
        <w:tc>
          <w:tcPr>
            <w:tcW w:w="2114" w:type="dxa"/>
            <w:tcBorders>
              <w:bottom w:val="single" w:sz="12" w:space="0" w:color="auto"/>
            </w:tcBorders>
            <w:shd w:val="clear" w:color="auto" w:fill="auto"/>
            <w:noWrap/>
          </w:tcPr>
          <w:p w14:paraId="391798BE" w14:textId="77777777" w:rsidR="00D712D1" w:rsidRPr="00FE4BFE" w:rsidRDefault="00D712D1" w:rsidP="00FE4BFE">
            <w:pPr>
              <w:spacing w:before="40" w:after="120"/>
              <w:ind w:right="113"/>
              <w:rPr>
                <w:rFonts w:cs="Times New Roman"/>
              </w:rPr>
            </w:pPr>
            <w:r w:rsidRPr="00FE4BFE">
              <w:rPr>
                <w:rFonts w:cs="Times New Roman"/>
              </w:rPr>
              <w:t>Руководство по автоматизации в области интермодальных перевозок и логистики</w:t>
            </w:r>
          </w:p>
        </w:tc>
        <w:tc>
          <w:tcPr>
            <w:tcW w:w="1302" w:type="dxa"/>
            <w:tcBorders>
              <w:bottom w:val="single" w:sz="12" w:space="0" w:color="auto"/>
            </w:tcBorders>
            <w:shd w:val="clear" w:color="auto" w:fill="auto"/>
            <w:noWrap/>
          </w:tcPr>
          <w:p w14:paraId="594B9128" w14:textId="77777777" w:rsidR="00D712D1" w:rsidRPr="00FE4BFE" w:rsidRDefault="00D712D1" w:rsidP="00FE4BFE">
            <w:pPr>
              <w:spacing w:before="40" w:after="120"/>
              <w:ind w:right="113"/>
              <w:rPr>
                <w:rFonts w:cs="Times New Roman"/>
              </w:rPr>
            </w:pPr>
            <w:r w:rsidRPr="00FE4BFE">
              <w:rPr>
                <w:rFonts w:cs="Times New Roman"/>
              </w:rPr>
              <w:t>ECE/TRANS/316, пункт 36</w:t>
            </w:r>
          </w:p>
        </w:tc>
        <w:tc>
          <w:tcPr>
            <w:tcW w:w="1260" w:type="dxa"/>
            <w:tcBorders>
              <w:bottom w:val="single" w:sz="12" w:space="0" w:color="auto"/>
            </w:tcBorders>
            <w:shd w:val="clear" w:color="auto" w:fill="auto"/>
            <w:noWrap/>
          </w:tcPr>
          <w:p w14:paraId="430C8718" w14:textId="0771020B" w:rsidR="00D712D1" w:rsidRPr="00FE4BFE" w:rsidRDefault="00D712D1" w:rsidP="00FE4BFE">
            <w:pPr>
              <w:spacing w:before="40" w:after="120"/>
              <w:ind w:right="113"/>
              <w:rPr>
                <w:rFonts w:cs="Times New Roman"/>
              </w:rPr>
            </w:pPr>
            <w:r w:rsidRPr="00FE4BFE">
              <w:rPr>
                <w:rFonts w:cs="Times New Roman"/>
              </w:rPr>
              <w:t>В печатном и</w:t>
            </w:r>
            <w:r w:rsidR="00FE4BFE">
              <w:rPr>
                <w:rFonts w:cs="Times New Roman"/>
              </w:rPr>
              <w:t> </w:t>
            </w:r>
            <w:r w:rsidRPr="00FE4BFE">
              <w:rPr>
                <w:rFonts w:cs="Times New Roman"/>
              </w:rPr>
              <w:t>цифровом формате</w:t>
            </w:r>
          </w:p>
        </w:tc>
        <w:tc>
          <w:tcPr>
            <w:tcW w:w="1119" w:type="dxa"/>
            <w:tcBorders>
              <w:bottom w:val="single" w:sz="12" w:space="0" w:color="auto"/>
            </w:tcBorders>
            <w:shd w:val="clear" w:color="auto" w:fill="auto"/>
            <w:noWrap/>
          </w:tcPr>
          <w:p w14:paraId="52A77C35" w14:textId="77777777" w:rsidR="00D712D1" w:rsidRPr="00FE4BFE" w:rsidRDefault="00D712D1" w:rsidP="00FE4BFE">
            <w:pPr>
              <w:spacing w:before="40" w:after="120"/>
              <w:ind w:right="113"/>
              <w:rPr>
                <w:rFonts w:cs="Times New Roman"/>
              </w:rPr>
            </w:pPr>
            <w:r w:rsidRPr="00FE4BFE">
              <w:rPr>
                <w:rFonts w:cs="Times New Roman"/>
              </w:rPr>
              <w:t>A4</w:t>
            </w:r>
          </w:p>
        </w:tc>
        <w:tc>
          <w:tcPr>
            <w:tcW w:w="770" w:type="dxa"/>
            <w:tcBorders>
              <w:bottom w:val="single" w:sz="12" w:space="0" w:color="auto"/>
            </w:tcBorders>
            <w:shd w:val="clear" w:color="auto" w:fill="auto"/>
            <w:noWrap/>
          </w:tcPr>
          <w:p w14:paraId="7E54EAF2" w14:textId="77777777" w:rsidR="00D712D1" w:rsidRPr="00FE4BFE" w:rsidRDefault="00D712D1" w:rsidP="00FE4BFE">
            <w:pPr>
              <w:spacing w:before="40" w:after="120"/>
              <w:ind w:right="113"/>
              <w:rPr>
                <w:rFonts w:cs="Times New Roman"/>
              </w:rPr>
            </w:pPr>
            <w:r w:rsidRPr="00FE4BFE">
              <w:rPr>
                <w:rFonts w:cs="Times New Roman"/>
              </w:rPr>
              <w:t>70</w:t>
            </w:r>
          </w:p>
        </w:tc>
        <w:tc>
          <w:tcPr>
            <w:tcW w:w="938" w:type="dxa"/>
            <w:tcBorders>
              <w:bottom w:val="single" w:sz="12" w:space="0" w:color="auto"/>
            </w:tcBorders>
            <w:shd w:val="clear" w:color="auto" w:fill="auto"/>
            <w:noWrap/>
          </w:tcPr>
          <w:p w14:paraId="1AC6431F" w14:textId="77777777" w:rsidR="00D712D1" w:rsidRPr="00FE4BFE" w:rsidRDefault="00D712D1" w:rsidP="00FE4BFE">
            <w:pPr>
              <w:spacing w:before="40" w:after="120"/>
              <w:ind w:right="113"/>
              <w:rPr>
                <w:rFonts w:cs="Times New Roman"/>
              </w:rPr>
            </w:pPr>
            <w:r w:rsidRPr="00FE4BFE">
              <w:rPr>
                <w:rFonts w:cs="Times New Roman"/>
              </w:rPr>
              <w:t>А, Р, Ф</w:t>
            </w:r>
          </w:p>
        </w:tc>
        <w:tc>
          <w:tcPr>
            <w:tcW w:w="896" w:type="dxa"/>
            <w:tcBorders>
              <w:bottom w:val="single" w:sz="12" w:space="0" w:color="auto"/>
            </w:tcBorders>
            <w:shd w:val="clear" w:color="auto" w:fill="auto"/>
            <w:noWrap/>
          </w:tcPr>
          <w:p w14:paraId="4309C3D2" w14:textId="77777777" w:rsidR="00D712D1" w:rsidRPr="00FE4BFE" w:rsidRDefault="00D712D1" w:rsidP="00FE4BFE">
            <w:pPr>
              <w:spacing w:before="40" w:after="120"/>
              <w:ind w:right="113"/>
              <w:rPr>
                <w:rFonts w:cs="Times New Roman"/>
              </w:rPr>
            </w:pPr>
          </w:p>
        </w:tc>
        <w:tc>
          <w:tcPr>
            <w:tcW w:w="930" w:type="dxa"/>
            <w:tcBorders>
              <w:bottom w:val="single" w:sz="12" w:space="0" w:color="auto"/>
            </w:tcBorders>
            <w:shd w:val="clear" w:color="auto" w:fill="auto"/>
            <w:noWrap/>
          </w:tcPr>
          <w:p w14:paraId="68AA14AC" w14:textId="77777777" w:rsidR="00D712D1" w:rsidRPr="00FE4BFE" w:rsidRDefault="00D712D1" w:rsidP="00FE4BFE">
            <w:pPr>
              <w:spacing w:before="40" w:after="120"/>
              <w:ind w:right="113"/>
              <w:rPr>
                <w:rFonts w:cs="Times New Roman"/>
                <w:szCs w:val="18"/>
              </w:rPr>
            </w:pPr>
            <w:r w:rsidRPr="00FE4BFE">
              <w:rPr>
                <w:rFonts w:cs="Times New Roman"/>
              </w:rPr>
              <w:t>200А, 200Р, 50Ф</w:t>
            </w:r>
          </w:p>
        </w:tc>
      </w:tr>
    </w:tbl>
    <w:p w14:paraId="4973776A" w14:textId="63E97D02" w:rsidR="00D712D1" w:rsidRDefault="00D712D1" w:rsidP="00FE4BFE">
      <w:pPr>
        <w:pStyle w:val="H1G"/>
      </w:pPr>
      <w:r w:rsidRPr="00D712D1">
        <w:tab/>
        <w:t>C.</w:t>
      </w:r>
      <w:r w:rsidRPr="00D712D1">
        <w:tab/>
        <w:t>Информационные материалы</w:t>
      </w:r>
    </w:p>
    <w:tbl>
      <w:tblPr>
        <w:tblW w:w="9637" w:type="dxa"/>
        <w:tblLayout w:type="fixed"/>
        <w:tblCellMar>
          <w:left w:w="0" w:type="dxa"/>
          <w:right w:w="0" w:type="dxa"/>
        </w:tblCellMar>
        <w:tblLook w:val="01E0" w:firstRow="1" w:lastRow="1" w:firstColumn="1" w:lastColumn="1" w:noHBand="0" w:noVBand="0"/>
      </w:tblPr>
      <w:tblGrid>
        <w:gridCol w:w="308"/>
        <w:gridCol w:w="2114"/>
        <w:gridCol w:w="1302"/>
        <w:gridCol w:w="1890"/>
        <w:gridCol w:w="1245"/>
        <w:gridCol w:w="938"/>
        <w:gridCol w:w="910"/>
        <w:gridCol w:w="930"/>
      </w:tblGrid>
      <w:tr w:rsidR="00FE4BFE" w:rsidRPr="00FE4BFE" w14:paraId="4522C1C2" w14:textId="77777777" w:rsidTr="00FE4BFE">
        <w:trPr>
          <w:tblHeader/>
        </w:trPr>
        <w:tc>
          <w:tcPr>
            <w:tcW w:w="308" w:type="dxa"/>
            <w:tcBorders>
              <w:top w:val="single" w:sz="4" w:space="0" w:color="auto"/>
              <w:bottom w:val="single" w:sz="12" w:space="0" w:color="auto"/>
            </w:tcBorders>
            <w:shd w:val="clear" w:color="auto" w:fill="auto"/>
            <w:noWrap/>
            <w:vAlign w:val="bottom"/>
          </w:tcPr>
          <w:p w14:paraId="302462A8" w14:textId="77777777" w:rsidR="00D712D1" w:rsidRPr="00FE4BFE" w:rsidRDefault="00D712D1" w:rsidP="00FE4BFE">
            <w:pPr>
              <w:spacing w:before="80" w:after="80" w:line="200" w:lineRule="exact"/>
              <w:ind w:left="28"/>
              <w:rPr>
                <w:rFonts w:cs="Times New Roman"/>
                <w:i/>
                <w:sz w:val="16"/>
                <w:szCs w:val="16"/>
              </w:rPr>
            </w:pPr>
            <w:r w:rsidRPr="00FE4BFE">
              <w:rPr>
                <w:rFonts w:cs="Times New Roman"/>
                <w:i/>
                <w:sz w:val="16"/>
              </w:rPr>
              <w:t>№</w:t>
            </w:r>
          </w:p>
        </w:tc>
        <w:tc>
          <w:tcPr>
            <w:tcW w:w="2114" w:type="dxa"/>
            <w:tcBorders>
              <w:top w:val="single" w:sz="4" w:space="0" w:color="auto"/>
              <w:bottom w:val="single" w:sz="12" w:space="0" w:color="auto"/>
            </w:tcBorders>
            <w:shd w:val="clear" w:color="auto" w:fill="auto"/>
            <w:noWrap/>
            <w:vAlign w:val="bottom"/>
          </w:tcPr>
          <w:p w14:paraId="7EE99DCB"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Название</w:t>
            </w:r>
          </w:p>
        </w:tc>
        <w:tc>
          <w:tcPr>
            <w:tcW w:w="1302" w:type="dxa"/>
            <w:tcBorders>
              <w:top w:val="single" w:sz="4" w:space="0" w:color="auto"/>
              <w:bottom w:val="single" w:sz="12" w:space="0" w:color="auto"/>
            </w:tcBorders>
            <w:shd w:val="clear" w:color="auto" w:fill="auto"/>
            <w:noWrap/>
            <w:vAlign w:val="bottom"/>
          </w:tcPr>
          <w:p w14:paraId="635781FC"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Мандат</w:t>
            </w:r>
          </w:p>
        </w:tc>
        <w:tc>
          <w:tcPr>
            <w:tcW w:w="1890" w:type="dxa"/>
            <w:tcBorders>
              <w:top w:val="single" w:sz="4" w:space="0" w:color="auto"/>
              <w:bottom w:val="single" w:sz="12" w:space="0" w:color="auto"/>
            </w:tcBorders>
            <w:shd w:val="clear" w:color="auto" w:fill="auto"/>
            <w:noWrap/>
            <w:vAlign w:val="bottom"/>
          </w:tcPr>
          <w:p w14:paraId="2F228986"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В печатном и/или электронном формате</w:t>
            </w:r>
          </w:p>
        </w:tc>
        <w:tc>
          <w:tcPr>
            <w:tcW w:w="1245" w:type="dxa"/>
            <w:tcBorders>
              <w:top w:val="single" w:sz="4" w:space="0" w:color="auto"/>
              <w:bottom w:val="single" w:sz="12" w:space="0" w:color="auto"/>
            </w:tcBorders>
            <w:shd w:val="clear" w:color="auto" w:fill="auto"/>
            <w:noWrap/>
            <w:vAlign w:val="bottom"/>
          </w:tcPr>
          <w:p w14:paraId="5B029F83"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Послеобрезной формат</w:t>
            </w:r>
          </w:p>
        </w:tc>
        <w:tc>
          <w:tcPr>
            <w:tcW w:w="938" w:type="dxa"/>
            <w:tcBorders>
              <w:top w:val="single" w:sz="4" w:space="0" w:color="auto"/>
              <w:bottom w:val="single" w:sz="12" w:space="0" w:color="auto"/>
            </w:tcBorders>
            <w:shd w:val="clear" w:color="auto" w:fill="auto"/>
            <w:noWrap/>
            <w:vAlign w:val="bottom"/>
          </w:tcPr>
          <w:p w14:paraId="0EAE4986"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Кол-во страниц</w:t>
            </w:r>
          </w:p>
        </w:tc>
        <w:tc>
          <w:tcPr>
            <w:tcW w:w="910" w:type="dxa"/>
            <w:tcBorders>
              <w:top w:val="single" w:sz="4" w:space="0" w:color="auto"/>
              <w:bottom w:val="single" w:sz="12" w:space="0" w:color="auto"/>
            </w:tcBorders>
            <w:shd w:val="clear" w:color="auto" w:fill="auto"/>
            <w:noWrap/>
            <w:vAlign w:val="bottom"/>
          </w:tcPr>
          <w:p w14:paraId="4F47407E" w14:textId="77777777" w:rsidR="00D712D1" w:rsidRPr="00FE4BFE" w:rsidRDefault="00D712D1" w:rsidP="00FE4BFE">
            <w:pPr>
              <w:spacing w:before="80" w:after="80" w:line="200" w:lineRule="exact"/>
              <w:rPr>
                <w:rFonts w:cs="Times New Roman"/>
                <w:i/>
                <w:sz w:val="16"/>
                <w:szCs w:val="16"/>
              </w:rPr>
            </w:pPr>
            <w:r w:rsidRPr="00FE4BFE">
              <w:rPr>
                <w:rFonts w:cs="Times New Roman"/>
                <w:i/>
                <w:sz w:val="16"/>
              </w:rPr>
              <w:t>Язык(и) оригинала</w:t>
            </w:r>
          </w:p>
        </w:tc>
        <w:tc>
          <w:tcPr>
            <w:tcW w:w="930" w:type="dxa"/>
            <w:tcBorders>
              <w:top w:val="single" w:sz="4" w:space="0" w:color="auto"/>
              <w:bottom w:val="single" w:sz="12" w:space="0" w:color="auto"/>
            </w:tcBorders>
            <w:shd w:val="clear" w:color="auto" w:fill="auto"/>
            <w:noWrap/>
            <w:vAlign w:val="bottom"/>
          </w:tcPr>
          <w:p w14:paraId="7B81FF0E" w14:textId="61CEF253" w:rsidR="00D712D1" w:rsidRPr="00FE4BFE" w:rsidRDefault="00D712D1" w:rsidP="00FE4BFE">
            <w:pPr>
              <w:spacing w:before="80" w:after="80" w:line="200" w:lineRule="exact"/>
              <w:rPr>
                <w:rFonts w:cs="Times New Roman"/>
                <w:i/>
                <w:sz w:val="16"/>
                <w:szCs w:val="16"/>
              </w:rPr>
            </w:pPr>
            <w:r w:rsidRPr="00FE4BFE">
              <w:rPr>
                <w:rFonts w:cs="Times New Roman"/>
                <w:i/>
                <w:sz w:val="16"/>
              </w:rPr>
              <w:t>Язык(и) перевода</w:t>
            </w:r>
            <w:r w:rsidRPr="00FE4BFE">
              <w:rPr>
                <w:rStyle w:val="aa"/>
                <w:rFonts w:cs="Times New Roman"/>
                <w:i/>
                <w:iCs/>
                <w:sz w:val="16"/>
                <w:szCs w:val="16"/>
              </w:rPr>
              <w:footnoteReference w:id="3"/>
            </w:r>
          </w:p>
        </w:tc>
      </w:tr>
      <w:tr w:rsidR="00FE4BFE" w:rsidRPr="00FE4BFE" w14:paraId="1B0FD861" w14:textId="77777777" w:rsidTr="00FE4BFE">
        <w:trPr>
          <w:trHeight w:hRule="exact" w:val="113"/>
        </w:trPr>
        <w:tc>
          <w:tcPr>
            <w:tcW w:w="308" w:type="dxa"/>
            <w:tcBorders>
              <w:top w:val="single" w:sz="12" w:space="0" w:color="auto"/>
            </w:tcBorders>
            <w:shd w:val="clear" w:color="auto" w:fill="auto"/>
            <w:noWrap/>
          </w:tcPr>
          <w:p w14:paraId="59CD295B" w14:textId="77777777" w:rsidR="00FE4BFE" w:rsidRPr="00FE4BFE" w:rsidRDefault="00FE4BFE" w:rsidP="00FE4BFE">
            <w:pPr>
              <w:spacing w:before="40" w:after="120"/>
              <w:ind w:right="113"/>
              <w:rPr>
                <w:rFonts w:cs="Times New Roman"/>
              </w:rPr>
            </w:pPr>
          </w:p>
        </w:tc>
        <w:tc>
          <w:tcPr>
            <w:tcW w:w="2114" w:type="dxa"/>
            <w:tcBorders>
              <w:top w:val="single" w:sz="12" w:space="0" w:color="auto"/>
            </w:tcBorders>
            <w:shd w:val="clear" w:color="auto" w:fill="auto"/>
            <w:noWrap/>
          </w:tcPr>
          <w:p w14:paraId="2EB86B6A" w14:textId="77777777" w:rsidR="00FE4BFE" w:rsidRPr="00FE4BFE" w:rsidRDefault="00FE4BFE" w:rsidP="00FE4BFE">
            <w:pPr>
              <w:spacing w:before="40" w:after="120"/>
              <w:ind w:right="113"/>
              <w:rPr>
                <w:rFonts w:cs="Times New Roman"/>
              </w:rPr>
            </w:pPr>
          </w:p>
        </w:tc>
        <w:tc>
          <w:tcPr>
            <w:tcW w:w="1302" w:type="dxa"/>
            <w:tcBorders>
              <w:top w:val="single" w:sz="12" w:space="0" w:color="auto"/>
            </w:tcBorders>
            <w:shd w:val="clear" w:color="auto" w:fill="auto"/>
            <w:noWrap/>
          </w:tcPr>
          <w:p w14:paraId="73FD95CD" w14:textId="77777777" w:rsidR="00FE4BFE" w:rsidRPr="00FE4BFE" w:rsidRDefault="00FE4BFE" w:rsidP="00FE4BFE">
            <w:pPr>
              <w:spacing w:before="40" w:after="120"/>
              <w:ind w:right="113"/>
              <w:rPr>
                <w:rFonts w:cs="Times New Roman"/>
              </w:rPr>
            </w:pPr>
          </w:p>
        </w:tc>
        <w:tc>
          <w:tcPr>
            <w:tcW w:w="1890" w:type="dxa"/>
            <w:tcBorders>
              <w:top w:val="single" w:sz="12" w:space="0" w:color="auto"/>
            </w:tcBorders>
            <w:shd w:val="clear" w:color="auto" w:fill="auto"/>
            <w:noWrap/>
          </w:tcPr>
          <w:p w14:paraId="6268C092" w14:textId="77777777" w:rsidR="00FE4BFE" w:rsidRPr="00FE4BFE" w:rsidRDefault="00FE4BFE" w:rsidP="00FE4BFE">
            <w:pPr>
              <w:spacing w:before="40" w:after="120"/>
              <w:ind w:right="113"/>
              <w:rPr>
                <w:rFonts w:cs="Times New Roman"/>
              </w:rPr>
            </w:pPr>
          </w:p>
        </w:tc>
        <w:tc>
          <w:tcPr>
            <w:tcW w:w="1245" w:type="dxa"/>
            <w:tcBorders>
              <w:top w:val="single" w:sz="12" w:space="0" w:color="auto"/>
            </w:tcBorders>
            <w:shd w:val="clear" w:color="auto" w:fill="auto"/>
            <w:noWrap/>
          </w:tcPr>
          <w:p w14:paraId="67B09ED7" w14:textId="77777777" w:rsidR="00FE4BFE" w:rsidRPr="00FE4BFE" w:rsidRDefault="00FE4BFE" w:rsidP="00FE4BFE">
            <w:pPr>
              <w:spacing w:before="40" w:after="120"/>
              <w:ind w:right="113"/>
              <w:rPr>
                <w:rFonts w:cs="Times New Roman"/>
              </w:rPr>
            </w:pPr>
          </w:p>
        </w:tc>
        <w:tc>
          <w:tcPr>
            <w:tcW w:w="938" w:type="dxa"/>
            <w:tcBorders>
              <w:top w:val="single" w:sz="12" w:space="0" w:color="auto"/>
            </w:tcBorders>
            <w:shd w:val="clear" w:color="auto" w:fill="auto"/>
            <w:noWrap/>
          </w:tcPr>
          <w:p w14:paraId="7DCA9D55" w14:textId="77777777" w:rsidR="00FE4BFE" w:rsidRPr="00FE4BFE" w:rsidRDefault="00FE4BFE" w:rsidP="00FE4BFE">
            <w:pPr>
              <w:spacing w:before="40" w:after="120"/>
              <w:ind w:right="113"/>
              <w:rPr>
                <w:rFonts w:cs="Times New Roman"/>
              </w:rPr>
            </w:pPr>
          </w:p>
        </w:tc>
        <w:tc>
          <w:tcPr>
            <w:tcW w:w="910" w:type="dxa"/>
            <w:tcBorders>
              <w:top w:val="single" w:sz="12" w:space="0" w:color="auto"/>
            </w:tcBorders>
            <w:shd w:val="clear" w:color="auto" w:fill="auto"/>
            <w:noWrap/>
          </w:tcPr>
          <w:p w14:paraId="6102B00D" w14:textId="77777777" w:rsidR="00FE4BFE" w:rsidRPr="00FE4BFE" w:rsidRDefault="00FE4BFE" w:rsidP="00FE4BFE">
            <w:pPr>
              <w:spacing w:before="40" w:after="120"/>
              <w:ind w:right="113"/>
              <w:rPr>
                <w:rFonts w:cs="Times New Roman"/>
              </w:rPr>
            </w:pPr>
          </w:p>
        </w:tc>
        <w:tc>
          <w:tcPr>
            <w:tcW w:w="930" w:type="dxa"/>
            <w:tcBorders>
              <w:top w:val="single" w:sz="12" w:space="0" w:color="auto"/>
            </w:tcBorders>
            <w:shd w:val="clear" w:color="auto" w:fill="auto"/>
            <w:noWrap/>
          </w:tcPr>
          <w:p w14:paraId="3F28CB66" w14:textId="77777777" w:rsidR="00FE4BFE" w:rsidRPr="00FE4BFE" w:rsidRDefault="00FE4BFE" w:rsidP="00FE4BFE">
            <w:pPr>
              <w:spacing w:before="40" w:after="120"/>
              <w:ind w:right="113"/>
              <w:rPr>
                <w:rFonts w:cs="Times New Roman"/>
              </w:rPr>
            </w:pPr>
          </w:p>
        </w:tc>
      </w:tr>
      <w:tr w:rsidR="00FE4BFE" w:rsidRPr="00FE4BFE" w14:paraId="123B8384" w14:textId="77777777" w:rsidTr="00FE4BFE">
        <w:tc>
          <w:tcPr>
            <w:tcW w:w="308" w:type="dxa"/>
            <w:tcBorders>
              <w:bottom w:val="single" w:sz="12" w:space="0" w:color="auto"/>
            </w:tcBorders>
            <w:shd w:val="clear" w:color="auto" w:fill="auto"/>
            <w:noWrap/>
          </w:tcPr>
          <w:p w14:paraId="61700B1D" w14:textId="77777777" w:rsidR="00D712D1" w:rsidRPr="00FE4BFE" w:rsidRDefault="00D712D1" w:rsidP="00FE4BFE">
            <w:pPr>
              <w:spacing w:before="40" w:after="120"/>
              <w:ind w:right="113"/>
              <w:rPr>
                <w:rFonts w:cs="Times New Roman"/>
              </w:rPr>
            </w:pPr>
            <w:r w:rsidRPr="00FE4BFE">
              <w:rPr>
                <w:rFonts w:cs="Times New Roman"/>
              </w:rPr>
              <w:t>1</w:t>
            </w:r>
          </w:p>
        </w:tc>
        <w:tc>
          <w:tcPr>
            <w:tcW w:w="2114" w:type="dxa"/>
            <w:tcBorders>
              <w:bottom w:val="single" w:sz="12" w:space="0" w:color="auto"/>
            </w:tcBorders>
            <w:shd w:val="clear" w:color="auto" w:fill="auto"/>
            <w:noWrap/>
          </w:tcPr>
          <w:p w14:paraId="226736FF" w14:textId="77777777" w:rsidR="00D712D1" w:rsidRPr="00FE4BFE" w:rsidRDefault="00D712D1" w:rsidP="00FE4BFE">
            <w:pPr>
              <w:spacing w:before="40" w:after="120"/>
              <w:ind w:right="113"/>
              <w:rPr>
                <w:rFonts w:cs="Times New Roman"/>
              </w:rPr>
            </w:pPr>
            <w:r w:rsidRPr="00FE4BFE">
              <w:rPr>
                <w:rFonts w:cs="Times New Roman"/>
              </w:rPr>
              <w:t>Статистика транспорта: страновые обзоры</w:t>
            </w:r>
          </w:p>
        </w:tc>
        <w:tc>
          <w:tcPr>
            <w:tcW w:w="1302" w:type="dxa"/>
            <w:tcBorders>
              <w:bottom w:val="single" w:sz="12" w:space="0" w:color="auto"/>
            </w:tcBorders>
            <w:shd w:val="clear" w:color="auto" w:fill="auto"/>
            <w:noWrap/>
          </w:tcPr>
          <w:p w14:paraId="6CB597D8" w14:textId="48D47CD0" w:rsidR="00D712D1" w:rsidRPr="00FE4BFE" w:rsidRDefault="001D7172" w:rsidP="00FE4BFE">
            <w:pPr>
              <w:spacing w:before="40" w:after="120"/>
              <w:ind w:right="113"/>
              <w:rPr>
                <w:rFonts w:cs="Times New Roman"/>
              </w:rPr>
            </w:pPr>
            <w:hyperlink r:id="rId12" w:history="1">
              <w:r w:rsidR="00D712D1" w:rsidRPr="0030652F">
                <w:rPr>
                  <w:rStyle w:val="af1"/>
                  <w:rFonts w:cs="Times New Roman"/>
                </w:rPr>
                <w:t>A/77/6</w:t>
              </w:r>
            </w:hyperlink>
            <w:r w:rsidR="00D712D1" w:rsidRPr="00FE4BFE">
              <w:rPr>
                <w:rFonts w:cs="Times New Roman"/>
              </w:rPr>
              <w:t>, таблица 20.6, пункт 18</w:t>
            </w:r>
          </w:p>
        </w:tc>
        <w:tc>
          <w:tcPr>
            <w:tcW w:w="1890" w:type="dxa"/>
            <w:tcBorders>
              <w:bottom w:val="single" w:sz="12" w:space="0" w:color="auto"/>
            </w:tcBorders>
            <w:shd w:val="clear" w:color="auto" w:fill="auto"/>
            <w:noWrap/>
          </w:tcPr>
          <w:p w14:paraId="0D8F370D" w14:textId="77777777" w:rsidR="00D712D1" w:rsidRPr="00FE4BFE" w:rsidRDefault="00D712D1" w:rsidP="00FE4BFE">
            <w:pPr>
              <w:spacing w:before="40" w:after="120"/>
              <w:ind w:right="113"/>
              <w:rPr>
                <w:rFonts w:cs="Times New Roman"/>
              </w:rPr>
            </w:pPr>
            <w:r w:rsidRPr="00FE4BFE">
              <w:rPr>
                <w:rFonts w:cs="Times New Roman"/>
              </w:rPr>
              <w:t>В печатном и электронном формате</w:t>
            </w:r>
          </w:p>
        </w:tc>
        <w:tc>
          <w:tcPr>
            <w:tcW w:w="1245" w:type="dxa"/>
            <w:tcBorders>
              <w:bottom w:val="single" w:sz="12" w:space="0" w:color="auto"/>
            </w:tcBorders>
            <w:shd w:val="clear" w:color="auto" w:fill="auto"/>
            <w:noWrap/>
          </w:tcPr>
          <w:p w14:paraId="4A3FB1AF" w14:textId="77777777" w:rsidR="00D712D1" w:rsidRPr="00FE4BFE" w:rsidRDefault="00D712D1" w:rsidP="00FE4BFE">
            <w:pPr>
              <w:spacing w:before="40" w:after="120"/>
              <w:ind w:right="113"/>
              <w:rPr>
                <w:rFonts w:cs="Times New Roman"/>
              </w:rPr>
            </w:pPr>
            <w:r w:rsidRPr="00FE4BFE">
              <w:rPr>
                <w:rFonts w:cs="Times New Roman"/>
              </w:rPr>
              <w:t>A4</w:t>
            </w:r>
          </w:p>
        </w:tc>
        <w:tc>
          <w:tcPr>
            <w:tcW w:w="938" w:type="dxa"/>
            <w:tcBorders>
              <w:bottom w:val="single" w:sz="12" w:space="0" w:color="auto"/>
            </w:tcBorders>
            <w:shd w:val="clear" w:color="auto" w:fill="auto"/>
            <w:noWrap/>
          </w:tcPr>
          <w:p w14:paraId="089056C0" w14:textId="77777777" w:rsidR="00D712D1" w:rsidRPr="00FE4BFE" w:rsidRDefault="00D712D1" w:rsidP="00FE4BFE">
            <w:pPr>
              <w:spacing w:before="40" w:after="120"/>
              <w:ind w:right="113"/>
              <w:rPr>
                <w:rFonts w:cs="Times New Roman"/>
              </w:rPr>
            </w:pPr>
            <w:r w:rsidRPr="00FE4BFE">
              <w:rPr>
                <w:rFonts w:cs="Times New Roman"/>
              </w:rPr>
              <w:t>20</w:t>
            </w:r>
          </w:p>
        </w:tc>
        <w:tc>
          <w:tcPr>
            <w:tcW w:w="910" w:type="dxa"/>
            <w:tcBorders>
              <w:bottom w:val="single" w:sz="12" w:space="0" w:color="auto"/>
            </w:tcBorders>
            <w:shd w:val="clear" w:color="auto" w:fill="auto"/>
            <w:noWrap/>
          </w:tcPr>
          <w:p w14:paraId="245CC4DD" w14:textId="77777777" w:rsidR="00D712D1" w:rsidRPr="00FE4BFE" w:rsidRDefault="00D712D1" w:rsidP="00FE4BFE">
            <w:pPr>
              <w:spacing w:before="40" w:after="120"/>
              <w:ind w:right="113"/>
              <w:rPr>
                <w:rFonts w:cs="Times New Roman"/>
              </w:rPr>
            </w:pPr>
            <w:r w:rsidRPr="00FE4BFE">
              <w:rPr>
                <w:rFonts w:cs="Times New Roman"/>
              </w:rPr>
              <w:t>А</w:t>
            </w:r>
          </w:p>
        </w:tc>
        <w:tc>
          <w:tcPr>
            <w:tcW w:w="930" w:type="dxa"/>
            <w:tcBorders>
              <w:bottom w:val="single" w:sz="12" w:space="0" w:color="auto"/>
            </w:tcBorders>
            <w:shd w:val="clear" w:color="auto" w:fill="auto"/>
            <w:noWrap/>
          </w:tcPr>
          <w:p w14:paraId="15F92635" w14:textId="77777777" w:rsidR="00D712D1" w:rsidRPr="00FE4BFE" w:rsidRDefault="00D712D1" w:rsidP="00FE4BFE">
            <w:pPr>
              <w:spacing w:before="40" w:after="120"/>
              <w:ind w:right="113"/>
              <w:rPr>
                <w:rFonts w:cs="Times New Roman"/>
              </w:rPr>
            </w:pPr>
            <w:r w:rsidRPr="00FE4BFE">
              <w:rPr>
                <w:rFonts w:cs="Times New Roman"/>
              </w:rPr>
              <w:t>Р, Ф</w:t>
            </w:r>
          </w:p>
        </w:tc>
      </w:tr>
    </w:tbl>
    <w:p w14:paraId="2D0A92FB" w14:textId="77777777" w:rsidR="00D712D1" w:rsidRDefault="00D712D1">
      <w:pPr>
        <w:suppressAutoHyphens w:val="0"/>
        <w:spacing w:line="240" w:lineRule="auto"/>
        <w:rPr>
          <w:rFonts w:eastAsia="Times New Roman" w:cs="Times New Roman"/>
          <w:szCs w:val="20"/>
        </w:rPr>
      </w:pPr>
      <w:r>
        <w:br w:type="page"/>
      </w:r>
    </w:p>
    <w:p w14:paraId="514DB55B" w14:textId="77777777" w:rsidR="00D712D1" w:rsidRPr="00D712D1" w:rsidRDefault="00D712D1" w:rsidP="00FE4BFE">
      <w:pPr>
        <w:pStyle w:val="HChG"/>
        <w:rPr>
          <w:lang w:val="en-GB"/>
        </w:rPr>
      </w:pPr>
      <w:r w:rsidRPr="00D712D1">
        <w:lastRenderedPageBreak/>
        <w:t>Приложение II</w:t>
      </w:r>
    </w:p>
    <w:p w14:paraId="2D3343E5" w14:textId="77777777" w:rsidR="00D712D1" w:rsidRPr="00D712D1" w:rsidRDefault="00D712D1" w:rsidP="00FE4BFE">
      <w:pPr>
        <w:pStyle w:val="HChG"/>
      </w:pPr>
      <w:r w:rsidRPr="00D712D1">
        <w:tab/>
      </w:r>
      <w:r w:rsidRPr="00D712D1">
        <w:tab/>
        <w:t>Мандаты директивных органов</w:t>
      </w:r>
    </w:p>
    <w:p w14:paraId="22C067E2" w14:textId="77777777" w:rsidR="00D712D1" w:rsidRPr="00D712D1" w:rsidRDefault="00D712D1" w:rsidP="00FE4BFE">
      <w:pPr>
        <w:pStyle w:val="H1G"/>
      </w:pPr>
      <w:r w:rsidRPr="00D712D1">
        <w:tab/>
        <w:t>A.</w:t>
      </w:r>
      <w:r w:rsidRPr="00D712D1">
        <w:tab/>
        <w:t>Решения директивных органов, касающиеся ЕЭК в целом</w:t>
      </w:r>
    </w:p>
    <w:p w14:paraId="35BC87D3" w14:textId="4A5E0BB6" w:rsidR="00D712D1" w:rsidRDefault="00D712D1" w:rsidP="00FE4BFE">
      <w:pPr>
        <w:pStyle w:val="H23G"/>
      </w:pPr>
      <w:r w:rsidRPr="00D712D1">
        <w:tab/>
        <w:t>1.</w:t>
      </w:r>
      <w:r w:rsidRPr="00D712D1">
        <w:tab/>
        <w:t>Резолюции Генеральной Ассамблеи</w:t>
      </w:r>
    </w:p>
    <w:tbl>
      <w:tblPr>
        <w:tblStyle w:val="ac"/>
        <w:tblW w:w="441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6814"/>
      </w:tblGrid>
      <w:tr w:rsidR="00D712D1" w:rsidRPr="00FE4BFE" w14:paraId="190743E3" w14:textId="77777777" w:rsidTr="0023343F">
        <w:tc>
          <w:tcPr>
            <w:tcW w:w="994" w:type="pct"/>
            <w:shd w:val="clear" w:color="auto" w:fill="auto"/>
          </w:tcPr>
          <w:bookmarkStart w:id="1" w:name="_Hlk100326343"/>
          <w:p w14:paraId="2E7064BC" w14:textId="1F07B642" w:rsidR="00D712D1" w:rsidRPr="00312D6A" w:rsidRDefault="00312D6A"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r>
              <w:rPr>
                <w:color w:val="0000FF"/>
                <w:spacing w:val="0"/>
                <w:w w:val="100"/>
                <w:kern w:val="0"/>
                <w:lang w:val="ru-RU"/>
              </w:rPr>
              <w:fldChar w:fldCharType="begin"/>
            </w:r>
            <w:r>
              <w:rPr>
                <w:color w:val="0000FF"/>
                <w:spacing w:val="0"/>
                <w:w w:val="100"/>
                <w:kern w:val="0"/>
                <w:lang w:val="ru-RU"/>
              </w:rPr>
              <w:instrText xml:space="preserve"> HYPERLINK "https://undocs.org/ru/A/RES/66/288" </w:instrText>
            </w:r>
            <w:r>
              <w:rPr>
                <w:color w:val="0000FF"/>
                <w:spacing w:val="0"/>
                <w:w w:val="100"/>
                <w:kern w:val="0"/>
                <w:lang w:val="ru-RU"/>
              </w:rPr>
              <w:fldChar w:fldCharType="separate"/>
            </w:r>
            <w:r w:rsidR="00D712D1" w:rsidRPr="00312D6A">
              <w:rPr>
                <w:rStyle w:val="af1"/>
                <w:spacing w:val="0"/>
                <w:w w:val="100"/>
                <w:kern w:val="0"/>
                <w:lang w:val="ru-RU"/>
              </w:rPr>
              <w:t>66/288</w:t>
            </w:r>
            <w:r>
              <w:rPr>
                <w:color w:val="0000FF"/>
                <w:spacing w:val="0"/>
                <w:w w:val="100"/>
                <w:kern w:val="0"/>
                <w:lang w:val="ru-RU"/>
              </w:rPr>
              <w:fldChar w:fldCharType="end"/>
            </w:r>
          </w:p>
        </w:tc>
        <w:tc>
          <w:tcPr>
            <w:tcW w:w="4006" w:type="pct"/>
            <w:shd w:val="clear" w:color="auto" w:fill="auto"/>
          </w:tcPr>
          <w:p w14:paraId="28D546BB"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rPr>
            </w:pPr>
            <w:r w:rsidRPr="00FE4BFE">
              <w:rPr>
                <w:spacing w:val="0"/>
                <w:w w:val="100"/>
                <w:kern w:val="0"/>
                <w:lang w:val="ru-RU"/>
              </w:rPr>
              <w:t>Будущее, которого мы хотим</w:t>
            </w:r>
          </w:p>
        </w:tc>
      </w:tr>
      <w:tr w:rsidR="00D712D1" w:rsidRPr="00FE4BFE" w14:paraId="36ED15B4" w14:textId="77777777" w:rsidTr="0023343F">
        <w:tc>
          <w:tcPr>
            <w:tcW w:w="994" w:type="pct"/>
            <w:shd w:val="clear" w:color="auto" w:fill="auto"/>
          </w:tcPr>
          <w:p w14:paraId="46C407AC" w14:textId="7617E3BF"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13" w:history="1">
              <w:r w:rsidR="00D712D1" w:rsidRPr="00312D6A">
                <w:rPr>
                  <w:color w:val="0000FF"/>
                  <w:spacing w:val="0"/>
                  <w:w w:val="100"/>
                  <w:kern w:val="0"/>
                </w:rPr>
                <w:t>67/10</w:t>
              </w:r>
            </w:hyperlink>
          </w:p>
        </w:tc>
        <w:tc>
          <w:tcPr>
            <w:tcW w:w="4006" w:type="pct"/>
            <w:shd w:val="clear" w:color="auto" w:fill="auto"/>
          </w:tcPr>
          <w:p w14:paraId="696731C4"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Сотрудничество между Организацией Объединенных Наций и Евразийским экономическим сообществом</w:t>
            </w:r>
          </w:p>
        </w:tc>
      </w:tr>
      <w:tr w:rsidR="00D712D1" w:rsidRPr="00FE4BFE" w14:paraId="45E56C31" w14:textId="77777777" w:rsidTr="0023343F">
        <w:tc>
          <w:tcPr>
            <w:tcW w:w="994" w:type="pct"/>
            <w:shd w:val="clear" w:color="auto" w:fill="auto"/>
          </w:tcPr>
          <w:p w14:paraId="40666AA4" w14:textId="4F37E832"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14" w:history="1">
              <w:r w:rsidR="00D712D1" w:rsidRPr="00312D6A">
                <w:rPr>
                  <w:color w:val="0000FF"/>
                  <w:spacing w:val="0"/>
                  <w:w w:val="100"/>
                  <w:kern w:val="0"/>
                </w:rPr>
                <w:t>67/290</w:t>
              </w:r>
            </w:hyperlink>
          </w:p>
        </w:tc>
        <w:tc>
          <w:tcPr>
            <w:tcW w:w="4006" w:type="pct"/>
            <w:shd w:val="clear" w:color="auto" w:fill="auto"/>
          </w:tcPr>
          <w:p w14:paraId="3415DDA9"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Формат и организационные аспекты политического форума высокого уровня по устойчивому развитию</w:t>
            </w:r>
          </w:p>
        </w:tc>
      </w:tr>
      <w:tr w:rsidR="00D712D1" w:rsidRPr="00FE4BFE" w14:paraId="01896F9B" w14:textId="77777777" w:rsidTr="0023343F">
        <w:tc>
          <w:tcPr>
            <w:tcW w:w="994" w:type="pct"/>
            <w:shd w:val="clear" w:color="auto" w:fill="auto"/>
          </w:tcPr>
          <w:p w14:paraId="0D747ECD" w14:textId="4BDE8791" w:rsidR="00D712D1" w:rsidRPr="00312D6A" w:rsidRDefault="001D7172" w:rsidP="00FE4BFE">
            <w:pPr>
              <w:pStyle w:val="DualTxt"/>
              <w:spacing w:before="40" w:line="240" w:lineRule="atLeast"/>
              <w:ind w:right="43"/>
              <w:jc w:val="left"/>
              <w:rPr>
                <w:rFonts w:asciiTheme="majorBidi" w:hAnsiTheme="majorBidi" w:cstheme="majorBidi"/>
                <w:color w:val="0000FF"/>
                <w:spacing w:val="0"/>
                <w:w w:val="100"/>
                <w:kern w:val="0"/>
                <w:sz w:val="17"/>
                <w:szCs w:val="17"/>
              </w:rPr>
            </w:pPr>
            <w:hyperlink r:id="rId15" w:history="1">
              <w:r w:rsidR="00D712D1" w:rsidRPr="00312D6A">
                <w:rPr>
                  <w:color w:val="0000FF"/>
                  <w:spacing w:val="0"/>
                  <w:w w:val="100"/>
                  <w:kern w:val="0"/>
                </w:rPr>
                <w:t>69/277</w:t>
              </w:r>
            </w:hyperlink>
          </w:p>
        </w:tc>
        <w:tc>
          <w:tcPr>
            <w:tcW w:w="4006" w:type="pct"/>
            <w:shd w:val="clear" w:color="auto" w:fill="auto"/>
          </w:tcPr>
          <w:p w14:paraId="493140A2"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Политическая декларация об активизации сотрудничества между Организацией Объединенных Наций и региональными и субрегиональными организациями</w:t>
            </w:r>
          </w:p>
        </w:tc>
      </w:tr>
      <w:tr w:rsidR="00D712D1" w:rsidRPr="00FE4BFE" w14:paraId="3F9BCAE9" w14:textId="77777777" w:rsidTr="0023343F">
        <w:tc>
          <w:tcPr>
            <w:tcW w:w="994" w:type="pct"/>
            <w:shd w:val="clear" w:color="auto" w:fill="auto"/>
          </w:tcPr>
          <w:p w14:paraId="108B3E3D" w14:textId="107BD353" w:rsidR="00D712D1" w:rsidRPr="00312D6A" w:rsidRDefault="001D7172" w:rsidP="00FE4BFE">
            <w:pPr>
              <w:pStyle w:val="DualTxt"/>
              <w:spacing w:before="40" w:line="240" w:lineRule="atLeast"/>
              <w:ind w:right="43"/>
              <w:jc w:val="left"/>
              <w:rPr>
                <w:color w:val="0000FF"/>
                <w:spacing w:val="0"/>
                <w:w w:val="100"/>
                <w:kern w:val="0"/>
                <w:sz w:val="17"/>
              </w:rPr>
            </w:pPr>
            <w:hyperlink r:id="rId16" w:history="1">
              <w:r w:rsidR="00D712D1" w:rsidRPr="00312D6A">
                <w:rPr>
                  <w:color w:val="0000FF"/>
                  <w:spacing w:val="0"/>
                  <w:w w:val="100"/>
                  <w:kern w:val="0"/>
                </w:rPr>
                <w:t>69/283</w:t>
              </w:r>
            </w:hyperlink>
          </w:p>
        </w:tc>
        <w:tc>
          <w:tcPr>
            <w:tcW w:w="4006" w:type="pct"/>
            <w:shd w:val="clear" w:color="auto" w:fill="auto"/>
          </w:tcPr>
          <w:p w14:paraId="48DF7517" w14:textId="6E1D0C86" w:rsidR="00D712D1" w:rsidRPr="00FE4BFE" w:rsidRDefault="00D712D1" w:rsidP="00FE4BFE">
            <w:pPr>
              <w:pStyle w:val="DualTxt"/>
              <w:spacing w:before="40" w:line="240" w:lineRule="atLeast"/>
              <w:ind w:right="43"/>
              <w:jc w:val="left"/>
              <w:rPr>
                <w:spacing w:val="0"/>
                <w:w w:val="100"/>
                <w:kern w:val="0"/>
                <w:sz w:val="17"/>
                <w:szCs w:val="17"/>
                <w:lang w:val="ru-RU"/>
              </w:rPr>
            </w:pPr>
            <w:proofErr w:type="spellStart"/>
            <w:r w:rsidRPr="00FE4BFE">
              <w:rPr>
                <w:spacing w:val="0"/>
                <w:w w:val="100"/>
                <w:kern w:val="0"/>
                <w:lang w:val="ru-RU"/>
              </w:rPr>
              <w:t>Сендайская</w:t>
            </w:r>
            <w:proofErr w:type="spellEnd"/>
            <w:r w:rsidRPr="00FE4BFE">
              <w:rPr>
                <w:spacing w:val="0"/>
                <w:w w:val="100"/>
                <w:kern w:val="0"/>
                <w:lang w:val="ru-RU"/>
              </w:rPr>
              <w:t xml:space="preserve"> рамочная программа по снижению риска бедствий на </w:t>
            </w:r>
            <w:r w:rsidR="00454111">
              <w:rPr>
                <w:spacing w:val="0"/>
                <w:w w:val="100"/>
                <w:kern w:val="0"/>
                <w:lang w:val="ru-RU"/>
              </w:rPr>
              <w:br/>
            </w:r>
            <w:r w:rsidRPr="00FE4BFE">
              <w:rPr>
                <w:spacing w:val="0"/>
                <w:w w:val="100"/>
                <w:kern w:val="0"/>
                <w:lang w:val="ru-RU"/>
              </w:rPr>
              <w:t>2015–2030 годы</w:t>
            </w:r>
          </w:p>
        </w:tc>
      </w:tr>
      <w:tr w:rsidR="00D712D1" w:rsidRPr="00FE4BFE" w14:paraId="5748F456" w14:textId="77777777" w:rsidTr="0023343F">
        <w:tc>
          <w:tcPr>
            <w:tcW w:w="994" w:type="pct"/>
            <w:shd w:val="clear" w:color="auto" w:fill="auto"/>
          </w:tcPr>
          <w:p w14:paraId="56C41CD1" w14:textId="0DD598B6"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17" w:history="1">
              <w:r w:rsidR="00D712D1" w:rsidRPr="00312D6A">
                <w:rPr>
                  <w:color w:val="0000FF"/>
                  <w:spacing w:val="0"/>
                  <w:w w:val="100"/>
                  <w:kern w:val="0"/>
                </w:rPr>
                <w:t>69/313</w:t>
              </w:r>
            </w:hyperlink>
          </w:p>
        </w:tc>
        <w:tc>
          <w:tcPr>
            <w:tcW w:w="4006" w:type="pct"/>
            <w:shd w:val="clear" w:color="auto" w:fill="auto"/>
          </w:tcPr>
          <w:p w14:paraId="3C926567"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Аддис-Абебская программа действий третьей Международной конференции по финансированию развития (Аддис-Абебская программа действий)</w:t>
            </w:r>
          </w:p>
        </w:tc>
      </w:tr>
      <w:tr w:rsidR="00D712D1" w:rsidRPr="00FE4BFE" w14:paraId="65F6EEDE" w14:textId="77777777" w:rsidTr="0023343F">
        <w:tc>
          <w:tcPr>
            <w:tcW w:w="994" w:type="pct"/>
            <w:shd w:val="clear" w:color="auto" w:fill="auto"/>
          </w:tcPr>
          <w:p w14:paraId="24D271DE" w14:textId="2CE4FAB1" w:rsidR="00D712D1" w:rsidRPr="00312D6A" w:rsidRDefault="001D7172" w:rsidP="00FE4BFE">
            <w:pPr>
              <w:pStyle w:val="DualTxt"/>
              <w:spacing w:before="40" w:line="240" w:lineRule="atLeast"/>
              <w:ind w:right="43"/>
              <w:jc w:val="left"/>
              <w:rPr>
                <w:color w:val="0000FF"/>
                <w:spacing w:val="0"/>
                <w:w w:val="100"/>
                <w:kern w:val="0"/>
                <w:sz w:val="17"/>
              </w:rPr>
            </w:pPr>
            <w:hyperlink r:id="rId18" w:history="1">
              <w:r w:rsidR="00D712D1" w:rsidRPr="00312D6A">
                <w:rPr>
                  <w:color w:val="0000FF"/>
                  <w:spacing w:val="0"/>
                  <w:w w:val="100"/>
                  <w:kern w:val="0"/>
                </w:rPr>
                <w:t>70/1</w:t>
              </w:r>
            </w:hyperlink>
          </w:p>
        </w:tc>
        <w:tc>
          <w:tcPr>
            <w:tcW w:w="4006" w:type="pct"/>
            <w:shd w:val="clear" w:color="auto" w:fill="auto"/>
          </w:tcPr>
          <w:p w14:paraId="38671755"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Преобразование нашего мира: Повестка дня в области устойчивого развития на период до 2030 года</w:t>
            </w:r>
          </w:p>
        </w:tc>
      </w:tr>
      <w:tr w:rsidR="00D712D1" w:rsidRPr="00FE4BFE" w14:paraId="1E2BCC7E" w14:textId="77777777" w:rsidTr="0023343F">
        <w:tc>
          <w:tcPr>
            <w:tcW w:w="994" w:type="pct"/>
            <w:shd w:val="clear" w:color="auto" w:fill="auto"/>
          </w:tcPr>
          <w:p w14:paraId="4D36B66E" w14:textId="7CE0F794"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19" w:history="1">
              <w:r w:rsidR="00D712D1" w:rsidRPr="00312D6A">
                <w:rPr>
                  <w:color w:val="0000FF"/>
                  <w:spacing w:val="0"/>
                  <w:w w:val="100"/>
                  <w:kern w:val="0"/>
                </w:rPr>
                <w:t>71/16</w:t>
              </w:r>
            </w:hyperlink>
          </w:p>
        </w:tc>
        <w:tc>
          <w:tcPr>
            <w:tcW w:w="4006" w:type="pct"/>
            <w:shd w:val="clear" w:color="auto" w:fill="auto"/>
          </w:tcPr>
          <w:p w14:paraId="4701767F"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Сотрудничество между Организацией Объединенных Наций и Организацией экономического сотрудничества</w:t>
            </w:r>
          </w:p>
        </w:tc>
      </w:tr>
      <w:tr w:rsidR="00D712D1" w:rsidRPr="00FE4BFE" w14:paraId="34D99D59" w14:textId="77777777" w:rsidTr="0023343F">
        <w:tc>
          <w:tcPr>
            <w:tcW w:w="994" w:type="pct"/>
            <w:shd w:val="clear" w:color="auto" w:fill="auto"/>
          </w:tcPr>
          <w:p w14:paraId="1150B5E6" w14:textId="1976021C" w:rsidR="00D712D1" w:rsidRPr="00312D6A" w:rsidRDefault="001D7172" w:rsidP="00FE4BFE">
            <w:pPr>
              <w:pStyle w:val="DualTxt"/>
              <w:spacing w:before="40" w:line="240" w:lineRule="atLeast"/>
              <w:ind w:right="43"/>
              <w:jc w:val="left"/>
              <w:rPr>
                <w:color w:val="0000FF"/>
                <w:spacing w:val="0"/>
                <w:w w:val="100"/>
                <w:kern w:val="0"/>
                <w:sz w:val="17"/>
              </w:rPr>
            </w:pPr>
            <w:hyperlink r:id="rId20" w:history="1">
              <w:r w:rsidR="00D712D1" w:rsidRPr="00312D6A">
                <w:rPr>
                  <w:color w:val="0000FF"/>
                  <w:spacing w:val="0"/>
                  <w:w w:val="100"/>
                  <w:kern w:val="0"/>
                </w:rPr>
                <w:t>71/256</w:t>
              </w:r>
            </w:hyperlink>
          </w:p>
        </w:tc>
        <w:tc>
          <w:tcPr>
            <w:tcW w:w="4006" w:type="pct"/>
            <w:shd w:val="clear" w:color="auto" w:fill="auto"/>
          </w:tcPr>
          <w:p w14:paraId="605EEDE7" w14:textId="77777777" w:rsidR="00D712D1" w:rsidRPr="00FE4BFE" w:rsidRDefault="00D712D1" w:rsidP="00FE4BFE">
            <w:pPr>
              <w:pStyle w:val="DualTxt"/>
              <w:spacing w:before="40" w:line="240" w:lineRule="atLeast"/>
              <w:ind w:right="43"/>
              <w:jc w:val="left"/>
              <w:rPr>
                <w:spacing w:val="0"/>
                <w:w w:val="100"/>
                <w:kern w:val="0"/>
                <w:sz w:val="17"/>
                <w:szCs w:val="17"/>
              </w:rPr>
            </w:pPr>
            <w:r w:rsidRPr="00FE4BFE">
              <w:rPr>
                <w:spacing w:val="0"/>
                <w:w w:val="100"/>
                <w:kern w:val="0"/>
                <w:lang w:val="ru-RU"/>
              </w:rPr>
              <w:t>Новая программа развития городов</w:t>
            </w:r>
          </w:p>
        </w:tc>
      </w:tr>
      <w:tr w:rsidR="00D712D1" w:rsidRPr="00FE4BFE" w14:paraId="697F4174" w14:textId="77777777" w:rsidTr="0023343F">
        <w:tc>
          <w:tcPr>
            <w:tcW w:w="994" w:type="pct"/>
            <w:shd w:val="clear" w:color="auto" w:fill="auto"/>
          </w:tcPr>
          <w:p w14:paraId="1B761E6D" w14:textId="4B5E3F35"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1" w:history="1">
              <w:r w:rsidR="00D712D1" w:rsidRPr="00312D6A">
                <w:rPr>
                  <w:color w:val="0000FF"/>
                  <w:spacing w:val="0"/>
                  <w:w w:val="100"/>
                  <w:kern w:val="0"/>
                </w:rPr>
                <w:t>72/279</w:t>
              </w:r>
            </w:hyperlink>
          </w:p>
        </w:tc>
        <w:tc>
          <w:tcPr>
            <w:tcW w:w="4006" w:type="pct"/>
            <w:shd w:val="clear" w:color="auto" w:fill="auto"/>
          </w:tcPr>
          <w:p w14:paraId="1D79ECD4"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Переориентация системы развития Организации Объединенных Наций в контексте четырехгодичного всеобъемлющего обзора политики в области оперативной деятельности в целях развития в рамках системы Организации Объединенных Наций</w:t>
            </w:r>
          </w:p>
        </w:tc>
      </w:tr>
      <w:tr w:rsidR="00D712D1" w:rsidRPr="00FE4BFE" w14:paraId="2D17E524" w14:textId="77777777" w:rsidTr="0023343F">
        <w:tc>
          <w:tcPr>
            <w:tcW w:w="994" w:type="pct"/>
            <w:shd w:val="clear" w:color="auto" w:fill="auto"/>
          </w:tcPr>
          <w:p w14:paraId="51FEE112" w14:textId="49477E57"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2" w:history="1">
              <w:r w:rsidR="00D712D1" w:rsidRPr="00312D6A">
                <w:rPr>
                  <w:color w:val="0000FF"/>
                  <w:spacing w:val="0"/>
                  <w:w w:val="100"/>
                  <w:kern w:val="0"/>
                </w:rPr>
                <w:t>73/10</w:t>
              </w:r>
            </w:hyperlink>
          </w:p>
        </w:tc>
        <w:tc>
          <w:tcPr>
            <w:tcW w:w="4006" w:type="pct"/>
            <w:shd w:val="clear" w:color="auto" w:fill="auto"/>
          </w:tcPr>
          <w:p w14:paraId="3A0D58E4"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Сотрудничество между Организацией Объединенных Наций и Центральноевропейской инициативой</w:t>
            </w:r>
          </w:p>
        </w:tc>
      </w:tr>
      <w:tr w:rsidR="00D712D1" w:rsidRPr="00FE4BFE" w14:paraId="2E616346" w14:textId="77777777" w:rsidTr="0023343F">
        <w:tc>
          <w:tcPr>
            <w:tcW w:w="994" w:type="pct"/>
            <w:shd w:val="clear" w:color="auto" w:fill="auto"/>
          </w:tcPr>
          <w:p w14:paraId="08BE6668" w14:textId="0BCF57EA"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3" w:history="1">
              <w:r w:rsidR="00D712D1" w:rsidRPr="00312D6A">
                <w:rPr>
                  <w:color w:val="0000FF"/>
                  <w:spacing w:val="0"/>
                  <w:w w:val="100"/>
                  <w:kern w:val="0"/>
                </w:rPr>
                <w:t>73/195</w:t>
              </w:r>
            </w:hyperlink>
          </w:p>
        </w:tc>
        <w:tc>
          <w:tcPr>
            <w:tcW w:w="4006" w:type="pct"/>
            <w:shd w:val="clear" w:color="auto" w:fill="auto"/>
          </w:tcPr>
          <w:p w14:paraId="0B6B4C79"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Глобальный договор о безопасной, упорядоченной и легальной миграции</w:t>
            </w:r>
          </w:p>
        </w:tc>
      </w:tr>
      <w:tr w:rsidR="00D712D1" w:rsidRPr="00FE4BFE" w14:paraId="21D8F473" w14:textId="77777777" w:rsidTr="0023343F">
        <w:tc>
          <w:tcPr>
            <w:tcW w:w="994" w:type="pct"/>
            <w:shd w:val="clear" w:color="auto" w:fill="auto"/>
          </w:tcPr>
          <w:p w14:paraId="692A3970" w14:textId="65A0B862"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4" w:history="1">
              <w:r w:rsidR="00D712D1" w:rsidRPr="00312D6A">
                <w:rPr>
                  <w:color w:val="0000FF"/>
                  <w:spacing w:val="0"/>
                  <w:w w:val="100"/>
                  <w:kern w:val="0"/>
                </w:rPr>
                <w:t>7</w:t>
              </w:r>
              <w:r w:rsidR="00B93331">
                <w:rPr>
                  <w:color w:val="0000FF"/>
                  <w:spacing w:val="0"/>
                  <w:w w:val="100"/>
                  <w:kern w:val="0"/>
                </w:rPr>
                <w:t>4</w:t>
              </w:r>
              <w:r w:rsidR="00D712D1" w:rsidRPr="00312D6A">
                <w:rPr>
                  <w:color w:val="0000FF"/>
                  <w:spacing w:val="0"/>
                  <w:w w:val="100"/>
                  <w:kern w:val="0"/>
                </w:rPr>
                <w:t>/122</w:t>
              </w:r>
            </w:hyperlink>
          </w:p>
        </w:tc>
        <w:tc>
          <w:tcPr>
            <w:tcW w:w="4006" w:type="pct"/>
            <w:shd w:val="clear" w:color="auto" w:fill="auto"/>
          </w:tcPr>
          <w:p w14:paraId="13EA62B2"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Осуществление решений Всемирной встречи на высшем уровне в интересах социального развития и двадцать четвертой специальной сессии Генеральной Ассамблеи</w:t>
            </w:r>
          </w:p>
        </w:tc>
      </w:tr>
      <w:tr w:rsidR="00D712D1" w:rsidRPr="00FE4BFE" w14:paraId="63DA6EE4" w14:textId="77777777" w:rsidTr="0023343F">
        <w:tc>
          <w:tcPr>
            <w:tcW w:w="994" w:type="pct"/>
            <w:shd w:val="clear" w:color="auto" w:fill="auto"/>
          </w:tcPr>
          <w:p w14:paraId="1B269295" w14:textId="6F04A7BB"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5" w:history="1">
              <w:r w:rsidR="00D712D1" w:rsidRPr="00312D6A">
                <w:rPr>
                  <w:color w:val="0000FF"/>
                  <w:spacing w:val="0"/>
                  <w:w w:val="100"/>
                  <w:kern w:val="0"/>
                </w:rPr>
                <w:t>74/128</w:t>
              </w:r>
            </w:hyperlink>
          </w:p>
        </w:tc>
        <w:tc>
          <w:tcPr>
            <w:tcW w:w="4006" w:type="pct"/>
            <w:shd w:val="clear" w:color="auto" w:fill="auto"/>
          </w:tcPr>
          <w:p w14:paraId="31D21773"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Последующая деятельность в связи с четвертой Всемирной конференцией по положению женщин и полное осуществление Пекинской декларации и Платформы действий и решений двадцать третьей специальной сессии Генеральной Ассамблеи</w:t>
            </w:r>
          </w:p>
        </w:tc>
      </w:tr>
      <w:tr w:rsidR="00D712D1" w:rsidRPr="00FE4BFE" w14:paraId="5FCBAA05" w14:textId="77777777" w:rsidTr="0023343F">
        <w:tc>
          <w:tcPr>
            <w:tcW w:w="994" w:type="pct"/>
            <w:shd w:val="clear" w:color="auto" w:fill="auto"/>
          </w:tcPr>
          <w:p w14:paraId="4DDD120B" w14:textId="0EFA0882"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6" w:history="1">
              <w:r w:rsidR="00D712D1" w:rsidRPr="00312D6A">
                <w:rPr>
                  <w:color w:val="0000FF"/>
                  <w:spacing w:val="0"/>
                  <w:w w:val="100"/>
                  <w:kern w:val="0"/>
                </w:rPr>
                <w:t>7</w:t>
              </w:r>
              <w:r w:rsidR="00491089">
                <w:rPr>
                  <w:color w:val="0000FF"/>
                  <w:spacing w:val="0"/>
                  <w:w w:val="100"/>
                  <w:kern w:val="0"/>
                </w:rPr>
                <w:t>4</w:t>
              </w:r>
              <w:r w:rsidR="00D712D1" w:rsidRPr="00312D6A">
                <w:rPr>
                  <w:color w:val="0000FF"/>
                  <w:spacing w:val="0"/>
                  <w:w w:val="100"/>
                  <w:kern w:val="0"/>
                </w:rPr>
                <w:t>/144</w:t>
              </w:r>
            </w:hyperlink>
          </w:p>
        </w:tc>
        <w:tc>
          <w:tcPr>
            <w:tcW w:w="4006" w:type="pct"/>
            <w:shd w:val="clear" w:color="auto" w:fill="auto"/>
          </w:tcPr>
          <w:p w14:paraId="350A1B72"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Осуществление Конвенции о правах инвалидов и Факультативного протокола к ней: доступность</w:t>
            </w:r>
          </w:p>
        </w:tc>
      </w:tr>
      <w:tr w:rsidR="00D712D1" w:rsidRPr="00FE4BFE" w14:paraId="42E1241F" w14:textId="77777777" w:rsidTr="0023343F">
        <w:tc>
          <w:tcPr>
            <w:tcW w:w="994" w:type="pct"/>
            <w:shd w:val="clear" w:color="auto" w:fill="auto"/>
          </w:tcPr>
          <w:p w14:paraId="23467835" w14:textId="0F12D55D"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7" w:history="1">
              <w:r w:rsidR="00D712D1" w:rsidRPr="00312D6A">
                <w:rPr>
                  <w:color w:val="0000FF"/>
                  <w:spacing w:val="0"/>
                  <w:w w:val="100"/>
                  <w:kern w:val="0"/>
                </w:rPr>
                <w:t>7</w:t>
              </w:r>
              <w:r w:rsidR="00491089">
                <w:rPr>
                  <w:color w:val="0000FF"/>
                  <w:spacing w:val="0"/>
                  <w:w w:val="100"/>
                  <w:kern w:val="0"/>
                </w:rPr>
                <w:t>4</w:t>
              </w:r>
              <w:r w:rsidR="00D712D1" w:rsidRPr="00312D6A">
                <w:rPr>
                  <w:color w:val="0000FF"/>
                  <w:spacing w:val="0"/>
                  <w:w w:val="100"/>
                  <w:kern w:val="0"/>
                </w:rPr>
                <w:t>/216</w:t>
              </w:r>
            </w:hyperlink>
          </w:p>
        </w:tc>
        <w:tc>
          <w:tcPr>
            <w:tcW w:w="4006" w:type="pct"/>
            <w:shd w:val="clear" w:color="auto" w:fill="auto"/>
          </w:tcPr>
          <w:p w14:paraId="617E3C6E"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Осуществление Повестки дня на XXI век, Программы действий по дальнейшему осуществлению Повестки дня на XXI век и решений Всемирной встречи на высшем уровне по устойчивому развитию и Конференции Организации Объединенных Наций по устойчивому развитию</w:t>
            </w:r>
          </w:p>
        </w:tc>
      </w:tr>
      <w:tr w:rsidR="00D712D1" w:rsidRPr="00FE4BFE" w14:paraId="652FC2E3" w14:textId="77777777" w:rsidTr="0023343F">
        <w:tc>
          <w:tcPr>
            <w:tcW w:w="994" w:type="pct"/>
            <w:shd w:val="clear" w:color="auto" w:fill="auto"/>
          </w:tcPr>
          <w:p w14:paraId="5233A322" w14:textId="07F19A83"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28" w:history="1">
              <w:r w:rsidR="00D712D1" w:rsidRPr="00312D6A">
                <w:rPr>
                  <w:rStyle w:val="af1"/>
                  <w:spacing w:val="0"/>
                  <w:w w:val="100"/>
                  <w:kern w:val="0"/>
                </w:rPr>
                <w:t>74/231</w:t>
              </w:r>
            </w:hyperlink>
            <w:r w:rsidR="00D712D1" w:rsidRPr="00312D6A">
              <w:rPr>
                <w:color w:val="000000" w:themeColor="text1"/>
                <w:spacing w:val="0"/>
                <w:w w:val="100"/>
                <w:kern w:val="0"/>
              </w:rPr>
              <w:t xml:space="preserve">, </w:t>
            </w:r>
            <w:hyperlink r:id="rId29" w:history="1">
              <w:r w:rsidR="00D712D1" w:rsidRPr="00312D6A">
                <w:rPr>
                  <w:rStyle w:val="af1"/>
                  <w:spacing w:val="0"/>
                  <w:w w:val="100"/>
                  <w:kern w:val="0"/>
                </w:rPr>
                <w:t>76/215</w:t>
              </w:r>
            </w:hyperlink>
          </w:p>
        </w:tc>
        <w:tc>
          <w:tcPr>
            <w:tcW w:w="4006" w:type="pct"/>
            <w:shd w:val="clear" w:color="auto" w:fill="auto"/>
          </w:tcPr>
          <w:p w14:paraId="22064272"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Сотрудничество в целях развития со странами со средним уровнем дохода</w:t>
            </w:r>
          </w:p>
        </w:tc>
      </w:tr>
      <w:tr w:rsidR="00D712D1" w:rsidRPr="00FE4BFE" w14:paraId="724A2A20" w14:textId="77777777" w:rsidTr="0023343F">
        <w:tc>
          <w:tcPr>
            <w:tcW w:w="994" w:type="pct"/>
            <w:shd w:val="clear" w:color="auto" w:fill="auto"/>
          </w:tcPr>
          <w:p w14:paraId="7454767F" w14:textId="40ADE14A"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30" w:history="1">
              <w:r w:rsidR="00D712D1" w:rsidRPr="00312D6A">
                <w:rPr>
                  <w:color w:val="0000FF"/>
                  <w:spacing w:val="0"/>
                  <w:w w:val="100"/>
                  <w:kern w:val="0"/>
                </w:rPr>
                <w:t>74/235</w:t>
              </w:r>
            </w:hyperlink>
          </w:p>
        </w:tc>
        <w:tc>
          <w:tcPr>
            <w:tcW w:w="4006" w:type="pct"/>
            <w:shd w:val="clear" w:color="auto" w:fill="auto"/>
          </w:tcPr>
          <w:p w14:paraId="6752E5E3"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rPr>
            </w:pPr>
            <w:r w:rsidRPr="00FE4BFE">
              <w:rPr>
                <w:spacing w:val="0"/>
                <w:w w:val="100"/>
                <w:kern w:val="0"/>
                <w:lang w:val="ru-RU"/>
              </w:rPr>
              <w:t>Женщины в процессе развития</w:t>
            </w:r>
          </w:p>
        </w:tc>
      </w:tr>
      <w:tr w:rsidR="00D712D1" w:rsidRPr="00FE4BFE" w14:paraId="4F96A0B7" w14:textId="77777777" w:rsidTr="0023343F">
        <w:tc>
          <w:tcPr>
            <w:tcW w:w="994" w:type="pct"/>
            <w:shd w:val="clear" w:color="auto" w:fill="auto"/>
          </w:tcPr>
          <w:p w14:paraId="223F06B6" w14:textId="0DDBE34A"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31" w:history="1">
              <w:r w:rsidR="00D712D1" w:rsidRPr="00312D6A">
                <w:rPr>
                  <w:color w:val="0000FF"/>
                  <w:spacing w:val="0"/>
                  <w:w w:val="100"/>
                  <w:kern w:val="0"/>
                </w:rPr>
                <w:t>7</w:t>
              </w:r>
              <w:r w:rsidR="004631E6">
                <w:rPr>
                  <w:color w:val="0000FF"/>
                  <w:spacing w:val="0"/>
                  <w:w w:val="100"/>
                  <w:kern w:val="0"/>
                </w:rPr>
                <w:t>4</w:t>
              </w:r>
              <w:r w:rsidR="00D712D1" w:rsidRPr="00312D6A">
                <w:rPr>
                  <w:color w:val="0000FF"/>
                  <w:spacing w:val="0"/>
                  <w:w w:val="100"/>
                  <w:kern w:val="0"/>
                </w:rPr>
                <w:t>/271</w:t>
              </w:r>
            </w:hyperlink>
          </w:p>
        </w:tc>
        <w:tc>
          <w:tcPr>
            <w:tcW w:w="4006" w:type="pct"/>
            <w:shd w:val="clear" w:color="auto" w:fill="auto"/>
          </w:tcPr>
          <w:p w14:paraId="66F13BF9"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Успехи на пути к системе подотчетности в Секретариате Организации Объединенных Наций</w:t>
            </w:r>
          </w:p>
        </w:tc>
      </w:tr>
      <w:tr w:rsidR="00D712D1" w:rsidRPr="00FE4BFE" w14:paraId="3C089E29" w14:textId="77777777" w:rsidTr="0023343F">
        <w:tc>
          <w:tcPr>
            <w:tcW w:w="994" w:type="pct"/>
            <w:shd w:val="clear" w:color="auto" w:fill="auto"/>
          </w:tcPr>
          <w:p w14:paraId="60A05D7A" w14:textId="19831792" w:rsidR="00D712D1" w:rsidRPr="00312D6A" w:rsidRDefault="001D7172" w:rsidP="00FE4BFE">
            <w:pPr>
              <w:pStyle w:val="DualTxt"/>
              <w:spacing w:before="40" w:line="240" w:lineRule="atLeast"/>
              <w:ind w:right="43"/>
              <w:jc w:val="left"/>
              <w:rPr>
                <w:rStyle w:val="af1"/>
                <w:rFonts w:asciiTheme="majorBidi" w:hAnsiTheme="majorBidi" w:cstheme="majorBidi"/>
                <w:color w:val="0000FF"/>
                <w:spacing w:val="0"/>
                <w:w w:val="100"/>
                <w:kern w:val="0"/>
                <w:sz w:val="17"/>
                <w:szCs w:val="17"/>
              </w:rPr>
            </w:pPr>
            <w:hyperlink r:id="rId32" w:history="1">
              <w:r w:rsidR="00D712D1" w:rsidRPr="00312D6A">
                <w:rPr>
                  <w:color w:val="0000FF"/>
                  <w:spacing w:val="0"/>
                  <w:w w:val="100"/>
                  <w:kern w:val="0"/>
                </w:rPr>
                <w:t>74/297</w:t>
              </w:r>
            </w:hyperlink>
          </w:p>
        </w:tc>
        <w:tc>
          <w:tcPr>
            <w:tcW w:w="4006" w:type="pct"/>
            <w:shd w:val="clear" w:color="auto" w:fill="auto"/>
          </w:tcPr>
          <w:p w14:paraId="032EF8BA" w14:textId="4D27FF18"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 xml:space="preserve">Ход осуществления резолюции </w:t>
            </w:r>
            <w:hyperlink r:id="rId33" w:history="1">
              <w:r w:rsidRPr="002843A4">
                <w:rPr>
                  <w:rStyle w:val="af1"/>
                  <w:spacing w:val="0"/>
                  <w:w w:val="100"/>
                  <w:kern w:val="0"/>
                  <w:lang w:val="ru-RU"/>
                </w:rPr>
                <w:t>71/243</w:t>
              </w:r>
            </w:hyperlink>
            <w:r w:rsidRPr="00FE4BFE">
              <w:rPr>
                <w:spacing w:val="0"/>
                <w:w w:val="100"/>
                <w:kern w:val="0"/>
                <w:lang w:val="ru-RU"/>
              </w:rPr>
              <w:t xml:space="preserve"> Генеральной Ассамблеи о четырехгодичном всеобъемлющем обзоре политики в области оперативной деятельности в целях развития системы Организации Объединенных Наций</w:t>
            </w:r>
          </w:p>
        </w:tc>
      </w:tr>
      <w:tr w:rsidR="00D712D1" w:rsidRPr="00FE4BFE" w14:paraId="1F0A8842" w14:textId="77777777" w:rsidTr="0023343F">
        <w:tc>
          <w:tcPr>
            <w:tcW w:w="994" w:type="pct"/>
            <w:shd w:val="clear" w:color="auto" w:fill="auto"/>
          </w:tcPr>
          <w:p w14:paraId="31A85347" w14:textId="2B194856" w:rsidR="00D712D1" w:rsidRPr="00312D6A" w:rsidRDefault="001D7172" w:rsidP="00FE4BFE">
            <w:pPr>
              <w:pStyle w:val="DualTxt"/>
              <w:spacing w:before="40" w:line="240" w:lineRule="atLeast"/>
              <w:ind w:right="43"/>
              <w:jc w:val="left"/>
              <w:rPr>
                <w:rStyle w:val="af1"/>
                <w:color w:val="0000FF"/>
                <w:spacing w:val="0"/>
                <w:w w:val="100"/>
                <w:kern w:val="0"/>
                <w:sz w:val="17"/>
              </w:rPr>
            </w:pPr>
            <w:hyperlink r:id="rId34" w:history="1">
              <w:r w:rsidR="00D712D1" w:rsidRPr="00312D6A">
                <w:rPr>
                  <w:color w:val="0000FF"/>
                  <w:spacing w:val="0"/>
                  <w:w w:val="100"/>
                  <w:kern w:val="0"/>
                </w:rPr>
                <w:t>74/306</w:t>
              </w:r>
            </w:hyperlink>
          </w:p>
        </w:tc>
        <w:tc>
          <w:tcPr>
            <w:tcW w:w="4006" w:type="pct"/>
            <w:shd w:val="clear" w:color="auto" w:fill="auto"/>
          </w:tcPr>
          <w:p w14:paraId="218FA71B" w14:textId="77777777" w:rsidR="00D712D1" w:rsidRPr="00FE4BFE" w:rsidRDefault="00D712D1" w:rsidP="00FE4BFE">
            <w:pPr>
              <w:pStyle w:val="DualTxt"/>
              <w:spacing w:before="40" w:line="240" w:lineRule="atLeast"/>
              <w:ind w:right="14"/>
              <w:jc w:val="left"/>
              <w:rPr>
                <w:rFonts w:asciiTheme="majorBidi" w:hAnsiTheme="majorBidi" w:cstheme="majorBidi"/>
                <w:spacing w:val="0"/>
                <w:w w:val="100"/>
                <w:kern w:val="0"/>
                <w:sz w:val="17"/>
                <w:szCs w:val="17"/>
                <w:lang w:val="ru-RU"/>
              </w:rPr>
            </w:pPr>
            <w:r w:rsidRPr="00FE4BFE">
              <w:rPr>
                <w:spacing w:val="0"/>
                <w:w w:val="100"/>
                <w:kern w:val="0"/>
                <w:lang w:val="ru-RU"/>
              </w:rPr>
              <w:t>Всеобъемлющие и скоординированные меры реагирования на пандемию коронавирусного заболевания (COVID-19)</w:t>
            </w:r>
          </w:p>
        </w:tc>
      </w:tr>
      <w:tr w:rsidR="00D712D1" w:rsidRPr="00FE4BFE" w14:paraId="41D2A835" w14:textId="77777777" w:rsidTr="0023343F">
        <w:tc>
          <w:tcPr>
            <w:tcW w:w="994" w:type="pct"/>
            <w:shd w:val="clear" w:color="auto" w:fill="auto"/>
          </w:tcPr>
          <w:p w14:paraId="721A1075" w14:textId="182250A6" w:rsidR="00D712D1" w:rsidRPr="00312D6A" w:rsidRDefault="001D7172" w:rsidP="00FE4BFE">
            <w:pPr>
              <w:pStyle w:val="DualTxt"/>
              <w:spacing w:before="40" w:line="240" w:lineRule="atLeast"/>
              <w:ind w:right="43"/>
              <w:jc w:val="left"/>
              <w:rPr>
                <w:rStyle w:val="af1"/>
                <w:rFonts w:asciiTheme="majorBidi" w:hAnsiTheme="majorBidi"/>
                <w:color w:val="0000FF"/>
                <w:spacing w:val="0"/>
                <w:w w:val="100"/>
                <w:kern w:val="0"/>
                <w:sz w:val="17"/>
              </w:rPr>
            </w:pPr>
            <w:hyperlink r:id="rId35" w:history="1">
              <w:r w:rsidR="00D712D1" w:rsidRPr="00312D6A">
                <w:rPr>
                  <w:color w:val="0000FF"/>
                  <w:spacing w:val="0"/>
                  <w:w w:val="100"/>
                  <w:kern w:val="0"/>
                </w:rPr>
                <w:t>75/8</w:t>
              </w:r>
            </w:hyperlink>
          </w:p>
        </w:tc>
        <w:tc>
          <w:tcPr>
            <w:tcW w:w="4006" w:type="pct"/>
            <w:shd w:val="clear" w:color="auto" w:fill="auto"/>
          </w:tcPr>
          <w:p w14:paraId="6CF65974" w14:textId="77777777" w:rsidR="00D712D1" w:rsidRPr="00FE4BFE" w:rsidRDefault="00D712D1" w:rsidP="00FE4BFE">
            <w:pPr>
              <w:pStyle w:val="DualTxt"/>
              <w:spacing w:before="40" w:line="240" w:lineRule="atLeast"/>
              <w:ind w:right="43"/>
              <w:jc w:val="left"/>
              <w:rPr>
                <w:rFonts w:asciiTheme="majorBidi" w:hAnsiTheme="majorBidi"/>
                <w:spacing w:val="0"/>
                <w:w w:val="100"/>
                <w:kern w:val="0"/>
                <w:sz w:val="17"/>
                <w:lang w:val="ru-RU"/>
              </w:rPr>
            </w:pPr>
            <w:r w:rsidRPr="00FE4BFE">
              <w:rPr>
                <w:spacing w:val="0"/>
                <w:w w:val="100"/>
                <w:kern w:val="0"/>
                <w:lang w:val="ru-RU"/>
              </w:rPr>
              <w:t>Сотрудничество между Организацией Объединенных Наций и Организацией за демократию и экономическое развитие — ГУАМ</w:t>
            </w:r>
          </w:p>
        </w:tc>
      </w:tr>
      <w:tr w:rsidR="00D712D1" w:rsidRPr="00FE4BFE" w14:paraId="501EB140" w14:textId="77777777" w:rsidTr="0023343F">
        <w:tc>
          <w:tcPr>
            <w:tcW w:w="994" w:type="pct"/>
            <w:shd w:val="clear" w:color="auto" w:fill="auto"/>
          </w:tcPr>
          <w:p w14:paraId="498BD6D7" w14:textId="5615DBC4" w:rsidR="00D712D1" w:rsidRPr="00312D6A" w:rsidRDefault="001D7172" w:rsidP="00FE4BFE">
            <w:pPr>
              <w:pStyle w:val="DualTxt"/>
              <w:spacing w:before="40" w:line="240" w:lineRule="atLeast"/>
              <w:ind w:right="43"/>
              <w:jc w:val="left"/>
              <w:rPr>
                <w:color w:val="0000FF"/>
                <w:spacing w:val="0"/>
                <w:w w:val="100"/>
                <w:kern w:val="0"/>
                <w:sz w:val="17"/>
              </w:rPr>
            </w:pPr>
            <w:hyperlink r:id="rId36" w:history="1">
              <w:r w:rsidR="00D712D1" w:rsidRPr="00312D6A">
                <w:rPr>
                  <w:color w:val="0000FF"/>
                  <w:spacing w:val="0"/>
                  <w:w w:val="100"/>
                  <w:kern w:val="0"/>
                </w:rPr>
                <w:t>75/9</w:t>
              </w:r>
            </w:hyperlink>
          </w:p>
        </w:tc>
        <w:tc>
          <w:tcPr>
            <w:tcW w:w="4006" w:type="pct"/>
            <w:shd w:val="clear" w:color="auto" w:fill="auto"/>
          </w:tcPr>
          <w:p w14:paraId="14BDCAED" w14:textId="77777777" w:rsidR="00D712D1" w:rsidRPr="00FE4BFE" w:rsidRDefault="00D712D1" w:rsidP="00FE4BFE">
            <w:pPr>
              <w:pStyle w:val="DualTxt"/>
              <w:spacing w:before="40" w:line="240" w:lineRule="atLeast"/>
              <w:ind w:right="43"/>
              <w:jc w:val="left"/>
              <w:rPr>
                <w:rFonts w:asciiTheme="majorBidi" w:hAnsiTheme="majorBidi" w:cstheme="majorBidi"/>
                <w:spacing w:val="0"/>
                <w:w w:val="100"/>
                <w:kern w:val="0"/>
                <w:sz w:val="17"/>
                <w:szCs w:val="17"/>
                <w:lang w:val="ru-RU"/>
              </w:rPr>
            </w:pPr>
            <w:r w:rsidRPr="00FE4BFE">
              <w:rPr>
                <w:spacing w:val="0"/>
                <w:w w:val="100"/>
                <w:kern w:val="0"/>
                <w:lang w:val="ru-RU"/>
              </w:rPr>
              <w:t>Сотрудничество между Организацией Объединенных Наций и Содружеством Независимых Государств</w:t>
            </w:r>
          </w:p>
        </w:tc>
      </w:tr>
      <w:tr w:rsidR="00D712D1" w:rsidRPr="00FE4BFE" w14:paraId="591D138B" w14:textId="77777777" w:rsidTr="0023343F">
        <w:tc>
          <w:tcPr>
            <w:tcW w:w="994" w:type="pct"/>
            <w:shd w:val="clear" w:color="auto" w:fill="auto"/>
          </w:tcPr>
          <w:p w14:paraId="4482C535" w14:textId="14086050" w:rsidR="00D712D1" w:rsidRPr="00312D6A" w:rsidRDefault="001D7172" w:rsidP="00FE4BFE">
            <w:pPr>
              <w:pStyle w:val="DualTxt"/>
              <w:spacing w:before="40" w:line="240" w:lineRule="atLeast"/>
              <w:ind w:right="43"/>
              <w:jc w:val="left"/>
              <w:rPr>
                <w:rStyle w:val="af1"/>
                <w:rFonts w:asciiTheme="majorBidi" w:hAnsiTheme="majorBidi"/>
                <w:strike/>
                <w:color w:val="0000FF"/>
                <w:spacing w:val="0"/>
                <w:w w:val="100"/>
                <w:kern w:val="0"/>
                <w:sz w:val="17"/>
              </w:rPr>
            </w:pPr>
            <w:hyperlink r:id="rId37" w:history="1">
              <w:r w:rsidR="00D712D1" w:rsidRPr="00312D6A">
                <w:rPr>
                  <w:color w:val="0000FF"/>
                  <w:spacing w:val="0"/>
                  <w:w w:val="100"/>
                  <w:kern w:val="0"/>
                </w:rPr>
                <w:t>75/12</w:t>
              </w:r>
            </w:hyperlink>
          </w:p>
        </w:tc>
        <w:tc>
          <w:tcPr>
            <w:tcW w:w="4006" w:type="pct"/>
            <w:shd w:val="clear" w:color="auto" w:fill="auto"/>
          </w:tcPr>
          <w:p w14:paraId="67D45DBD" w14:textId="77777777" w:rsidR="00D712D1" w:rsidRPr="00FE4BFE" w:rsidRDefault="00D712D1" w:rsidP="00FE4BFE">
            <w:pPr>
              <w:pStyle w:val="DualTxt"/>
              <w:spacing w:before="40" w:line="240" w:lineRule="atLeast"/>
              <w:ind w:right="43"/>
              <w:jc w:val="left"/>
              <w:rPr>
                <w:rFonts w:asciiTheme="majorBidi" w:hAnsiTheme="majorBidi"/>
                <w:strike/>
                <w:spacing w:val="0"/>
                <w:w w:val="100"/>
                <w:kern w:val="0"/>
                <w:sz w:val="17"/>
                <w:lang w:val="ru-RU"/>
              </w:rPr>
            </w:pPr>
            <w:r w:rsidRPr="00FE4BFE">
              <w:rPr>
                <w:spacing w:val="0"/>
                <w:w w:val="100"/>
                <w:kern w:val="0"/>
                <w:lang w:val="ru-RU"/>
              </w:rPr>
              <w:t>Сотрудничество между Организацией Объединенных Наций и Организацией Черноморского экономического сотрудничества</w:t>
            </w:r>
          </w:p>
        </w:tc>
      </w:tr>
      <w:tr w:rsidR="00D712D1" w:rsidRPr="00FE4BFE" w14:paraId="3693A869" w14:textId="77777777" w:rsidTr="0023343F">
        <w:tc>
          <w:tcPr>
            <w:tcW w:w="994" w:type="pct"/>
            <w:shd w:val="clear" w:color="auto" w:fill="auto"/>
          </w:tcPr>
          <w:p w14:paraId="4B83AD50" w14:textId="0D2722B0" w:rsidR="00D712D1" w:rsidRPr="00312D6A" w:rsidRDefault="001D7172" w:rsidP="00FE4BFE">
            <w:pPr>
              <w:pStyle w:val="DualTxt"/>
              <w:spacing w:before="40" w:line="240" w:lineRule="atLeast"/>
              <w:ind w:right="43"/>
              <w:jc w:val="left"/>
              <w:rPr>
                <w:rStyle w:val="af1"/>
                <w:rFonts w:asciiTheme="majorBidi" w:hAnsiTheme="majorBidi"/>
                <w:color w:val="0000FF"/>
                <w:spacing w:val="0"/>
                <w:w w:val="100"/>
                <w:kern w:val="0"/>
                <w:sz w:val="17"/>
              </w:rPr>
            </w:pPr>
            <w:hyperlink r:id="rId38" w:history="1">
              <w:r w:rsidR="00D712D1" w:rsidRPr="00312D6A">
                <w:rPr>
                  <w:rStyle w:val="af1"/>
                  <w:spacing w:val="0"/>
                  <w:w w:val="100"/>
                  <w:kern w:val="0"/>
                </w:rPr>
                <w:t>75/216</w:t>
              </w:r>
            </w:hyperlink>
            <w:r w:rsidR="00D712D1" w:rsidRPr="00312D6A">
              <w:rPr>
                <w:color w:val="000000" w:themeColor="text1"/>
                <w:spacing w:val="0"/>
                <w:w w:val="100"/>
                <w:kern w:val="0"/>
              </w:rPr>
              <w:t xml:space="preserve">; </w:t>
            </w:r>
            <w:hyperlink r:id="rId39" w:history="1">
              <w:r w:rsidR="00D712D1" w:rsidRPr="00312D6A">
                <w:rPr>
                  <w:rStyle w:val="af1"/>
                  <w:spacing w:val="0"/>
                  <w:w w:val="100"/>
                  <w:kern w:val="0"/>
                </w:rPr>
                <w:t>76/204</w:t>
              </w:r>
            </w:hyperlink>
          </w:p>
        </w:tc>
        <w:tc>
          <w:tcPr>
            <w:tcW w:w="4006" w:type="pct"/>
            <w:shd w:val="clear" w:color="auto" w:fill="auto"/>
          </w:tcPr>
          <w:p w14:paraId="159CAC88" w14:textId="77777777" w:rsidR="00D712D1" w:rsidRPr="00FE4BFE" w:rsidRDefault="00D712D1" w:rsidP="00FE4BFE">
            <w:pPr>
              <w:pStyle w:val="DualTxt"/>
              <w:spacing w:before="40" w:line="240" w:lineRule="atLeast"/>
              <w:ind w:right="43"/>
              <w:jc w:val="left"/>
              <w:rPr>
                <w:rFonts w:asciiTheme="majorBidi" w:hAnsiTheme="majorBidi"/>
                <w:spacing w:val="0"/>
                <w:w w:val="100"/>
                <w:kern w:val="0"/>
                <w:sz w:val="17"/>
              </w:rPr>
            </w:pPr>
            <w:r w:rsidRPr="00FE4BFE">
              <w:rPr>
                <w:spacing w:val="0"/>
                <w:w w:val="100"/>
                <w:kern w:val="0"/>
                <w:lang w:val="ru-RU"/>
              </w:rPr>
              <w:t>Снижение риска бедствий</w:t>
            </w:r>
          </w:p>
        </w:tc>
      </w:tr>
      <w:tr w:rsidR="00D712D1" w:rsidRPr="00FE4BFE" w14:paraId="3E1FFFAF" w14:textId="77777777" w:rsidTr="0023343F">
        <w:tc>
          <w:tcPr>
            <w:tcW w:w="994" w:type="pct"/>
            <w:shd w:val="clear" w:color="auto" w:fill="auto"/>
          </w:tcPr>
          <w:p w14:paraId="59B0972A" w14:textId="044118BC" w:rsidR="00D712D1" w:rsidRPr="00312D6A" w:rsidRDefault="001D7172" w:rsidP="00FE4BFE">
            <w:pPr>
              <w:pStyle w:val="DualTxt"/>
              <w:spacing w:before="40" w:line="240" w:lineRule="atLeast"/>
              <w:ind w:right="43"/>
              <w:jc w:val="left"/>
              <w:rPr>
                <w:color w:val="0000FF"/>
                <w:spacing w:val="0"/>
                <w:w w:val="100"/>
                <w:kern w:val="0"/>
                <w:sz w:val="17"/>
              </w:rPr>
            </w:pPr>
            <w:hyperlink r:id="rId40" w:history="1">
              <w:r w:rsidR="00D712D1" w:rsidRPr="00312D6A">
                <w:rPr>
                  <w:color w:val="0000FF"/>
                  <w:spacing w:val="0"/>
                  <w:w w:val="100"/>
                  <w:kern w:val="0"/>
                </w:rPr>
                <w:t>7</w:t>
              </w:r>
              <w:r w:rsidR="00BB3915">
                <w:rPr>
                  <w:color w:val="0000FF"/>
                  <w:spacing w:val="0"/>
                  <w:w w:val="100"/>
                  <w:kern w:val="0"/>
                </w:rPr>
                <w:t>5</w:t>
              </w:r>
              <w:r w:rsidR="00D712D1" w:rsidRPr="00312D6A">
                <w:rPr>
                  <w:color w:val="0000FF"/>
                  <w:spacing w:val="0"/>
                  <w:w w:val="100"/>
                  <w:kern w:val="0"/>
                </w:rPr>
                <w:t>/221</w:t>
              </w:r>
            </w:hyperlink>
          </w:p>
        </w:tc>
        <w:tc>
          <w:tcPr>
            <w:tcW w:w="4006" w:type="pct"/>
            <w:shd w:val="clear" w:color="auto" w:fill="auto"/>
          </w:tcPr>
          <w:p w14:paraId="66A409FC" w14:textId="77777777"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Обеспечение доступа к недорогим, надежным, устойчивым и современным источникам энергии для всех</w:t>
            </w:r>
          </w:p>
        </w:tc>
      </w:tr>
      <w:tr w:rsidR="00D712D1" w:rsidRPr="00FE4BFE" w14:paraId="3AD17ED1" w14:textId="77777777" w:rsidTr="0023343F">
        <w:tc>
          <w:tcPr>
            <w:tcW w:w="994" w:type="pct"/>
            <w:shd w:val="clear" w:color="auto" w:fill="auto"/>
          </w:tcPr>
          <w:p w14:paraId="6CA0AF11" w14:textId="59D442E0" w:rsidR="00D712D1" w:rsidRPr="00312D6A" w:rsidRDefault="001D7172" w:rsidP="00FE4BFE">
            <w:pPr>
              <w:pStyle w:val="DualTxt"/>
              <w:spacing w:before="40" w:line="240" w:lineRule="atLeast"/>
              <w:ind w:right="43"/>
              <w:jc w:val="left"/>
              <w:rPr>
                <w:color w:val="0000FF"/>
                <w:spacing w:val="0"/>
                <w:w w:val="100"/>
                <w:kern w:val="0"/>
                <w:sz w:val="17"/>
              </w:rPr>
            </w:pPr>
            <w:hyperlink r:id="rId41" w:history="1">
              <w:r w:rsidR="00D712D1" w:rsidRPr="00312D6A">
                <w:rPr>
                  <w:color w:val="0000FF"/>
                  <w:spacing w:val="0"/>
                  <w:w w:val="100"/>
                  <w:kern w:val="0"/>
                </w:rPr>
                <w:t>7</w:t>
              </w:r>
              <w:r w:rsidR="00BB3915">
                <w:rPr>
                  <w:color w:val="0000FF"/>
                  <w:spacing w:val="0"/>
                  <w:w w:val="100"/>
                  <w:kern w:val="0"/>
                </w:rPr>
                <w:t>5</w:t>
              </w:r>
              <w:r w:rsidR="00D712D1" w:rsidRPr="00312D6A">
                <w:rPr>
                  <w:color w:val="0000FF"/>
                  <w:spacing w:val="0"/>
                  <w:w w:val="100"/>
                  <w:kern w:val="0"/>
                </w:rPr>
                <w:t>/233</w:t>
              </w:r>
            </w:hyperlink>
          </w:p>
        </w:tc>
        <w:tc>
          <w:tcPr>
            <w:tcW w:w="4006" w:type="pct"/>
            <w:shd w:val="clear" w:color="auto" w:fill="auto"/>
          </w:tcPr>
          <w:p w14:paraId="6B691EDA" w14:textId="77777777"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Четырехгодичный всеобъемлющий обзор политики в области оперативной деятельности в целях развития, осуществляемой системой Организации Объединенных Наций</w:t>
            </w:r>
          </w:p>
        </w:tc>
      </w:tr>
      <w:tr w:rsidR="00D712D1" w:rsidRPr="00FE4BFE" w14:paraId="550A7F01" w14:textId="77777777" w:rsidTr="0023343F">
        <w:tc>
          <w:tcPr>
            <w:tcW w:w="994" w:type="pct"/>
            <w:shd w:val="clear" w:color="auto" w:fill="auto"/>
          </w:tcPr>
          <w:p w14:paraId="11FAE7E1" w14:textId="3471A758" w:rsidR="00D712D1" w:rsidRPr="00312D6A" w:rsidRDefault="001D7172" w:rsidP="00FE4BFE">
            <w:pPr>
              <w:pStyle w:val="DualTxt"/>
              <w:spacing w:before="40" w:line="240" w:lineRule="atLeast"/>
              <w:ind w:right="43"/>
              <w:jc w:val="left"/>
              <w:rPr>
                <w:color w:val="0000FF"/>
                <w:spacing w:val="0"/>
                <w:w w:val="100"/>
                <w:kern w:val="0"/>
                <w:sz w:val="17"/>
              </w:rPr>
            </w:pPr>
            <w:hyperlink r:id="rId42" w:history="1">
              <w:r w:rsidR="00D712D1" w:rsidRPr="00312D6A">
                <w:rPr>
                  <w:color w:val="0000FF"/>
                  <w:spacing w:val="0"/>
                  <w:w w:val="100"/>
                  <w:kern w:val="0"/>
                </w:rPr>
                <w:t>75/290 B</w:t>
              </w:r>
            </w:hyperlink>
          </w:p>
        </w:tc>
        <w:tc>
          <w:tcPr>
            <w:tcW w:w="4006" w:type="pct"/>
            <w:shd w:val="clear" w:color="auto" w:fill="auto"/>
          </w:tcPr>
          <w:p w14:paraId="619E4EF2" w14:textId="383F96F5"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 xml:space="preserve">Обзор осуществления резолюции </w:t>
            </w:r>
            <w:hyperlink r:id="rId43" w:history="1">
              <w:r w:rsidRPr="002843A4">
                <w:rPr>
                  <w:rStyle w:val="af1"/>
                  <w:spacing w:val="0"/>
                  <w:w w:val="100"/>
                  <w:kern w:val="0"/>
                  <w:lang w:val="ru-RU"/>
                </w:rPr>
                <w:t>72/305</w:t>
              </w:r>
            </w:hyperlink>
            <w:r w:rsidRPr="00FE4BFE">
              <w:rPr>
                <w:spacing w:val="0"/>
                <w:w w:val="100"/>
                <w:kern w:val="0"/>
                <w:lang w:val="ru-RU"/>
              </w:rPr>
              <w:t xml:space="preserve"> Генеральной Ассамблеи об укреплении Экономического и Социального Совета</w:t>
            </w:r>
          </w:p>
          <w:p w14:paraId="11477A33" w14:textId="065D089A"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 xml:space="preserve">Обзор хода осуществления резолюции </w:t>
            </w:r>
            <w:hyperlink r:id="rId44" w:history="1">
              <w:r w:rsidRPr="002843A4">
                <w:rPr>
                  <w:rStyle w:val="af1"/>
                  <w:spacing w:val="0"/>
                  <w:w w:val="100"/>
                  <w:kern w:val="0"/>
                  <w:lang w:val="ru-RU"/>
                </w:rPr>
                <w:t>67/290</w:t>
              </w:r>
            </w:hyperlink>
            <w:r w:rsidRPr="00FE4BFE">
              <w:rPr>
                <w:spacing w:val="0"/>
                <w:w w:val="100"/>
                <w:kern w:val="0"/>
                <w:lang w:val="ru-RU"/>
              </w:rPr>
              <w:t xml:space="preserve"> Генеральной Ассамблеи о формате и организационных аспектах политического форума высокого уровня по устойчивому развитию и ее резолюции </w:t>
            </w:r>
            <w:hyperlink r:id="rId45" w:history="1">
              <w:r w:rsidRPr="002843A4">
                <w:rPr>
                  <w:rStyle w:val="af1"/>
                  <w:spacing w:val="0"/>
                  <w:w w:val="100"/>
                  <w:kern w:val="0"/>
                  <w:lang w:val="ru-RU"/>
                </w:rPr>
                <w:t>70/299</w:t>
              </w:r>
            </w:hyperlink>
            <w:r w:rsidRPr="00FE4BFE">
              <w:rPr>
                <w:spacing w:val="0"/>
                <w:w w:val="100"/>
                <w:kern w:val="0"/>
                <w:lang w:val="ru-RU"/>
              </w:rPr>
              <w:t xml:space="preserve"> об осуществлении последующей деятельности в связи с Повесткой дня в области устойчивого развития на период до 2030 года и проведении обзора хода ее реализации на глобальном уровне</w:t>
            </w:r>
          </w:p>
          <w:p w14:paraId="7E27B9A9" w14:textId="77777777"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Политический форум высокого уровня по устойчивому развитию</w:t>
            </w:r>
          </w:p>
        </w:tc>
      </w:tr>
      <w:tr w:rsidR="00D712D1" w:rsidRPr="00FE4BFE" w14:paraId="4452BE86" w14:textId="77777777" w:rsidTr="0023343F">
        <w:tc>
          <w:tcPr>
            <w:tcW w:w="994" w:type="pct"/>
            <w:shd w:val="clear" w:color="auto" w:fill="auto"/>
          </w:tcPr>
          <w:p w14:paraId="0EB737E3" w14:textId="12C76630" w:rsidR="00D712D1" w:rsidRPr="00312D6A" w:rsidRDefault="001D7172" w:rsidP="00FE4BFE">
            <w:pPr>
              <w:pStyle w:val="DualTxt"/>
              <w:spacing w:before="40" w:line="240" w:lineRule="atLeast"/>
              <w:ind w:right="43"/>
              <w:jc w:val="left"/>
              <w:rPr>
                <w:color w:val="0000FF"/>
                <w:spacing w:val="0"/>
                <w:w w:val="100"/>
                <w:kern w:val="0"/>
                <w:sz w:val="17"/>
              </w:rPr>
            </w:pPr>
            <w:hyperlink r:id="rId46" w:history="1">
              <w:r w:rsidR="00D712D1" w:rsidRPr="00312D6A">
                <w:rPr>
                  <w:color w:val="0000FF"/>
                  <w:spacing w:val="0"/>
                  <w:w w:val="100"/>
                  <w:kern w:val="0"/>
                </w:rPr>
                <w:t>75/324</w:t>
              </w:r>
            </w:hyperlink>
          </w:p>
        </w:tc>
        <w:tc>
          <w:tcPr>
            <w:tcW w:w="4006" w:type="pct"/>
            <w:shd w:val="clear" w:color="auto" w:fill="auto"/>
          </w:tcPr>
          <w:p w14:paraId="25E7AFDF" w14:textId="77777777" w:rsidR="00D712D1" w:rsidRPr="00FE4BFE" w:rsidRDefault="00D712D1" w:rsidP="00FE4BFE">
            <w:pPr>
              <w:pStyle w:val="DualTxt"/>
              <w:spacing w:before="40" w:line="240" w:lineRule="atLeast"/>
              <w:ind w:right="43"/>
              <w:jc w:val="left"/>
              <w:rPr>
                <w:spacing w:val="0"/>
                <w:w w:val="100"/>
                <w:kern w:val="0"/>
                <w:sz w:val="17"/>
                <w:szCs w:val="17"/>
                <w:lang w:val="ru-RU"/>
              </w:rPr>
            </w:pPr>
            <w:r w:rsidRPr="00FE4BFE">
              <w:rPr>
                <w:spacing w:val="0"/>
                <w:w w:val="100"/>
                <w:kern w:val="0"/>
                <w:lang w:val="ru-RU"/>
              </w:rPr>
              <w:t>Сотрудничество между Организацией Объединенных Наций и Организацией экономического сотрудничества</w:t>
            </w:r>
          </w:p>
        </w:tc>
      </w:tr>
      <w:tr w:rsidR="00D712D1" w:rsidRPr="00FE4BFE" w14:paraId="2A59DE53" w14:textId="77777777" w:rsidTr="0023343F">
        <w:tc>
          <w:tcPr>
            <w:tcW w:w="994" w:type="pct"/>
            <w:shd w:val="clear" w:color="auto" w:fill="auto"/>
          </w:tcPr>
          <w:p w14:paraId="35640395" w14:textId="7DD235BA" w:rsidR="00D712D1" w:rsidRPr="00312D6A" w:rsidRDefault="001D7172" w:rsidP="00FE4BFE">
            <w:pPr>
              <w:pStyle w:val="DualTxt"/>
              <w:spacing w:before="40" w:line="240" w:lineRule="atLeast"/>
              <w:ind w:right="43"/>
              <w:jc w:val="left"/>
              <w:rPr>
                <w:color w:val="0000FF"/>
                <w:spacing w:val="0"/>
                <w:w w:val="100"/>
                <w:kern w:val="0"/>
                <w:sz w:val="17"/>
                <w:szCs w:val="17"/>
              </w:rPr>
            </w:pPr>
            <w:hyperlink r:id="rId47" w:history="1">
              <w:r w:rsidR="00D712D1" w:rsidRPr="00312D6A">
                <w:rPr>
                  <w:color w:val="0000FF"/>
                  <w:spacing w:val="0"/>
                  <w:w w:val="100"/>
                  <w:kern w:val="0"/>
                </w:rPr>
                <w:t>7</w:t>
              </w:r>
              <w:r w:rsidR="00EC2E13">
                <w:rPr>
                  <w:color w:val="0000FF"/>
                  <w:spacing w:val="0"/>
                  <w:w w:val="100"/>
                  <w:kern w:val="0"/>
                </w:rPr>
                <w:t>6</w:t>
              </w:r>
              <w:r w:rsidR="00D712D1" w:rsidRPr="00312D6A">
                <w:rPr>
                  <w:color w:val="0000FF"/>
                  <w:spacing w:val="0"/>
                  <w:w w:val="100"/>
                  <w:kern w:val="0"/>
                </w:rPr>
                <w:t>/221</w:t>
              </w:r>
            </w:hyperlink>
          </w:p>
        </w:tc>
        <w:tc>
          <w:tcPr>
            <w:tcW w:w="4006" w:type="pct"/>
            <w:shd w:val="clear" w:color="auto" w:fill="auto"/>
          </w:tcPr>
          <w:p w14:paraId="58EA29FE" w14:textId="77777777" w:rsidR="00D712D1" w:rsidRPr="00FE4BFE" w:rsidRDefault="00D712D1" w:rsidP="00FE4BFE">
            <w:pPr>
              <w:pStyle w:val="DualTxt"/>
              <w:spacing w:before="40" w:line="240" w:lineRule="atLeast"/>
              <w:ind w:right="43"/>
              <w:jc w:val="left"/>
              <w:rPr>
                <w:spacing w:val="0"/>
                <w:w w:val="100"/>
                <w:kern w:val="0"/>
                <w:sz w:val="17"/>
                <w:szCs w:val="17"/>
              </w:rPr>
            </w:pPr>
            <w:r w:rsidRPr="00FE4BFE">
              <w:rPr>
                <w:spacing w:val="0"/>
                <w:w w:val="100"/>
                <w:kern w:val="0"/>
                <w:lang w:val="ru-RU"/>
              </w:rPr>
              <w:t>Сотрудничество Юг — Юг</w:t>
            </w:r>
          </w:p>
        </w:tc>
      </w:tr>
    </w:tbl>
    <w:bookmarkEnd w:id="1"/>
    <w:p w14:paraId="2A2FF896" w14:textId="22559A89" w:rsidR="00D712D1" w:rsidRDefault="00D712D1" w:rsidP="00FE4BFE">
      <w:pPr>
        <w:pStyle w:val="H23G"/>
      </w:pPr>
      <w:r w:rsidRPr="00D712D1">
        <w:tab/>
        <w:t>2.</w:t>
      </w:r>
      <w:r w:rsidRPr="00D712D1">
        <w:tab/>
        <w:t>Резолюции Экономического и Социального Совета</w:t>
      </w:r>
    </w:p>
    <w:tbl>
      <w:tblPr>
        <w:tblStyle w:val="ac"/>
        <w:tblW w:w="441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6814"/>
      </w:tblGrid>
      <w:tr w:rsidR="00D712D1" w:rsidRPr="0037304E" w14:paraId="31477962" w14:textId="77777777" w:rsidTr="0023343F">
        <w:tc>
          <w:tcPr>
            <w:tcW w:w="994" w:type="pct"/>
          </w:tcPr>
          <w:p w14:paraId="5B002B35" w14:textId="77777777" w:rsidR="00D712D1" w:rsidRPr="00312D6A" w:rsidRDefault="00D712D1" w:rsidP="0037304E">
            <w:pPr>
              <w:pStyle w:val="DualTxt"/>
              <w:spacing w:before="40" w:line="240" w:lineRule="atLeast"/>
              <w:ind w:left="113" w:hanging="113"/>
              <w:jc w:val="left"/>
              <w:rPr>
                <w:rStyle w:val="af1"/>
                <w:color w:val="0000FF"/>
                <w:spacing w:val="0"/>
                <w:w w:val="100"/>
                <w:kern w:val="0"/>
                <w:szCs w:val="17"/>
              </w:rPr>
            </w:pPr>
            <w:r w:rsidRPr="00312D6A">
              <w:rPr>
                <w:color w:val="0000FF"/>
                <w:spacing w:val="0"/>
                <w:w w:val="100"/>
                <w:kern w:val="0"/>
                <w:lang w:val="ru-RU"/>
              </w:rPr>
              <w:t>1998/46</w:t>
            </w:r>
          </w:p>
        </w:tc>
        <w:tc>
          <w:tcPr>
            <w:tcW w:w="4006" w:type="pct"/>
          </w:tcPr>
          <w:p w14:paraId="3086751C"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Дальнейшие меры по перестройке и активизации деятельности Организации Объединенных Наций в экономической, социальной и смежных областях</w:t>
            </w:r>
          </w:p>
        </w:tc>
      </w:tr>
      <w:tr w:rsidR="00D712D1" w:rsidRPr="0037304E" w14:paraId="301C3F89" w14:textId="77777777" w:rsidTr="0023343F">
        <w:tc>
          <w:tcPr>
            <w:tcW w:w="994" w:type="pct"/>
          </w:tcPr>
          <w:p w14:paraId="1E085FA6" w14:textId="77777777" w:rsidR="00D712D1" w:rsidRPr="00312D6A" w:rsidRDefault="001D7172" w:rsidP="0037304E">
            <w:pPr>
              <w:pStyle w:val="DualTxt"/>
              <w:spacing w:before="40" w:line="240" w:lineRule="atLeast"/>
              <w:ind w:left="113" w:hanging="113"/>
              <w:jc w:val="left"/>
              <w:rPr>
                <w:rStyle w:val="af1"/>
                <w:color w:val="0000FF"/>
                <w:spacing w:val="0"/>
                <w:w w:val="100"/>
                <w:kern w:val="0"/>
                <w:szCs w:val="17"/>
              </w:rPr>
            </w:pPr>
            <w:hyperlink r:id="rId48" w:history="1">
              <w:r w:rsidR="00D712D1" w:rsidRPr="00312D6A">
                <w:rPr>
                  <w:color w:val="0000FF"/>
                  <w:spacing w:val="0"/>
                  <w:w w:val="100"/>
                  <w:kern w:val="0"/>
                </w:rPr>
                <w:t>2006/38</w:t>
              </w:r>
            </w:hyperlink>
          </w:p>
        </w:tc>
        <w:tc>
          <w:tcPr>
            <w:tcW w:w="4006" w:type="pct"/>
          </w:tcPr>
          <w:p w14:paraId="424A1BE0"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План работы по реформе Европейской экономической комиссии и пересмотренный круг ведения Комиссии</w:t>
            </w:r>
          </w:p>
        </w:tc>
      </w:tr>
      <w:tr w:rsidR="00D712D1" w:rsidRPr="0037304E" w14:paraId="4DB49512" w14:textId="77777777" w:rsidTr="0023343F">
        <w:tc>
          <w:tcPr>
            <w:tcW w:w="994" w:type="pct"/>
          </w:tcPr>
          <w:p w14:paraId="46BE3878"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49" w:history="1">
              <w:r w:rsidR="00D712D1" w:rsidRPr="00312D6A">
                <w:rPr>
                  <w:color w:val="0000FF"/>
                  <w:spacing w:val="0"/>
                  <w:w w:val="100"/>
                  <w:kern w:val="0"/>
                </w:rPr>
                <w:t>2013/1</w:t>
              </w:r>
            </w:hyperlink>
          </w:p>
        </w:tc>
        <w:tc>
          <w:tcPr>
            <w:tcW w:w="4006" w:type="pct"/>
          </w:tcPr>
          <w:p w14:paraId="0A893B4C"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Итоги обзора Реформы Европейской экономической комиссии 2005 года</w:t>
            </w:r>
          </w:p>
        </w:tc>
      </w:tr>
    </w:tbl>
    <w:p w14:paraId="1053AB1F" w14:textId="7272AFC8" w:rsidR="00D712D1" w:rsidRDefault="00D712D1" w:rsidP="0037304E">
      <w:pPr>
        <w:pStyle w:val="H23G"/>
      </w:pPr>
      <w:r w:rsidRPr="00D712D1">
        <w:tab/>
        <w:t>3.</w:t>
      </w:r>
      <w:r w:rsidRPr="00D712D1">
        <w:tab/>
        <w:t>Решения Европейской экономической комиссии</w:t>
      </w:r>
    </w:p>
    <w:tbl>
      <w:tblPr>
        <w:tblStyle w:val="ac"/>
        <w:tblW w:w="441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6814"/>
      </w:tblGrid>
      <w:tr w:rsidR="00D712D1" w:rsidRPr="0037304E" w14:paraId="655A5846" w14:textId="77777777" w:rsidTr="0023343F">
        <w:tc>
          <w:tcPr>
            <w:tcW w:w="994" w:type="pct"/>
          </w:tcPr>
          <w:p w14:paraId="76FE5D13"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50" w:history="1">
              <w:r w:rsidR="00D712D1" w:rsidRPr="00312D6A">
                <w:rPr>
                  <w:color w:val="0000FF"/>
                  <w:spacing w:val="0"/>
                  <w:w w:val="100"/>
                  <w:kern w:val="0"/>
                </w:rPr>
                <w:t>A (64)</w:t>
              </w:r>
            </w:hyperlink>
          </w:p>
        </w:tc>
        <w:tc>
          <w:tcPr>
            <w:tcW w:w="4006" w:type="pct"/>
          </w:tcPr>
          <w:p w14:paraId="1745A1BC"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Отчет о работе Европейской экономической комиссии</w:t>
            </w:r>
          </w:p>
        </w:tc>
      </w:tr>
      <w:tr w:rsidR="00D712D1" w:rsidRPr="0037304E" w14:paraId="62BAEF4D" w14:textId="77777777" w:rsidTr="0023343F">
        <w:tc>
          <w:tcPr>
            <w:tcW w:w="994" w:type="pct"/>
            <w:shd w:val="clear" w:color="auto" w:fill="auto"/>
          </w:tcPr>
          <w:p w14:paraId="55F9715C"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51" w:history="1">
              <w:r w:rsidR="00D712D1" w:rsidRPr="00312D6A">
                <w:rPr>
                  <w:color w:val="0000FF"/>
                  <w:spacing w:val="0"/>
                  <w:w w:val="100"/>
                  <w:kern w:val="0"/>
                </w:rPr>
                <w:t>A (65)</w:t>
              </w:r>
            </w:hyperlink>
          </w:p>
        </w:tc>
        <w:tc>
          <w:tcPr>
            <w:tcW w:w="4006" w:type="pct"/>
            <w:shd w:val="clear" w:color="auto" w:fill="auto"/>
          </w:tcPr>
          <w:p w14:paraId="5D7EC0E5"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Итоги обзора реформы ЕЭК 2005 года</w:t>
            </w:r>
          </w:p>
        </w:tc>
      </w:tr>
      <w:tr w:rsidR="00D712D1" w:rsidRPr="0037304E" w14:paraId="1F07EE51" w14:textId="77777777" w:rsidTr="0023343F">
        <w:tc>
          <w:tcPr>
            <w:tcW w:w="994" w:type="pct"/>
          </w:tcPr>
          <w:p w14:paraId="387B3C35"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52" w:history="1">
              <w:r w:rsidR="00D712D1" w:rsidRPr="00312D6A">
                <w:rPr>
                  <w:color w:val="0000FF"/>
                  <w:spacing w:val="0"/>
                  <w:w w:val="100"/>
                  <w:kern w:val="0"/>
                </w:rPr>
                <w:t>A (66)</w:t>
              </w:r>
            </w:hyperlink>
          </w:p>
        </w:tc>
        <w:tc>
          <w:tcPr>
            <w:tcW w:w="4006" w:type="pct"/>
          </w:tcPr>
          <w:p w14:paraId="6AC191EC"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Утверждение заявления высокого уровня о повестке дня в области развития на период после 2015 года и ожидаемых целях в области устойчивого развития в регионе Европейской экономической комиссии</w:t>
            </w:r>
          </w:p>
        </w:tc>
      </w:tr>
      <w:tr w:rsidR="00D712D1" w:rsidRPr="0037304E" w14:paraId="11D144D6" w14:textId="77777777" w:rsidTr="0023343F">
        <w:tc>
          <w:tcPr>
            <w:tcW w:w="994" w:type="pct"/>
          </w:tcPr>
          <w:p w14:paraId="0E4E5C44" w14:textId="77777777" w:rsidR="00D712D1" w:rsidRPr="00312D6A" w:rsidRDefault="001D7172" w:rsidP="0037304E">
            <w:pPr>
              <w:pStyle w:val="DualTxt"/>
              <w:spacing w:before="40" w:line="240" w:lineRule="atLeast"/>
              <w:ind w:left="113" w:hanging="113"/>
              <w:jc w:val="left"/>
              <w:rPr>
                <w:rStyle w:val="af1"/>
                <w:color w:val="0000FF"/>
                <w:spacing w:val="0"/>
                <w:w w:val="100"/>
                <w:kern w:val="0"/>
                <w:sz w:val="17"/>
                <w:szCs w:val="17"/>
              </w:rPr>
            </w:pPr>
            <w:hyperlink r:id="rId53" w:history="1">
              <w:r w:rsidR="00D712D1" w:rsidRPr="00312D6A">
                <w:rPr>
                  <w:color w:val="0000FF"/>
                  <w:spacing w:val="0"/>
                  <w:w w:val="100"/>
                  <w:kern w:val="0"/>
                </w:rPr>
                <w:t>A (69)</w:t>
              </w:r>
            </w:hyperlink>
          </w:p>
        </w:tc>
        <w:tc>
          <w:tcPr>
            <w:tcW w:w="4006" w:type="pct"/>
          </w:tcPr>
          <w:p w14:paraId="6F365113" w14:textId="77777777" w:rsidR="00D712D1" w:rsidRPr="0037304E" w:rsidRDefault="00D712D1" w:rsidP="0037304E">
            <w:pPr>
              <w:pStyle w:val="DualTxt"/>
              <w:spacing w:before="40" w:line="240" w:lineRule="atLeast"/>
              <w:jc w:val="left"/>
              <w:rPr>
                <w:spacing w:val="0"/>
                <w:w w:val="100"/>
                <w:kern w:val="0"/>
                <w:sz w:val="17"/>
                <w:szCs w:val="17"/>
              </w:rPr>
            </w:pPr>
            <w:r w:rsidRPr="0037304E">
              <w:rPr>
                <w:spacing w:val="0"/>
                <w:w w:val="100"/>
                <w:kern w:val="0"/>
                <w:lang w:val="ru-RU"/>
              </w:rPr>
              <w:t>Заявление высокого уровня</w:t>
            </w:r>
          </w:p>
        </w:tc>
      </w:tr>
      <w:tr w:rsidR="00D712D1" w:rsidRPr="0037304E" w14:paraId="5EC53276" w14:textId="77777777" w:rsidTr="0023343F">
        <w:tc>
          <w:tcPr>
            <w:tcW w:w="994" w:type="pct"/>
          </w:tcPr>
          <w:p w14:paraId="244A6DD5"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54" w:history="1">
              <w:r w:rsidR="00D712D1" w:rsidRPr="00312D6A">
                <w:rPr>
                  <w:color w:val="0000FF"/>
                  <w:spacing w:val="0"/>
                  <w:w w:val="100"/>
                  <w:kern w:val="0"/>
                </w:rPr>
                <w:t>B (69)</w:t>
              </w:r>
            </w:hyperlink>
          </w:p>
        </w:tc>
        <w:tc>
          <w:tcPr>
            <w:tcW w:w="4006" w:type="pct"/>
          </w:tcPr>
          <w:p w14:paraId="56643EAC"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Экономика замкнутого цикла и рациональное природопользование</w:t>
            </w:r>
          </w:p>
        </w:tc>
      </w:tr>
      <w:tr w:rsidR="00D712D1" w:rsidRPr="0037304E" w14:paraId="46AB9412" w14:textId="77777777" w:rsidTr="0023343F">
        <w:tc>
          <w:tcPr>
            <w:tcW w:w="994" w:type="pct"/>
          </w:tcPr>
          <w:p w14:paraId="4E2DBADF" w14:textId="77777777" w:rsidR="00D712D1" w:rsidRPr="00312D6A" w:rsidRDefault="001D7172" w:rsidP="0037304E">
            <w:pPr>
              <w:pStyle w:val="DualTxt"/>
              <w:spacing w:before="40" w:line="240" w:lineRule="atLeast"/>
              <w:ind w:left="113" w:hanging="113"/>
              <w:jc w:val="left"/>
              <w:rPr>
                <w:color w:val="0000FF"/>
                <w:spacing w:val="0"/>
                <w:w w:val="100"/>
                <w:kern w:val="0"/>
                <w:sz w:val="17"/>
              </w:rPr>
            </w:pPr>
            <w:hyperlink r:id="rId55" w:history="1">
              <w:r w:rsidR="00D712D1" w:rsidRPr="00312D6A">
                <w:rPr>
                  <w:color w:val="0000FF"/>
                  <w:spacing w:val="0"/>
                  <w:w w:val="100"/>
                  <w:kern w:val="0"/>
                </w:rPr>
                <w:t>C (69)</w:t>
              </w:r>
            </w:hyperlink>
          </w:p>
        </w:tc>
        <w:tc>
          <w:tcPr>
            <w:tcW w:w="4006" w:type="pct"/>
          </w:tcPr>
          <w:p w14:paraId="4B66ED54"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Продление мандата Регионального форума по устойчивому развитию</w:t>
            </w:r>
          </w:p>
        </w:tc>
      </w:tr>
    </w:tbl>
    <w:p w14:paraId="488F82C5" w14:textId="5ADC080B" w:rsidR="00D712D1" w:rsidRPr="00FD1F6B" w:rsidRDefault="00D712D1" w:rsidP="0037304E">
      <w:pPr>
        <w:pStyle w:val="H1G"/>
      </w:pPr>
      <w:r>
        <w:tab/>
        <w:t>B.</w:t>
      </w:r>
      <w:r>
        <w:tab/>
        <w:t>Мандаты директивных органов, конкретно относящиеся к</w:t>
      </w:r>
      <w:r w:rsidR="0037304E">
        <w:t> </w:t>
      </w:r>
      <w:r>
        <w:t>подпрограмме</w:t>
      </w:r>
    </w:p>
    <w:p w14:paraId="3302B677" w14:textId="4498A76B" w:rsidR="00D712D1" w:rsidRDefault="00D712D1" w:rsidP="0037304E">
      <w:pPr>
        <w:pStyle w:val="H23G"/>
      </w:pPr>
      <w:r>
        <w:tab/>
        <w:t>1.</w:t>
      </w:r>
      <w:r>
        <w:tab/>
        <w:t>Резолюции Генеральной Ассамблеи</w:t>
      </w:r>
    </w:p>
    <w:tbl>
      <w:tblPr>
        <w:tblW w:w="4412" w:type="pct"/>
        <w:tblInd w:w="1134" w:type="dxa"/>
        <w:tblLayout w:type="fixed"/>
        <w:tblLook w:val="04A0" w:firstRow="1" w:lastRow="0" w:firstColumn="1" w:lastColumn="0" w:noHBand="0" w:noVBand="1"/>
      </w:tblPr>
      <w:tblGrid>
        <w:gridCol w:w="1691"/>
        <w:gridCol w:w="6814"/>
      </w:tblGrid>
      <w:tr w:rsidR="00D712D1" w:rsidRPr="0037304E" w14:paraId="471D6A67" w14:textId="77777777" w:rsidTr="0023343F">
        <w:tc>
          <w:tcPr>
            <w:tcW w:w="994" w:type="pct"/>
            <w:tcMar>
              <w:left w:w="0" w:type="dxa"/>
              <w:right w:w="0" w:type="dxa"/>
            </w:tcMar>
          </w:tcPr>
          <w:p w14:paraId="107B6B72" w14:textId="45A81A55" w:rsidR="00D712D1" w:rsidRPr="00312D6A" w:rsidRDefault="001D7172" w:rsidP="0037304E">
            <w:pPr>
              <w:pStyle w:val="DualTxt"/>
              <w:spacing w:before="40" w:line="240" w:lineRule="atLeast"/>
              <w:ind w:right="45"/>
              <w:jc w:val="left"/>
              <w:rPr>
                <w:color w:val="0000FF"/>
                <w:spacing w:val="0"/>
                <w:w w:val="100"/>
                <w:kern w:val="0"/>
                <w:sz w:val="17"/>
                <w:szCs w:val="17"/>
              </w:rPr>
            </w:pPr>
            <w:hyperlink r:id="rId56" w:history="1">
              <w:r w:rsidR="00D712D1" w:rsidRPr="00312D6A">
                <w:rPr>
                  <w:color w:val="0000FF"/>
                  <w:spacing w:val="0"/>
                  <w:w w:val="100"/>
                  <w:kern w:val="0"/>
                </w:rPr>
                <w:t>58/9</w:t>
              </w:r>
            </w:hyperlink>
          </w:p>
        </w:tc>
        <w:tc>
          <w:tcPr>
            <w:tcW w:w="4006" w:type="pct"/>
            <w:tcMar>
              <w:left w:w="0" w:type="dxa"/>
              <w:right w:w="0" w:type="dxa"/>
            </w:tcMar>
          </w:tcPr>
          <w:p w14:paraId="69D5B8BF"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Глобальный кризис в области безопасности дорожного движения</w:t>
            </w:r>
          </w:p>
        </w:tc>
      </w:tr>
      <w:tr w:rsidR="00D712D1" w:rsidRPr="0037304E" w14:paraId="202C65DD" w14:textId="77777777" w:rsidTr="0023343F">
        <w:tc>
          <w:tcPr>
            <w:tcW w:w="994" w:type="pct"/>
            <w:tcMar>
              <w:left w:w="0" w:type="dxa"/>
              <w:right w:w="0" w:type="dxa"/>
            </w:tcMar>
          </w:tcPr>
          <w:p w14:paraId="4E87C44A" w14:textId="411AFD8B" w:rsidR="00D712D1" w:rsidRPr="00312D6A" w:rsidRDefault="001D7172" w:rsidP="0037304E">
            <w:pPr>
              <w:pStyle w:val="DualTxt"/>
              <w:spacing w:before="40" w:line="240" w:lineRule="atLeast"/>
              <w:ind w:right="45"/>
              <w:jc w:val="left"/>
              <w:rPr>
                <w:color w:val="0000FF"/>
                <w:spacing w:val="0"/>
                <w:w w:val="100"/>
                <w:kern w:val="0"/>
                <w:sz w:val="17"/>
                <w:szCs w:val="17"/>
              </w:rPr>
            </w:pPr>
            <w:hyperlink r:id="rId57" w:history="1">
              <w:r w:rsidR="00D712D1" w:rsidRPr="00312D6A">
                <w:rPr>
                  <w:color w:val="0000FF"/>
                  <w:spacing w:val="0"/>
                  <w:w w:val="100"/>
                  <w:kern w:val="0"/>
                </w:rPr>
                <w:t>6</w:t>
              </w:r>
              <w:r w:rsidR="00735B7F">
                <w:rPr>
                  <w:color w:val="0000FF"/>
                  <w:spacing w:val="0"/>
                  <w:w w:val="100"/>
                  <w:kern w:val="0"/>
                </w:rPr>
                <w:t>8</w:t>
              </w:r>
              <w:r w:rsidR="00D712D1" w:rsidRPr="00312D6A">
                <w:rPr>
                  <w:color w:val="0000FF"/>
                  <w:spacing w:val="0"/>
                  <w:w w:val="100"/>
                  <w:kern w:val="0"/>
                </w:rPr>
                <w:t>/269</w:t>
              </w:r>
            </w:hyperlink>
          </w:p>
        </w:tc>
        <w:tc>
          <w:tcPr>
            <w:tcW w:w="4006" w:type="pct"/>
            <w:tcMar>
              <w:left w:w="0" w:type="dxa"/>
              <w:right w:w="0" w:type="dxa"/>
            </w:tcMar>
          </w:tcPr>
          <w:p w14:paraId="498220AD" w14:textId="77777777" w:rsidR="00D712D1" w:rsidRPr="0037304E" w:rsidRDefault="00D712D1" w:rsidP="0037304E">
            <w:pPr>
              <w:pStyle w:val="DualTxt"/>
              <w:spacing w:before="40" w:line="240" w:lineRule="atLeast"/>
              <w:jc w:val="left"/>
              <w:rPr>
                <w:rFonts w:eastAsia="Times"/>
                <w:spacing w:val="0"/>
                <w:w w:val="100"/>
                <w:kern w:val="0"/>
                <w:sz w:val="17"/>
                <w:lang w:val="ru-RU"/>
              </w:rPr>
            </w:pPr>
            <w:r w:rsidRPr="0037304E">
              <w:rPr>
                <w:spacing w:val="0"/>
                <w:w w:val="100"/>
                <w:kern w:val="0"/>
                <w:lang w:val="ru-RU"/>
              </w:rPr>
              <w:t>Повышение безопасности дорожного движения во всем мире</w:t>
            </w:r>
          </w:p>
        </w:tc>
      </w:tr>
      <w:tr w:rsidR="00D712D1" w:rsidRPr="0037304E" w14:paraId="660D4ACE" w14:textId="77777777" w:rsidTr="0023343F">
        <w:tc>
          <w:tcPr>
            <w:tcW w:w="994" w:type="pct"/>
            <w:tcMar>
              <w:left w:w="0" w:type="dxa"/>
              <w:right w:w="0" w:type="dxa"/>
            </w:tcMar>
          </w:tcPr>
          <w:p w14:paraId="624CA108" w14:textId="55D6324E" w:rsidR="00D712D1" w:rsidRPr="00312D6A" w:rsidRDefault="001D7172" w:rsidP="0037304E">
            <w:pPr>
              <w:pStyle w:val="DualTxt"/>
              <w:spacing w:before="40" w:line="240" w:lineRule="atLeast"/>
              <w:ind w:right="45"/>
              <w:jc w:val="left"/>
              <w:rPr>
                <w:color w:val="0000FF"/>
                <w:spacing w:val="0"/>
                <w:w w:val="100"/>
                <w:kern w:val="0"/>
                <w:sz w:val="17"/>
                <w:szCs w:val="17"/>
              </w:rPr>
            </w:pPr>
            <w:hyperlink r:id="rId58" w:history="1">
              <w:r w:rsidR="00D712D1" w:rsidRPr="00312D6A">
                <w:rPr>
                  <w:color w:val="0000FF"/>
                  <w:spacing w:val="0"/>
                  <w:w w:val="100"/>
                  <w:kern w:val="0"/>
                </w:rPr>
                <w:t>69/137</w:t>
              </w:r>
            </w:hyperlink>
          </w:p>
        </w:tc>
        <w:tc>
          <w:tcPr>
            <w:tcW w:w="4006" w:type="pct"/>
            <w:tcMar>
              <w:left w:w="0" w:type="dxa"/>
              <w:right w:w="0" w:type="dxa"/>
            </w:tcMar>
          </w:tcPr>
          <w:p w14:paraId="30CA9044" w14:textId="77777777" w:rsidR="00D712D1" w:rsidRPr="0037304E" w:rsidRDefault="00D712D1" w:rsidP="0037304E">
            <w:pPr>
              <w:pStyle w:val="DualTxt"/>
              <w:spacing w:before="40" w:line="240" w:lineRule="atLeast"/>
              <w:jc w:val="left"/>
              <w:rPr>
                <w:rFonts w:eastAsia="Times"/>
                <w:spacing w:val="0"/>
                <w:w w:val="100"/>
                <w:kern w:val="0"/>
                <w:sz w:val="17"/>
                <w:lang w:val="ru-RU"/>
              </w:rPr>
            </w:pPr>
            <w:r w:rsidRPr="0037304E">
              <w:rPr>
                <w:spacing w:val="0"/>
                <w:w w:val="100"/>
                <w:kern w:val="0"/>
                <w:lang w:val="ru-RU"/>
              </w:rPr>
              <w:t>Программа действий для развивающихся стран, не имеющих выхода к морю, на десятилетие 2014–2024 годов</w:t>
            </w:r>
          </w:p>
        </w:tc>
      </w:tr>
      <w:tr w:rsidR="00D712D1" w:rsidRPr="0037304E" w14:paraId="3323CDBC" w14:textId="77777777" w:rsidTr="0023343F">
        <w:tc>
          <w:tcPr>
            <w:tcW w:w="994" w:type="pct"/>
            <w:tcMar>
              <w:left w:w="0" w:type="dxa"/>
              <w:right w:w="0" w:type="dxa"/>
            </w:tcMar>
          </w:tcPr>
          <w:p w14:paraId="26FBB354" w14:textId="30713E59" w:rsidR="00D712D1" w:rsidRPr="00312D6A" w:rsidRDefault="001D7172" w:rsidP="0037304E">
            <w:pPr>
              <w:pStyle w:val="DualTxt"/>
              <w:spacing w:before="40" w:line="240" w:lineRule="atLeast"/>
              <w:ind w:right="45"/>
              <w:jc w:val="left"/>
              <w:rPr>
                <w:color w:val="0000FF"/>
                <w:spacing w:val="0"/>
                <w:w w:val="100"/>
                <w:kern w:val="0"/>
                <w:sz w:val="17"/>
                <w:szCs w:val="17"/>
              </w:rPr>
            </w:pPr>
            <w:hyperlink r:id="rId59" w:history="1">
              <w:r w:rsidR="00D712D1" w:rsidRPr="00312D6A">
                <w:rPr>
                  <w:color w:val="0000FF"/>
                  <w:spacing w:val="0"/>
                  <w:w w:val="100"/>
                  <w:kern w:val="0"/>
                </w:rPr>
                <w:t>69/213</w:t>
              </w:r>
            </w:hyperlink>
          </w:p>
        </w:tc>
        <w:tc>
          <w:tcPr>
            <w:tcW w:w="4006" w:type="pct"/>
            <w:tcMar>
              <w:left w:w="0" w:type="dxa"/>
              <w:right w:w="0" w:type="dxa"/>
            </w:tcMar>
          </w:tcPr>
          <w:p w14:paraId="211B65F9" w14:textId="77777777" w:rsidR="00D712D1" w:rsidRPr="0037304E" w:rsidRDefault="00D712D1" w:rsidP="0037304E">
            <w:pPr>
              <w:pStyle w:val="DualTxt"/>
              <w:spacing w:before="40" w:line="240" w:lineRule="atLeast"/>
              <w:jc w:val="left"/>
              <w:rPr>
                <w:rFonts w:eastAsia="Times"/>
                <w:spacing w:val="0"/>
                <w:w w:val="100"/>
                <w:kern w:val="0"/>
                <w:sz w:val="17"/>
                <w:lang w:val="ru-RU"/>
              </w:rPr>
            </w:pPr>
            <w:r w:rsidRPr="0037304E">
              <w:rPr>
                <w:spacing w:val="0"/>
                <w:w w:val="100"/>
                <w:kern w:val="0"/>
                <w:lang w:val="ru-RU"/>
              </w:rPr>
              <w:t>Роль транспортных и транзитных коридоров в обеспечении международного сотрудничества в целях устойчивого развития</w:t>
            </w:r>
          </w:p>
        </w:tc>
      </w:tr>
      <w:tr w:rsidR="00D712D1" w:rsidRPr="0037304E" w14:paraId="53E32F62" w14:textId="77777777" w:rsidTr="0023343F">
        <w:tc>
          <w:tcPr>
            <w:tcW w:w="994" w:type="pct"/>
            <w:tcMar>
              <w:left w:w="0" w:type="dxa"/>
              <w:right w:w="0" w:type="dxa"/>
            </w:tcMar>
          </w:tcPr>
          <w:p w14:paraId="7F987BB0" w14:textId="01A3606B" w:rsidR="00D712D1" w:rsidRPr="00312D6A" w:rsidRDefault="001D7172" w:rsidP="0037304E">
            <w:pPr>
              <w:pStyle w:val="DualTxt"/>
              <w:spacing w:before="40" w:line="240" w:lineRule="atLeast"/>
              <w:ind w:right="45"/>
              <w:jc w:val="left"/>
              <w:rPr>
                <w:color w:val="0000FF"/>
                <w:spacing w:val="0"/>
                <w:w w:val="100"/>
                <w:kern w:val="0"/>
                <w:sz w:val="17"/>
                <w:szCs w:val="17"/>
              </w:rPr>
            </w:pPr>
            <w:hyperlink r:id="rId60" w:history="1">
              <w:r w:rsidR="00D712D1" w:rsidRPr="00312D6A">
                <w:rPr>
                  <w:color w:val="0000FF"/>
                  <w:spacing w:val="0"/>
                  <w:w w:val="100"/>
                  <w:kern w:val="0"/>
                </w:rPr>
                <w:t>70/197</w:t>
              </w:r>
            </w:hyperlink>
          </w:p>
        </w:tc>
        <w:tc>
          <w:tcPr>
            <w:tcW w:w="4006" w:type="pct"/>
            <w:tcMar>
              <w:left w:w="0" w:type="dxa"/>
              <w:right w:w="0" w:type="dxa"/>
            </w:tcMar>
          </w:tcPr>
          <w:p w14:paraId="17CDF957"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На пути к обеспечению всестороннего взаимодействия между всеми видами транспорта в целях содействия созданию устойчивых мультимодальных транзитных коридоров</w:t>
            </w:r>
          </w:p>
        </w:tc>
      </w:tr>
      <w:tr w:rsidR="00D712D1" w:rsidRPr="0037304E" w14:paraId="455156B6" w14:textId="77777777" w:rsidTr="0023343F">
        <w:tc>
          <w:tcPr>
            <w:tcW w:w="994" w:type="pct"/>
            <w:tcMar>
              <w:left w:w="0" w:type="dxa"/>
              <w:right w:w="0" w:type="dxa"/>
            </w:tcMar>
          </w:tcPr>
          <w:p w14:paraId="4D9DA5F5" w14:textId="4FB84E68" w:rsidR="00D712D1" w:rsidRPr="00312D6A" w:rsidRDefault="001D7172" w:rsidP="0037304E">
            <w:pPr>
              <w:pStyle w:val="DualTxt"/>
              <w:spacing w:before="40" w:line="240" w:lineRule="atLeast"/>
              <w:ind w:right="45"/>
              <w:jc w:val="left"/>
              <w:rPr>
                <w:color w:val="0000FF"/>
                <w:spacing w:val="0"/>
                <w:w w:val="100"/>
                <w:kern w:val="0"/>
                <w:sz w:val="17"/>
                <w:szCs w:val="17"/>
              </w:rPr>
            </w:pPr>
            <w:hyperlink r:id="rId61" w:history="1">
              <w:r w:rsidR="00D712D1" w:rsidRPr="00312D6A">
                <w:rPr>
                  <w:color w:val="0000FF"/>
                  <w:spacing w:val="0"/>
                  <w:w w:val="100"/>
                  <w:kern w:val="0"/>
                </w:rPr>
                <w:t>7</w:t>
              </w:r>
              <w:r w:rsidR="00F06897">
                <w:rPr>
                  <w:color w:val="0000FF"/>
                  <w:spacing w:val="0"/>
                  <w:w w:val="100"/>
                  <w:kern w:val="0"/>
                </w:rPr>
                <w:t>0</w:t>
              </w:r>
              <w:r w:rsidR="00D712D1" w:rsidRPr="00312D6A">
                <w:rPr>
                  <w:color w:val="0000FF"/>
                  <w:spacing w:val="0"/>
                  <w:w w:val="100"/>
                  <w:kern w:val="0"/>
                </w:rPr>
                <w:t>/217</w:t>
              </w:r>
            </w:hyperlink>
          </w:p>
        </w:tc>
        <w:tc>
          <w:tcPr>
            <w:tcW w:w="4006" w:type="pct"/>
            <w:tcMar>
              <w:left w:w="0" w:type="dxa"/>
              <w:right w:w="0" w:type="dxa"/>
            </w:tcMar>
          </w:tcPr>
          <w:p w14:paraId="33F47C4D"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Последующая деятельность по итогам второй Конференции Организации Объединенных Наций по развивающимся странам, не имеющим выхода к морю</w:t>
            </w:r>
          </w:p>
        </w:tc>
      </w:tr>
      <w:tr w:rsidR="00D712D1" w:rsidRPr="0037304E" w14:paraId="67B1F6BC" w14:textId="77777777" w:rsidTr="0023343F">
        <w:tc>
          <w:tcPr>
            <w:tcW w:w="994" w:type="pct"/>
            <w:tcMar>
              <w:left w:w="0" w:type="dxa"/>
              <w:right w:w="0" w:type="dxa"/>
            </w:tcMar>
          </w:tcPr>
          <w:p w14:paraId="5C785B8F" w14:textId="76742728" w:rsidR="00D712D1" w:rsidRPr="00312D6A" w:rsidRDefault="001D7172" w:rsidP="0037304E">
            <w:pPr>
              <w:pStyle w:val="DualTxt"/>
              <w:spacing w:before="40" w:line="240" w:lineRule="atLeast"/>
              <w:ind w:right="45"/>
              <w:jc w:val="left"/>
              <w:rPr>
                <w:color w:val="0000FF"/>
                <w:spacing w:val="0"/>
                <w:w w:val="100"/>
                <w:kern w:val="0"/>
                <w:sz w:val="17"/>
                <w:szCs w:val="17"/>
              </w:rPr>
            </w:pPr>
            <w:hyperlink r:id="rId62" w:history="1">
              <w:r w:rsidR="00D712D1" w:rsidRPr="00312D6A">
                <w:rPr>
                  <w:color w:val="0000FF"/>
                  <w:spacing w:val="0"/>
                  <w:w w:val="100"/>
                  <w:kern w:val="0"/>
                </w:rPr>
                <w:t>7</w:t>
              </w:r>
              <w:r w:rsidR="00612178">
                <w:rPr>
                  <w:color w:val="0000FF"/>
                  <w:spacing w:val="0"/>
                  <w:w w:val="100"/>
                  <w:kern w:val="0"/>
                </w:rPr>
                <w:t>2</w:t>
              </w:r>
              <w:r w:rsidR="00D712D1" w:rsidRPr="00312D6A">
                <w:rPr>
                  <w:color w:val="0000FF"/>
                  <w:spacing w:val="0"/>
                  <w:w w:val="100"/>
                  <w:kern w:val="0"/>
                </w:rPr>
                <w:t>/212</w:t>
              </w:r>
            </w:hyperlink>
          </w:p>
        </w:tc>
        <w:tc>
          <w:tcPr>
            <w:tcW w:w="4006" w:type="pct"/>
            <w:tcMar>
              <w:left w:w="0" w:type="dxa"/>
              <w:right w:w="0" w:type="dxa"/>
            </w:tcMar>
          </w:tcPr>
          <w:p w14:paraId="105D55D1"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Укрепление связей между всеми видами транспорта для достижения целей в области устойчивого развития</w:t>
            </w:r>
          </w:p>
        </w:tc>
      </w:tr>
      <w:tr w:rsidR="00D712D1" w:rsidRPr="0037304E" w14:paraId="62887FD0" w14:textId="77777777" w:rsidTr="0023343F">
        <w:tc>
          <w:tcPr>
            <w:tcW w:w="994" w:type="pct"/>
            <w:tcMar>
              <w:left w:w="0" w:type="dxa"/>
              <w:right w:w="0" w:type="dxa"/>
            </w:tcMar>
          </w:tcPr>
          <w:p w14:paraId="315372E6" w14:textId="1A348BEA" w:rsidR="00D712D1" w:rsidRPr="00312D6A" w:rsidRDefault="001D7172" w:rsidP="0037304E">
            <w:pPr>
              <w:pStyle w:val="DualTxt"/>
              <w:spacing w:before="40" w:line="240" w:lineRule="atLeast"/>
              <w:ind w:right="45"/>
              <w:jc w:val="left"/>
              <w:rPr>
                <w:color w:val="0000FF"/>
                <w:spacing w:val="0"/>
                <w:w w:val="100"/>
                <w:kern w:val="0"/>
                <w:sz w:val="17"/>
                <w:szCs w:val="17"/>
              </w:rPr>
            </w:pPr>
            <w:hyperlink r:id="rId63" w:history="1">
              <w:r w:rsidR="00D712D1" w:rsidRPr="00312D6A">
                <w:rPr>
                  <w:color w:val="0000FF"/>
                  <w:spacing w:val="0"/>
                  <w:w w:val="100"/>
                  <w:kern w:val="0"/>
                </w:rPr>
                <w:t>7</w:t>
              </w:r>
              <w:r w:rsidR="00612178">
                <w:rPr>
                  <w:color w:val="0000FF"/>
                  <w:spacing w:val="0"/>
                  <w:w w:val="100"/>
                  <w:kern w:val="0"/>
                </w:rPr>
                <w:t>2</w:t>
              </w:r>
              <w:r w:rsidR="00D712D1" w:rsidRPr="00312D6A">
                <w:rPr>
                  <w:color w:val="0000FF"/>
                  <w:spacing w:val="0"/>
                  <w:w w:val="100"/>
                  <w:kern w:val="0"/>
                </w:rPr>
                <w:t>/271</w:t>
              </w:r>
            </w:hyperlink>
          </w:p>
        </w:tc>
        <w:tc>
          <w:tcPr>
            <w:tcW w:w="4006" w:type="pct"/>
            <w:tcMar>
              <w:left w:w="0" w:type="dxa"/>
              <w:right w:w="0" w:type="dxa"/>
            </w:tcMar>
          </w:tcPr>
          <w:p w14:paraId="696BAAE8"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Повышение безопасности дорожного движения во всем мире</w:t>
            </w:r>
          </w:p>
        </w:tc>
      </w:tr>
      <w:tr w:rsidR="00D712D1" w:rsidRPr="0037304E" w14:paraId="6E94D9F9" w14:textId="77777777" w:rsidTr="0023343F">
        <w:tc>
          <w:tcPr>
            <w:tcW w:w="994" w:type="pct"/>
            <w:tcMar>
              <w:left w:w="0" w:type="dxa"/>
              <w:right w:w="0" w:type="dxa"/>
            </w:tcMar>
          </w:tcPr>
          <w:p w14:paraId="299C403B" w14:textId="0412BBC2" w:rsidR="00D712D1" w:rsidRPr="00312D6A" w:rsidRDefault="001D7172" w:rsidP="0037304E">
            <w:pPr>
              <w:pStyle w:val="DualTxt"/>
              <w:spacing w:before="40" w:line="240" w:lineRule="atLeast"/>
              <w:ind w:right="45"/>
              <w:jc w:val="left"/>
              <w:rPr>
                <w:color w:val="0000FF"/>
                <w:spacing w:val="0"/>
                <w:w w:val="100"/>
                <w:kern w:val="0"/>
                <w:sz w:val="17"/>
                <w:szCs w:val="17"/>
              </w:rPr>
            </w:pPr>
            <w:hyperlink r:id="rId64" w:history="1">
              <w:r w:rsidR="00D712D1" w:rsidRPr="00312D6A">
                <w:rPr>
                  <w:color w:val="0000FF"/>
                  <w:spacing w:val="0"/>
                  <w:w w:val="100"/>
                  <w:kern w:val="0"/>
                </w:rPr>
                <w:t>73/243</w:t>
              </w:r>
            </w:hyperlink>
          </w:p>
        </w:tc>
        <w:tc>
          <w:tcPr>
            <w:tcW w:w="4006" w:type="pct"/>
            <w:tcMar>
              <w:left w:w="0" w:type="dxa"/>
              <w:right w:w="0" w:type="dxa"/>
            </w:tcMar>
          </w:tcPr>
          <w:p w14:paraId="6A58DFF6"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Последующая деятельность по итогам второй Конференции Организации Объединенных Наций по развивающимся странам, не имеющим выхода к морю</w:t>
            </w:r>
          </w:p>
        </w:tc>
      </w:tr>
      <w:tr w:rsidR="00D712D1" w:rsidRPr="0037304E" w14:paraId="1CA7DC5A" w14:textId="77777777" w:rsidTr="0023343F">
        <w:tc>
          <w:tcPr>
            <w:tcW w:w="994" w:type="pct"/>
            <w:tcMar>
              <w:left w:w="0" w:type="dxa"/>
              <w:right w:w="0" w:type="dxa"/>
            </w:tcMar>
          </w:tcPr>
          <w:p w14:paraId="5F7B1E17" w14:textId="261B5617" w:rsidR="00D712D1" w:rsidRPr="00312D6A" w:rsidRDefault="001D7172" w:rsidP="0037304E">
            <w:pPr>
              <w:pStyle w:val="DualTxt"/>
              <w:spacing w:before="40" w:line="240" w:lineRule="atLeast"/>
              <w:ind w:right="45"/>
              <w:jc w:val="left"/>
              <w:rPr>
                <w:color w:val="0000FF"/>
                <w:spacing w:val="0"/>
                <w:w w:val="100"/>
                <w:kern w:val="0"/>
                <w:sz w:val="17"/>
              </w:rPr>
            </w:pPr>
            <w:hyperlink r:id="rId65" w:history="1">
              <w:r w:rsidR="00D712D1" w:rsidRPr="00312D6A">
                <w:rPr>
                  <w:color w:val="0000FF"/>
                  <w:spacing w:val="0"/>
                  <w:w w:val="100"/>
                  <w:kern w:val="0"/>
                </w:rPr>
                <w:t>7</w:t>
              </w:r>
              <w:r w:rsidR="00612178">
                <w:rPr>
                  <w:color w:val="0000FF"/>
                  <w:spacing w:val="0"/>
                  <w:w w:val="100"/>
                  <w:kern w:val="0"/>
                </w:rPr>
                <w:t>4</w:t>
              </w:r>
              <w:r w:rsidR="00D712D1" w:rsidRPr="00312D6A">
                <w:rPr>
                  <w:color w:val="0000FF"/>
                  <w:spacing w:val="0"/>
                  <w:w w:val="100"/>
                  <w:kern w:val="0"/>
                </w:rPr>
                <w:t>/299</w:t>
              </w:r>
            </w:hyperlink>
          </w:p>
        </w:tc>
        <w:tc>
          <w:tcPr>
            <w:tcW w:w="4006" w:type="pct"/>
            <w:tcMar>
              <w:left w:w="0" w:type="dxa"/>
              <w:right w:w="0" w:type="dxa"/>
            </w:tcMar>
          </w:tcPr>
          <w:p w14:paraId="113E4348"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Повышение безопасности дорожного движения во всем мире</w:t>
            </w:r>
          </w:p>
        </w:tc>
      </w:tr>
    </w:tbl>
    <w:p w14:paraId="5AF2FA1B" w14:textId="499C2AE4" w:rsidR="00D712D1" w:rsidRDefault="00D712D1" w:rsidP="0037304E">
      <w:pPr>
        <w:pStyle w:val="H23G"/>
      </w:pPr>
      <w:r>
        <w:tab/>
        <w:t>2.</w:t>
      </w:r>
      <w:r>
        <w:tab/>
        <w:t>Резолюции Экономического и Социального Совета</w:t>
      </w:r>
    </w:p>
    <w:tbl>
      <w:tblPr>
        <w:tblW w:w="4412" w:type="pct"/>
        <w:tblInd w:w="1134" w:type="dxa"/>
        <w:tblLayout w:type="fixed"/>
        <w:tblLook w:val="04A0" w:firstRow="1" w:lastRow="0" w:firstColumn="1" w:lastColumn="0" w:noHBand="0" w:noVBand="1"/>
      </w:tblPr>
      <w:tblGrid>
        <w:gridCol w:w="1691"/>
        <w:gridCol w:w="6814"/>
      </w:tblGrid>
      <w:tr w:rsidR="00D712D1" w:rsidRPr="0037304E" w14:paraId="3D5E9405" w14:textId="77777777" w:rsidTr="0023343F">
        <w:tc>
          <w:tcPr>
            <w:tcW w:w="994" w:type="pct"/>
            <w:tcMar>
              <w:left w:w="0" w:type="dxa"/>
              <w:right w:w="0" w:type="dxa"/>
            </w:tcMar>
          </w:tcPr>
          <w:p w14:paraId="1F23CDB6" w14:textId="140479CB" w:rsidR="00D712D1" w:rsidRPr="00312D6A" w:rsidRDefault="001D7172" w:rsidP="0037304E">
            <w:pPr>
              <w:pStyle w:val="DualTxt"/>
              <w:spacing w:before="40" w:line="240" w:lineRule="atLeast"/>
              <w:ind w:right="45"/>
              <w:jc w:val="left"/>
              <w:rPr>
                <w:rFonts w:eastAsia="Times"/>
                <w:color w:val="0000FF"/>
                <w:spacing w:val="0"/>
                <w:w w:val="100"/>
                <w:kern w:val="0"/>
                <w:sz w:val="17"/>
              </w:rPr>
            </w:pPr>
            <w:hyperlink r:id="rId66" w:history="1">
              <w:r w:rsidR="00D712D1" w:rsidRPr="00C668A0">
                <w:rPr>
                  <w:rStyle w:val="af1"/>
                  <w:spacing w:val="0"/>
                  <w:w w:val="100"/>
                  <w:kern w:val="0"/>
                  <w:lang w:val="ru-RU"/>
                </w:rPr>
                <w:t>1999/65</w:t>
              </w:r>
            </w:hyperlink>
          </w:p>
        </w:tc>
        <w:tc>
          <w:tcPr>
            <w:tcW w:w="4006" w:type="pct"/>
            <w:tcMar>
              <w:left w:w="0" w:type="dxa"/>
              <w:right w:w="0" w:type="dxa"/>
            </w:tcMar>
          </w:tcPr>
          <w:p w14:paraId="3B977B36"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Преобразование Комитета экспертов по перевозке опасных грузов в Комитет экспертов по перевозке опасных грузов и Согласованной на глобальном уровне системе классификации опасности и маркировки химической продукции</w:t>
            </w:r>
          </w:p>
        </w:tc>
      </w:tr>
      <w:tr w:rsidR="00D712D1" w:rsidRPr="0037304E" w14:paraId="0F54C44E" w14:textId="77777777" w:rsidTr="0023343F">
        <w:tc>
          <w:tcPr>
            <w:tcW w:w="994" w:type="pct"/>
            <w:tcMar>
              <w:left w:w="0" w:type="dxa"/>
              <w:right w:w="0" w:type="dxa"/>
            </w:tcMar>
          </w:tcPr>
          <w:p w14:paraId="70614FA4" w14:textId="68C1FD51" w:rsidR="00D712D1" w:rsidRPr="00312D6A" w:rsidRDefault="001D7172" w:rsidP="0037304E">
            <w:pPr>
              <w:pStyle w:val="DualTxt"/>
              <w:spacing w:before="40" w:line="240" w:lineRule="atLeast"/>
              <w:ind w:right="45"/>
              <w:jc w:val="left"/>
              <w:rPr>
                <w:rFonts w:eastAsia="Times"/>
                <w:color w:val="0000FF"/>
                <w:spacing w:val="0"/>
                <w:w w:val="100"/>
                <w:kern w:val="0"/>
                <w:sz w:val="17"/>
              </w:rPr>
            </w:pPr>
            <w:hyperlink r:id="rId67" w:history="1">
              <w:r w:rsidR="00D712D1" w:rsidRPr="00312D6A">
                <w:rPr>
                  <w:color w:val="0000FF"/>
                  <w:spacing w:val="0"/>
                  <w:w w:val="100"/>
                  <w:kern w:val="0"/>
                </w:rPr>
                <w:t>2013/7</w:t>
              </w:r>
            </w:hyperlink>
          </w:p>
        </w:tc>
        <w:tc>
          <w:tcPr>
            <w:tcW w:w="4006" w:type="pct"/>
            <w:tcMar>
              <w:left w:w="0" w:type="dxa"/>
              <w:right w:w="0" w:type="dxa"/>
            </w:tcMar>
          </w:tcPr>
          <w:p w14:paraId="60393FE3"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Постоянно действующая связь Европа — Африка через Гибралтарский пролив</w:t>
            </w:r>
          </w:p>
        </w:tc>
      </w:tr>
      <w:tr w:rsidR="00D712D1" w:rsidRPr="0037304E" w14:paraId="59107A3C" w14:textId="77777777" w:rsidTr="0023343F">
        <w:tc>
          <w:tcPr>
            <w:tcW w:w="994" w:type="pct"/>
            <w:tcMar>
              <w:left w:w="0" w:type="dxa"/>
              <w:right w:w="0" w:type="dxa"/>
            </w:tcMar>
          </w:tcPr>
          <w:p w14:paraId="41FB99D6" w14:textId="055300DF" w:rsidR="00D712D1" w:rsidRPr="00312D6A" w:rsidRDefault="001D7172" w:rsidP="0037304E">
            <w:pPr>
              <w:pStyle w:val="DualTxt"/>
              <w:spacing w:before="40" w:line="240" w:lineRule="atLeast"/>
              <w:ind w:right="45"/>
              <w:jc w:val="left"/>
              <w:rPr>
                <w:rFonts w:eastAsia="Times"/>
                <w:color w:val="0000FF"/>
                <w:spacing w:val="0"/>
                <w:w w:val="100"/>
                <w:kern w:val="0"/>
                <w:sz w:val="17"/>
              </w:rPr>
            </w:pPr>
            <w:hyperlink r:id="rId68" w:history="1">
              <w:r w:rsidR="00D712D1" w:rsidRPr="00312D6A">
                <w:rPr>
                  <w:color w:val="0000FF"/>
                  <w:spacing w:val="0"/>
                  <w:w w:val="100"/>
                  <w:kern w:val="0"/>
                </w:rPr>
                <w:t>2021/13</w:t>
              </w:r>
            </w:hyperlink>
          </w:p>
        </w:tc>
        <w:tc>
          <w:tcPr>
            <w:tcW w:w="4006" w:type="pct"/>
            <w:tcMar>
              <w:left w:w="0" w:type="dxa"/>
              <w:right w:w="0" w:type="dxa"/>
            </w:tcMar>
          </w:tcPr>
          <w:p w14:paraId="6C4974BD"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Работа Комитета экспертов по перевозке опасных грузов и Согласованной на глобальном уровне системе классификации опасности и маркировки химической продукции</w:t>
            </w:r>
          </w:p>
        </w:tc>
      </w:tr>
      <w:tr w:rsidR="00D712D1" w:rsidRPr="0037304E" w14:paraId="58ED4F0A" w14:textId="77777777" w:rsidTr="0023343F">
        <w:tc>
          <w:tcPr>
            <w:tcW w:w="994" w:type="pct"/>
            <w:tcMar>
              <w:left w:w="0" w:type="dxa"/>
              <w:right w:w="0" w:type="dxa"/>
            </w:tcMar>
          </w:tcPr>
          <w:p w14:paraId="682E2823" w14:textId="5A131DEF" w:rsidR="00D712D1" w:rsidRPr="00312D6A" w:rsidRDefault="001D7172" w:rsidP="0037304E">
            <w:pPr>
              <w:pStyle w:val="DualTxt"/>
              <w:spacing w:before="40" w:line="240" w:lineRule="atLeast"/>
              <w:ind w:right="45"/>
              <w:jc w:val="left"/>
              <w:rPr>
                <w:color w:val="0000FF"/>
                <w:spacing w:val="0"/>
                <w:w w:val="100"/>
                <w:kern w:val="0"/>
                <w:sz w:val="17"/>
              </w:rPr>
            </w:pPr>
            <w:hyperlink r:id="rId69" w:history="1">
              <w:r w:rsidR="00D712D1" w:rsidRPr="00312D6A">
                <w:rPr>
                  <w:color w:val="0000FF"/>
                  <w:spacing w:val="0"/>
                  <w:w w:val="100"/>
                  <w:kern w:val="0"/>
                </w:rPr>
                <w:t>2022/2</w:t>
              </w:r>
            </w:hyperlink>
          </w:p>
        </w:tc>
        <w:tc>
          <w:tcPr>
            <w:tcW w:w="4006" w:type="pct"/>
            <w:tcMar>
              <w:left w:w="0" w:type="dxa"/>
              <w:right w:w="0" w:type="dxa"/>
            </w:tcMar>
          </w:tcPr>
          <w:p w14:paraId="4DC6A679"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Пересмотренный круг ведения Комитета по внутреннему транспорту Европейской экономической комиссии</w:t>
            </w:r>
          </w:p>
        </w:tc>
      </w:tr>
    </w:tbl>
    <w:p w14:paraId="10F0F495" w14:textId="3801662C" w:rsidR="00D712D1" w:rsidRDefault="00D712D1" w:rsidP="0037304E">
      <w:pPr>
        <w:pStyle w:val="H23G"/>
      </w:pPr>
      <w:r w:rsidRPr="00D712D1">
        <w:lastRenderedPageBreak/>
        <w:tab/>
        <w:t>3.</w:t>
      </w:r>
      <w:r w:rsidRPr="00D712D1">
        <w:tab/>
        <w:t>Решения Европейской экономической комиссии</w:t>
      </w:r>
    </w:p>
    <w:tbl>
      <w:tblPr>
        <w:tblW w:w="4412" w:type="pct"/>
        <w:tblInd w:w="1134" w:type="dxa"/>
        <w:tblLayout w:type="fixed"/>
        <w:tblLook w:val="04A0" w:firstRow="1" w:lastRow="0" w:firstColumn="1" w:lastColumn="0" w:noHBand="0" w:noVBand="1"/>
      </w:tblPr>
      <w:tblGrid>
        <w:gridCol w:w="1985"/>
        <w:gridCol w:w="6520"/>
      </w:tblGrid>
      <w:tr w:rsidR="00D712D1" w:rsidRPr="0037304E" w14:paraId="53F70FAD" w14:textId="77777777" w:rsidTr="0023343F">
        <w:tc>
          <w:tcPr>
            <w:tcW w:w="1167" w:type="pct"/>
            <w:tcMar>
              <w:left w:w="0" w:type="dxa"/>
              <w:right w:w="0" w:type="dxa"/>
            </w:tcMar>
          </w:tcPr>
          <w:p w14:paraId="2D199CBF" w14:textId="50A8B939" w:rsidR="00D712D1" w:rsidRPr="00C668A0" w:rsidRDefault="001D7172" w:rsidP="0037304E">
            <w:pPr>
              <w:pStyle w:val="DualTxt"/>
              <w:spacing w:before="40" w:line="240" w:lineRule="atLeast"/>
              <w:jc w:val="left"/>
              <w:rPr>
                <w:color w:val="0000FF"/>
                <w:spacing w:val="0"/>
                <w:w w:val="100"/>
                <w:kern w:val="0"/>
                <w:sz w:val="17"/>
                <w:szCs w:val="17"/>
              </w:rPr>
            </w:pPr>
            <w:hyperlink r:id="rId70" w:history="1">
              <w:proofErr w:type="spellStart"/>
              <w:r w:rsidR="00D712D1" w:rsidRPr="00C668A0">
                <w:rPr>
                  <w:color w:val="0000FF"/>
                  <w:spacing w:val="0"/>
                  <w:w w:val="100"/>
                  <w:kern w:val="0"/>
                </w:rPr>
                <w:t>ECE</w:t>
              </w:r>
              <w:proofErr w:type="spellEnd"/>
              <w:r w:rsidR="00D712D1" w:rsidRPr="00C668A0">
                <w:rPr>
                  <w:color w:val="0000FF"/>
                  <w:spacing w:val="0"/>
                  <w:w w:val="100"/>
                  <w:kern w:val="0"/>
                </w:rPr>
                <w:t>/AC.21/2014/2</w:t>
              </w:r>
            </w:hyperlink>
          </w:p>
        </w:tc>
        <w:tc>
          <w:tcPr>
            <w:tcW w:w="3833" w:type="pct"/>
            <w:tcMar>
              <w:left w:w="0" w:type="dxa"/>
              <w:right w:w="0" w:type="dxa"/>
            </w:tcMar>
          </w:tcPr>
          <w:p w14:paraId="4A9F150A"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Доклад Совещания высокого уровня по транспорту, окружающей среде и охране здоровья о работе его четвертой сессии</w:t>
            </w:r>
          </w:p>
        </w:tc>
      </w:tr>
      <w:tr w:rsidR="00D712D1" w:rsidRPr="0037304E" w14:paraId="30C65159" w14:textId="77777777" w:rsidTr="0023343F">
        <w:tc>
          <w:tcPr>
            <w:tcW w:w="1167" w:type="pct"/>
            <w:tcMar>
              <w:left w:w="0" w:type="dxa"/>
              <w:right w:w="0" w:type="dxa"/>
            </w:tcMar>
          </w:tcPr>
          <w:p w14:paraId="48214108" w14:textId="283EF60A"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1" w:history="1">
              <w:r w:rsidR="00D712D1" w:rsidRPr="00C668A0">
                <w:rPr>
                  <w:color w:val="0000FF"/>
                  <w:spacing w:val="0"/>
                  <w:w w:val="100"/>
                  <w:kern w:val="0"/>
                </w:rPr>
                <w:t>ECE/TRANS/224</w:t>
              </w:r>
            </w:hyperlink>
          </w:p>
        </w:tc>
        <w:tc>
          <w:tcPr>
            <w:tcW w:w="3833" w:type="pct"/>
            <w:tcMar>
              <w:left w:w="0" w:type="dxa"/>
              <w:right w:w="0" w:type="dxa"/>
            </w:tcMar>
          </w:tcPr>
          <w:p w14:paraId="3EC899F0"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семьдесят четвертой сессии («Дорожная карта ЕЭК ООН по поощрению глобальных действий ИТС-20 на 2012–2020 годы»)</w:t>
            </w:r>
          </w:p>
        </w:tc>
      </w:tr>
      <w:tr w:rsidR="00D712D1" w:rsidRPr="0037304E" w14:paraId="274139C6" w14:textId="77777777" w:rsidTr="0023343F">
        <w:tc>
          <w:tcPr>
            <w:tcW w:w="1167" w:type="pct"/>
            <w:tcMar>
              <w:left w:w="0" w:type="dxa"/>
              <w:right w:w="0" w:type="dxa"/>
            </w:tcMar>
          </w:tcPr>
          <w:p w14:paraId="432B8FE9" w14:textId="4857328D"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2" w:history="1">
              <w:r w:rsidR="00D712D1" w:rsidRPr="00C668A0">
                <w:rPr>
                  <w:color w:val="0000FF"/>
                  <w:spacing w:val="0"/>
                  <w:w w:val="100"/>
                  <w:kern w:val="0"/>
                </w:rPr>
                <w:t>ECE/TRANS/236</w:t>
              </w:r>
            </w:hyperlink>
          </w:p>
        </w:tc>
        <w:tc>
          <w:tcPr>
            <w:tcW w:w="3833" w:type="pct"/>
            <w:tcMar>
              <w:left w:w="0" w:type="dxa"/>
              <w:right w:w="0" w:type="dxa"/>
            </w:tcMar>
          </w:tcPr>
          <w:p w14:paraId="793CA98B"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семьдесят пятой сессии (Совместная декларация о развитии евроазиатских железнодорожных перевозок и деятельности по созданию единого железнодорожного права; и Совместное заявление о дальнейшем развитии евроазиатских транспортных связей)</w:t>
            </w:r>
          </w:p>
        </w:tc>
      </w:tr>
      <w:tr w:rsidR="00D712D1" w:rsidRPr="0037304E" w14:paraId="055C844E" w14:textId="77777777" w:rsidTr="0023343F">
        <w:tc>
          <w:tcPr>
            <w:tcW w:w="1167" w:type="pct"/>
            <w:tcMar>
              <w:left w:w="0" w:type="dxa"/>
              <w:right w:w="0" w:type="dxa"/>
            </w:tcMar>
          </w:tcPr>
          <w:p w14:paraId="0C523993" w14:textId="47D06A2A"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3" w:history="1">
              <w:r w:rsidR="00D712D1" w:rsidRPr="00C668A0">
                <w:rPr>
                  <w:color w:val="0000FF"/>
                  <w:spacing w:val="0"/>
                  <w:w w:val="100"/>
                  <w:kern w:val="0"/>
                </w:rPr>
                <w:t>ECE/TRANS/248</w:t>
              </w:r>
            </w:hyperlink>
          </w:p>
        </w:tc>
        <w:tc>
          <w:tcPr>
            <w:tcW w:w="3833" w:type="pct"/>
            <w:tcMar>
              <w:left w:w="0" w:type="dxa"/>
              <w:right w:w="0" w:type="dxa"/>
            </w:tcMar>
          </w:tcPr>
          <w:p w14:paraId="49776B4F"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семьдесят седьмой сессии</w:t>
            </w:r>
          </w:p>
        </w:tc>
      </w:tr>
      <w:tr w:rsidR="00D712D1" w:rsidRPr="0037304E" w14:paraId="1926DAE2" w14:textId="77777777" w:rsidTr="0023343F">
        <w:tc>
          <w:tcPr>
            <w:tcW w:w="1167" w:type="pct"/>
            <w:tcMar>
              <w:left w:w="0" w:type="dxa"/>
              <w:right w:w="0" w:type="dxa"/>
            </w:tcMar>
          </w:tcPr>
          <w:p w14:paraId="494C4634" w14:textId="4A6A2038"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4" w:history="1">
              <w:r w:rsidR="00D712D1" w:rsidRPr="00C668A0">
                <w:rPr>
                  <w:color w:val="0000FF"/>
                  <w:spacing w:val="0"/>
                  <w:w w:val="100"/>
                  <w:kern w:val="0"/>
                </w:rPr>
                <w:t>ECE/TRANS/254</w:t>
              </w:r>
            </w:hyperlink>
          </w:p>
        </w:tc>
        <w:tc>
          <w:tcPr>
            <w:tcW w:w="3833" w:type="pct"/>
            <w:tcMar>
              <w:left w:w="0" w:type="dxa"/>
              <w:right w:w="0" w:type="dxa"/>
            </w:tcMar>
          </w:tcPr>
          <w:p w14:paraId="0E2E16A1"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семьдесят восьмой сессии</w:t>
            </w:r>
          </w:p>
        </w:tc>
      </w:tr>
      <w:tr w:rsidR="00D712D1" w:rsidRPr="0037304E" w14:paraId="5306958E" w14:textId="77777777" w:rsidTr="0023343F">
        <w:tc>
          <w:tcPr>
            <w:tcW w:w="1167" w:type="pct"/>
            <w:tcMar>
              <w:left w:w="0" w:type="dxa"/>
              <w:right w:w="0" w:type="dxa"/>
            </w:tcMar>
          </w:tcPr>
          <w:p w14:paraId="02A7D304" w14:textId="33A03C51"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5" w:history="1">
              <w:proofErr w:type="spellStart"/>
              <w:r w:rsidR="00D712D1" w:rsidRPr="00C668A0">
                <w:rPr>
                  <w:color w:val="0000FF"/>
                  <w:spacing w:val="0"/>
                  <w:w w:val="100"/>
                  <w:kern w:val="0"/>
                </w:rPr>
                <w:t>ECE</w:t>
              </w:r>
              <w:proofErr w:type="spellEnd"/>
              <w:r w:rsidR="00D712D1" w:rsidRPr="00C668A0">
                <w:rPr>
                  <w:color w:val="0000FF"/>
                  <w:spacing w:val="0"/>
                  <w:w w:val="100"/>
                  <w:kern w:val="0"/>
                </w:rPr>
                <w:t>/TRANS/270</w:t>
              </w:r>
            </w:hyperlink>
          </w:p>
        </w:tc>
        <w:tc>
          <w:tcPr>
            <w:tcW w:w="3833" w:type="pct"/>
            <w:tcMar>
              <w:left w:w="0" w:type="dxa"/>
              <w:right w:w="0" w:type="dxa"/>
            </w:tcMar>
          </w:tcPr>
          <w:p w14:paraId="7B56FBCB"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семьдесят девятой сессии (принятие резолюции министров «Вступление в новую эру устойчивого внутреннего транспорта и мобильности»)</w:t>
            </w:r>
          </w:p>
        </w:tc>
      </w:tr>
      <w:tr w:rsidR="00D712D1" w:rsidRPr="0037304E" w14:paraId="099F882F" w14:textId="77777777" w:rsidTr="0023343F">
        <w:tc>
          <w:tcPr>
            <w:tcW w:w="1167" w:type="pct"/>
            <w:tcMar>
              <w:left w:w="0" w:type="dxa"/>
              <w:right w:w="0" w:type="dxa"/>
            </w:tcMar>
          </w:tcPr>
          <w:p w14:paraId="3EA44E44" w14:textId="70D75CA7"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6" w:history="1">
              <w:r w:rsidR="00D712D1" w:rsidRPr="00C668A0">
                <w:rPr>
                  <w:color w:val="0000FF"/>
                  <w:spacing w:val="0"/>
                  <w:w w:val="100"/>
                  <w:kern w:val="0"/>
                </w:rPr>
                <w:t>ECE/TRANS/274</w:t>
              </w:r>
            </w:hyperlink>
          </w:p>
        </w:tc>
        <w:tc>
          <w:tcPr>
            <w:tcW w:w="3833" w:type="pct"/>
            <w:tcMar>
              <w:left w:w="0" w:type="dxa"/>
              <w:right w:w="0" w:type="dxa"/>
            </w:tcMar>
          </w:tcPr>
          <w:p w14:paraId="405B4CD6"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восьмидесятой сессии</w:t>
            </w:r>
          </w:p>
        </w:tc>
      </w:tr>
      <w:tr w:rsidR="00D712D1" w:rsidRPr="0037304E" w14:paraId="7E68CB21" w14:textId="77777777" w:rsidTr="0023343F">
        <w:tc>
          <w:tcPr>
            <w:tcW w:w="1167" w:type="pct"/>
            <w:tcMar>
              <w:left w:w="0" w:type="dxa"/>
              <w:right w:w="0" w:type="dxa"/>
            </w:tcMar>
          </w:tcPr>
          <w:p w14:paraId="48382FC4" w14:textId="792BA4C5"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7" w:history="1">
              <w:r w:rsidR="00D712D1" w:rsidRPr="00C668A0">
                <w:rPr>
                  <w:color w:val="0000FF"/>
                  <w:spacing w:val="0"/>
                  <w:w w:val="100"/>
                  <w:kern w:val="0"/>
                </w:rPr>
                <w:t>ECE/TRANS/288</w:t>
              </w:r>
            </w:hyperlink>
          </w:p>
        </w:tc>
        <w:tc>
          <w:tcPr>
            <w:tcW w:w="3833" w:type="pct"/>
            <w:tcMar>
              <w:left w:w="0" w:type="dxa"/>
              <w:right w:w="0" w:type="dxa"/>
            </w:tcMar>
          </w:tcPr>
          <w:p w14:paraId="2E8D50FD"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Доклад Комитета по внутреннему транспорту о работе его восемьдесят первой сессии (принятие резолюции министров «Укрепление сотрудничества, согласования и интеграции в эпоху цифровизации и автоматизации на транспорте»; резолюции Комитета по внутреннему транспорту № 265 по вопросу о декларации министров «Судоходство по внутренним водным путям во всемирном контексте» и по вопросу о содействии развитию внутреннего водного транспорта; и стратегии Комитета по внутреннему транспорту на период до 2030 года)</w:t>
            </w:r>
          </w:p>
        </w:tc>
      </w:tr>
      <w:tr w:rsidR="00D712D1" w:rsidRPr="0037304E" w14:paraId="3FA236E7" w14:textId="77777777" w:rsidTr="0023343F">
        <w:tc>
          <w:tcPr>
            <w:tcW w:w="1167" w:type="pct"/>
            <w:tcMar>
              <w:left w:w="0" w:type="dxa"/>
              <w:right w:w="0" w:type="dxa"/>
            </w:tcMar>
          </w:tcPr>
          <w:p w14:paraId="1545AD4C" w14:textId="77777777" w:rsidR="00D712D1" w:rsidRPr="00C668A0" w:rsidRDefault="00D712D1" w:rsidP="0037304E">
            <w:pPr>
              <w:pStyle w:val="DualTxt"/>
              <w:spacing w:before="40" w:line="240" w:lineRule="atLeast"/>
              <w:jc w:val="left"/>
              <w:rPr>
                <w:color w:val="0000FF"/>
                <w:spacing w:val="0"/>
                <w:w w:val="100"/>
                <w:kern w:val="0"/>
                <w:sz w:val="17"/>
                <w:szCs w:val="17"/>
              </w:rPr>
            </w:pPr>
            <w:r w:rsidRPr="00E155B0">
              <w:rPr>
                <w:spacing w:val="0"/>
                <w:w w:val="100"/>
                <w:kern w:val="0"/>
                <w:lang w:val="ru-RU"/>
              </w:rPr>
              <w:t>B (66)</w:t>
            </w:r>
          </w:p>
        </w:tc>
        <w:tc>
          <w:tcPr>
            <w:tcW w:w="3833" w:type="pct"/>
            <w:tcMar>
              <w:left w:w="0" w:type="dxa"/>
              <w:right w:w="0" w:type="dxa"/>
            </w:tcMar>
          </w:tcPr>
          <w:p w14:paraId="2D15FD46" w14:textId="77777777" w:rsidR="00D712D1" w:rsidRPr="0037304E" w:rsidRDefault="00D712D1" w:rsidP="0037304E">
            <w:pPr>
              <w:pStyle w:val="DualTxt"/>
              <w:spacing w:before="40" w:line="240" w:lineRule="atLeast"/>
              <w:jc w:val="left"/>
              <w:rPr>
                <w:spacing w:val="0"/>
                <w:w w:val="100"/>
                <w:kern w:val="0"/>
                <w:sz w:val="17"/>
                <w:szCs w:val="17"/>
                <w:lang w:val="ru-RU"/>
              </w:rPr>
            </w:pPr>
            <w:r w:rsidRPr="0037304E">
              <w:rPr>
                <w:spacing w:val="0"/>
                <w:w w:val="100"/>
                <w:kern w:val="0"/>
                <w:lang w:val="ru-RU"/>
              </w:rPr>
              <w:t>Утверждение Женевской хартии об устойчивом жилищном хозяйстве</w:t>
            </w:r>
          </w:p>
        </w:tc>
      </w:tr>
      <w:tr w:rsidR="00D712D1" w:rsidRPr="0037304E" w14:paraId="6F2A3B99" w14:textId="77777777" w:rsidTr="0023343F">
        <w:trPr>
          <w:cantSplit/>
        </w:trPr>
        <w:tc>
          <w:tcPr>
            <w:tcW w:w="1167" w:type="pct"/>
            <w:tcMar>
              <w:left w:w="0" w:type="dxa"/>
              <w:right w:w="0" w:type="dxa"/>
            </w:tcMar>
          </w:tcPr>
          <w:p w14:paraId="4D2118E7" w14:textId="13C02BD7" w:rsidR="00D712D1" w:rsidRPr="00C668A0" w:rsidRDefault="001D7172" w:rsidP="0037304E">
            <w:pPr>
              <w:pStyle w:val="DualTxt"/>
              <w:spacing w:before="40" w:line="240" w:lineRule="atLeast"/>
              <w:jc w:val="left"/>
              <w:rPr>
                <w:rFonts w:eastAsia="Times"/>
                <w:color w:val="0000FF"/>
                <w:spacing w:val="0"/>
                <w:w w:val="100"/>
                <w:kern w:val="0"/>
                <w:sz w:val="17"/>
                <w:szCs w:val="17"/>
              </w:rPr>
            </w:pPr>
            <w:hyperlink r:id="rId78" w:history="1">
              <w:r w:rsidR="00D712D1" w:rsidRPr="00C668A0">
                <w:rPr>
                  <w:color w:val="0000FF"/>
                  <w:spacing w:val="0"/>
                  <w:w w:val="100"/>
                  <w:kern w:val="0"/>
                </w:rPr>
                <w:t>ECE/TRANS/294</w:t>
              </w:r>
            </w:hyperlink>
          </w:p>
        </w:tc>
        <w:tc>
          <w:tcPr>
            <w:tcW w:w="3833" w:type="pct"/>
            <w:tcMar>
              <w:left w:w="0" w:type="dxa"/>
              <w:right w:w="0" w:type="dxa"/>
            </w:tcMar>
          </w:tcPr>
          <w:p w14:paraId="09C53FB8" w14:textId="77777777" w:rsidR="00D712D1" w:rsidRPr="0037304E" w:rsidRDefault="00D712D1" w:rsidP="0037304E">
            <w:pPr>
              <w:pStyle w:val="DualTxt"/>
              <w:spacing w:before="40" w:line="240" w:lineRule="atLeast"/>
              <w:jc w:val="left"/>
              <w:rPr>
                <w:rFonts w:eastAsia="Times"/>
                <w:spacing w:val="0"/>
                <w:w w:val="100"/>
                <w:kern w:val="0"/>
                <w:sz w:val="17"/>
                <w:szCs w:val="17"/>
                <w:lang w:val="ru-RU"/>
              </w:rPr>
            </w:pPr>
            <w:r w:rsidRPr="0037304E">
              <w:rPr>
                <w:spacing w:val="0"/>
                <w:w w:val="100"/>
                <w:kern w:val="0"/>
                <w:lang w:val="ru-RU"/>
              </w:rPr>
              <w:t>Доклад Комитета по внутреннему транспорту о работе его восемьдесят второй сессии (принятие Декларации министров об укреплении устойчивых решений в области внутреннего транспорта для решения глобальных климатических и экологических проблем: единый призыв к действию)</w:t>
            </w:r>
          </w:p>
        </w:tc>
      </w:tr>
      <w:tr w:rsidR="00D712D1" w:rsidRPr="0037304E" w14:paraId="7DA04B6A" w14:textId="77777777" w:rsidTr="0023343F">
        <w:trPr>
          <w:cantSplit/>
        </w:trPr>
        <w:tc>
          <w:tcPr>
            <w:tcW w:w="1167" w:type="pct"/>
            <w:tcMar>
              <w:left w:w="0" w:type="dxa"/>
              <w:right w:w="0" w:type="dxa"/>
            </w:tcMar>
          </w:tcPr>
          <w:p w14:paraId="423D60E8" w14:textId="218CCAEF" w:rsidR="00D712D1" w:rsidRPr="00C668A0" w:rsidRDefault="001D7172" w:rsidP="0037304E">
            <w:pPr>
              <w:pStyle w:val="DualTxt"/>
              <w:spacing w:before="40" w:line="240" w:lineRule="atLeast"/>
              <w:jc w:val="left"/>
              <w:rPr>
                <w:color w:val="0000FF"/>
                <w:spacing w:val="0"/>
                <w:w w:val="100"/>
                <w:kern w:val="0"/>
                <w:sz w:val="17"/>
              </w:rPr>
            </w:pPr>
            <w:hyperlink r:id="rId79" w:history="1">
              <w:proofErr w:type="spellStart"/>
              <w:r w:rsidR="00D712D1" w:rsidRPr="00C668A0">
                <w:rPr>
                  <w:rStyle w:val="af1"/>
                  <w:spacing w:val="0"/>
                  <w:w w:val="100"/>
                  <w:kern w:val="0"/>
                  <w:lang w:val="ru-RU"/>
                </w:rPr>
                <w:t>ECE</w:t>
              </w:r>
              <w:proofErr w:type="spellEnd"/>
              <w:r w:rsidR="00D712D1" w:rsidRPr="00C668A0">
                <w:rPr>
                  <w:rStyle w:val="af1"/>
                  <w:spacing w:val="0"/>
                  <w:w w:val="100"/>
                  <w:kern w:val="0"/>
                  <w:lang w:val="ru-RU"/>
                </w:rPr>
                <w:t>/TRANS/304</w:t>
              </w:r>
            </w:hyperlink>
          </w:p>
        </w:tc>
        <w:tc>
          <w:tcPr>
            <w:tcW w:w="3833" w:type="pct"/>
            <w:tcMar>
              <w:left w:w="0" w:type="dxa"/>
              <w:right w:w="0" w:type="dxa"/>
            </w:tcMar>
          </w:tcPr>
          <w:p w14:paraId="47BB75BA" w14:textId="77777777" w:rsidR="00D712D1" w:rsidRPr="0037304E" w:rsidRDefault="00D712D1" w:rsidP="0037304E">
            <w:pPr>
              <w:pStyle w:val="DualTxt"/>
              <w:spacing w:before="40" w:line="240" w:lineRule="atLeast"/>
              <w:jc w:val="left"/>
              <w:rPr>
                <w:rFonts w:eastAsia="Times"/>
                <w:spacing w:val="0"/>
                <w:w w:val="100"/>
                <w:kern w:val="0"/>
                <w:sz w:val="17"/>
                <w:szCs w:val="17"/>
                <w:lang w:val="ru-RU"/>
              </w:rPr>
            </w:pPr>
            <w:r w:rsidRPr="0037304E">
              <w:rPr>
                <w:spacing w:val="0"/>
                <w:w w:val="100"/>
                <w:kern w:val="0"/>
                <w:lang w:val="ru-RU"/>
              </w:rPr>
              <w:t>Доклад Комитета по внутреннему транспорту о работе его восемьдесят третьей сессии (принятие резолюции министров о повышении устойчивости внутреннего транспортного сообщения в чрезвычайных ситуациях: срочный призыв к согласованным действиям)</w:t>
            </w:r>
          </w:p>
        </w:tc>
      </w:tr>
    </w:tbl>
    <w:p w14:paraId="69859099" w14:textId="785C19B8" w:rsidR="00D712D1" w:rsidRDefault="00D712D1" w:rsidP="0037304E">
      <w:pPr>
        <w:pStyle w:val="H23G"/>
      </w:pPr>
      <w:r w:rsidRPr="00D712D1">
        <w:tab/>
        <w:t>4.</w:t>
      </w:r>
      <w:r w:rsidRPr="00D712D1">
        <w:tab/>
        <w:t>Решения, принятые договорными органами в рамках соглашений Организации Объединенных Наций, касающихся транспорта</w:t>
      </w:r>
    </w:p>
    <w:tbl>
      <w:tblPr>
        <w:tblW w:w="4412" w:type="pct"/>
        <w:tblInd w:w="1134" w:type="dxa"/>
        <w:tblLayout w:type="fixed"/>
        <w:tblCellMar>
          <w:left w:w="115" w:type="dxa"/>
          <w:right w:w="115" w:type="dxa"/>
        </w:tblCellMar>
        <w:tblLook w:val="04A0" w:firstRow="1" w:lastRow="0" w:firstColumn="1" w:lastColumn="0" w:noHBand="0" w:noVBand="1"/>
      </w:tblPr>
      <w:tblGrid>
        <w:gridCol w:w="1973"/>
        <w:gridCol w:w="6532"/>
      </w:tblGrid>
      <w:tr w:rsidR="00D712D1" w:rsidRPr="0037304E" w14:paraId="506E09B4" w14:textId="77777777" w:rsidTr="0023343F">
        <w:tc>
          <w:tcPr>
            <w:tcW w:w="1160" w:type="pct"/>
            <w:tcMar>
              <w:left w:w="0" w:type="dxa"/>
              <w:right w:w="0" w:type="dxa"/>
            </w:tcMar>
          </w:tcPr>
          <w:p w14:paraId="4D6010D8" w14:textId="58781AB7" w:rsidR="00D712D1" w:rsidRPr="002843A4" w:rsidRDefault="001D7172" w:rsidP="0037304E">
            <w:pPr>
              <w:pStyle w:val="DualTxt"/>
              <w:spacing w:before="40" w:line="240" w:lineRule="atLeast"/>
              <w:jc w:val="left"/>
              <w:rPr>
                <w:color w:val="0000FF"/>
                <w:spacing w:val="0"/>
                <w:w w:val="100"/>
                <w:kern w:val="0"/>
                <w:sz w:val="17"/>
              </w:rPr>
            </w:pPr>
            <w:hyperlink r:id="rId80" w:history="1">
              <w:r w:rsidR="00D712D1" w:rsidRPr="002843A4">
                <w:rPr>
                  <w:color w:val="0000FF"/>
                  <w:spacing w:val="0"/>
                  <w:w w:val="100"/>
                  <w:kern w:val="0"/>
                </w:rPr>
                <w:t>E/</w:t>
              </w:r>
              <w:proofErr w:type="spellStart"/>
              <w:r w:rsidR="00D712D1" w:rsidRPr="002843A4">
                <w:rPr>
                  <w:color w:val="0000FF"/>
                  <w:spacing w:val="0"/>
                  <w:w w:val="100"/>
                  <w:kern w:val="0"/>
                </w:rPr>
                <w:t>ECE</w:t>
              </w:r>
              <w:proofErr w:type="spellEnd"/>
              <w:r w:rsidR="00D712D1" w:rsidRPr="002843A4">
                <w:rPr>
                  <w:color w:val="0000FF"/>
                  <w:spacing w:val="0"/>
                  <w:w w:val="100"/>
                  <w:kern w:val="0"/>
                </w:rPr>
                <w:t>/TRANS/ 505/Rev.3</w:t>
              </w:r>
            </w:hyperlink>
          </w:p>
        </w:tc>
        <w:tc>
          <w:tcPr>
            <w:tcW w:w="3840" w:type="pct"/>
            <w:tcMar>
              <w:left w:w="0" w:type="dxa"/>
              <w:right w:w="0" w:type="dxa"/>
            </w:tcMar>
          </w:tcPr>
          <w:p w14:paraId="79731EB5"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Соглашение 1958 года 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p>
        </w:tc>
      </w:tr>
      <w:tr w:rsidR="00D712D1" w:rsidRPr="0037304E" w14:paraId="5517D56A" w14:textId="77777777" w:rsidTr="0023343F">
        <w:tc>
          <w:tcPr>
            <w:tcW w:w="1160" w:type="pct"/>
            <w:tcMar>
              <w:left w:w="0" w:type="dxa"/>
              <w:right w:w="0" w:type="dxa"/>
            </w:tcMar>
          </w:tcPr>
          <w:p w14:paraId="28771349" w14:textId="77777777" w:rsidR="00D712D1" w:rsidRPr="002843A4" w:rsidRDefault="00D712D1" w:rsidP="0037304E">
            <w:pPr>
              <w:pStyle w:val="DualTxt"/>
              <w:spacing w:before="40" w:line="240" w:lineRule="atLeast"/>
              <w:jc w:val="left"/>
              <w:rPr>
                <w:color w:val="0000FF"/>
                <w:spacing w:val="0"/>
                <w:w w:val="100"/>
                <w:kern w:val="0"/>
                <w:sz w:val="17"/>
              </w:rPr>
            </w:pPr>
            <w:r w:rsidRPr="001D707A">
              <w:rPr>
                <w:spacing w:val="0"/>
                <w:w w:val="100"/>
                <w:kern w:val="0"/>
                <w:lang w:val="ru-RU"/>
              </w:rPr>
              <w:lastRenderedPageBreak/>
              <w:t>ECE/RCTE/CONF/4</w:t>
            </w:r>
          </w:p>
        </w:tc>
        <w:tc>
          <w:tcPr>
            <w:tcW w:w="3840" w:type="pct"/>
            <w:tcMar>
              <w:left w:w="0" w:type="dxa"/>
              <w:right w:w="0" w:type="dxa"/>
            </w:tcMar>
          </w:tcPr>
          <w:p w14:paraId="7B2BA9A3" w14:textId="555ABAB8"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Соглашение 1997 года о принятии единообразных условий для периодических технических осмотров колесных транспортных средств и о взаимном признании таких осмотров</w:t>
            </w:r>
          </w:p>
        </w:tc>
      </w:tr>
      <w:tr w:rsidR="00D712D1" w:rsidRPr="0037304E" w14:paraId="006BE1B2" w14:textId="77777777" w:rsidTr="0023343F">
        <w:trPr>
          <w:cantSplit/>
        </w:trPr>
        <w:tc>
          <w:tcPr>
            <w:tcW w:w="1160" w:type="pct"/>
            <w:tcMar>
              <w:left w:w="0" w:type="dxa"/>
              <w:right w:w="0" w:type="dxa"/>
            </w:tcMar>
          </w:tcPr>
          <w:p w14:paraId="0E631F73" w14:textId="246DE2BD" w:rsidR="00D712D1" w:rsidRPr="002843A4" w:rsidRDefault="001D7172" w:rsidP="0037304E">
            <w:pPr>
              <w:pStyle w:val="DualTxt"/>
              <w:spacing w:before="40" w:line="240" w:lineRule="atLeast"/>
              <w:jc w:val="left"/>
              <w:rPr>
                <w:rFonts w:eastAsia="Times"/>
                <w:color w:val="0000FF"/>
                <w:spacing w:val="0"/>
                <w:w w:val="100"/>
                <w:kern w:val="0"/>
                <w:sz w:val="17"/>
                <w:szCs w:val="17"/>
              </w:rPr>
            </w:pPr>
            <w:hyperlink r:id="rId81" w:history="1">
              <w:r w:rsidR="00D712D1" w:rsidRPr="002843A4">
                <w:rPr>
                  <w:color w:val="0000FF"/>
                  <w:spacing w:val="0"/>
                  <w:w w:val="100"/>
                  <w:kern w:val="0"/>
                </w:rPr>
                <w:t>ECE/TRANS/132</w:t>
              </w:r>
            </w:hyperlink>
          </w:p>
        </w:tc>
        <w:tc>
          <w:tcPr>
            <w:tcW w:w="3840" w:type="pct"/>
            <w:tcMar>
              <w:left w:w="0" w:type="dxa"/>
              <w:right w:w="0" w:type="dxa"/>
            </w:tcMar>
          </w:tcPr>
          <w:p w14:paraId="0BBA2D63"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Соглашение 1998 года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p>
        </w:tc>
      </w:tr>
      <w:tr w:rsidR="00D712D1" w:rsidRPr="0037304E" w14:paraId="6F58D93E" w14:textId="77777777" w:rsidTr="0023343F">
        <w:tc>
          <w:tcPr>
            <w:tcW w:w="1160" w:type="pct"/>
            <w:tcMar>
              <w:left w:w="0" w:type="dxa"/>
              <w:right w:w="0" w:type="dxa"/>
            </w:tcMar>
          </w:tcPr>
          <w:p w14:paraId="45BE1C04" w14:textId="6B496546" w:rsidR="00D712D1" w:rsidRPr="002843A4" w:rsidRDefault="001D7172" w:rsidP="0037304E">
            <w:pPr>
              <w:pStyle w:val="DualTxt"/>
              <w:spacing w:before="40" w:line="240" w:lineRule="atLeast"/>
              <w:jc w:val="left"/>
              <w:rPr>
                <w:rFonts w:eastAsia="Times"/>
                <w:color w:val="0000FF"/>
                <w:spacing w:val="0"/>
                <w:w w:val="100"/>
                <w:kern w:val="0"/>
                <w:sz w:val="17"/>
                <w:szCs w:val="17"/>
              </w:rPr>
            </w:pPr>
            <w:hyperlink r:id="rId82" w:history="1">
              <w:r w:rsidR="00D712D1" w:rsidRPr="002843A4">
                <w:rPr>
                  <w:color w:val="0000FF"/>
                  <w:spacing w:val="0"/>
                  <w:w w:val="100"/>
                  <w:kern w:val="0"/>
                </w:rPr>
                <w:t>ECE/TRANS/ADN/</w:t>
              </w:r>
              <w:r w:rsidR="00D40D8E" w:rsidRPr="002843A4">
                <w:rPr>
                  <w:color w:val="0000FF"/>
                  <w:spacing w:val="0"/>
                  <w:w w:val="100"/>
                  <w:kern w:val="0"/>
                </w:rPr>
                <w:br/>
              </w:r>
              <w:r w:rsidR="00D712D1" w:rsidRPr="002843A4">
                <w:rPr>
                  <w:color w:val="0000FF"/>
                  <w:spacing w:val="0"/>
                  <w:w w:val="100"/>
                  <w:kern w:val="0"/>
                </w:rPr>
                <w:t>CONF/10/Add.1</w:t>
              </w:r>
            </w:hyperlink>
          </w:p>
        </w:tc>
        <w:tc>
          <w:tcPr>
            <w:tcW w:w="3840" w:type="pct"/>
            <w:tcMar>
              <w:left w:w="0" w:type="dxa"/>
              <w:right w:w="0" w:type="dxa"/>
            </w:tcMar>
          </w:tcPr>
          <w:p w14:paraId="2945A1B1" w14:textId="77777777" w:rsidR="00D712D1" w:rsidRPr="0037304E" w:rsidRDefault="00D712D1" w:rsidP="0037304E">
            <w:pPr>
              <w:pStyle w:val="DualTxt"/>
              <w:spacing w:before="40" w:line="240" w:lineRule="atLeast"/>
              <w:jc w:val="left"/>
              <w:rPr>
                <w:spacing w:val="0"/>
                <w:w w:val="100"/>
                <w:kern w:val="0"/>
                <w:sz w:val="17"/>
                <w:lang w:val="ru-RU"/>
              </w:rPr>
            </w:pPr>
            <w:r w:rsidRPr="0037304E">
              <w:rPr>
                <w:spacing w:val="0"/>
                <w:w w:val="100"/>
                <w:kern w:val="0"/>
                <w:lang w:val="ru-RU"/>
              </w:rPr>
              <w:t>Европейское соглашение о международной перевозке опасных грузов по внутренним водным путям</w:t>
            </w:r>
          </w:p>
        </w:tc>
      </w:tr>
      <w:tr w:rsidR="00D712D1" w:rsidRPr="0037304E" w14:paraId="38DF2280" w14:textId="77777777" w:rsidTr="0023343F">
        <w:tc>
          <w:tcPr>
            <w:tcW w:w="1160" w:type="pct"/>
            <w:tcMar>
              <w:left w:w="0" w:type="dxa"/>
              <w:right w:w="0" w:type="dxa"/>
            </w:tcMar>
          </w:tcPr>
          <w:p w14:paraId="3E93067A" w14:textId="1A69B76C" w:rsidR="00D712D1" w:rsidRPr="00B92ACF" w:rsidRDefault="00D712D1" w:rsidP="0037304E">
            <w:pPr>
              <w:pStyle w:val="DualTxt"/>
              <w:spacing w:before="40" w:line="240" w:lineRule="atLeast"/>
              <w:jc w:val="left"/>
              <w:rPr>
                <w:spacing w:val="0"/>
                <w:w w:val="100"/>
                <w:kern w:val="0"/>
                <w:sz w:val="17"/>
              </w:rPr>
            </w:pPr>
            <w:r w:rsidRPr="00B92ACF">
              <w:rPr>
                <w:spacing w:val="0"/>
                <w:w w:val="100"/>
                <w:kern w:val="0"/>
                <w:lang w:val="ru-RU"/>
              </w:rPr>
              <w:t>ECE/TRANS/WP.30/</w:t>
            </w:r>
            <w:r w:rsidR="00D40D8E" w:rsidRPr="00B92ACF">
              <w:rPr>
                <w:spacing w:val="0"/>
                <w:w w:val="100"/>
                <w:kern w:val="0"/>
                <w:lang w:val="ru-RU"/>
              </w:rPr>
              <w:br/>
            </w:r>
            <w:r w:rsidRPr="00B92ACF">
              <w:rPr>
                <w:spacing w:val="0"/>
                <w:w w:val="100"/>
                <w:kern w:val="0"/>
                <w:lang w:val="ru-RU"/>
              </w:rPr>
              <w:t>AC.2/125</w:t>
            </w:r>
          </w:p>
        </w:tc>
        <w:tc>
          <w:tcPr>
            <w:tcW w:w="3840" w:type="pct"/>
            <w:tcMar>
              <w:left w:w="0" w:type="dxa"/>
              <w:right w:w="0" w:type="dxa"/>
            </w:tcMar>
          </w:tcPr>
          <w:p w14:paraId="296C3FFA" w14:textId="77777777" w:rsidR="00D712D1" w:rsidRPr="0037304E" w:rsidRDefault="00D712D1" w:rsidP="0037304E">
            <w:pPr>
              <w:pStyle w:val="DualTxt"/>
              <w:spacing w:before="40" w:line="240" w:lineRule="atLeast"/>
              <w:jc w:val="left"/>
              <w:rPr>
                <w:rFonts w:eastAsia="Times"/>
                <w:iCs/>
                <w:spacing w:val="0"/>
                <w:w w:val="100"/>
                <w:kern w:val="0"/>
                <w:sz w:val="17"/>
                <w:szCs w:val="17"/>
                <w:lang w:val="ru-RU"/>
              </w:rPr>
            </w:pPr>
            <w:r w:rsidRPr="0037304E">
              <w:rPr>
                <w:spacing w:val="0"/>
                <w:w w:val="100"/>
                <w:kern w:val="0"/>
                <w:lang w:val="ru-RU"/>
              </w:rPr>
              <w:t>Доклад Административного комитета Конвенции МДП 1975 года о работе его шестьдесят первой сессии (приложение II, «Совместное заявление о компьютеризации процедуры МДП»)</w:t>
            </w:r>
          </w:p>
        </w:tc>
      </w:tr>
      <w:tr w:rsidR="00D712D1" w:rsidRPr="0037304E" w14:paraId="5FEC8777" w14:textId="77777777" w:rsidTr="0023343F">
        <w:tc>
          <w:tcPr>
            <w:tcW w:w="1160" w:type="pct"/>
            <w:tcMar>
              <w:left w:w="0" w:type="dxa"/>
              <w:right w:w="0" w:type="dxa"/>
            </w:tcMar>
          </w:tcPr>
          <w:p w14:paraId="633B69AE" w14:textId="64AE75AF" w:rsidR="00D712D1" w:rsidRPr="00B92ACF" w:rsidRDefault="00D712D1" w:rsidP="0037304E">
            <w:pPr>
              <w:pStyle w:val="DualTxt"/>
              <w:spacing w:before="40" w:line="240" w:lineRule="atLeast"/>
              <w:jc w:val="left"/>
              <w:rPr>
                <w:rFonts w:eastAsia="Times"/>
                <w:spacing w:val="0"/>
                <w:w w:val="100"/>
                <w:kern w:val="0"/>
                <w:sz w:val="17"/>
                <w:szCs w:val="17"/>
              </w:rPr>
            </w:pPr>
            <w:r w:rsidRPr="00B92ACF">
              <w:rPr>
                <w:spacing w:val="0"/>
                <w:w w:val="100"/>
                <w:kern w:val="0"/>
                <w:lang w:val="en-US"/>
              </w:rPr>
              <w:t>ECE/TRANS/WP.30/</w:t>
            </w:r>
            <w:r w:rsidR="00D40D8E" w:rsidRPr="00B92ACF">
              <w:rPr>
                <w:spacing w:val="0"/>
                <w:w w:val="100"/>
                <w:kern w:val="0"/>
                <w:lang w:val="en-US"/>
              </w:rPr>
              <w:br/>
            </w:r>
            <w:r w:rsidRPr="00B92ACF">
              <w:rPr>
                <w:spacing w:val="0"/>
                <w:w w:val="100"/>
                <w:kern w:val="0"/>
                <w:lang w:val="en-US"/>
              </w:rPr>
              <w:t xml:space="preserve">AC.2/147 </w:t>
            </w:r>
            <w:r w:rsidRPr="00B92ACF">
              <w:rPr>
                <w:spacing w:val="0"/>
                <w:w w:val="100"/>
                <w:kern w:val="0"/>
                <w:lang w:val="ru-RU"/>
              </w:rPr>
              <w:t>и</w:t>
            </w:r>
            <w:r w:rsidRPr="00B92ACF">
              <w:rPr>
                <w:spacing w:val="0"/>
                <w:w w:val="100"/>
                <w:kern w:val="0"/>
                <w:lang w:val="en-US"/>
              </w:rPr>
              <w:t xml:space="preserve"> Corr.1</w:t>
            </w:r>
          </w:p>
        </w:tc>
        <w:tc>
          <w:tcPr>
            <w:tcW w:w="3840" w:type="pct"/>
            <w:tcMar>
              <w:left w:w="0" w:type="dxa"/>
              <w:right w:w="0" w:type="dxa"/>
            </w:tcMar>
          </w:tcPr>
          <w:p w14:paraId="7952289A" w14:textId="08FBD8A7" w:rsidR="00D712D1" w:rsidRPr="0037304E" w:rsidRDefault="00D712D1" w:rsidP="0037304E">
            <w:pPr>
              <w:pStyle w:val="DualTxt"/>
              <w:spacing w:before="40" w:line="240" w:lineRule="atLeast"/>
              <w:jc w:val="left"/>
              <w:rPr>
                <w:rFonts w:eastAsia="Times"/>
                <w:iCs/>
                <w:spacing w:val="0"/>
                <w:w w:val="100"/>
                <w:kern w:val="0"/>
                <w:sz w:val="17"/>
                <w:szCs w:val="17"/>
                <w:lang w:val="ru-RU"/>
              </w:rPr>
            </w:pPr>
            <w:r w:rsidRPr="0037304E">
              <w:rPr>
                <w:spacing w:val="0"/>
                <w:w w:val="100"/>
                <w:kern w:val="0"/>
                <w:lang w:val="ru-RU"/>
              </w:rPr>
              <w:t>Доклад Административного комитета Конвенции МДП 1975 года о работе его семьдесят второй сессии (приложение I: Сводная информация о проекте правовой базы eTIR)</w:t>
            </w:r>
          </w:p>
        </w:tc>
      </w:tr>
    </w:tbl>
    <w:p w14:paraId="2898BF79" w14:textId="77777777" w:rsidR="00D712D1" w:rsidRDefault="00D712D1">
      <w:pPr>
        <w:suppressAutoHyphens w:val="0"/>
        <w:spacing w:line="240" w:lineRule="auto"/>
        <w:rPr>
          <w:rFonts w:eastAsia="Times New Roman" w:cs="Times New Roman"/>
          <w:szCs w:val="20"/>
        </w:rPr>
      </w:pPr>
      <w:r>
        <w:br w:type="page"/>
      </w:r>
    </w:p>
    <w:p w14:paraId="690A644C" w14:textId="77777777" w:rsidR="00D712D1" w:rsidRPr="00D712D1" w:rsidRDefault="00D712D1" w:rsidP="00762EF1">
      <w:pPr>
        <w:pStyle w:val="HChG"/>
      </w:pPr>
      <w:r w:rsidRPr="00D712D1">
        <w:lastRenderedPageBreak/>
        <w:t>Приложение III</w:t>
      </w:r>
    </w:p>
    <w:p w14:paraId="4EB6A8D3" w14:textId="77777777" w:rsidR="00D712D1" w:rsidRPr="00D712D1" w:rsidRDefault="00D712D1" w:rsidP="00762EF1">
      <w:pPr>
        <w:pStyle w:val="HChG"/>
      </w:pPr>
      <w:r w:rsidRPr="00D712D1">
        <w:tab/>
      </w:r>
      <w:r w:rsidRPr="00D712D1">
        <w:tab/>
        <w:t>Коррективы в отношении деятельности, предусмотренной на 2023 год</w:t>
      </w:r>
    </w:p>
    <w:p w14:paraId="709226BA" w14:textId="17DD7421" w:rsidR="00D712D1" w:rsidRDefault="00D712D1" w:rsidP="00762EF1">
      <w:pPr>
        <w:pStyle w:val="1"/>
        <w:spacing w:after="240"/>
        <w:ind w:left="1134" w:right="1133"/>
        <w:jc w:val="left"/>
      </w:pPr>
      <w:r w:rsidRPr="00762EF1">
        <w:rPr>
          <w:rFonts w:cs="Times New Roman"/>
          <w:b w:val="0"/>
          <w:bCs w:val="0"/>
          <w:szCs w:val="20"/>
        </w:rPr>
        <w:t>Таблица 1</w:t>
      </w:r>
      <w:r w:rsidR="00762EF1" w:rsidRPr="00762EF1">
        <w:rPr>
          <w:b w:val="0"/>
          <w:bCs w:val="0"/>
        </w:rPr>
        <w:br/>
      </w:r>
      <w:r w:rsidRPr="00D712D1">
        <w:t>Список пересмотренных или дополнительных показателей в отношении деятельности, предусмотренной на 2023 год</w:t>
      </w:r>
    </w:p>
    <w:tbl>
      <w:tblPr>
        <w:tblW w:w="8504" w:type="dxa"/>
        <w:tblInd w:w="1134" w:type="dxa"/>
        <w:tblLayout w:type="fixed"/>
        <w:tblCellMar>
          <w:left w:w="0" w:type="dxa"/>
          <w:right w:w="0" w:type="dxa"/>
        </w:tblCellMar>
        <w:tblLook w:val="04A0" w:firstRow="1" w:lastRow="0" w:firstColumn="1" w:lastColumn="0" w:noHBand="0" w:noVBand="1"/>
      </w:tblPr>
      <w:tblGrid>
        <w:gridCol w:w="5501"/>
        <w:gridCol w:w="1438"/>
        <w:gridCol w:w="1565"/>
      </w:tblGrid>
      <w:tr w:rsidR="00762EF1" w:rsidRPr="00762EF1" w14:paraId="517D9056" w14:textId="77777777" w:rsidTr="00762EF1">
        <w:trPr>
          <w:tblHeader/>
        </w:trPr>
        <w:tc>
          <w:tcPr>
            <w:tcW w:w="5501" w:type="dxa"/>
            <w:tcBorders>
              <w:top w:val="single" w:sz="4" w:space="0" w:color="auto"/>
              <w:bottom w:val="single" w:sz="12" w:space="0" w:color="auto"/>
            </w:tcBorders>
            <w:shd w:val="clear" w:color="auto" w:fill="auto"/>
            <w:vAlign w:val="bottom"/>
            <w:hideMark/>
          </w:tcPr>
          <w:p w14:paraId="37B7515F" w14:textId="77777777" w:rsidR="00D712D1" w:rsidRPr="00762EF1" w:rsidRDefault="00D712D1" w:rsidP="00762EF1">
            <w:pPr>
              <w:spacing w:before="80" w:after="80" w:line="200" w:lineRule="exact"/>
              <w:ind w:left="28"/>
              <w:rPr>
                <w:rFonts w:eastAsia="Calibri" w:cs="Times New Roman"/>
                <w:i/>
                <w:sz w:val="16"/>
              </w:rPr>
            </w:pPr>
            <w:r w:rsidRPr="00762EF1">
              <w:rPr>
                <w:rFonts w:cs="Times New Roman"/>
                <w:i/>
                <w:sz w:val="16"/>
              </w:rPr>
              <w:t>Категория и подкатегория</w:t>
            </w:r>
          </w:p>
        </w:tc>
        <w:tc>
          <w:tcPr>
            <w:tcW w:w="1438" w:type="dxa"/>
            <w:tcBorders>
              <w:top w:val="single" w:sz="4" w:space="0" w:color="auto"/>
              <w:bottom w:val="single" w:sz="12" w:space="0" w:color="auto"/>
            </w:tcBorders>
            <w:shd w:val="clear" w:color="auto" w:fill="auto"/>
            <w:vAlign w:val="bottom"/>
            <w:hideMark/>
          </w:tcPr>
          <w:p w14:paraId="0EB96815" w14:textId="487D22F5" w:rsidR="00D712D1" w:rsidRPr="00762EF1" w:rsidRDefault="00D712D1" w:rsidP="00762EF1">
            <w:pPr>
              <w:spacing w:before="80" w:after="80" w:line="200" w:lineRule="exact"/>
              <w:ind w:left="28"/>
              <w:jc w:val="right"/>
              <w:rPr>
                <w:rFonts w:eastAsia="Calibri" w:cs="Times New Roman"/>
                <w:i/>
                <w:sz w:val="16"/>
              </w:rPr>
            </w:pPr>
            <w:r w:rsidRPr="00762EF1">
              <w:rPr>
                <w:rFonts w:cs="Times New Roman"/>
                <w:i/>
                <w:sz w:val="16"/>
              </w:rPr>
              <w:t xml:space="preserve">2023 год </w:t>
            </w:r>
            <w:r w:rsidR="00762EF1">
              <w:rPr>
                <w:rFonts w:cs="Times New Roman"/>
                <w:i/>
                <w:sz w:val="16"/>
              </w:rPr>
              <w:br/>
            </w:r>
            <w:r w:rsidRPr="00762EF1">
              <w:rPr>
                <w:rFonts w:cs="Times New Roman"/>
                <w:i/>
                <w:sz w:val="16"/>
              </w:rPr>
              <w:t xml:space="preserve">Показатель, запланированный </w:t>
            </w:r>
            <w:r w:rsidR="00762EF1">
              <w:rPr>
                <w:rFonts w:cs="Times New Roman"/>
                <w:i/>
                <w:sz w:val="16"/>
              </w:rPr>
              <w:br/>
            </w:r>
            <w:r w:rsidRPr="00762EF1">
              <w:rPr>
                <w:rFonts w:cs="Times New Roman"/>
                <w:i/>
                <w:sz w:val="16"/>
              </w:rPr>
              <w:t xml:space="preserve">в </w:t>
            </w:r>
            <w:r w:rsidRPr="0023343F">
              <w:rPr>
                <w:rFonts w:cs="Times New Roman"/>
                <w:i/>
                <w:sz w:val="16"/>
              </w:rPr>
              <w:t xml:space="preserve">A/77/6 </w:t>
            </w:r>
            <w:r w:rsidRPr="00762EF1">
              <w:rPr>
                <w:rFonts w:cs="Times New Roman"/>
                <w:i/>
                <w:sz w:val="16"/>
              </w:rPr>
              <w:t xml:space="preserve">(раздел 20) </w:t>
            </w:r>
          </w:p>
        </w:tc>
        <w:tc>
          <w:tcPr>
            <w:tcW w:w="1565" w:type="dxa"/>
            <w:tcBorders>
              <w:top w:val="single" w:sz="4" w:space="0" w:color="auto"/>
              <w:bottom w:val="single" w:sz="12" w:space="0" w:color="auto"/>
            </w:tcBorders>
            <w:shd w:val="clear" w:color="auto" w:fill="auto"/>
            <w:vAlign w:val="bottom"/>
            <w:hideMark/>
          </w:tcPr>
          <w:p w14:paraId="79DA9470" w14:textId="0372E52A" w:rsidR="00D712D1" w:rsidRPr="00762EF1" w:rsidRDefault="00D712D1" w:rsidP="00762EF1">
            <w:pPr>
              <w:spacing w:before="80" w:after="80" w:line="200" w:lineRule="exact"/>
              <w:ind w:left="28"/>
              <w:jc w:val="right"/>
              <w:rPr>
                <w:rFonts w:eastAsia="Calibri" w:cs="Times New Roman"/>
                <w:i/>
                <w:sz w:val="16"/>
              </w:rPr>
            </w:pPr>
            <w:r w:rsidRPr="00762EF1">
              <w:rPr>
                <w:rFonts w:cs="Times New Roman"/>
                <w:i/>
                <w:sz w:val="16"/>
              </w:rPr>
              <w:t xml:space="preserve">2023 год Пересмотренный </w:t>
            </w:r>
            <w:r w:rsidR="00762EF1">
              <w:rPr>
                <w:rFonts w:cs="Times New Roman"/>
                <w:i/>
                <w:sz w:val="16"/>
              </w:rPr>
              <w:br/>
            </w:r>
            <w:r w:rsidRPr="00762EF1">
              <w:rPr>
                <w:rFonts w:cs="Times New Roman"/>
                <w:i/>
                <w:sz w:val="16"/>
              </w:rPr>
              <w:t>или дополнительный показатель</w:t>
            </w:r>
          </w:p>
        </w:tc>
      </w:tr>
      <w:tr w:rsidR="00762EF1" w:rsidRPr="00762EF1" w14:paraId="4E371404" w14:textId="77777777" w:rsidTr="00762EF1">
        <w:tc>
          <w:tcPr>
            <w:tcW w:w="5501" w:type="dxa"/>
            <w:tcBorders>
              <w:top w:val="single" w:sz="12" w:space="0" w:color="auto"/>
            </w:tcBorders>
            <w:shd w:val="clear" w:color="auto" w:fill="auto"/>
            <w:hideMark/>
          </w:tcPr>
          <w:p w14:paraId="591712A0" w14:textId="77777777" w:rsidR="00D712D1" w:rsidRPr="00762EF1" w:rsidRDefault="00D712D1" w:rsidP="00762EF1">
            <w:pPr>
              <w:spacing w:before="40" w:after="40" w:line="220" w:lineRule="exact"/>
              <w:ind w:left="283" w:hanging="283"/>
              <w:rPr>
                <w:rFonts w:eastAsia="Calibri" w:cs="Times New Roman"/>
                <w:b/>
                <w:strike/>
                <w:sz w:val="18"/>
              </w:rPr>
            </w:pPr>
            <w:r w:rsidRPr="00762EF1">
              <w:rPr>
                <w:rFonts w:cs="Times New Roman"/>
                <w:b/>
                <w:bCs/>
                <w:sz w:val="18"/>
              </w:rPr>
              <w:t>A.</w:t>
            </w:r>
            <w:r w:rsidRPr="00762EF1">
              <w:rPr>
                <w:rFonts w:cs="Times New Roman"/>
                <w:sz w:val="18"/>
              </w:rPr>
              <w:tab/>
            </w:r>
            <w:r w:rsidRPr="00762EF1">
              <w:rPr>
                <w:rFonts w:cs="Times New Roman"/>
                <w:b/>
                <w:bCs/>
                <w:sz w:val="18"/>
              </w:rPr>
              <w:t>Содействие межправительственному процессу и работе экспертных органов</w:t>
            </w:r>
          </w:p>
        </w:tc>
        <w:tc>
          <w:tcPr>
            <w:tcW w:w="1438" w:type="dxa"/>
            <w:tcBorders>
              <w:top w:val="single" w:sz="12" w:space="0" w:color="auto"/>
            </w:tcBorders>
            <w:shd w:val="clear" w:color="auto" w:fill="auto"/>
            <w:vAlign w:val="bottom"/>
          </w:tcPr>
          <w:p w14:paraId="653266BB" w14:textId="77777777" w:rsidR="00D712D1" w:rsidRPr="00762EF1" w:rsidRDefault="00D712D1" w:rsidP="00762EF1">
            <w:pPr>
              <w:spacing w:before="40" w:after="40" w:line="220" w:lineRule="exact"/>
              <w:jc w:val="right"/>
              <w:rPr>
                <w:rFonts w:eastAsia="Calibri" w:cs="Times New Roman"/>
                <w:b/>
                <w:sz w:val="18"/>
                <w:lang w:eastAsia="zh-CN"/>
              </w:rPr>
            </w:pPr>
          </w:p>
        </w:tc>
        <w:tc>
          <w:tcPr>
            <w:tcW w:w="1565" w:type="dxa"/>
            <w:tcBorders>
              <w:top w:val="single" w:sz="12" w:space="0" w:color="auto"/>
            </w:tcBorders>
            <w:shd w:val="clear" w:color="auto" w:fill="auto"/>
            <w:vAlign w:val="bottom"/>
          </w:tcPr>
          <w:p w14:paraId="599BEF45" w14:textId="77777777" w:rsidR="00D712D1" w:rsidRPr="00762EF1" w:rsidRDefault="00D712D1" w:rsidP="00762EF1">
            <w:pPr>
              <w:spacing w:before="40" w:after="40" w:line="220" w:lineRule="exact"/>
              <w:jc w:val="right"/>
              <w:rPr>
                <w:rFonts w:eastAsia="Calibri" w:cs="Times New Roman"/>
                <w:b/>
                <w:sz w:val="18"/>
                <w:lang w:eastAsia="zh-CN"/>
              </w:rPr>
            </w:pPr>
          </w:p>
        </w:tc>
      </w:tr>
      <w:tr w:rsidR="00762EF1" w:rsidRPr="00762EF1" w14:paraId="0ABE038B" w14:textId="77777777" w:rsidTr="00762EF1">
        <w:tc>
          <w:tcPr>
            <w:tcW w:w="5501" w:type="dxa"/>
            <w:shd w:val="clear" w:color="auto" w:fill="auto"/>
            <w:hideMark/>
          </w:tcPr>
          <w:p w14:paraId="3207B126" w14:textId="77777777" w:rsidR="00D712D1" w:rsidRPr="00762EF1" w:rsidRDefault="00D712D1" w:rsidP="00762EF1">
            <w:pPr>
              <w:tabs>
                <w:tab w:val="left" w:pos="275"/>
              </w:tabs>
              <w:spacing w:before="40" w:after="40" w:line="220" w:lineRule="exact"/>
              <w:rPr>
                <w:rFonts w:eastAsia="Calibri" w:cs="Times New Roman"/>
                <w:b/>
                <w:strike/>
                <w:sz w:val="18"/>
              </w:rPr>
            </w:pPr>
            <w:r w:rsidRPr="00762EF1">
              <w:rPr>
                <w:rFonts w:cs="Times New Roman"/>
                <w:sz w:val="18"/>
              </w:rPr>
              <w:tab/>
            </w:r>
            <w:r w:rsidRPr="00762EF1">
              <w:rPr>
                <w:rFonts w:cs="Times New Roman"/>
                <w:b/>
                <w:bCs/>
                <w:sz w:val="18"/>
              </w:rPr>
              <w:t xml:space="preserve">Пересмотренные/дополнительные показатели в отношении документации для заседающих органов </w:t>
            </w:r>
            <w:r w:rsidRPr="00762EF1">
              <w:rPr>
                <w:rFonts w:cs="Times New Roman"/>
                <w:sz w:val="18"/>
              </w:rPr>
              <w:t>(количество документов)</w:t>
            </w:r>
          </w:p>
        </w:tc>
        <w:tc>
          <w:tcPr>
            <w:tcW w:w="1438" w:type="dxa"/>
            <w:shd w:val="clear" w:color="auto" w:fill="auto"/>
            <w:vAlign w:val="bottom"/>
          </w:tcPr>
          <w:p w14:paraId="6C23D485" w14:textId="255AB8DC" w:rsidR="00D712D1" w:rsidRPr="00762EF1" w:rsidRDefault="00D712D1" w:rsidP="00762EF1">
            <w:pPr>
              <w:spacing w:before="40" w:after="40" w:line="220" w:lineRule="exact"/>
              <w:jc w:val="right"/>
              <w:rPr>
                <w:rFonts w:eastAsia="Calibri" w:cs="Times New Roman"/>
                <w:b/>
                <w:bCs/>
                <w:sz w:val="18"/>
              </w:rPr>
            </w:pPr>
            <w:r w:rsidRPr="00762EF1">
              <w:rPr>
                <w:rFonts w:cs="Times New Roman"/>
                <w:b/>
                <w:bCs/>
                <w:sz w:val="18"/>
              </w:rPr>
              <w:t>1</w:t>
            </w:r>
            <w:r w:rsidR="00762EF1">
              <w:rPr>
                <w:rFonts w:cs="Times New Roman"/>
                <w:b/>
                <w:bCs/>
                <w:sz w:val="18"/>
              </w:rPr>
              <w:t xml:space="preserve"> </w:t>
            </w:r>
            <w:r w:rsidRPr="00762EF1">
              <w:rPr>
                <w:rFonts w:cs="Times New Roman"/>
                <w:b/>
                <w:bCs/>
                <w:sz w:val="18"/>
              </w:rPr>
              <w:t>266</w:t>
            </w:r>
          </w:p>
        </w:tc>
        <w:tc>
          <w:tcPr>
            <w:tcW w:w="1565" w:type="dxa"/>
            <w:shd w:val="clear" w:color="auto" w:fill="auto"/>
            <w:vAlign w:val="bottom"/>
          </w:tcPr>
          <w:p w14:paraId="359CEABA" w14:textId="24729828" w:rsidR="00D712D1" w:rsidRPr="00762EF1" w:rsidRDefault="00D712D1" w:rsidP="00762EF1">
            <w:pPr>
              <w:spacing w:before="40" w:after="40" w:line="220" w:lineRule="exact"/>
              <w:jc w:val="right"/>
              <w:rPr>
                <w:rFonts w:eastAsia="Calibri" w:cs="Times New Roman"/>
                <w:b/>
                <w:bCs/>
                <w:sz w:val="18"/>
              </w:rPr>
            </w:pPr>
            <w:r w:rsidRPr="00762EF1">
              <w:rPr>
                <w:rFonts w:cs="Times New Roman"/>
                <w:b/>
                <w:bCs/>
                <w:sz w:val="18"/>
              </w:rPr>
              <w:t>1</w:t>
            </w:r>
            <w:r w:rsidR="00762EF1">
              <w:rPr>
                <w:rFonts w:cs="Times New Roman"/>
                <w:b/>
                <w:bCs/>
                <w:sz w:val="18"/>
              </w:rPr>
              <w:t xml:space="preserve"> </w:t>
            </w:r>
            <w:r w:rsidRPr="00762EF1">
              <w:rPr>
                <w:rFonts w:cs="Times New Roman"/>
                <w:b/>
                <w:bCs/>
                <w:sz w:val="18"/>
              </w:rPr>
              <w:t>281</w:t>
            </w:r>
          </w:p>
          <w:p w14:paraId="5FE5B783" w14:textId="77777777" w:rsidR="00D712D1" w:rsidRPr="00762EF1" w:rsidRDefault="00D712D1" w:rsidP="00762EF1">
            <w:pPr>
              <w:spacing w:before="40" w:after="40" w:line="220" w:lineRule="exact"/>
              <w:jc w:val="right"/>
              <w:rPr>
                <w:rFonts w:eastAsia="Calibri" w:cs="Times New Roman"/>
                <w:b/>
                <w:bCs/>
                <w:sz w:val="18"/>
                <w:lang w:eastAsia="zh-CN"/>
              </w:rPr>
            </w:pPr>
          </w:p>
        </w:tc>
      </w:tr>
      <w:tr w:rsidR="00762EF1" w:rsidRPr="00762EF1" w14:paraId="3043FA14" w14:textId="77777777" w:rsidTr="00762EF1">
        <w:tc>
          <w:tcPr>
            <w:tcW w:w="5501" w:type="dxa"/>
            <w:shd w:val="clear" w:color="auto" w:fill="auto"/>
            <w:hideMark/>
          </w:tcPr>
          <w:p w14:paraId="369AB500" w14:textId="77777777" w:rsidR="00D712D1" w:rsidRPr="00762EF1" w:rsidRDefault="00D712D1" w:rsidP="00762EF1">
            <w:pPr>
              <w:spacing w:before="40" w:after="40" w:line="220" w:lineRule="exact"/>
              <w:ind w:left="567" w:hanging="284"/>
              <w:rPr>
                <w:rFonts w:eastAsia="Calibri" w:cs="Times New Roman"/>
                <w:b/>
                <w:bCs/>
                <w:sz w:val="18"/>
              </w:rPr>
            </w:pPr>
            <w:r w:rsidRPr="00762EF1">
              <w:rPr>
                <w:rFonts w:cs="Times New Roman"/>
                <w:b/>
                <w:bCs/>
                <w:sz w:val="18"/>
              </w:rPr>
              <w:t>1.</w:t>
            </w:r>
            <w:r w:rsidRPr="00762EF1">
              <w:rPr>
                <w:rFonts w:cs="Times New Roman"/>
                <w:sz w:val="18"/>
              </w:rPr>
              <w:tab/>
            </w:r>
            <w:r w:rsidRPr="00762EF1">
              <w:rPr>
                <w:rFonts w:cs="Times New Roman"/>
                <w:b/>
                <w:bCs/>
                <w:sz w:val="18"/>
              </w:rPr>
              <w:t>Пересмотренные/дополнительные показатели в отношении документации для Комитета по внутреннему транспорту</w:t>
            </w:r>
          </w:p>
        </w:tc>
        <w:tc>
          <w:tcPr>
            <w:tcW w:w="1438" w:type="dxa"/>
            <w:shd w:val="clear" w:color="auto" w:fill="auto"/>
            <w:vAlign w:val="bottom"/>
          </w:tcPr>
          <w:p w14:paraId="681EA21B" w14:textId="580A99AC" w:rsidR="00D712D1" w:rsidRPr="00762EF1" w:rsidRDefault="00D712D1" w:rsidP="00762EF1">
            <w:pPr>
              <w:spacing w:before="40" w:after="40" w:line="220" w:lineRule="exact"/>
              <w:jc w:val="right"/>
              <w:rPr>
                <w:rFonts w:eastAsia="Calibri" w:cs="Times New Roman"/>
                <w:b/>
                <w:bCs/>
                <w:sz w:val="18"/>
              </w:rPr>
            </w:pPr>
            <w:r w:rsidRPr="00762EF1">
              <w:rPr>
                <w:rFonts w:cs="Times New Roman"/>
                <w:b/>
                <w:bCs/>
                <w:sz w:val="18"/>
              </w:rPr>
              <w:t>1</w:t>
            </w:r>
            <w:r w:rsidR="00762EF1">
              <w:rPr>
                <w:rFonts w:cs="Times New Roman"/>
                <w:b/>
                <w:bCs/>
                <w:sz w:val="18"/>
              </w:rPr>
              <w:t xml:space="preserve"> </w:t>
            </w:r>
            <w:r w:rsidRPr="00762EF1">
              <w:rPr>
                <w:rFonts w:cs="Times New Roman"/>
                <w:b/>
                <w:bCs/>
                <w:sz w:val="18"/>
              </w:rPr>
              <w:t>080</w:t>
            </w:r>
          </w:p>
        </w:tc>
        <w:tc>
          <w:tcPr>
            <w:tcW w:w="1565" w:type="dxa"/>
            <w:shd w:val="clear" w:color="auto" w:fill="auto"/>
            <w:vAlign w:val="bottom"/>
          </w:tcPr>
          <w:p w14:paraId="7A3DCF3B" w14:textId="5B43EDE7" w:rsidR="00D712D1" w:rsidRPr="00762EF1" w:rsidRDefault="00D712D1" w:rsidP="00762EF1">
            <w:pPr>
              <w:spacing w:before="40" w:after="40" w:line="220" w:lineRule="exact"/>
              <w:jc w:val="right"/>
              <w:rPr>
                <w:rFonts w:eastAsia="Calibri" w:cs="Times New Roman"/>
                <w:b/>
                <w:bCs/>
                <w:sz w:val="18"/>
              </w:rPr>
            </w:pPr>
            <w:r w:rsidRPr="00762EF1">
              <w:rPr>
                <w:rFonts w:cs="Times New Roman"/>
                <w:b/>
                <w:bCs/>
                <w:sz w:val="18"/>
              </w:rPr>
              <w:t>1</w:t>
            </w:r>
            <w:r w:rsidR="00762EF1">
              <w:rPr>
                <w:rFonts w:cs="Times New Roman"/>
                <w:b/>
                <w:bCs/>
                <w:sz w:val="18"/>
              </w:rPr>
              <w:t xml:space="preserve"> </w:t>
            </w:r>
            <w:r w:rsidRPr="00762EF1">
              <w:rPr>
                <w:rFonts w:cs="Times New Roman"/>
                <w:b/>
                <w:bCs/>
                <w:sz w:val="18"/>
              </w:rPr>
              <w:t>095</w:t>
            </w:r>
          </w:p>
        </w:tc>
      </w:tr>
      <w:tr w:rsidR="00762EF1" w:rsidRPr="00762EF1" w14:paraId="23C746A2" w14:textId="77777777" w:rsidTr="00762EF1">
        <w:tc>
          <w:tcPr>
            <w:tcW w:w="5501" w:type="dxa"/>
            <w:shd w:val="clear" w:color="auto" w:fill="auto"/>
            <w:hideMark/>
          </w:tcPr>
          <w:p w14:paraId="3ADD9D9E" w14:textId="23A6D7A3" w:rsidR="00D712D1" w:rsidRPr="00762EF1" w:rsidRDefault="00D712D1" w:rsidP="00762EF1">
            <w:pPr>
              <w:tabs>
                <w:tab w:val="left" w:pos="855"/>
              </w:tabs>
              <w:spacing w:before="40" w:after="40" w:line="220" w:lineRule="exact"/>
              <w:ind w:left="566"/>
              <w:rPr>
                <w:rFonts w:eastAsia="Calibri" w:cs="Times New Roman"/>
                <w:sz w:val="18"/>
              </w:rPr>
            </w:pPr>
            <w:r w:rsidRPr="00762EF1">
              <w:rPr>
                <w:rFonts w:cs="Times New Roman"/>
                <w:sz w:val="18"/>
              </w:rPr>
              <w:t>a.</w:t>
            </w:r>
            <w:r w:rsidR="00762EF1">
              <w:rPr>
                <w:rFonts w:cs="Times New Roman"/>
                <w:sz w:val="18"/>
              </w:rPr>
              <w:tab/>
            </w:r>
            <w:r w:rsidRPr="00762EF1">
              <w:rPr>
                <w:rFonts w:cs="Times New Roman"/>
                <w:sz w:val="18"/>
              </w:rPr>
              <w:t xml:space="preserve">Комитет по внутреннему транспорту </w:t>
            </w:r>
          </w:p>
        </w:tc>
        <w:tc>
          <w:tcPr>
            <w:tcW w:w="1438" w:type="dxa"/>
            <w:shd w:val="clear" w:color="auto" w:fill="auto"/>
            <w:vAlign w:val="bottom"/>
          </w:tcPr>
          <w:p w14:paraId="62F493C2"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31</w:t>
            </w:r>
          </w:p>
        </w:tc>
        <w:tc>
          <w:tcPr>
            <w:tcW w:w="1565" w:type="dxa"/>
            <w:shd w:val="clear" w:color="auto" w:fill="auto"/>
            <w:vAlign w:val="bottom"/>
          </w:tcPr>
          <w:p w14:paraId="5BD55FC1"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46</w:t>
            </w:r>
          </w:p>
        </w:tc>
      </w:tr>
      <w:tr w:rsidR="00762EF1" w:rsidRPr="00762EF1" w14:paraId="2F66F577" w14:textId="77777777" w:rsidTr="00762EF1">
        <w:tc>
          <w:tcPr>
            <w:tcW w:w="5501" w:type="dxa"/>
            <w:shd w:val="clear" w:color="auto" w:fill="auto"/>
            <w:hideMark/>
          </w:tcPr>
          <w:p w14:paraId="2EED6E53" w14:textId="77777777" w:rsidR="00D712D1" w:rsidRPr="00762EF1" w:rsidRDefault="00D712D1" w:rsidP="00762EF1">
            <w:pPr>
              <w:spacing w:before="40" w:after="40" w:line="220" w:lineRule="exact"/>
              <w:ind w:left="567" w:hanging="284"/>
              <w:rPr>
                <w:rFonts w:eastAsia="Calibri" w:cs="Times New Roman"/>
                <w:b/>
                <w:bCs/>
                <w:sz w:val="18"/>
              </w:rPr>
            </w:pPr>
            <w:r w:rsidRPr="00762EF1">
              <w:rPr>
                <w:rFonts w:cs="Times New Roman"/>
                <w:b/>
                <w:bCs/>
                <w:sz w:val="18"/>
              </w:rPr>
              <w:t>2.</w:t>
            </w:r>
            <w:r w:rsidRPr="00762EF1">
              <w:rPr>
                <w:rFonts w:cs="Times New Roman"/>
                <w:sz w:val="18"/>
              </w:rPr>
              <w:tab/>
            </w:r>
            <w:r w:rsidRPr="00762EF1">
              <w:rPr>
                <w:rFonts w:cs="Times New Roman"/>
                <w:b/>
                <w:bCs/>
                <w:sz w:val="18"/>
              </w:rPr>
              <w:t>Пересмотренные/дополнительные показатели в отношении документации для Экономического и Социального Совета</w:t>
            </w:r>
          </w:p>
        </w:tc>
        <w:tc>
          <w:tcPr>
            <w:tcW w:w="1438" w:type="dxa"/>
            <w:shd w:val="clear" w:color="auto" w:fill="auto"/>
            <w:vAlign w:val="bottom"/>
          </w:tcPr>
          <w:p w14:paraId="65AE25D7"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c>
          <w:tcPr>
            <w:tcW w:w="1565" w:type="dxa"/>
            <w:shd w:val="clear" w:color="auto" w:fill="auto"/>
            <w:vAlign w:val="bottom"/>
          </w:tcPr>
          <w:p w14:paraId="64EE9214"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r>
      <w:tr w:rsidR="00762EF1" w:rsidRPr="00762EF1" w14:paraId="0981B226" w14:textId="77777777" w:rsidTr="00762EF1">
        <w:tc>
          <w:tcPr>
            <w:tcW w:w="5501" w:type="dxa"/>
            <w:shd w:val="clear" w:color="auto" w:fill="auto"/>
          </w:tcPr>
          <w:p w14:paraId="1BE394CC" w14:textId="77777777" w:rsidR="00D712D1" w:rsidRPr="00762EF1" w:rsidRDefault="00D712D1" w:rsidP="00762EF1">
            <w:pPr>
              <w:spacing w:before="40" w:after="40" w:line="220" w:lineRule="exact"/>
              <w:ind w:left="567" w:hanging="284"/>
              <w:rPr>
                <w:rFonts w:eastAsia="Calibri" w:cs="Times New Roman"/>
                <w:sz w:val="18"/>
              </w:rPr>
            </w:pPr>
            <w:r w:rsidRPr="00762EF1">
              <w:rPr>
                <w:rFonts w:cs="Times New Roman"/>
                <w:b/>
                <w:bCs/>
                <w:sz w:val="18"/>
              </w:rPr>
              <w:t>3.</w:t>
            </w:r>
            <w:r w:rsidRPr="00762EF1">
              <w:rPr>
                <w:rFonts w:cs="Times New Roman"/>
                <w:sz w:val="18"/>
              </w:rPr>
              <w:tab/>
            </w:r>
            <w:r w:rsidRPr="00762EF1">
              <w:rPr>
                <w:rFonts w:cs="Times New Roman"/>
                <w:b/>
                <w:bCs/>
                <w:sz w:val="18"/>
              </w:rPr>
              <w:t>Пересмотренные/дополнительные показатели в отношении документации для Совещания высокого уровня по транспорту, окружающей среде и охране здоровья</w:t>
            </w:r>
          </w:p>
        </w:tc>
        <w:tc>
          <w:tcPr>
            <w:tcW w:w="1438" w:type="dxa"/>
            <w:shd w:val="clear" w:color="auto" w:fill="auto"/>
            <w:vAlign w:val="bottom"/>
          </w:tcPr>
          <w:p w14:paraId="04D0234A"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c>
          <w:tcPr>
            <w:tcW w:w="1565" w:type="dxa"/>
            <w:shd w:val="clear" w:color="auto" w:fill="auto"/>
            <w:vAlign w:val="bottom"/>
          </w:tcPr>
          <w:p w14:paraId="3FE684CE"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r>
      <w:tr w:rsidR="00762EF1" w:rsidRPr="00762EF1" w14:paraId="17A94CE0" w14:textId="77777777" w:rsidTr="00762EF1">
        <w:tc>
          <w:tcPr>
            <w:tcW w:w="5501" w:type="dxa"/>
            <w:shd w:val="clear" w:color="auto" w:fill="auto"/>
            <w:hideMark/>
          </w:tcPr>
          <w:p w14:paraId="4F9C1114" w14:textId="7EB0D7A6" w:rsidR="00D712D1" w:rsidRPr="00762EF1" w:rsidRDefault="00D712D1" w:rsidP="00762EF1">
            <w:pPr>
              <w:tabs>
                <w:tab w:val="left" w:pos="275"/>
              </w:tabs>
              <w:spacing w:before="40" w:after="40" w:line="220" w:lineRule="exact"/>
              <w:ind w:left="275" w:hanging="275"/>
              <w:rPr>
                <w:rFonts w:eastAsia="Calibri" w:cs="Times New Roman"/>
                <w:sz w:val="18"/>
              </w:rPr>
            </w:pPr>
            <w:r w:rsidRPr="00762EF1">
              <w:rPr>
                <w:rFonts w:cs="Times New Roman"/>
                <w:sz w:val="18"/>
              </w:rPr>
              <w:tab/>
            </w:r>
            <w:r w:rsidR="00762EF1">
              <w:rPr>
                <w:rFonts w:cs="Times New Roman"/>
                <w:sz w:val="18"/>
              </w:rPr>
              <w:tab/>
            </w:r>
            <w:r w:rsidRPr="00762EF1">
              <w:rPr>
                <w:rFonts w:cs="Times New Roman"/>
                <w:b/>
                <w:bCs/>
                <w:sz w:val="18"/>
              </w:rPr>
              <w:t xml:space="preserve">Пересмотренные/дополнительные </w:t>
            </w:r>
            <w:r w:rsidRPr="00762EF1">
              <w:rPr>
                <w:rFonts w:cs="Times New Roman"/>
                <w:sz w:val="18"/>
              </w:rPr>
              <w:t>показатели в отношении основного обслуживания заседаний (количество трехчасовых заседаний)</w:t>
            </w:r>
          </w:p>
        </w:tc>
        <w:tc>
          <w:tcPr>
            <w:tcW w:w="1438" w:type="dxa"/>
            <w:shd w:val="clear" w:color="auto" w:fill="auto"/>
            <w:vAlign w:val="bottom"/>
          </w:tcPr>
          <w:p w14:paraId="31480BBA" w14:textId="77777777" w:rsidR="00D712D1" w:rsidRPr="00762EF1" w:rsidRDefault="00D712D1" w:rsidP="00762EF1">
            <w:pPr>
              <w:spacing w:before="40" w:after="40" w:line="220" w:lineRule="exact"/>
              <w:jc w:val="right"/>
              <w:rPr>
                <w:rFonts w:eastAsia="Calibri" w:cs="Times New Roman"/>
                <w:b/>
                <w:bCs/>
                <w:sz w:val="18"/>
              </w:rPr>
            </w:pPr>
            <w:r w:rsidRPr="00762EF1">
              <w:rPr>
                <w:rFonts w:cs="Times New Roman"/>
                <w:sz w:val="18"/>
              </w:rPr>
              <w:t>Без изменений</w:t>
            </w:r>
          </w:p>
        </w:tc>
        <w:tc>
          <w:tcPr>
            <w:tcW w:w="1565" w:type="dxa"/>
            <w:shd w:val="clear" w:color="auto" w:fill="auto"/>
            <w:vAlign w:val="bottom"/>
          </w:tcPr>
          <w:p w14:paraId="33F6A1C8" w14:textId="77777777" w:rsidR="00D712D1" w:rsidRPr="00762EF1" w:rsidRDefault="00D712D1" w:rsidP="00762EF1">
            <w:pPr>
              <w:spacing w:before="40" w:after="40" w:line="220" w:lineRule="exact"/>
              <w:jc w:val="right"/>
              <w:rPr>
                <w:rFonts w:eastAsia="Calibri" w:cs="Times New Roman"/>
                <w:b/>
                <w:bCs/>
                <w:sz w:val="18"/>
              </w:rPr>
            </w:pPr>
            <w:r w:rsidRPr="00762EF1">
              <w:rPr>
                <w:rFonts w:cs="Times New Roman"/>
                <w:sz w:val="18"/>
              </w:rPr>
              <w:t>Без изменений</w:t>
            </w:r>
          </w:p>
        </w:tc>
      </w:tr>
      <w:tr w:rsidR="00762EF1" w:rsidRPr="00762EF1" w14:paraId="3FECDC78" w14:textId="77777777" w:rsidTr="00762EF1">
        <w:tc>
          <w:tcPr>
            <w:tcW w:w="5501" w:type="dxa"/>
            <w:shd w:val="clear" w:color="auto" w:fill="auto"/>
            <w:hideMark/>
          </w:tcPr>
          <w:p w14:paraId="54F6F156" w14:textId="77777777" w:rsidR="00D712D1" w:rsidRPr="00762EF1" w:rsidRDefault="00D712D1" w:rsidP="00762EF1">
            <w:pPr>
              <w:spacing w:before="40" w:after="40" w:line="220" w:lineRule="exact"/>
              <w:ind w:left="567" w:hanging="284"/>
              <w:rPr>
                <w:rFonts w:eastAsia="Calibri" w:cs="Times New Roman"/>
                <w:sz w:val="18"/>
              </w:rPr>
            </w:pPr>
            <w:r w:rsidRPr="00762EF1">
              <w:rPr>
                <w:rFonts w:cs="Times New Roman"/>
                <w:b/>
                <w:bCs/>
                <w:sz w:val="18"/>
              </w:rPr>
              <w:t>4.</w:t>
            </w:r>
            <w:r w:rsidRPr="00762EF1">
              <w:rPr>
                <w:rFonts w:cs="Times New Roman"/>
                <w:sz w:val="18"/>
              </w:rPr>
              <w:tab/>
            </w:r>
            <w:r w:rsidRPr="00762EF1">
              <w:rPr>
                <w:rFonts w:cs="Times New Roman"/>
                <w:b/>
                <w:bCs/>
                <w:sz w:val="18"/>
              </w:rPr>
              <w:t>Пересмотренные/дополнительные показатели в отношении заседаний Комитета по внутреннему транспорту</w:t>
            </w:r>
          </w:p>
        </w:tc>
        <w:tc>
          <w:tcPr>
            <w:tcW w:w="1438" w:type="dxa"/>
            <w:shd w:val="clear" w:color="auto" w:fill="auto"/>
            <w:vAlign w:val="bottom"/>
          </w:tcPr>
          <w:p w14:paraId="2095406B"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c>
          <w:tcPr>
            <w:tcW w:w="1565" w:type="dxa"/>
            <w:shd w:val="clear" w:color="auto" w:fill="auto"/>
            <w:vAlign w:val="bottom"/>
          </w:tcPr>
          <w:p w14:paraId="18D509FD"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r>
      <w:tr w:rsidR="00762EF1" w:rsidRPr="00762EF1" w14:paraId="5A12401D" w14:textId="77777777" w:rsidTr="00762EF1">
        <w:tc>
          <w:tcPr>
            <w:tcW w:w="5501" w:type="dxa"/>
            <w:shd w:val="clear" w:color="auto" w:fill="auto"/>
            <w:hideMark/>
          </w:tcPr>
          <w:p w14:paraId="7CD2ABDA" w14:textId="77777777" w:rsidR="00D712D1" w:rsidRPr="00762EF1" w:rsidRDefault="00D712D1" w:rsidP="00762EF1">
            <w:pPr>
              <w:spacing w:before="40" w:after="40" w:line="220" w:lineRule="exact"/>
              <w:ind w:left="567" w:hanging="284"/>
              <w:rPr>
                <w:rFonts w:eastAsia="Calibri" w:cs="Times New Roman"/>
                <w:b/>
                <w:bCs/>
                <w:sz w:val="18"/>
              </w:rPr>
            </w:pPr>
            <w:r w:rsidRPr="00762EF1">
              <w:rPr>
                <w:rFonts w:cs="Times New Roman"/>
                <w:b/>
                <w:bCs/>
                <w:sz w:val="18"/>
              </w:rPr>
              <w:t>5.</w:t>
            </w:r>
            <w:r w:rsidRPr="00762EF1">
              <w:rPr>
                <w:rFonts w:cs="Times New Roman"/>
                <w:sz w:val="18"/>
              </w:rPr>
              <w:tab/>
            </w:r>
            <w:r w:rsidRPr="00762EF1">
              <w:rPr>
                <w:rFonts w:cs="Times New Roman"/>
                <w:b/>
                <w:bCs/>
                <w:sz w:val="18"/>
              </w:rPr>
              <w:t>Пересмотренные/дополнительные показатели в отношении заседаний Экономического и Социального Совета</w:t>
            </w:r>
          </w:p>
        </w:tc>
        <w:tc>
          <w:tcPr>
            <w:tcW w:w="1438" w:type="dxa"/>
            <w:shd w:val="clear" w:color="auto" w:fill="auto"/>
            <w:vAlign w:val="bottom"/>
          </w:tcPr>
          <w:p w14:paraId="3917B63E"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c>
          <w:tcPr>
            <w:tcW w:w="1565" w:type="dxa"/>
            <w:shd w:val="clear" w:color="auto" w:fill="auto"/>
            <w:vAlign w:val="bottom"/>
          </w:tcPr>
          <w:p w14:paraId="5DB73FAA"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r>
      <w:tr w:rsidR="00762EF1" w:rsidRPr="00762EF1" w14:paraId="3E95488C" w14:textId="77777777" w:rsidTr="00762EF1">
        <w:tc>
          <w:tcPr>
            <w:tcW w:w="5501" w:type="dxa"/>
            <w:tcBorders>
              <w:bottom w:val="single" w:sz="12" w:space="0" w:color="auto"/>
            </w:tcBorders>
            <w:shd w:val="clear" w:color="auto" w:fill="auto"/>
            <w:hideMark/>
          </w:tcPr>
          <w:p w14:paraId="09326CD5" w14:textId="77777777" w:rsidR="00D712D1" w:rsidRPr="00762EF1" w:rsidRDefault="00D712D1" w:rsidP="00762EF1">
            <w:pPr>
              <w:spacing w:before="40" w:after="40" w:line="220" w:lineRule="exact"/>
              <w:ind w:left="567" w:hanging="284"/>
              <w:rPr>
                <w:rFonts w:eastAsia="Calibri" w:cs="Times New Roman"/>
                <w:b/>
                <w:bCs/>
                <w:sz w:val="18"/>
              </w:rPr>
            </w:pPr>
            <w:r w:rsidRPr="00762EF1">
              <w:rPr>
                <w:rFonts w:cs="Times New Roman"/>
                <w:b/>
                <w:bCs/>
                <w:sz w:val="18"/>
              </w:rPr>
              <w:t>6.</w:t>
            </w:r>
            <w:r w:rsidRPr="00762EF1">
              <w:rPr>
                <w:rFonts w:cs="Times New Roman"/>
                <w:sz w:val="18"/>
              </w:rPr>
              <w:tab/>
            </w:r>
            <w:r w:rsidRPr="00762EF1">
              <w:rPr>
                <w:rFonts w:cs="Times New Roman"/>
                <w:b/>
                <w:bCs/>
                <w:sz w:val="18"/>
              </w:rPr>
              <w:t>Пересмотренные/дополнительные показатели в отношении заседаний Совещания высокого уровня по транспорту, окружающей среде и охране здоровья</w:t>
            </w:r>
          </w:p>
        </w:tc>
        <w:tc>
          <w:tcPr>
            <w:tcW w:w="1438" w:type="dxa"/>
            <w:tcBorders>
              <w:bottom w:val="single" w:sz="12" w:space="0" w:color="auto"/>
            </w:tcBorders>
            <w:shd w:val="clear" w:color="auto" w:fill="auto"/>
            <w:vAlign w:val="bottom"/>
            <w:hideMark/>
          </w:tcPr>
          <w:p w14:paraId="6E85E81D"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c>
          <w:tcPr>
            <w:tcW w:w="1565" w:type="dxa"/>
            <w:tcBorders>
              <w:bottom w:val="single" w:sz="12" w:space="0" w:color="auto"/>
            </w:tcBorders>
            <w:shd w:val="clear" w:color="auto" w:fill="auto"/>
            <w:vAlign w:val="bottom"/>
            <w:hideMark/>
          </w:tcPr>
          <w:p w14:paraId="22269E58" w14:textId="77777777" w:rsidR="00D712D1" w:rsidRPr="00762EF1" w:rsidRDefault="00D712D1" w:rsidP="00762EF1">
            <w:pPr>
              <w:spacing w:before="40" w:after="40" w:line="220" w:lineRule="exact"/>
              <w:jc w:val="right"/>
              <w:rPr>
                <w:rFonts w:eastAsia="Calibri" w:cs="Times New Roman"/>
                <w:sz w:val="18"/>
              </w:rPr>
            </w:pPr>
            <w:r w:rsidRPr="00762EF1">
              <w:rPr>
                <w:rFonts w:cs="Times New Roman"/>
                <w:sz w:val="18"/>
              </w:rPr>
              <w:t>Без изменений</w:t>
            </w:r>
          </w:p>
        </w:tc>
      </w:tr>
    </w:tbl>
    <w:p w14:paraId="5DBC707B" w14:textId="6A2F06DF" w:rsidR="00D712D1" w:rsidRPr="00D712D1" w:rsidRDefault="00D712D1" w:rsidP="00D712D1">
      <w:pPr>
        <w:spacing w:before="240"/>
        <w:jc w:val="center"/>
        <w:rPr>
          <w:u w:val="single"/>
        </w:rPr>
      </w:pPr>
      <w:r>
        <w:rPr>
          <w:u w:val="single"/>
        </w:rPr>
        <w:tab/>
      </w:r>
      <w:r>
        <w:rPr>
          <w:u w:val="single"/>
        </w:rPr>
        <w:tab/>
      </w:r>
      <w:r>
        <w:rPr>
          <w:u w:val="single"/>
        </w:rPr>
        <w:tab/>
      </w:r>
    </w:p>
    <w:sectPr w:rsidR="00D712D1" w:rsidRPr="00D712D1" w:rsidSect="00D712D1">
      <w:headerReference w:type="even" r:id="rId83"/>
      <w:headerReference w:type="default" r:id="rId84"/>
      <w:footerReference w:type="even" r:id="rId85"/>
      <w:footerReference w:type="default" r:id="rId86"/>
      <w:footerReference w:type="first" r:id="rId8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7507" w14:textId="77777777" w:rsidR="00512DFE" w:rsidRPr="00A312BC" w:rsidRDefault="00512DFE" w:rsidP="00A312BC"/>
  </w:endnote>
  <w:endnote w:type="continuationSeparator" w:id="0">
    <w:p w14:paraId="77FABA8D" w14:textId="77777777" w:rsidR="00512DFE" w:rsidRPr="00A312BC" w:rsidRDefault="00512DF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3DF" w14:textId="6AF9E0D5" w:rsidR="00D712D1" w:rsidRPr="00D712D1" w:rsidRDefault="00D712D1">
    <w:pPr>
      <w:pStyle w:val="a8"/>
    </w:pPr>
    <w:r w:rsidRPr="00D712D1">
      <w:rPr>
        <w:b/>
        <w:sz w:val="18"/>
      </w:rPr>
      <w:fldChar w:fldCharType="begin"/>
    </w:r>
    <w:r w:rsidRPr="00D712D1">
      <w:rPr>
        <w:b/>
        <w:sz w:val="18"/>
      </w:rPr>
      <w:instrText xml:space="preserve"> PAGE  \* MERGEFORMAT </w:instrText>
    </w:r>
    <w:r w:rsidRPr="00D712D1">
      <w:rPr>
        <w:b/>
        <w:sz w:val="18"/>
      </w:rPr>
      <w:fldChar w:fldCharType="separate"/>
    </w:r>
    <w:r w:rsidRPr="00D712D1">
      <w:rPr>
        <w:b/>
        <w:noProof/>
        <w:sz w:val="18"/>
      </w:rPr>
      <w:t>2</w:t>
    </w:r>
    <w:r w:rsidRPr="00D712D1">
      <w:rPr>
        <w:b/>
        <w:sz w:val="18"/>
      </w:rPr>
      <w:fldChar w:fldCharType="end"/>
    </w:r>
    <w:r>
      <w:rPr>
        <w:b/>
        <w:sz w:val="18"/>
      </w:rPr>
      <w:tab/>
    </w:r>
    <w:r>
      <w:t>GE.22-28206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7B8D" w14:textId="35FF0301" w:rsidR="00D712D1" w:rsidRPr="00D712D1" w:rsidRDefault="00D712D1" w:rsidP="00D712D1">
    <w:pPr>
      <w:pStyle w:val="a8"/>
      <w:tabs>
        <w:tab w:val="clear" w:pos="9639"/>
        <w:tab w:val="right" w:pos="9638"/>
      </w:tabs>
      <w:rPr>
        <w:b/>
        <w:sz w:val="18"/>
      </w:rPr>
    </w:pPr>
    <w:r>
      <w:t>GE.22-28206</w:t>
    </w:r>
    <w:r>
      <w:tab/>
    </w:r>
    <w:r w:rsidRPr="00D712D1">
      <w:rPr>
        <w:b/>
        <w:sz w:val="18"/>
      </w:rPr>
      <w:fldChar w:fldCharType="begin"/>
    </w:r>
    <w:r w:rsidRPr="00D712D1">
      <w:rPr>
        <w:b/>
        <w:sz w:val="18"/>
      </w:rPr>
      <w:instrText xml:space="preserve"> PAGE  \* MERGEFORMAT </w:instrText>
    </w:r>
    <w:r w:rsidRPr="00D712D1">
      <w:rPr>
        <w:b/>
        <w:sz w:val="18"/>
      </w:rPr>
      <w:fldChar w:fldCharType="separate"/>
    </w:r>
    <w:r w:rsidRPr="00D712D1">
      <w:rPr>
        <w:b/>
        <w:noProof/>
        <w:sz w:val="18"/>
      </w:rPr>
      <w:t>3</w:t>
    </w:r>
    <w:r w:rsidRPr="00D712D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BC72" w14:textId="45E1862D" w:rsidR="00042B72" w:rsidRPr="0065310A" w:rsidRDefault="00D712D1" w:rsidP="00D712D1">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5E683661" wp14:editId="386C5D9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22-28206  (R)</w:t>
    </w:r>
    <w:r>
      <w:rPr>
        <w:noProof/>
      </w:rPr>
      <w:drawing>
        <wp:anchor distT="0" distB="0" distL="114300" distR="114300" simplePos="0" relativeHeight="251659264" behindDoc="0" locked="0" layoutInCell="1" allowOverlap="1" wp14:anchorId="405D143D" wp14:editId="6E762DBA">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10A">
      <w:rPr>
        <w:lang w:val="en-US"/>
      </w:rPr>
      <w:t xml:space="preserve">  030123  160123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0F34" w14:textId="77777777" w:rsidR="00512DFE" w:rsidRPr="001075E9" w:rsidRDefault="00512DFE" w:rsidP="001075E9">
      <w:pPr>
        <w:tabs>
          <w:tab w:val="right" w:pos="2155"/>
        </w:tabs>
        <w:spacing w:after="80" w:line="240" w:lineRule="auto"/>
        <w:ind w:left="680"/>
        <w:rPr>
          <w:u w:val="single"/>
        </w:rPr>
      </w:pPr>
      <w:r>
        <w:rPr>
          <w:u w:val="single"/>
        </w:rPr>
        <w:tab/>
      </w:r>
    </w:p>
  </w:footnote>
  <w:footnote w:type="continuationSeparator" w:id="0">
    <w:p w14:paraId="6030094B" w14:textId="77777777" w:rsidR="00512DFE" w:rsidRDefault="00512DFE" w:rsidP="00407B78">
      <w:pPr>
        <w:tabs>
          <w:tab w:val="right" w:pos="2155"/>
        </w:tabs>
        <w:spacing w:after="80"/>
        <w:ind w:left="680"/>
        <w:rPr>
          <w:u w:val="single"/>
        </w:rPr>
      </w:pPr>
      <w:r>
        <w:rPr>
          <w:u w:val="single"/>
        </w:rPr>
        <w:tab/>
      </w:r>
    </w:p>
  </w:footnote>
  <w:footnote w:id="1">
    <w:p w14:paraId="665E121B" w14:textId="77777777" w:rsidR="00D712D1" w:rsidRPr="00FD1F6B" w:rsidRDefault="00D712D1" w:rsidP="00D712D1">
      <w:pPr>
        <w:pStyle w:val="ad"/>
      </w:pPr>
      <w:r>
        <w:tab/>
      </w:r>
      <w:r w:rsidRPr="0065310A">
        <w:rPr>
          <w:sz w:val="20"/>
          <w:szCs w:val="22"/>
        </w:rPr>
        <w:t>*</w:t>
      </w:r>
      <w:r>
        <w:tab/>
        <w:t>Настоящий документ был запланирован к изданию после установленного срока в силу обстоятельств, не зависящих от представившей его стороны.</w:t>
      </w:r>
    </w:p>
  </w:footnote>
  <w:footnote w:id="2">
    <w:p w14:paraId="41E993EA" w14:textId="2B8476B7" w:rsidR="00D712D1" w:rsidRPr="00FD1F6B" w:rsidRDefault="00D712D1" w:rsidP="00D712D1">
      <w:pPr>
        <w:pStyle w:val="ad"/>
        <w:ind w:right="535"/>
        <w:rPr>
          <w:szCs w:val="18"/>
        </w:rPr>
      </w:pPr>
      <w:r>
        <w:tab/>
      </w:r>
      <w:r>
        <w:rPr>
          <w:rStyle w:val="aa"/>
        </w:rPr>
        <w:footnoteRef/>
      </w:r>
      <w:r>
        <w:tab/>
        <w:t>Области межсекторального сотрудничества ЕЭК являются следующими: 1) экономика замкнутого цикла и устойчивое использование природных ресурсов; 2) устойчивые и «умные» города для населения всех возрастов; 3) устойчивая мобильность и «умная» связанность; и 4) измерение и мониторинг прогресса в деле достижения целей в области устойчивого развития.</w:t>
      </w:r>
    </w:p>
  </w:footnote>
  <w:footnote w:id="3">
    <w:p w14:paraId="103124A4" w14:textId="249D9021" w:rsidR="00D712D1" w:rsidRPr="00FD1F6B" w:rsidRDefault="00D712D1" w:rsidP="00D712D1">
      <w:pPr>
        <w:pStyle w:val="ad"/>
      </w:pPr>
      <w:r>
        <w:tab/>
      </w:r>
      <w:r>
        <w:rPr>
          <w:rStyle w:val="aa"/>
        </w:rPr>
        <w:footnoteRef/>
      </w:r>
      <w:r>
        <w:tab/>
        <w:t>В связи с ограниченностью ресурсов перевод информационных материалов должен осуществляться в основном за счет внебюджетных ресурсов. В противном случае это приведет к уменьшению квоты на перевод запланированных публикаций в рамках подпрограммы.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8994" w14:textId="74D53C81" w:rsidR="00D712D1" w:rsidRPr="00D712D1" w:rsidRDefault="00D712D1">
    <w:pPr>
      <w:pStyle w:val="a5"/>
    </w:pPr>
    <w:r>
      <w:fldChar w:fldCharType="begin"/>
    </w:r>
    <w:r>
      <w:instrText xml:space="preserve"> TITLE  \* MERGEFORMAT </w:instrText>
    </w:r>
    <w:r>
      <w:fldChar w:fldCharType="separate"/>
    </w:r>
    <w:proofErr w:type="spellStart"/>
    <w:r w:rsidR="00E155B0">
      <w:t>ECE</w:t>
    </w:r>
    <w:proofErr w:type="spellEnd"/>
    <w:r w:rsidR="00E155B0">
      <w:t>/TRANS/2023/11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CB62" w14:textId="2BCBC177" w:rsidR="00D712D1" w:rsidRPr="00D712D1" w:rsidRDefault="00D712D1" w:rsidP="00D712D1">
    <w:pPr>
      <w:pStyle w:val="a5"/>
      <w:jc w:val="right"/>
    </w:pPr>
    <w:r>
      <w:fldChar w:fldCharType="begin"/>
    </w:r>
    <w:r>
      <w:instrText xml:space="preserve"> TITLE  \* MERGEFORMAT </w:instrText>
    </w:r>
    <w:r>
      <w:fldChar w:fldCharType="separate"/>
    </w:r>
    <w:proofErr w:type="spellStart"/>
    <w:r w:rsidR="00E155B0">
      <w:t>ECE</w:t>
    </w:r>
    <w:proofErr w:type="spellEnd"/>
    <w:r w:rsidR="00E155B0">
      <w:t>/TRANS/2023/11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C4362"/>
    <w:multiLevelType w:val="hybridMultilevel"/>
    <w:tmpl w:val="87229778"/>
    <w:lvl w:ilvl="0" w:tplc="50982E9A">
      <w:start w:val="1"/>
      <w:numFmt w:val="decimal"/>
      <w:pStyle w:val="ParaNo"/>
      <w:lvlText w:val="%1."/>
      <w:lvlJc w:val="left"/>
      <w:pPr>
        <w:tabs>
          <w:tab w:val="num" w:pos="360"/>
        </w:tabs>
        <w:ind w:left="360"/>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9EF842">
      <w:start w:val="2"/>
      <w:numFmt w:val="upperLetter"/>
      <w:lvlText w:val="%2."/>
      <w:lvlJc w:val="left"/>
      <w:pPr>
        <w:tabs>
          <w:tab w:val="num" w:pos="1980"/>
        </w:tabs>
        <w:ind w:left="1980" w:hanging="90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11"/>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3"/>
  </w:num>
  <w:num w:numId="18">
    <w:abstractNumId w:val="15"/>
  </w:num>
  <w:num w:numId="19">
    <w:abstractNumId w:val="16"/>
  </w:num>
  <w:num w:numId="20">
    <w:abstractNumId w:val="13"/>
  </w:num>
  <w:num w:numId="21">
    <w:abstractNumId w:val="15"/>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FE"/>
    <w:rsid w:val="00033EE1"/>
    <w:rsid w:val="00042B72"/>
    <w:rsid w:val="000558BD"/>
    <w:rsid w:val="000B57E7"/>
    <w:rsid w:val="000B6373"/>
    <w:rsid w:val="000E4E5B"/>
    <w:rsid w:val="000F09DF"/>
    <w:rsid w:val="000F61B2"/>
    <w:rsid w:val="0010460B"/>
    <w:rsid w:val="001075E9"/>
    <w:rsid w:val="0014152F"/>
    <w:rsid w:val="00141CDF"/>
    <w:rsid w:val="00180183"/>
    <w:rsid w:val="0018024D"/>
    <w:rsid w:val="0018649F"/>
    <w:rsid w:val="00196389"/>
    <w:rsid w:val="001B3EF6"/>
    <w:rsid w:val="001C7A89"/>
    <w:rsid w:val="001D707A"/>
    <w:rsid w:val="001D7172"/>
    <w:rsid w:val="0023343F"/>
    <w:rsid w:val="00255343"/>
    <w:rsid w:val="0027151D"/>
    <w:rsid w:val="00272687"/>
    <w:rsid w:val="002843A4"/>
    <w:rsid w:val="002A2EFC"/>
    <w:rsid w:val="002B0106"/>
    <w:rsid w:val="002B3CD5"/>
    <w:rsid w:val="002B74B1"/>
    <w:rsid w:val="002C0E18"/>
    <w:rsid w:val="002D5AAC"/>
    <w:rsid w:val="002E5067"/>
    <w:rsid w:val="002F1A3A"/>
    <w:rsid w:val="002F405F"/>
    <w:rsid w:val="002F7EEC"/>
    <w:rsid w:val="00301299"/>
    <w:rsid w:val="00305C08"/>
    <w:rsid w:val="0030652F"/>
    <w:rsid w:val="00307FB6"/>
    <w:rsid w:val="00312D6A"/>
    <w:rsid w:val="00317339"/>
    <w:rsid w:val="00322004"/>
    <w:rsid w:val="003402C2"/>
    <w:rsid w:val="0037304E"/>
    <w:rsid w:val="00381C24"/>
    <w:rsid w:val="00387CD4"/>
    <w:rsid w:val="003958D0"/>
    <w:rsid w:val="003A0D43"/>
    <w:rsid w:val="003A48CE"/>
    <w:rsid w:val="003B00E5"/>
    <w:rsid w:val="003E0B46"/>
    <w:rsid w:val="003F2914"/>
    <w:rsid w:val="00407B78"/>
    <w:rsid w:val="00424203"/>
    <w:rsid w:val="00452493"/>
    <w:rsid w:val="00453318"/>
    <w:rsid w:val="00454111"/>
    <w:rsid w:val="00454AF2"/>
    <w:rsid w:val="00454E07"/>
    <w:rsid w:val="004631E6"/>
    <w:rsid w:val="00472C5C"/>
    <w:rsid w:val="00485F8A"/>
    <w:rsid w:val="00491089"/>
    <w:rsid w:val="00491F6D"/>
    <w:rsid w:val="004E05B7"/>
    <w:rsid w:val="0050108D"/>
    <w:rsid w:val="00512DFE"/>
    <w:rsid w:val="00513081"/>
    <w:rsid w:val="005146A6"/>
    <w:rsid w:val="00517901"/>
    <w:rsid w:val="00526683"/>
    <w:rsid w:val="00526DB8"/>
    <w:rsid w:val="005639C1"/>
    <w:rsid w:val="005709E0"/>
    <w:rsid w:val="00572E19"/>
    <w:rsid w:val="005961C8"/>
    <w:rsid w:val="005966F1"/>
    <w:rsid w:val="005D7914"/>
    <w:rsid w:val="005E2B41"/>
    <w:rsid w:val="005F0B42"/>
    <w:rsid w:val="00612178"/>
    <w:rsid w:val="00617A43"/>
    <w:rsid w:val="006345DB"/>
    <w:rsid w:val="00640F49"/>
    <w:rsid w:val="0065310A"/>
    <w:rsid w:val="00680D03"/>
    <w:rsid w:val="00681A10"/>
    <w:rsid w:val="006A1ED8"/>
    <w:rsid w:val="006C2031"/>
    <w:rsid w:val="006D461A"/>
    <w:rsid w:val="006F35EE"/>
    <w:rsid w:val="007021FF"/>
    <w:rsid w:val="00712895"/>
    <w:rsid w:val="00734ACB"/>
    <w:rsid w:val="00735B7F"/>
    <w:rsid w:val="00757357"/>
    <w:rsid w:val="00762EF1"/>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92ACF"/>
    <w:rsid w:val="00B93331"/>
    <w:rsid w:val="00BB3915"/>
    <w:rsid w:val="00BC18B2"/>
    <w:rsid w:val="00BD33EE"/>
    <w:rsid w:val="00BE1CC7"/>
    <w:rsid w:val="00BE5680"/>
    <w:rsid w:val="00C106D6"/>
    <w:rsid w:val="00C119AE"/>
    <w:rsid w:val="00C1692A"/>
    <w:rsid w:val="00C215EB"/>
    <w:rsid w:val="00C60F0C"/>
    <w:rsid w:val="00C668A0"/>
    <w:rsid w:val="00C71E84"/>
    <w:rsid w:val="00C805C9"/>
    <w:rsid w:val="00C92939"/>
    <w:rsid w:val="00CA1679"/>
    <w:rsid w:val="00CB151C"/>
    <w:rsid w:val="00CE5A1A"/>
    <w:rsid w:val="00CF55F6"/>
    <w:rsid w:val="00D33D63"/>
    <w:rsid w:val="00D40D8E"/>
    <w:rsid w:val="00D5253A"/>
    <w:rsid w:val="00D712D1"/>
    <w:rsid w:val="00D873A8"/>
    <w:rsid w:val="00D90028"/>
    <w:rsid w:val="00D90138"/>
    <w:rsid w:val="00D9145B"/>
    <w:rsid w:val="00DD78D1"/>
    <w:rsid w:val="00DE32CD"/>
    <w:rsid w:val="00DF5767"/>
    <w:rsid w:val="00DF71B9"/>
    <w:rsid w:val="00E12C5F"/>
    <w:rsid w:val="00E155B0"/>
    <w:rsid w:val="00E47B34"/>
    <w:rsid w:val="00E73F76"/>
    <w:rsid w:val="00EA2C9F"/>
    <w:rsid w:val="00EA420E"/>
    <w:rsid w:val="00EC2E13"/>
    <w:rsid w:val="00ED0BDA"/>
    <w:rsid w:val="00EE142A"/>
    <w:rsid w:val="00EF1360"/>
    <w:rsid w:val="00EF3220"/>
    <w:rsid w:val="00F06897"/>
    <w:rsid w:val="00F14F16"/>
    <w:rsid w:val="00F2523A"/>
    <w:rsid w:val="00F41A15"/>
    <w:rsid w:val="00F43903"/>
    <w:rsid w:val="00F607A5"/>
    <w:rsid w:val="00F94155"/>
    <w:rsid w:val="00F9783F"/>
    <w:rsid w:val="00FD2EF7"/>
    <w:rsid w:val="00FE447E"/>
    <w:rsid w:val="00FE4BF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ECF8"/>
  <w15:docId w15:val="{31CC0702-4833-485F-B26A-B4AD968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Footnote Text Char2,Footnote Text Char1 Char,Footnote Text Char Char Char,Footnote Text Char1 Char Char Char Char,Footnote Text Char Char Char Char Char Char,Footnote Text Char1 Char Char1 Char"/>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Footnote Text Char2 Знак,Footnote Text Char1 Char Знак,Footnote Text Char Char Char Знак,Footnote Text Char1 Char Char Char Char Знак,Footnote Text Char Char Char Char Char Char Знак,Footnote Text Char1 Char Char1 Char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ParaNo">
    <w:name w:val="Para No."/>
    <w:basedOn w:val="a"/>
    <w:rsid w:val="00D712D1"/>
    <w:pPr>
      <w:numPr>
        <w:numId w:val="22"/>
      </w:numPr>
      <w:suppressAutoHyphens w:val="0"/>
      <w:spacing w:after="240" w:line="240" w:lineRule="auto"/>
      <w:jc w:val="both"/>
    </w:pPr>
    <w:rPr>
      <w:rFonts w:eastAsia="Times New Roman" w:cs="Times New Roman"/>
      <w:sz w:val="24"/>
      <w:szCs w:val="24"/>
      <w:lang w:val="en-GB"/>
    </w:rPr>
  </w:style>
  <w:style w:type="table" w:customStyle="1" w:styleId="TableGrid1">
    <w:name w:val="Table Grid1"/>
    <w:basedOn w:val="a1"/>
    <w:next w:val="ac"/>
    <w:rsid w:val="00D712D1"/>
    <w:pPr>
      <w:suppressAutoHyphens/>
      <w:spacing w:line="240" w:lineRule="exac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a"/>
    <w:link w:val="SingleTxtChar"/>
    <w:qFormat/>
    <w:rsid w:val="00D712D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cs="Times New Roman"/>
      <w:spacing w:val="4"/>
      <w:w w:val="103"/>
      <w:kern w:val="14"/>
      <w:szCs w:val="20"/>
      <w:lang w:val="en-GB"/>
    </w:rPr>
  </w:style>
  <w:style w:type="character" w:customStyle="1" w:styleId="SingleTxtChar">
    <w:name w:val="__Single Txt Char"/>
    <w:link w:val="SingleTxt"/>
    <w:qFormat/>
    <w:rsid w:val="00D712D1"/>
    <w:rPr>
      <w:spacing w:val="4"/>
      <w:w w:val="103"/>
      <w:kern w:val="14"/>
      <w:lang w:val="en-GB" w:eastAsia="en-US"/>
    </w:rPr>
  </w:style>
  <w:style w:type="paragraph" w:customStyle="1" w:styleId="DualTxt">
    <w:name w:val="__Dual Txt"/>
    <w:basedOn w:val="a"/>
    <w:rsid w:val="00D712D1"/>
    <w:pPr>
      <w:tabs>
        <w:tab w:val="left" w:pos="480"/>
        <w:tab w:val="left" w:pos="960"/>
        <w:tab w:val="left" w:pos="1440"/>
        <w:tab w:val="left" w:pos="1915"/>
        <w:tab w:val="left" w:pos="2405"/>
        <w:tab w:val="left" w:pos="2880"/>
        <w:tab w:val="left" w:pos="3355"/>
      </w:tabs>
      <w:spacing w:after="120" w:line="240" w:lineRule="exact"/>
      <w:jc w:val="both"/>
    </w:pPr>
    <w:rPr>
      <w:rFonts w:cs="Times New Roman"/>
      <w:spacing w:val="4"/>
      <w:w w:val="103"/>
      <w:kern w:val="14"/>
      <w:szCs w:val="20"/>
      <w:lang w:val="en-GB"/>
    </w:rPr>
  </w:style>
  <w:style w:type="character" w:styleId="af3">
    <w:name w:val="Unresolved Mention"/>
    <w:basedOn w:val="a0"/>
    <w:uiPriority w:val="99"/>
    <w:semiHidden/>
    <w:unhideWhenUsed/>
    <w:rsid w:val="00306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docs.org/ru/A/RES/74/144" TargetMode="External"/><Relationship Id="rId21" Type="http://schemas.openxmlformats.org/officeDocument/2006/relationships/hyperlink" Target="https://undocs.org/ru/A/RES/72/279" TargetMode="External"/><Relationship Id="rId42" Type="http://schemas.openxmlformats.org/officeDocument/2006/relationships/hyperlink" Target="https://undocs.org/ru/A/RES/75/290B" TargetMode="External"/><Relationship Id="rId47" Type="http://schemas.openxmlformats.org/officeDocument/2006/relationships/hyperlink" Target="https://undocs.org/ru/A/RES/76/221" TargetMode="External"/><Relationship Id="rId63" Type="http://schemas.openxmlformats.org/officeDocument/2006/relationships/hyperlink" Target="https://undocs.org/ru/A/RES/72/271" TargetMode="External"/><Relationship Id="rId68" Type="http://schemas.openxmlformats.org/officeDocument/2006/relationships/hyperlink" Target="https://undocs.org/ru/E/RES/2021/13" TargetMode="External"/><Relationship Id="rId84" Type="http://schemas.openxmlformats.org/officeDocument/2006/relationships/header" Target="header2.xml"/><Relationship Id="rId89" Type="http://schemas.openxmlformats.org/officeDocument/2006/relationships/theme" Target="theme/theme1.xml"/><Relationship Id="rId16" Type="http://schemas.openxmlformats.org/officeDocument/2006/relationships/hyperlink" Target="https://undocs.org/ru/A/RES/69/283" TargetMode="External"/><Relationship Id="rId11" Type="http://schemas.openxmlformats.org/officeDocument/2006/relationships/chart" Target="charts/chart3.xml"/><Relationship Id="rId32" Type="http://schemas.openxmlformats.org/officeDocument/2006/relationships/hyperlink" Target="https://undocs.org/ru/A/RES/74/297" TargetMode="External"/><Relationship Id="rId37" Type="http://schemas.openxmlformats.org/officeDocument/2006/relationships/hyperlink" Target="https://undocs.org/ru/A/RES/75/12" TargetMode="External"/><Relationship Id="rId53" Type="http://schemas.openxmlformats.org/officeDocument/2006/relationships/hyperlink" Target="https://unece.org/info/Sessions-of-the-Commission/events/349487" TargetMode="External"/><Relationship Id="rId58" Type="http://schemas.openxmlformats.org/officeDocument/2006/relationships/hyperlink" Target="https://undocs.org/ru/A/RES/69/137" TargetMode="External"/><Relationship Id="rId74" Type="http://schemas.openxmlformats.org/officeDocument/2006/relationships/hyperlink" Target="https://undocs.org/ru/ECE/TRANS/254" TargetMode="External"/><Relationship Id="rId79" Type="http://schemas.openxmlformats.org/officeDocument/2006/relationships/hyperlink" Target="https://undocs.org/ru/ECE/TRANS/304" TargetMode="External"/><Relationship Id="rId5" Type="http://schemas.openxmlformats.org/officeDocument/2006/relationships/footnotes" Target="footnotes.xml"/><Relationship Id="rId90" Type="http://schemas.openxmlformats.org/officeDocument/2006/relationships/customXml" Target="../customXml/item1.xml"/><Relationship Id="rId14" Type="http://schemas.openxmlformats.org/officeDocument/2006/relationships/hyperlink" Target="https://undocs.org/ru/A/RES/67/290" TargetMode="External"/><Relationship Id="rId22" Type="http://schemas.openxmlformats.org/officeDocument/2006/relationships/hyperlink" Target="https://undocs.org/ru/A/RES/73/10" TargetMode="External"/><Relationship Id="rId27" Type="http://schemas.openxmlformats.org/officeDocument/2006/relationships/hyperlink" Target="https://undocs.org/ru/A/RES/74/216" TargetMode="External"/><Relationship Id="rId30" Type="http://schemas.openxmlformats.org/officeDocument/2006/relationships/hyperlink" Target="https://undocs.org/ru/A/RES/74/235" TargetMode="External"/><Relationship Id="rId35" Type="http://schemas.openxmlformats.org/officeDocument/2006/relationships/hyperlink" Target="https://undocs.org/ru/A/RES/75/8" TargetMode="External"/><Relationship Id="rId43" Type="http://schemas.openxmlformats.org/officeDocument/2006/relationships/hyperlink" Target="https://undocs.org/ru/A/RES/72/305" TargetMode="External"/><Relationship Id="rId48" Type="http://schemas.openxmlformats.org/officeDocument/2006/relationships/hyperlink" Target="https://www.un.org/ecosoc/en/documents/resolutions" TargetMode="External"/><Relationship Id="rId56" Type="http://schemas.openxmlformats.org/officeDocument/2006/relationships/hyperlink" Target="https://undocs.org/ru/A/RES/58/9" TargetMode="External"/><Relationship Id="rId64" Type="http://schemas.openxmlformats.org/officeDocument/2006/relationships/hyperlink" Target="https://undocs.org/ru/A/RES/73/243" TargetMode="External"/><Relationship Id="rId69" Type="http://schemas.openxmlformats.org/officeDocument/2006/relationships/hyperlink" Target="https://undocs.org/ru/E/RES/2022/2" TargetMode="External"/><Relationship Id="rId77" Type="http://schemas.openxmlformats.org/officeDocument/2006/relationships/hyperlink" Target="https://undocs.org/ru/ECE/TRANS/288" TargetMode="External"/><Relationship Id="rId8" Type="http://schemas.openxmlformats.org/officeDocument/2006/relationships/hyperlink" Target="http://undocs.org/ru/A/77/6" TargetMode="External"/><Relationship Id="rId51" Type="http://schemas.openxmlformats.org/officeDocument/2006/relationships/hyperlink" Target="https://unece.org/info/Sessions-of-the-Commission/events/18372" TargetMode="External"/><Relationship Id="rId72" Type="http://schemas.openxmlformats.org/officeDocument/2006/relationships/hyperlink" Target="https://undocs.org/ru/ECE/TRANS/236" TargetMode="External"/><Relationship Id="rId80" Type="http://schemas.openxmlformats.org/officeDocument/2006/relationships/hyperlink" Target="https://undocs.org/ru/E/ECE/TRANS/505/Rev.3"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undocs.org/ru/A/77/6" TargetMode="External"/><Relationship Id="rId17" Type="http://schemas.openxmlformats.org/officeDocument/2006/relationships/hyperlink" Target="https://undocs.org/ru/A/RES/69/313" TargetMode="External"/><Relationship Id="rId25" Type="http://schemas.openxmlformats.org/officeDocument/2006/relationships/hyperlink" Target="https://undocs.org/ru/A/RES/74/128" TargetMode="External"/><Relationship Id="rId33" Type="http://schemas.openxmlformats.org/officeDocument/2006/relationships/hyperlink" Target="https://undocs.org/ru/A/RES/71/243" TargetMode="External"/><Relationship Id="rId38" Type="http://schemas.openxmlformats.org/officeDocument/2006/relationships/hyperlink" Target="https://undocs.org/ru/A/RES/75/216" TargetMode="External"/><Relationship Id="rId46" Type="http://schemas.openxmlformats.org/officeDocument/2006/relationships/hyperlink" Target="https://undocs.org/ru/A/RES/75/324" TargetMode="External"/><Relationship Id="rId59" Type="http://schemas.openxmlformats.org/officeDocument/2006/relationships/hyperlink" Target="https://undocs.org/ru/A/RES/69/213" TargetMode="External"/><Relationship Id="rId67" Type="http://schemas.openxmlformats.org/officeDocument/2006/relationships/hyperlink" Target="https://undocs.org/ru/E/RES/2013/7" TargetMode="External"/><Relationship Id="rId20" Type="http://schemas.openxmlformats.org/officeDocument/2006/relationships/hyperlink" Target="https://undocs.org/ru/A/RES/71/256" TargetMode="External"/><Relationship Id="rId41" Type="http://schemas.openxmlformats.org/officeDocument/2006/relationships/hyperlink" Target="https://undocs.org/ru/A/RES/75/233" TargetMode="External"/><Relationship Id="rId54" Type="http://schemas.openxmlformats.org/officeDocument/2006/relationships/hyperlink" Target="https://unece.org/info/Sessions-of-the-Commission/events/349487" TargetMode="External"/><Relationship Id="rId62" Type="http://schemas.openxmlformats.org/officeDocument/2006/relationships/hyperlink" Target="https://undocs.org/ru/A/RES/72/212" TargetMode="External"/><Relationship Id="rId70" Type="http://schemas.openxmlformats.org/officeDocument/2006/relationships/hyperlink" Target="https://undocs.org/ru/ECE/AC.21/2014/2" TargetMode="External"/><Relationship Id="rId75" Type="http://schemas.openxmlformats.org/officeDocument/2006/relationships/hyperlink" Target="https://undocs.org/ru/ECE/TRANS/270" TargetMode="External"/><Relationship Id="rId83" Type="http://schemas.openxmlformats.org/officeDocument/2006/relationships/header" Target="header1.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docs.org/ru/A/RES/69/277" TargetMode="External"/><Relationship Id="rId23" Type="http://schemas.openxmlformats.org/officeDocument/2006/relationships/hyperlink" Target="https://undocs.org/ru/A/RES/73/195" TargetMode="External"/><Relationship Id="rId28" Type="http://schemas.openxmlformats.org/officeDocument/2006/relationships/hyperlink" Target="https://undocs.org/ru/A/RES/74/231" TargetMode="External"/><Relationship Id="rId36" Type="http://schemas.openxmlformats.org/officeDocument/2006/relationships/hyperlink" Target="https://undocs.org/ru/A/RES/75/9" TargetMode="External"/><Relationship Id="rId49" Type="http://schemas.openxmlformats.org/officeDocument/2006/relationships/hyperlink" Target="https://undocs.org/en/E/RES/2013/1" TargetMode="External"/><Relationship Id="rId57" Type="http://schemas.openxmlformats.org/officeDocument/2006/relationships/hyperlink" Target="https://undocs.org/ru/A/RES/68/269" TargetMode="External"/><Relationship Id="rId10" Type="http://schemas.openxmlformats.org/officeDocument/2006/relationships/chart" Target="charts/chart2.xml"/><Relationship Id="rId31" Type="http://schemas.openxmlformats.org/officeDocument/2006/relationships/hyperlink" Target="https://undocs.org/ru/A/RES/74/271" TargetMode="External"/><Relationship Id="rId44" Type="http://schemas.openxmlformats.org/officeDocument/2006/relationships/hyperlink" Target="https://undocs.org/ru/A/RES/67/290" TargetMode="External"/><Relationship Id="rId52" Type="http://schemas.openxmlformats.org/officeDocument/2006/relationships/hyperlink" Target="https://unece.org/info/Sessions-of-the-Commission/events/18369" TargetMode="External"/><Relationship Id="rId60" Type="http://schemas.openxmlformats.org/officeDocument/2006/relationships/hyperlink" Target="https://undocs.org/ru/A/RES/70/197" TargetMode="External"/><Relationship Id="rId65" Type="http://schemas.openxmlformats.org/officeDocument/2006/relationships/hyperlink" Target="https://undocs.org/ru/A/RES/74/299" TargetMode="External"/><Relationship Id="rId73" Type="http://schemas.openxmlformats.org/officeDocument/2006/relationships/hyperlink" Target="https://undocs.org/ru/ECE/TRANS/248" TargetMode="External"/><Relationship Id="rId78" Type="http://schemas.openxmlformats.org/officeDocument/2006/relationships/hyperlink" Target="https://undocs.org/ru/ECE/TRANS/294" TargetMode="External"/><Relationship Id="rId81" Type="http://schemas.openxmlformats.org/officeDocument/2006/relationships/hyperlink" Target="https://undocs.org/ru/ECE/TRANS/132"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hyperlink" Target="https://undocs.org/ru/A/RES/67/10" TargetMode="External"/><Relationship Id="rId18" Type="http://schemas.openxmlformats.org/officeDocument/2006/relationships/hyperlink" Target="https://undocs.org/ru/A/RES/70/1" TargetMode="External"/><Relationship Id="rId39" Type="http://schemas.openxmlformats.org/officeDocument/2006/relationships/hyperlink" Target="https://undocs.org/ru/A/RES/76/204" TargetMode="External"/><Relationship Id="rId34" Type="http://schemas.openxmlformats.org/officeDocument/2006/relationships/hyperlink" Target="https://undocs.org/ru/A/RES/74/306" TargetMode="External"/><Relationship Id="rId50" Type="http://schemas.openxmlformats.org/officeDocument/2006/relationships/hyperlink" Target="https://www.un.org/ecosoc/sites/www.un.org.ecosoc/files/documents/2020/resolution-1998-46.pdf" TargetMode="External"/><Relationship Id="rId55" Type="http://schemas.openxmlformats.org/officeDocument/2006/relationships/hyperlink" Target="https://unece.org/info/Sessions-of-the-Commission/events/349487" TargetMode="External"/><Relationship Id="rId76" Type="http://schemas.openxmlformats.org/officeDocument/2006/relationships/hyperlink" Target="https://undocs.org/ru/ECE/TRANS/274" TargetMode="External"/><Relationship Id="rId7" Type="http://schemas.openxmlformats.org/officeDocument/2006/relationships/image" Target="media/image1.wmf"/><Relationship Id="rId71" Type="http://schemas.openxmlformats.org/officeDocument/2006/relationships/hyperlink" Target="https://undocs.org/ru/ECE/TRANS/224" TargetMode="External"/><Relationship Id="rId2" Type="http://schemas.openxmlformats.org/officeDocument/2006/relationships/styles" Target="styles.xml"/><Relationship Id="rId29" Type="http://schemas.openxmlformats.org/officeDocument/2006/relationships/hyperlink" Target="https://undocs.org/ru/A/RES/76/215" TargetMode="External"/><Relationship Id="rId24" Type="http://schemas.openxmlformats.org/officeDocument/2006/relationships/hyperlink" Target="https://undocs.org/ru/A/RES/74/122" TargetMode="External"/><Relationship Id="rId40" Type="http://schemas.openxmlformats.org/officeDocument/2006/relationships/hyperlink" Target="https://undocs.org/ru/A/RES/75/221" TargetMode="External"/><Relationship Id="rId45" Type="http://schemas.openxmlformats.org/officeDocument/2006/relationships/hyperlink" Target="https://undocs.org/ru/A/RES/70/299" TargetMode="External"/><Relationship Id="rId66" Type="http://schemas.openxmlformats.org/officeDocument/2006/relationships/hyperlink" Target="https://undocs.org/ru/E/RES/1999/65" TargetMode="External"/><Relationship Id="rId87" Type="http://schemas.openxmlformats.org/officeDocument/2006/relationships/footer" Target="footer3.xml"/><Relationship Id="rId61" Type="http://schemas.openxmlformats.org/officeDocument/2006/relationships/hyperlink" Target="https://undocs.org/ru/A/RES/70/217" TargetMode="External"/><Relationship Id="rId82" Type="http://schemas.openxmlformats.org/officeDocument/2006/relationships/hyperlink" Target="https://undocs.org/ru/ECE/TRANS/ADN/CONF/10/Add.1" TargetMode="External"/><Relationship Id="rId19" Type="http://schemas.openxmlformats.org/officeDocument/2006/relationships/hyperlink" Target="https://undocs.org/ru/A/RES/71/1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6569314763159934E-2"/>
          <c:y val="3.4634665232063384E-2"/>
          <c:w val="0.94342301029002507"/>
          <c:h val="0.72209411323584549"/>
        </c:manualLayout>
      </c:layout>
      <c:barChart>
        <c:barDir val="col"/>
        <c:grouping val="clustered"/>
        <c:varyColors val="0"/>
        <c:ser>
          <c:idx val="0"/>
          <c:order val="0"/>
          <c:tx>
            <c:strRef>
              <c:f>Sheet1!$B$1</c:f>
              <c:strCache>
                <c:ptCount val="1"/>
                <c:pt idx="0">
                  <c:v>Государства — члены ЕЭК</c:v>
                </c:pt>
              </c:strCache>
            </c:strRef>
          </c:tx>
          <c:spPr>
            <a:pattFill prst="pct80">
              <a:fgClr>
                <a:schemeClr val="bg1">
                  <a:lumMod val="65000"/>
                </a:schemeClr>
              </a:fgClr>
              <a:bgClr>
                <a:schemeClr val="bg1"/>
              </a:bgClr>
            </a:pattFill>
            <a:ln>
              <a:noFill/>
            </a:ln>
            <a:effectLst/>
          </c:spPr>
          <c:invertIfNegative val="0"/>
          <c:dPt>
            <c:idx val="2"/>
            <c:invertIfNegative val="0"/>
            <c:bubble3D val="0"/>
            <c:extLst>
              <c:ext xmlns:c16="http://schemas.microsoft.com/office/drawing/2014/chart" uri="{C3380CC4-5D6E-409C-BE32-E72D297353CC}">
                <c16:uniqueId val="{00000000-66E4-4949-BFEF-5D329347F32E}"/>
              </c:ext>
            </c:extLst>
          </c:dPt>
          <c:dPt>
            <c:idx val="4"/>
            <c:invertIfNegative val="0"/>
            <c:bubble3D val="0"/>
            <c:extLst>
              <c:ext xmlns:c16="http://schemas.microsoft.com/office/drawing/2014/chart" uri="{C3380CC4-5D6E-409C-BE32-E72D297353CC}">
                <c16:uniqueId val="{00000001-66E4-4949-BFEF-5D329347F32E}"/>
              </c:ext>
            </c:extLst>
          </c:dPt>
          <c:dLbls>
            <c:dLbl>
              <c:idx val="1"/>
              <c:numFmt formatCode="_(* #\ ##0_);_(* \(#\ ##0\);_(* &quot;-&quot;??_);_(@_)" sourceLinked="0"/>
              <c:spPr>
                <a:noFill/>
                <a:ln>
                  <a:noFill/>
                </a:ln>
                <a:effectLst/>
              </c:spPr>
              <c:txPr>
                <a:bodyPr rot="0" spcFirstLastPara="1" vertOverflow="ellipsis" vert="horz" wrap="square" anchor="ctr" anchorCtr="1"/>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E4-4949-BFEF-5D329347F32E}"/>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E4-4949-BFEF-5D329347F32E}"/>
                </c:ext>
              </c:extLst>
            </c:dLbl>
            <c:numFmt formatCode="_(* #\ ##0_);_(* \(#\ ##0\);_(* &quot;-&quot;??_);_(@_)" sourceLinked="0"/>
            <c:spPr>
              <a:solidFill>
                <a:sysClr val="window" lastClr="FFFFFF">
                  <a:alpha val="50000"/>
                </a:sysClr>
              </a:solidFill>
              <a:ln>
                <a:noFill/>
              </a:ln>
              <a:effectLst/>
            </c:spPr>
            <c:txPr>
              <a:bodyPr rot="0" spcFirstLastPara="1" vertOverflow="ellipsis" vert="horz" wrap="square" anchor="ctr" anchorCtr="1"/>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2019 
(фактический)</c:v>
                </c:pt>
                <c:pt idx="1">
                  <c:v>2020 
(фактический)</c:v>
                </c:pt>
                <c:pt idx="2">
                  <c:v>2021 
(фактический) </c:v>
                </c:pt>
                <c:pt idx="3">
                  <c:v>2022 
(запланированный)</c:v>
                </c:pt>
                <c:pt idx="4">
                  <c:v>2023 
(запланированный)</c:v>
                </c:pt>
              </c:strCache>
            </c:strRef>
          </c:cat>
          <c:val>
            <c:numRef>
              <c:f>Sheet1!$B$2:$B$6</c:f>
              <c:numCache>
                <c:formatCode>0</c:formatCode>
                <c:ptCount val="5"/>
                <c:pt idx="0">
                  <c:v>56</c:v>
                </c:pt>
                <c:pt idx="1">
                  <c:v>56</c:v>
                </c:pt>
                <c:pt idx="2">
                  <c:v>56</c:v>
                </c:pt>
                <c:pt idx="3">
                  <c:v>56</c:v>
                </c:pt>
                <c:pt idx="4">
                  <c:v>56</c:v>
                </c:pt>
              </c:numCache>
            </c:numRef>
          </c:val>
          <c:extLst>
            <c:ext xmlns:c16="http://schemas.microsoft.com/office/drawing/2014/chart" uri="{C3380CC4-5D6E-409C-BE32-E72D297353CC}">
              <c16:uniqueId val="{00000003-66E4-4949-BFEF-5D329347F32E}"/>
            </c:ext>
          </c:extLst>
        </c:ser>
        <c:ser>
          <c:idx val="1"/>
          <c:order val="1"/>
          <c:tx>
            <c:strRef>
              <c:f>Sheet1!$C$1</c:f>
              <c:strCache>
                <c:ptCount val="1"/>
                <c:pt idx="0">
                  <c:v>Государства — члены Организации Объединенных Наций</c:v>
                </c:pt>
              </c:strCache>
            </c:strRef>
          </c:tx>
          <c:spPr>
            <a:pattFill prst="pct25">
              <a:fgClr>
                <a:schemeClr val="bg1"/>
              </a:fgClr>
              <a:bgClr>
                <a:schemeClr val="bg1">
                  <a:lumMod val="75000"/>
                </a:schemeClr>
              </a:bgClr>
            </a:pattFill>
            <a:ln>
              <a:noFill/>
            </a:ln>
            <a:effectLst/>
          </c:spPr>
          <c:invertIfNegative val="0"/>
          <c:dPt>
            <c:idx val="0"/>
            <c:invertIfNegative val="0"/>
            <c:bubble3D val="0"/>
            <c:spPr>
              <a:pattFill prst="openDmnd">
                <a:fgClr>
                  <a:schemeClr val="bg1"/>
                </a:fgClr>
                <a:bgClr>
                  <a:schemeClr val="bg1">
                    <a:lumMod val="75000"/>
                  </a:schemeClr>
                </a:bgClr>
              </a:pattFill>
              <a:ln>
                <a:noFill/>
              </a:ln>
              <a:effectLst/>
            </c:spPr>
            <c:extLst>
              <c:ext xmlns:c16="http://schemas.microsoft.com/office/drawing/2014/chart" uri="{C3380CC4-5D6E-409C-BE32-E72D297353CC}">
                <c16:uniqueId val="{00000005-66E4-4949-BFEF-5D329347F32E}"/>
              </c:ext>
            </c:extLst>
          </c:dPt>
          <c:dPt>
            <c:idx val="1"/>
            <c:invertIfNegative val="0"/>
            <c:bubble3D val="0"/>
            <c:spPr>
              <a:pattFill prst="openDmnd">
                <a:fgClr>
                  <a:schemeClr val="bg1"/>
                </a:fgClr>
                <a:bgClr>
                  <a:schemeClr val="bg1">
                    <a:lumMod val="75000"/>
                  </a:schemeClr>
                </a:bgClr>
              </a:pattFill>
              <a:ln>
                <a:noFill/>
              </a:ln>
              <a:effectLst/>
            </c:spPr>
            <c:extLst>
              <c:ext xmlns:c16="http://schemas.microsoft.com/office/drawing/2014/chart" uri="{C3380CC4-5D6E-409C-BE32-E72D297353CC}">
                <c16:uniqueId val="{00000007-66E4-4949-BFEF-5D329347F32E}"/>
              </c:ext>
            </c:extLst>
          </c:dPt>
          <c:dPt>
            <c:idx val="2"/>
            <c:invertIfNegative val="0"/>
            <c:bubble3D val="0"/>
            <c:spPr>
              <a:pattFill prst="openDmnd">
                <a:fgClr>
                  <a:schemeClr val="bg1"/>
                </a:fgClr>
                <a:bgClr>
                  <a:schemeClr val="bg1">
                    <a:lumMod val="75000"/>
                  </a:schemeClr>
                </a:bgClr>
              </a:pattFill>
              <a:ln>
                <a:noFill/>
              </a:ln>
              <a:effectLst/>
            </c:spPr>
            <c:extLst>
              <c:ext xmlns:c16="http://schemas.microsoft.com/office/drawing/2014/chart" uri="{C3380CC4-5D6E-409C-BE32-E72D297353CC}">
                <c16:uniqueId val="{00000009-66E4-4949-BFEF-5D329347F32E}"/>
              </c:ext>
            </c:extLst>
          </c:dPt>
          <c:dPt>
            <c:idx val="3"/>
            <c:invertIfNegative val="0"/>
            <c:bubble3D val="0"/>
            <c:spPr>
              <a:pattFill prst="openDmnd">
                <a:fgClr>
                  <a:schemeClr val="bg1"/>
                </a:fgClr>
                <a:bgClr>
                  <a:schemeClr val="bg1">
                    <a:lumMod val="75000"/>
                  </a:schemeClr>
                </a:bgClr>
              </a:pattFill>
              <a:ln>
                <a:noFill/>
              </a:ln>
              <a:effectLst/>
            </c:spPr>
            <c:extLst>
              <c:ext xmlns:c16="http://schemas.microsoft.com/office/drawing/2014/chart" uri="{C3380CC4-5D6E-409C-BE32-E72D297353CC}">
                <c16:uniqueId val="{0000000B-66E4-4949-BFEF-5D329347F32E}"/>
              </c:ext>
            </c:extLst>
          </c:dPt>
          <c:dPt>
            <c:idx val="4"/>
            <c:invertIfNegative val="0"/>
            <c:bubble3D val="0"/>
            <c:spPr>
              <a:pattFill prst="openDmnd">
                <a:fgClr>
                  <a:schemeClr val="bg1"/>
                </a:fgClr>
                <a:bgClr>
                  <a:schemeClr val="bg1">
                    <a:lumMod val="75000"/>
                  </a:schemeClr>
                </a:bgClr>
              </a:pattFill>
              <a:ln>
                <a:noFill/>
              </a:ln>
              <a:effectLst/>
            </c:spPr>
            <c:extLst>
              <c:ext xmlns:c16="http://schemas.microsoft.com/office/drawing/2014/chart" uri="{C3380CC4-5D6E-409C-BE32-E72D297353CC}">
                <c16:uniqueId val="{0000000D-66E4-4949-BFEF-5D329347F32E}"/>
              </c:ext>
            </c:extLst>
          </c:dPt>
          <c:dLbls>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2019 
(фактический)</c:v>
                </c:pt>
                <c:pt idx="1">
                  <c:v>2020 
(фактический)</c:v>
                </c:pt>
                <c:pt idx="2">
                  <c:v>2021 
(фактический) </c:v>
                </c:pt>
                <c:pt idx="3">
                  <c:v>2022 
(запланированный)</c:v>
                </c:pt>
                <c:pt idx="4">
                  <c:v>2023 
(запланированный)</c:v>
                </c:pt>
              </c:strCache>
            </c:strRef>
          </c:cat>
          <c:val>
            <c:numRef>
              <c:f>Sheet1!$C$2:$C$6</c:f>
              <c:numCache>
                <c:formatCode>General</c:formatCode>
                <c:ptCount val="5"/>
                <c:pt idx="0">
                  <c:v>148</c:v>
                </c:pt>
                <c:pt idx="1">
                  <c:v>150</c:v>
                </c:pt>
                <c:pt idx="2">
                  <c:v>151</c:v>
                </c:pt>
                <c:pt idx="3">
                  <c:v>151</c:v>
                </c:pt>
                <c:pt idx="4">
                  <c:v>152</c:v>
                </c:pt>
              </c:numCache>
            </c:numRef>
          </c:val>
          <c:extLst>
            <c:ext xmlns:c16="http://schemas.microsoft.com/office/drawing/2014/chart" uri="{C3380CC4-5D6E-409C-BE32-E72D297353CC}">
              <c16:uniqueId val="{0000000E-66E4-4949-BFEF-5D329347F32E}"/>
            </c:ext>
          </c:extLst>
        </c:ser>
        <c:dLbls>
          <c:showLegendKey val="0"/>
          <c:showVal val="0"/>
          <c:showCatName val="0"/>
          <c:showSerName val="0"/>
          <c:showPercent val="0"/>
          <c:showBubbleSize val="0"/>
        </c:dLbls>
        <c:gapWidth val="230"/>
        <c:axId val="246724864"/>
        <c:axId val="246730752"/>
      </c:barChart>
      <c:catAx>
        <c:axId val="246724864"/>
        <c:scaling>
          <c:orientation val="minMax"/>
        </c:scaling>
        <c:delete val="0"/>
        <c:axPos val="b"/>
        <c:numFmt formatCode="General" sourceLinked="0"/>
        <c:majorTickMark val="out"/>
        <c:minorTickMark val="none"/>
        <c:tickLblPos val="nextTo"/>
        <c:spPr>
          <a:noFill/>
          <a:ln w="6350" cap="flat" cmpd="sng" algn="ctr">
            <a:solidFill>
              <a:sysClr val="windowText" lastClr="000000"/>
            </a:solidFill>
            <a:prstDash val="solid"/>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6730752"/>
        <c:crosses val="autoZero"/>
        <c:auto val="0"/>
        <c:lblAlgn val="ctr"/>
        <c:lblOffset val="100"/>
        <c:noMultiLvlLbl val="0"/>
      </c:catAx>
      <c:valAx>
        <c:axId val="246730752"/>
        <c:scaling>
          <c:orientation val="minMax"/>
        </c:scaling>
        <c:delete val="0"/>
        <c:axPos val="l"/>
        <c:numFmt formatCode="#,##0" sourceLinked="0"/>
        <c:majorTickMark val="out"/>
        <c:minorTickMark val="none"/>
        <c:tickLblPos val="nextTo"/>
        <c:spPr>
          <a:noFill/>
          <a:ln w="6350" cap="flat" cmpd="sng" algn="ctr">
            <a:solidFill>
              <a:sysClr val="windowText" lastClr="000000"/>
            </a:solidFill>
            <a:prstDash val="solid"/>
            <a:round/>
          </a:ln>
          <a:effectLst/>
        </c:spPr>
        <c:txPr>
          <a:bodyPr rot="0" spcFirstLastPara="1" vertOverflow="ellipsis"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6724864"/>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sz="8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393186654357421E-2"/>
          <c:y val="2.9449290395586778E-2"/>
          <c:w val="0.95060679921548152"/>
          <c:h val="0.85303833278325236"/>
        </c:manualLayout>
      </c:layout>
      <c:barChart>
        <c:barDir val="col"/>
        <c:grouping val="clustered"/>
        <c:varyColors val="0"/>
        <c:ser>
          <c:idx val="0"/>
          <c:order val="0"/>
          <c:tx>
            <c:strRef>
              <c:f>'Revised Indicator 2'!$C$2</c:f>
              <c:strCache>
                <c:ptCount val="1"/>
                <c:pt idx="0">
                  <c:v>Contracting Parties to core UN Road Safety conventions </c:v>
                </c:pt>
              </c:strCache>
            </c:strRef>
          </c:tx>
          <c:spPr>
            <a:solidFill>
              <a:sysClr val="window" lastClr="FFFFFF">
                <a:lumMod val="75000"/>
              </a:sysClr>
            </a:solidFill>
            <a:ln>
              <a:noFill/>
            </a:ln>
            <a:effectLst/>
          </c:spPr>
          <c:invertIfNegative val="0"/>
          <c:dLbls>
            <c:dLbl>
              <c:idx val="4"/>
              <c:tx>
                <c:rich>
                  <a:bodyPr/>
                  <a:lstStyle/>
                  <a:p>
                    <a:fld id="{E1116DFE-11AC-40AE-8C75-1A8D0EC42C4A}" type="VALUE">
                      <a:rPr lang="en-US"/>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D3A-4C18-B559-D22FBD6E173A}"/>
                </c:ext>
              </c:extLst>
            </c:dLbl>
            <c:numFmt formatCode="#\ ##0" sourceLinked="0"/>
            <c:spPr>
              <a:noFill/>
              <a:ln>
                <a:noFill/>
              </a:ln>
              <a:effectLst/>
            </c:spPr>
            <c:txPr>
              <a:bodyPr rot="0" spcFirstLastPara="1" vertOverflow="ellipsis" vert="horz" wrap="square" lIns="38100" tIns="19050" rIns="38100" bIns="19050" numCol="1"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'Revised Indicator 2'!$B$3:$B$7</c:f>
              <c:strCache>
                <c:ptCount val="5"/>
                <c:pt idx="0">
                  <c:v>2019 
(фактический)</c:v>
                </c:pt>
                <c:pt idx="1">
                  <c:v>2020 
(фактический)</c:v>
                </c:pt>
                <c:pt idx="2">
                  <c:v>2021 
(фактический)</c:v>
                </c:pt>
                <c:pt idx="3">
                  <c:v>2022 
(запланированный)</c:v>
                </c:pt>
                <c:pt idx="4">
                  <c:v>2023 
(запланированный)</c:v>
                </c:pt>
              </c:strCache>
            </c:strRef>
          </c:cat>
          <c:val>
            <c:numRef>
              <c:f>'Revised Indicator 2'!$C$3:$C$7</c:f>
              <c:numCache>
                <c:formatCode>General</c:formatCode>
                <c:ptCount val="5"/>
                <c:pt idx="0">
                  <c:v>392</c:v>
                </c:pt>
                <c:pt idx="1">
                  <c:v>401</c:v>
                </c:pt>
                <c:pt idx="2">
                  <c:v>403</c:v>
                </c:pt>
                <c:pt idx="3">
                  <c:v>411</c:v>
                </c:pt>
                <c:pt idx="4">
                  <c:v>473</c:v>
                </c:pt>
              </c:numCache>
            </c:numRef>
          </c:val>
          <c:extLst>
            <c:ext xmlns:c16="http://schemas.microsoft.com/office/drawing/2014/chart" uri="{C3380CC4-5D6E-409C-BE32-E72D297353CC}">
              <c16:uniqueId val="{00000001-0D3A-4C18-B559-D22FBD6E173A}"/>
            </c:ext>
          </c:extLst>
        </c:ser>
        <c:dLbls>
          <c:dLblPos val="outEnd"/>
          <c:showLegendKey val="0"/>
          <c:showVal val="1"/>
          <c:showCatName val="0"/>
          <c:showSerName val="0"/>
          <c:showPercent val="0"/>
          <c:showBubbleSize val="0"/>
        </c:dLbls>
        <c:gapWidth val="200"/>
        <c:axId val="659331552"/>
        <c:axId val="659329584"/>
      </c:barChart>
      <c:catAx>
        <c:axId val="659331552"/>
        <c:scaling>
          <c:orientation val="minMax"/>
        </c:scaling>
        <c:delete val="0"/>
        <c:axPos val="b"/>
        <c:numFmt formatCode="General" sourceLinked="1"/>
        <c:majorTickMark val="out"/>
        <c:minorTickMark val="none"/>
        <c:tickLblPos val="nextTo"/>
        <c:spPr>
          <a:noFill/>
          <a:ln w="6350" cap="flat" cmpd="sng" algn="ctr">
            <a:solidFill>
              <a:sysClr val="windowText" lastClr="000000"/>
            </a:solidFill>
            <a:round/>
          </a:ln>
          <a:effectLst/>
        </c:spPr>
        <c:txPr>
          <a:bodyPr rot="-60000000" spcFirstLastPara="1" vertOverflow="ellipsis" vert="horz" wrap="square" anchor="t" anchorCtr="0"/>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9329584"/>
        <c:crosses val="autoZero"/>
        <c:auto val="0"/>
        <c:lblAlgn val="ctr"/>
        <c:lblOffset val="1"/>
        <c:noMultiLvlLbl val="0"/>
      </c:catAx>
      <c:valAx>
        <c:axId val="659329584"/>
        <c:scaling>
          <c:orientation val="minMax"/>
        </c:scaling>
        <c:delete val="0"/>
        <c:axPos val="l"/>
        <c:numFmt formatCode="#\ ##0" sourceLinked="0"/>
        <c:majorTickMark val="out"/>
        <c:minorTickMark val="none"/>
        <c:tickLblPos val="nextTo"/>
        <c:spPr>
          <a:noFill/>
          <a:ln w="6350">
            <a:solidFill>
              <a:sysClr val="windowText" lastClr="000000"/>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933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193211278038109E-2"/>
          <c:y val="3.4447123665173961E-2"/>
          <c:w val="0.93280678872196188"/>
          <c:h val="0.82111635804394589"/>
        </c:manualLayout>
      </c:layout>
      <c:barChart>
        <c:barDir val="col"/>
        <c:grouping val="clustered"/>
        <c:varyColors val="0"/>
        <c:ser>
          <c:idx val="0"/>
          <c:order val="0"/>
          <c:tx>
            <c:strRef>
              <c:f>'Revised Indicator 2'!$C$2</c:f>
              <c:strCache>
                <c:ptCount val="1"/>
                <c:pt idx="0">
                  <c:v>Total number of Contracting Parties to all conventions </c:v>
                </c:pt>
              </c:strCache>
            </c:strRef>
          </c:tx>
          <c:spPr>
            <a:solidFill>
              <a:sysClr val="window" lastClr="FFFFFF">
                <a:lumMod val="75000"/>
              </a:sysClr>
            </a:solidFill>
            <a:ln>
              <a:noFill/>
            </a:ln>
            <a:effectLst/>
          </c:spPr>
          <c:invertIfNegative val="0"/>
          <c:dLbls>
            <c:numFmt formatCode="#\ ##0" sourceLinked="0"/>
            <c:spPr>
              <a:noFill/>
              <a:ln>
                <a:noFill/>
              </a:ln>
              <a:effectLst/>
            </c:spPr>
            <c:txPr>
              <a:bodyPr rot="0" spcFirstLastPara="1" vertOverflow="ellipsis" vert="horz" wrap="square" lIns="38100" tIns="19050" rIns="38100" bIns="19050" numCol="1"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'Revised Indicator 2'!$B$3:$B$7</c:f>
              <c:strCache>
                <c:ptCount val="5"/>
                <c:pt idx="0">
                  <c:v>2019 
(фактический)</c:v>
                </c:pt>
                <c:pt idx="1">
                  <c:v>2020 
(фактический)</c:v>
                </c:pt>
                <c:pt idx="2">
                  <c:v>2021 
(фактический)</c:v>
                </c:pt>
                <c:pt idx="3">
                  <c:v>2022 
(запланированный)</c:v>
                </c:pt>
                <c:pt idx="4">
                  <c:v>2023 
(запланированный)</c:v>
                </c:pt>
              </c:strCache>
            </c:strRef>
          </c:cat>
          <c:val>
            <c:numRef>
              <c:f>'Revised Indicator 2'!$C$3:$C$7</c:f>
              <c:numCache>
                <c:formatCode>General</c:formatCode>
                <c:ptCount val="5"/>
                <c:pt idx="0">
                  <c:v>1769</c:v>
                </c:pt>
                <c:pt idx="1">
                  <c:v>1802</c:v>
                </c:pt>
                <c:pt idx="2">
                  <c:v>1807</c:v>
                </c:pt>
                <c:pt idx="3">
                  <c:v>1810</c:v>
                </c:pt>
                <c:pt idx="4">
                  <c:v>1813</c:v>
                </c:pt>
              </c:numCache>
            </c:numRef>
          </c:val>
          <c:extLst>
            <c:ext xmlns:c16="http://schemas.microsoft.com/office/drawing/2014/chart" uri="{C3380CC4-5D6E-409C-BE32-E72D297353CC}">
              <c16:uniqueId val="{00000000-5DB6-49DB-9BC6-A84BB1865991}"/>
            </c:ext>
          </c:extLst>
        </c:ser>
        <c:dLbls>
          <c:dLblPos val="outEnd"/>
          <c:showLegendKey val="0"/>
          <c:showVal val="1"/>
          <c:showCatName val="0"/>
          <c:showSerName val="0"/>
          <c:showPercent val="0"/>
          <c:showBubbleSize val="0"/>
        </c:dLbls>
        <c:gapWidth val="200"/>
        <c:axId val="659331552"/>
        <c:axId val="659329584"/>
      </c:barChart>
      <c:catAx>
        <c:axId val="659331552"/>
        <c:scaling>
          <c:orientation val="minMax"/>
        </c:scaling>
        <c:delete val="0"/>
        <c:axPos val="b"/>
        <c:numFmt formatCode="General" sourceLinked="1"/>
        <c:majorTickMark val="out"/>
        <c:minorTickMark val="none"/>
        <c:tickLblPos val="nextTo"/>
        <c:spPr>
          <a:noFill/>
          <a:ln w="6350" cap="flat" cmpd="sng" algn="ctr">
            <a:solidFill>
              <a:sysClr val="windowText" lastClr="000000"/>
            </a:solidFill>
            <a:round/>
          </a:ln>
          <a:effectLst/>
        </c:spPr>
        <c:txPr>
          <a:bodyPr rot="-60000000" spcFirstLastPara="1" vertOverflow="ellipsis" vert="horz" wrap="square" anchor="t" anchorCtr="0"/>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9329584"/>
        <c:crosses val="autoZero"/>
        <c:auto val="1"/>
        <c:lblAlgn val="ctr"/>
        <c:lblOffset val="1"/>
        <c:tickLblSkip val="1"/>
        <c:noMultiLvlLbl val="0"/>
      </c:catAx>
      <c:valAx>
        <c:axId val="659329584"/>
        <c:scaling>
          <c:orientation val="minMax"/>
        </c:scaling>
        <c:delete val="0"/>
        <c:axPos val="l"/>
        <c:numFmt formatCode="#\ ##0" sourceLinked="0"/>
        <c:majorTickMark val="out"/>
        <c:minorTickMark val="none"/>
        <c:tickLblPos val="nextTo"/>
        <c:spPr>
          <a:noFill/>
          <a:ln w="6350">
            <a:solidFill>
              <a:sysClr val="windowText" lastClr="000000"/>
            </a:solidFill>
          </a:ln>
          <a:effectLst/>
        </c:spPr>
        <c:txPr>
          <a:bodyPr rot="-60000000" spcFirstLastPara="1" vertOverflow="ellipsis" vert="horz"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933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nchor="t" anchorCtr="0"/>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02FCB-D910-4F66-94D7-26F381AFA504}"/>
</file>

<file path=customXml/itemProps2.xml><?xml version="1.0" encoding="utf-8"?>
<ds:datastoreItem xmlns:ds="http://schemas.openxmlformats.org/officeDocument/2006/customXml" ds:itemID="{573DBECA-9D30-462A-BB58-74A6039CFC5A}"/>
</file>

<file path=docProps/app.xml><?xml version="1.0" encoding="utf-8"?>
<Properties xmlns="http://schemas.openxmlformats.org/officeDocument/2006/extended-properties" xmlns:vt="http://schemas.openxmlformats.org/officeDocument/2006/docPropsVTypes">
  <Template>ECE.dotm</Template>
  <TotalTime>14</TotalTime>
  <Pages>17</Pages>
  <Words>4593</Words>
  <Characters>37045</Characters>
  <Application>Microsoft Office Word</Application>
  <DocSecurity>0</DocSecurity>
  <Lines>3367</Lines>
  <Paragraphs>1387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ECE/TRANS/2023/11</vt:lpstr>
      <vt:lpstr>A/</vt:lpstr>
      <vt:lpstr>A/</vt:lpstr>
    </vt:vector>
  </TitlesOfParts>
  <Company>DCM</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ECE/TRANS/2023/11</dc:title>
  <dc:subject/>
  <dc:creator>Anna PETELINA</dc:creator>
  <cp:keywords/>
  <cp:lastModifiedBy>Anna Petelina</cp:lastModifiedBy>
  <cp:revision>7</cp:revision>
  <cp:lastPrinted>2023-01-16T12:41:00Z</cp:lastPrinted>
  <dcterms:created xsi:type="dcterms:W3CDTF">2023-01-16T12:41:00Z</dcterms:created>
  <dcterms:modified xsi:type="dcterms:W3CDTF">2023-01-16T12:55:00Z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