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438E9823" w:rsidR="00B56E9C" w:rsidRPr="00B042C8" w:rsidRDefault="00CD57D2" w:rsidP="009F652C">
            <w:pPr>
              <w:suppressAutoHyphens w:val="0"/>
              <w:spacing w:after="20"/>
              <w:jc w:val="right"/>
              <w:rPr>
                <w:b/>
                <w:sz w:val="24"/>
                <w:szCs w:val="24"/>
              </w:rPr>
            </w:pPr>
            <w:r w:rsidRPr="00B042C8">
              <w:rPr>
                <w:b/>
                <w:sz w:val="24"/>
                <w:szCs w:val="24"/>
              </w:rPr>
              <w:t>INF.</w:t>
            </w:r>
            <w:r w:rsidR="004D440A">
              <w:rPr>
                <w:b/>
                <w:sz w:val="24"/>
                <w:szCs w:val="24"/>
              </w:rPr>
              <w:t>5</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7D454EA1"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4D440A">
        <w:rPr>
          <w:b/>
        </w:rPr>
        <w:t>20</w:t>
      </w:r>
      <w:r w:rsidR="002A009E" w:rsidRPr="00E83B19">
        <w:rPr>
          <w:b/>
        </w:rPr>
        <w:t xml:space="preserve"> January 2023</w:t>
      </w:r>
    </w:p>
    <w:p w14:paraId="54D6CC22" w14:textId="5F21C665" w:rsidR="009D2A5B" w:rsidRPr="000C1287" w:rsidRDefault="00FB7679" w:rsidP="00BB7CD1">
      <w:r>
        <w:t>Bern</w:t>
      </w:r>
      <w:r w:rsidR="00BB7CD1" w:rsidRPr="000C1287">
        <w:t xml:space="preserve">, </w:t>
      </w:r>
      <w:r w:rsidR="00E82755">
        <w:t>20-24 March 2023</w:t>
      </w:r>
    </w:p>
    <w:p w14:paraId="06858F9A" w14:textId="6B1E87ED" w:rsidR="00433A32" w:rsidRPr="0039354D" w:rsidRDefault="00433A32" w:rsidP="00433A32">
      <w:pPr>
        <w:rPr>
          <w:b/>
          <w:bCs/>
          <w:lang w:eastAsia="fr-FR"/>
        </w:rPr>
      </w:pPr>
      <w:r w:rsidRPr="000C1287">
        <w:t xml:space="preserve">Item </w:t>
      </w:r>
      <w:r w:rsidR="00F32051">
        <w:t>2</w:t>
      </w:r>
      <w:r w:rsidRPr="000C1287">
        <w:t xml:space="preserve"> of the provisional agenda</w:t>
      </w:r>
      <w:r w:rsidR="00E312C3">
        <w:br/>
      </w:r>
      <w:r w:rsidR="00E312C3" w:rsidRPr="0039354D">
        <w:rPr>
          <w:b/>
          <w:bCs/>
        </w:rPr>
        <w:t>Tanks</w:t>
      </w:r>
    </w:p>
    <w:p w14:paraId="5AB16539" w14:textId="76219539" w:rsidR="00F32051" w:rsidRDefault="00AC3E5A" w:rsidP="00F32051">
      <w:pPr>
        <w:pStyle w:val="HChG"/>
        <w:rPr>
          <w:lang w:eastAsia="de-DE"/>
        </w:rPr>
      </w:pPr>
      <w:r>
        <w:tab/>
      </w:r>
      <w:r>
        <w:tab/>
      </w:r>
      <w:r w:rsidR="00F32051">
        <w:t>Special provision TE 16 for items of equipment for tanks</w:t>
      </w:r>
    </w:p>
    <w:p w14:paraId="16EE4EB6" w14:textId="6CC98010" w:rsidR="00F32051" w:rsidRPr="00AC3E5A" w:rsidRDefault="00AC3E5A" w:rsidP="00E27E33">
      <w:pPr>
        <w:pStyle w:val="HChG"/>
        <w:rPr>
          <w:sz w:val="24"/>
          <w:szCs w:val="24"/>
        </w:rPr>
      </w:pPr>
      <w:r w:rsidRPr="00AC3E5A">
        <w:rPr>
          <w:sz w:val="24"/>
          <w:szCs w:val="24"/>
        </w:rPr>
        <w:tab/>
      </w:r>
      <w:r w:rsidRPr="00AC3E5A">
        <w:rPr>
          <w:sz w:val="24"/>
          <w:szCs w:val="24"/>
        </w:rPr>
        <w:tab/>
      </w:r>
      <w:r w:rsidR="00F32051" w:rsidRPr="00AC3E5A">
        <w:rPr>
          <w:sz w:val="24"/>
          <w:szCs w:val="24"/>
        </w:rPr>
        <w:t>Proposal transmitted by the Secretariat of OTIF</w:t>
      </w:r>
    </w:p>
    <w:p w14:paraId="79DA348C" w14:textId="5D08D700" w:rsidR="00F74D18" w:rsidRDefault="00F74D18" w:rsidP="00F74D18">
      <w:pPr>
        <w:pStyle w:val="HChG"/>
        <w:rPr>
          <w:lang w:eastAsia="de-DE"/>
        </w:rPr>
      </w:pPr>
      <w:r>
        <w:tab/>
      </w:r>
      <w:r>
        <w:tab/>
        <w:t>Introduction</w:t>
      </w:r>
    </w:p>
    <w:p w14:paraId="431EDBC4" w14:textId="77777777" w:rsidR="00F74D18" w:rsidRDefault="00F74D18" w:rsidP="00F74D18">
      <w:pPr>
        <w:tabs>
          <w:tab w:val="left" w:pos="1418"/>
          <w:tab w:val="left" w:pos="2977"/>
          <w:tab w:val="left" w:pos="4395"/>
        </w:tabs>
      </w:pPr>
    </w:p>
    <w:p w14:paraId="11E1C041" w14:textId="77777777" w:rsidR="00F74D18" w:rsidRDefault="00F74D18" w:rsidP="00F74D18">
      <w:pPr>
        <w:pStyle w:val="SingleTxtG"/>
      </w:pPr>
      <w:r>
        <w:t>1.</w:t>
      </w:r>
      <w:r>
        <w:tab/>
        <w:t>RID Chapter 6.8 contains special provision TE 16 for items of equipment for tanks, which reads as follows:</w:t>
      </w:r>
    </w:p>
    <w:p w14:paraId="3B64B7E2" w14:textId="77777777" w:rsidR="00F74D18" w:rsidRDefault="00F74D18" w:rsidP="00CD5DD3">
      <w:pPr>
        <w:pStyle w:val="SingleTxtG"/>
        <w:ind w:left="1701"/>
      </w:pPr>
      <w:r>
        <w:t>“</w:t>
      </w:r>
      <w:r>
        <w:rPr>
          <w:b/>
          <w:bCs/>
        </w:rPr>
        <w:t>TE 16</w:t>
      </w:r>
      <w:r>
        <w:t xml:space="preserve"> No part of the tank-wagon may be of wood, unless this is protected by a suitable coating.”</w:t>
      </w:r>
    </w:p>
    <w:p w14:paraId="6EAD8E4D" w14:textId="77777777" w:rsidR="00F74D18" w:rsidRDefault="00F74D18" w:rsidP="00CD5DD3">
      <w:pPr>
        <w:pStyle w:val="SingleTxtG"/>
      </w:pPr>
      <w:r>
        <w:t>2.</w:t>
      </w:r>
      <w:r>
        <w:tab/>
        <w:t>Special provision TE 16 is assigned to the following six oxidizing substances of Class 5.1, packing group I:</w:t>
      </w:r>
    </w:p>
    <w:p w14:paraId="0EB17169" w14:textId="77777777" w:rsidR="00F74D18" w:rsidRDefault="00F74D18" w:rsidP="00CD5DD3">
      <w:pPr>
        <w:pStyle w:val="SingleTxtG"/>
        <w:ind w:left="1701"/>
      </w:pPr>
      <w:r>
        <w:t>UN 1745</w:t>
      </w:r>
      <w:r>
        <w:tab/>
        <w:t>Bromine pentafluoride</w:t>
      </w:r>
    </w:p>
    <w:p w14:paraId="48587B0C" w14:textId="77777777" w:rsidR="00F74D18" w:rsidRDefault="00F74D18" w:rsidP="00CD5DD3">
      <w:pPr>
        <w:pStyle w:val="SingleTxtG"/>
        <w:ind w:left="1701"/>
      </w:pPr>
      <w:r>
        <w:t>UN 1746</w:t>
      </w:r>
      <w:r>
        <w:tab/>
        <w:t>Bromine trifluoride</w:t>
      </w:r>
    </w:p>
    <w:p w14:paraId="05755427" w14:textId="77777777" w:rsidR="00F74D18" w:rsidRDefault="00F74D18" w:rsidP="007840E3">
      <w:pPr>
        <w:pStyle w:val="SingleTxtG"/>
        <w:ind w:left="2835" w:hanging="1134"/>
        <w:rPr>
          <w:lang w:val="en-GB"/>
        </w:rPr>
      </w:pPr>
      <w:r>
        <w:t>UN 1873</w:t>
      </w:r>
      <w:r>
        <w:tab/>
        <w:t>Perchloric acid with more than 50% but not more than 72% acid, by mass</w:t>
      </w:r>
    </w:p>
    <w:p w14:paraId="012A1904" w14:textId="77777777" w:rsidR="00F74D18" w:rsidRDefault="00F74D18" w:rsidP="007840E3">
      <w:pPr>
        <w:pStyle w:val="SingleTxtG"/>
        <w:ind w:left="2835" w:hanging="1134"/>
      </w:pPr>
      <w:r>
        <w:t>UN 2015</w:t>
      </w:r>
      <w:r>
        <w:tab/>
        <w:t>Hydrogen peroxide, stabilized or hydrogen peroxide, aqueous solution, stabilized with more than 70% hydrogen peroxide</w:t>
      </w:r>
    </w:p>
    <w:p w14:paraId="470E4E73" w14:textId="77777777" w:rsidR="00F74D18" w:rsidRDefault="00F74D18" w:rsidP="007840E3">
      <w:pPr>
        <w:pStyle w:val="SingleTxtG"/>
        <w:ind w:left="2835" w:hanging="1134"/>
      </w:pPr>
      <w:r>
        <w:t>UN 2015</w:t>
      </w:r>
      <w:r>
        <w:tab/>
        <w:t>Hydrogen peroxide, aqueous solution, stabilized with more than 60% hydrogen peroxide and not more than 70% hydrogen peroxide</w:t>
      </w:r>
    </w:p>
    <w:p w14:paraId="0AE45AC3" w14:textId="77777777" w:rsidR="00F74D18" w:rsidRDefault="00F74D18" w:rsidP="00CD5DD3">
      <w:pPr>
        <w:pStyle w:val="SingleTxtG"/>
        <w:ind w:left="1701"/>
      </w:pPr>
      <w:r>
        <w:t>UN 2495</w:t>
      </w:r>
      <w:r>
        <w:tab/>
        <w:t>Iodine pentafluoride.</w:t>
      </w:r>
    </w:p>
    <w:p w14:paraId="7D576CBD" w14:textId="77777777" w:rsidR="00F74D18" w:rsidRDefault="00F74D18" w:rsidP="00CD5DD3">
      <w:pPr>
        <w:pStyle w:val="SingleTxtG"/>
      </w:pPr>
      <w:r>
        <w:t>3.</w:t>
      </w:r>
      <w:r>
        <w:tab/>
        <w:t>There is no equivalent special provision for tank-vehicles in ADR.</w:t>
      </w:r>
    </w:p>
    <w:p w14:paraId="241E41A3" w14:textId="77777777" w:rsidR="00F74D18" w:rsidRDefault="00F74D18" w:rsidP="00CD5DD3">
      <w:pPr>
        <w:pStyle w:val="SingleTxtG"/>
      </w:pPr>
      <w:r>
        <w:t>4.</w:t>
      </w:r>
      <w:r>
        <w:tab/>
        <w:t>Oxidizing substances are not themselves flammable, but can cause a fire when they come into contact with flammable or combustible substances and provide the oxygen necessary for combustion. This is presumably the background to special provision TE 16 (5.3.1, last sentence of Annex XI of RID before restructuring), which was included in RID many decades ago.</w:t>
      </w:r>
    </w:p>
    <w:p w14:paraId="2E1BBEB4" w14:textId="77777777" w:rsidR="00F74D18" w:rsidRDefault="00F74D18" w:rsidP="00CD5DD3">
      <w:pPr>
        <w:pStyle w:val="SingleTxtG"/>
      </w:pPr>
      <w:r>
        <w:t>5.</w:t>
      </w:r>
      <w:r>
        <w:tab/>
        <w:t>In RID and ADR, the above substances are also assigned special provision CW/CV 24, which has the same protective aim and reads as follows:</w:t>
      </w:r>
    </w:p>
    <w:p w14:paraId="72A8540F" w14:textId="3DC3CF59" w:rsidR="00F74D18" w:rsidRDefault="00F74D18" w:rsidP="00E367BB">
      <w:pPr>
        <w:pStyle w:val="SingleTxtG"/>
      </w:pPr>
      <w:r w:rsidRPr="00B638D7">
        <w:t>“</w:t>
      </w:r>
      <w:r w:rsidRPr="00E159CC">
        <w:rPr>
          <w:b/>
          <w:bCs/>
        </w:rPr>
        <w:t>CW 24/</w:t>
      </w:r>
      <w:r>
        <w:rPr>
          <w:b/>
          <w:bCs/>
        </w:rPr>
        <w:t>CV 24</w:t>
      </w:r>
      <w:r>
        <w:rPr>
          <w:b/>
          <w:bCs/>
        </w:rPr>
        <w:tab/>
      </w:r>
      <w:r>
        <w:t>Before loading, wagons/vehicles and containers shall be thoroughly cleaned and in particular be free of any combustible debris (straw, hay, paper, etc.).</w:t>
      </w:r>
    </w:p>
    <w:p w14:paraId="2843B15B" w14:textId="29048374" w:rsidR="00F74D18" w:rsidRPr="00B638D7" w:rsidRDefault="00F74D18" w:rsidP="001766DA">
      <w:pPr>
        <w:pStyle w:val="SingleTxtG"/>
        <w:rPr>
          <w:lang w:val="fr-CH"/>
        </w:rPr>
      </w:pPr>
      <w:r>
        <w:t>The use of readily flammable materials for stowing packages is prohibited.</w:t>
      </w:r>
      <w:r w:rsidR="00B638D7">
        <w:t>”</w:t>
      </w:r>
    </w:p>
    <w:p w14:paraId="47F7ACC0" w14:textId="77777777" w:rsidR="00F74D18" w:rsidRDefault="00F74D18" w:rsidP="00F74D18">
      <w:pPr>
        <w:tabs>
          <w:tab w:val="left" w:pos="1418"/>
          <w:tab w:val="left" w:pos="2977"/>
          <w:tab w:val="left" w:pos="4395"/>
        </w:tabs>
      </w:pPr>
    </w:p>
    <w:p w14:paraId="03AB208A" w14:textId="6C8C10C8" w:rsidR="00F74D18" w:rsidRDefault="001766DA" w:rsidP="001766DA">
      <w:pPr>
        <w:pStyle w:val="HChG"/>
      </w:pPr>
      <w:r>
        <w:lastRenderedPageBreak/>
        <w:tab/>
      </w:r>
      <w:r>
        <w:tab/>
      </w:r>
      <w:r w:rsidR="00F74D18">
        <w:t>Discussion</w:t>
      </w:r>
    </w:p>
    <w:p w14:paraId="015BFE38" w14:textId="77777777" w:rsidR="00F74D18" w:rsidRDefault="00F74D18" w:rsidP="00654F44">
      <w:pPr>
        <w:pStyle w:val="SingleTxtG"/>
      </w:pPr>
      <w:r>
        <w:t>6.</w:t>
      </w:r>
      <w:r>
        <w:tab/>
        <w:t>In the context of a workshop organised by the European Union Agency for Railways on harmonising the provisions of the Technical Specifications for the Interoperability of Wagons (TSI WAG) and RID, the question has arisen as to whether this special provision is still needed in RID. It seems inconceivable that there are still tank-wagons in operation that are used for the carriage of these substances and have components made of wood.</w:t>
      </w:r>
    </w:p>
    <w:p w14:paraId="12F71C55" w14:textId="77777777" w:rsidR="00F74D18" w:rsidRDefault="00F74D18" w:rsidP="00654F44">
      <w:pPr>
        <w:pStyle w:val="SingleTxtG"/>
      </w:pPr>
      <w:r>
        <w:t>7.</w:t>
      </w:r>
      <w:r>
        <w:tab/>
        <w:t>The question also arises as to why this requirement is imposed on tank-wagons, but not on tank-vehicles and container carrying wagons.</w:t>
      </w:r>
    </w:p>
    <w:p w14:paraId="7477C065" w14:textId="77777777" w:rsidR="00F74D18" w:rsidRDefault="00F74D18" w:rsidP="00654F44">
      <w:pPr>
        <w:pStyle w:val="SingleTxtG"/>
      </w:pPr>
      <w:r>
        <w:t>8.</w:t>
      </w:r>
      <w:r>
        <w:tab/>
        <w:t>The Joint Meeting's working group on tanks is asked to consider whether this special provision for equipment is still necessary.</w:t>
      </w:r>
    </w:p>
    <w:p w14:paraId="3CFCB425" w14:textId="47DCF0AE" w:rsidR="00F74D18" w:rsidRDefault="00350A2F" w:rsidP="00F74D18">
      <w:pPr>
        <w:widowControl w:val="0"/>
        <w:jc w:val="center"/>
      </w:pPr>
      <w:r>
        <w:t>__________________</w:t>
      </w:r>
    </w:p>
    <w:p w14:paraId="1FBC5017" w14:textId="77777777" w:rsidR="004D440A" w:rsidRPr="004D440A" w:rsidRDefault="004D440A" w:rsidP="004D440A"/>
    <w:sectPr w:rsidR="004D440A" w:rsidRPr="004D440A" w:rsidSect="00932EF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0267" w14:textId="77777777" w:rsidR="00C91148" w:rsidRDefault="00C91148"/>
  </w:endnote>
  <w:endnote w:type="continuationSeparator" w:id="0">
    <w:p w14:paraId="5810C119" w14:textId="77777777" w:rsidR="00C91148" w:rsidRDefault="00C91148"/>
  </w:endnote>
  <w:endnote w:type="continuationNotice" w:id="1">
    <w:p w14:paraId="6DA4BFC7" w14:textId="77777777" w:rsidR="00C91148" w:rsidRDefault="00C9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632D" w14:textId="77777777" w:rsidR="00350A2F" w:rsidRDefault="0035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27E7" w14:textId="77777777" w:rsidR="00C91148" w:rsidRPr="000B175B" w:rsidRDefault="00C91148" w:rsidP="000B175B">
      <w:pPr>
        <w:tabs>
          <w:tab w:val="right" w:pos="2155"/>
        </w:tabs>
        <w:spacing w:after="80"/>
        <w:ind w:left="680"/>
        <w:rPr>
          <w:u w:val="single"/>
        </w:rPr>
      </w:pPr>
      <w:r>
        <w:rPr>
          <w:u w:val="single"/>
        </w:rPr>
        <w:tab/>
      </w:r>
    </w:p>
  </w:footnote>
  <w:footnote w:type="continuationSeparator" w:id="0">
    <w:p w14:paraId="01D4AC74" w14:textId="77777777" w:rsidR="00C91148" w:rsidRPr="00FC68B7" w:rsidRDefault="00C91148" w:rsidP="00FC68B7">
      <w:pPr>
        <w:tabs>
          <w:tab w:val="left" w:pos="2155"/>
        </w:tabs>
        <w:spacing w:after="80"/>
        <w:ind w:left="680"/>
        <w:rPr>
          <w:u w:val="single"/>
        </w:rPr>
      </w:pPr>
      <w:r>
        <w:rPr>
          <w:u w:val="single"/>
        </w:rPr>
        <w:tab/>
      </w:r>
    </w:p>
  </w:footnote>
  <w:footnote w:type="continuationNotice" w:id="1">
    <w:p w14:paraId="2FF6D0CD" w14:textId="77777777" w:rsidR="00C91148" w:rsidRDefault="00C91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1902C75D" w:rsidR="00652CFC" w:rsidRPr="00652CFC" w:rsidRDefault="00652CFC">
    <w:pPr>
      <w:pStyle w:val="Header"/>
      <w:rPr>
        <w:lang w:val="fr-CH"/>
      </w:rPr>
    </w:pPr>
    <w:r>
      <w:rPr>
        <w:lang w:val="fr-CH"/>
      </w:rPr>
      <w:t>INF.</w:t>
    </w:r>
    <w:r w:rsidR="00044805">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0"/>
  </w:num>
  <w:num w:numId="14">
    <w:abstractNumId w:val="28"/>
  </w:num>
  <w:num w:numId="15">
    <w:abstractNumId w:val="16"/>
  </w:num>
  <w:num w:numId="16">
    <w:abstractNumId w:val="13"/>
  </w:num>
  <w:num w:numId="17">
    <w:abstractNumId w:val="30"/>
  </w:num>
  <w:num w:numId="18">
    <w:abstractNumId w:val="17"/>
  </w:num>
  <w:num w:numId="19">
    <w:abstractNumId w:val="31"/>
  </w:num>
  <w:num w:numId="20">
    <w:abstractNumId w:val="25"/>
  </w:num>
  <w:num w:numId="21">
    <w:abstractNumId w:val="29"/>
  </w:num>
  <w:num w:numId="22">
    <w:abstractNumId w:val="14"/>
  </w:num>
  <w:num w:numId="23">
    <w:abstractNumId w:val="26"/>
  </w:num>
  <w:num w:numId="24">
    <w:abstractNumId w:val="27"/>
  </w:num>
  <w:num w:numId="25">
    <w:abstractNumId w:val="22"/>
  </w:num>
  <w:num w:numId="26">
    <w:abstractNumId w:val="12"/>
  </w:num>
  <w:num w:numId="27">
    <w:abstractNumId w:val="18"/>
  </w:num>
  <w:num w:numId="28">
    <w:abstractNumId w:val="21"/>
  </w:num>
  <w:num w:numId="29">
    <w:abstractNumId w:val="24"/>
  </w:num>
  <w:num w:numId="30">
    <w:abstractNumId w:val="20"/>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05B1"/>
    <w:rsid w:val="00037F90"/>
    <w:rsid w:val="000412D8"/>
    <w:rsid w:val="00044805"/>
    <w:rsid w:val="00044F99"/>
    <w:rsid w:val="00045BBE"/>
    <w:rsid w:val="00046B1F"/>
    <w:rsid w:val="00050F6B"/>
    <w:rsid w:val="00052E55"/>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1287"/>
    <w:rsid w:val="000C2C03"/>
    <w:rsid w:val="000C2D2E"/>
    <w:rsid w:val="000C4D51"/>
    <w:rsid w:val="000C7F79"/>
    <w:rsid w:val="000E0415"/>
    <w:rsid w:val="000E08C2"/>
    <w:rsid w:val="000E4B01"/>
    <w:rsid w:val="000F4FF6"/>
    <w:rsid w:val="000F567A"/>
    <w:rsid w:val="0010391C"/>
    <w:rsid w:val="00104CDA"/>
    <w:rsid w:val="00105827"/>
    <w:rsid w:val="00105935"/>
    <w:rsid w:val="001103AA"/>
    <w:rsid w:val="00115C11"/>
    <w:rsid w:val="0011666B"/>
    <w:rsid w:val="00125117"/>
    <w:rsid w:val="001343BC"/>
    <w:rsid w:val="00151686"/>
    <w:rsid w:val="00155068"/>
    <w:rsid w:val="001555BF"/>
    <w:rsid w:val="00156009"/>
    <w:rsid w:val="00165F3A"/>
    <w:rsid w:val="001766DA"/>
    <w:rsid w:val="00186205"/>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34E3"/>
    <w:rsid w:val="001F5970"/>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009E"/>
    <w:rsid w:val="002A3C85"/>
    <w:rsid w:val="002A603B"/>
    <w:rsid w:val="002A68EA"/>
    <w:rsid w:val="002B6DC4"/>
    <w:rsid w:val="002C2884"/>
    <w:rsid w:val="002D4643"/>
    <w:rsid w:val="002D4B6C"/>
    <w:rsid w:val="002D659E"/>
    <w:rsid w:val="002E26B9"/>
    <w:rsid w:val="002F175C"/>
    <w:rsid w:val="00302E18"/>
    <w:rsid w:val="003032E0"/>
    <w:rsid w:val="003050A4"/>
    <w:rsid w:val="0030606F"/>
    <w:rsid w:val="00310FC9"/>
    <w:rsid w:val="003204CE"/>
    <w:rsid w:val="00321582"/>
    <w:rsid w:val="003229D8"/>
    <w:rsid w:val="003358CF"/>
    <w:rsid w:val="00345184"/>
    <w:rsid w:val="003505DA"/>
    <w:rsid w:val="00350A2F"/>
    <w:rsid w:val="00352709"/>
    <w:rsid w:val="003571EA"/>
    <w:rsid w:val="003635B9"/>
    <w:rsid w:val="00371178"/>
    <w:rsid w:val="0038272B"/>
    <w:rsid w:val="0039354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49AC"/>
    <w:rsid w:val="003D4B23"/>
    <w:rsid w:val="003D5DB4"/>
    <w:rsid w:val="003E0C3C"/>
    <w:rsid w:val="00400297"/>
    <w:rsid w:val="00405491"/>
    <w:rsid w:val="00410C89"/>
    <w:rsid w:val="004226EE"/>
    <w:rsid w:val="00422E03"/>
    <w:rsid w:val="00426B9B"/>
    <w:rsid w:val="004325CB"/>
    <w:rsid w:val="00433A32"/>
    <w:rsid w:val="004356D2"/>
    <w:rsid w:val="00442A83"/>
    <w:rsid w:val="004532AC"/>
    <w:rsid w:val="0045495B"/>
    <w:rsid w:val="00461F7D"/>
    <w:rsid w:val="00464C81"/>
    <w:rsid w:val="0048397A"/>
    <w:rsid w:val="00483F1B"/>
    <w:rsid w:val="004A12F2"/>
    <w:rsid w:val="004A28A3"/>
    <w:rsid w:val="004B138F"/>
    <w:rsid w:val="004B1892"/>
    <w:rsid w:val="004B3010"/>
    <w:rsid w:val="004C2461"/>
    <w:rsid w:val="004C408F"/>
    <w:rsid w:val="004C64C0"/>
    <w:rsid w:val="004C7462"/>
    <w:rsid w:val="004D12C5"/>
    <w:rsid w:val="004D440A"/>
    <w:rsid w:val="004D4E04"/>
    <w:rsid w:val="004D5426"/>
    <w:rsid w:val="004E065B"/>
    <w:rsid w:val="004E0C05"/>
    <w:rsid w:val="004E3AA8"/>
    <w:rsid w:val="004E69B9"/>
    <w:rsid w:val="004E77B2"/>
    <w:rsid w:val="004F3D1D"/>
    <w:rsid w:val="00503DEB"/>
    <w:rsid w:val="00504B2D"/>
    <w:rsid w:val="005072AF"/>
    <w:rsid w:val="00507993"/>
    <w:rsid w:val="00514A11"/>
    <w:rsid w:val="0052136D"/>
    <w:rsid w:val="00522B58"/>
    <w:rsid w:val="00523CD7"/>
    <w:rsid w:val="005258AB"/>
    <w:rsid w:val="0052775E"/>
    <w:rsid w:val="00535506"/>
    <w:rsid w:val="00537388"/>
    <w:rsid w:val="005420F2"/>
    <w:rsid w:val="00542540"/>
    <w:rsid w:val="00543B68"/>
    <w:rsid w:val="00546993"/>
    <w:rsid w:val="005501AB"/>
    <w:rsid w:val="0056075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C5A1C"/>
    <w:rsid w:val="005C68F0"/>
    <w:rsid w:val="005D0CF6"/>
    <w:rsid w:val="005D2A29"/>
    <w:rsid w:val="005D50B2"/>
    <w:rsid w:val="005D7F39"/>
    <w:rsid w:val="005E1472"/>
    <w:rsid w:val="005E6A77"/>
    <w:rsid w:val="005F1010"/>
    <w:rsid w:val="005F7B75"/>
    <w:rsid w:val="006001EE"/>
    <w:rsid w:val="00605042"/>
    <w:rsid w:val="0060537B"/>
    <w:rsid w:val="00611FC4"/>
    <w:rsid w:val="0061457E"/>
    <w:rsid w:val="006176FB"/>
    <w:rsid w:val="0062198A"/>
    <w:rsid w:val="00630BAF"/>
    <w:rsid w:val="00640B26"/>
    <w:rsid w:val="00643033"/>
    <w:rsid w:val="00652CFC"/>
    <w:rsid w:val="00652D0A"/>
    <w:rsid w:val="006537F2"/>
    <w:rsid w:val="00654204"/>
    <w:rsid w:val="00654F44"/>
    <w:rsid w:val="006623D5"/>
    <w:rsid w:val="00662BB6"/>
    <w:rsid w:val="0066353E"/>
    <w:rsid w:val="00667F8F"/>
    <w:rsid w:val="006741C5"/>
    <w:rsid w:val="006741F1"/>
    <w:rsid w:val="00684C21"/>
    <w:rsid w:val="00692E0E"/>
    <w:rsid w:val="006A0D0E"/>
    <w:rsid w:val="006A2530"/>
    <w:rsid w:val="006A67FC"/>
    <w:rsid w:val="006A6AEA"/>
    <w:rsid w:val="006B1C12"/>
    <w:rsid w:val="006C33AB"/>
    <w:rsid w:val="006C3589"/>
    <w:rsid w:val="006C47A1"/>
    <w:rsid w:val="006C58E0"/>
    <w:rsid w:val="006D37AF"/>
    <w:rsid w:val="006D51D0"/>
    <w:rsid w:val="006E564B"/>
    <w:rsid w:val="006E7191"/>
    <w:rsid w:val="00703577"/>
    <w:rsid w:val="00705894"/>
    <w:rsid w:val="007067C3"/>
    <w:rsid w:val="0072632A"/>
    <w:rsid w:val="007327D5"/>
    <w:rsid w:val="007351B4"/>
    <w:rsid w:val="00740B63"/>
    <w:rsid w:val="007431D0"/>
    <w:rsid w:val="00743D8C"/>
    <w:rsid w:val="00753C6F"/>
    <w:rsid w:val="00755A39"/>
    <w:rsid w:val="00760A73"/>
    <w:rsid w:val="007611CF"/>
    <w:rsid w:val="00761787"/>
    <w:rsid w:val="007629C8"/>
    <w:rsid w:val="00762CB8"/>
    <w:rsid w:val="00764668"/>
    <w:rsid w:val="00767D5D"/>
    <w:rsid w:val="0077047D"/>
    <w:rsid w:val="00771625"/>
    <w:rsid w:val="00776430"/>
    <w:rsid w:val="00776ACF"/>
    <w:rsid w:val="007840E3"/>
    <w:rsid w:val="00790C8F"/>
    <w:rsid w:val="007967A2"/>
    <w:rsid w:val="00797575"/>
    <w:rsid w:val="007A0948"/>
    <w:rsid w:val="007B6BA5"/>
    <w:rsid w:val="007C3390"/>
    <w:rsid w:val="007C4F4B"/>
    <w:rsid w:val="007D65E9"/>
    <w:rsid w:val="007D6759"/>
    <w:rsid w:val="007E01E9"/>
    <w:rsid w:val="007E63F3"/>
    <w:rsid w:val="007F10B4"/>
    <w:rsid w:val="007F1F2D"/>
    <w:rsid w:val="007F6611"/>
    <w:rsid w:val="007F7106"/>
    <w:rsid w:val="007F7A86"/>
    <w:rsid w:val="008031DD"/>
    <w:rsid w:val="008116D7"/>
    <w:rsid w:val="00811920"/>
    <w:rsid w:val="00815AD0"/>
    <w:rsid w:val="00816C50"/>
    <w:rsid w:val="008242D7"/>
    <w:rsid w:val="008257B1"/>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6E0"/>
    <w:rsid w:val="008E0DAA"/>
    <w:rsid w:val="008E4D3A"/>
    <w:rsid w:val="008F741A"/>
    <w:rsid w:val="00904A55"/>
    <w:rsid w:val="0091260B"/>
    <w:rsid w:val="00915B39"/>
    <w:rsid w:val="009223CA"/>
    <w:rsid w:val="00923CCF"/>
    <w:rsid w:val="0093288D"/>
    <w:rsid w:val="00932EF9"/>
    <w:rsid w:val="00940F93"/>
    <w:rsid w:val="00941495"/>
    <w:rsid w:val="0094558F"/>
    <w:rsid w:val="00952AC2"/>
    <w:rsid w:val="00961690"/>
    <w:rsid w:val="009646C2"/>
    <w:rsid w:val="009760F3"/>
    <w:rsid w:val="00980E93"/>
    <w:rsid w:val="0098203C"/>
    <w:rsid w:val="0098441E"/>
    <w:rsid w:val="00985971"/>
    <w:rsid w:val="0099212D"/>
    <w:rsid w:val="00992813"/>
    <w:rsid w:val="00997AA8"/>
    <w:rsid w:val="009A0E8D"/>
    <w:rsid w:val="009B1518"/>
    <w:rsid w:val="009B1CEB"/>
    <w:rsid w:val="009B26E7"/>
    <w:rsid w:val="009B56F3"/>
    <w:rsid w:val="009C454F"/>
    <w:rsid w:val="009D2A5B"/>
    <w:rsid w:val="009D7F37"/>
    <w:rsid w:val="009E1D8E"/>
    <w:rsid w:val="009F3A3C"/>
    <w:rsid w:val="009F652C"/>
    <w:rsid w:val="009F78BD"/>
    <w:rsid w:val="00A00A3F"/>
    <w:rsid w:val="00A01489"/>
    <w:rsid w:val="00A1433D"/>
    <w:rsid w:val="00A239E4"/>
    <w:rsid w:val="00A3009E"/>
    <w:rsid w:val="00A3026E"/>
    <w:rsid w:val="00A338F1"/>
    <w:rsid w:val="00A35EE0"/>
    <w:rsid w:val="00A37A0A"/>
    <w:rsid w:val="00A47249"/>
    <w:rsid w:val="00A47A60"/>
    <w:rsid w:val="00A51CDF"/>
    <w:rsid w:val="00A615A8"/>
    <w:rsid w:val="00A6748C"/>
    <w:rsid w:val="00A70684"/>
    <w:rsid w:val="00A72F22"/>
    <w:rsid w:val="00A7360F"/>
    <w:rsid w:val="00A748A6"/>
    <w:rsid w:val="00A769F4"/>
    <w:rsid w:val="00A776B4"/>
    <w:rsid w:val="00A805C7"/>
    <w:rsid w:val="00A8292C"/>
    <w:rsid w:val="00A93E6F"/>
    <w:rsid w:val="00A94361"/>
    <w:rsid w:val="00AA293C"/>
    <w:rsid w:val="00AA59DB"/>
    <w:rsid w:val="00AA66C0"/>
    <w:rsid w:val="00AA693A"/>
    <w:rsid w:val="00AB1AF0"/>
    <w:rsid w:val="00AC3E5A"/>
    <w:rsid w:val="00AD1A7B"/>
    <w:rsid w:val="00AD409C"/>
    <w:rsid w:val="00AD44C2"/>
    <w:rsid w:val="00AD48FA"/>
    <w:rsid w:val="00AE1070"/>
    <w:rsid w:val="00AE44BE"/>
    <w:rsid w:val="00AE4840"/>
    <w:rsid w:val="00AF1506"/>
    <w:rsid w:val="00B042C8"/>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38D7"/>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39D6"/>
    <w:rsid w:val="00BB4C56"/>
    <w:rsid w:val="00BB4CED"/>
    <w:rsid w:val="00BB77E9"/>
    <w:rsid w:val="00BB7CD1"/>
    <w:rsid w:val="00BB7FE9"/>
    <w:rsid w:val="00BC3FA0"/>
    <w:rsid w:val="00BC74E9"/>
    <w:rsid w:val="00BD55A0"/>
    <w:rsid w:val="00BE218D"/>
    <w:rsid w:val="00BE3E69"/>
    <w:rsid w:val="00BE7D92"/>
    <w:rsid w:val="00BF15A1"/>
    <w:rsid w:val="00BF2A9F"/>
    <w:rsid w:val="00BF55CA"/>
    <w:rsid w:val="00BF63B3"/>
    <w:rsid w:val="00BF68A8"/>
    <w:rsid w:val="00C02ED5"/>
    <w:rsid w:val="00C05DAD"/>
    <w:rsid w:val="00C10FE6"/>
    <w:rsid w:val="00C11A03"/>
    <w:rsid w:val="00C22C0C"/>
    <w:rsid w:val="00C23699"/>
    <w:rsid w:val="00C27DBF"/>
    <w:rsid w:val="00C33AF6"/>
    <w:rsid w:val="00C35BC8"/>
    <w:rsid w:val="00C36481"/>
    <w:rsid w:val="00C41BD5"/>
    <w:rsid w:val="00C43DF8"/>
    <w:rsid w:val="00C4527F"/>
    <w:rsid w:val="00C458FE"/>
    <w:rsid w:val="00C463DD"/>
    <w:rsid w:val="00C467C9"/>
    <w:rsid w:val="00C4724C"/>
    <w:rsid w:val="00C50425"/>
    <w:rsid w:val="00C51345"/>
    <w:rsid w:val="00C5185D"/>
    <w:rsid w:val="00C548AF"/>
    <w:rsid w:val="00C57B14"/>
    <w:rsid w:val="00C57DA4"/>
    <w:rsid w:val="00C629A0"/>
    <w:rsid w:val="00C64629"/>
    <w:rsid w:val="00C652F9"/>
    <w:rsid w:val="00C73056"/>
    <w:rsid w:val="00C745C3"/>
    <w:rsid w:val="00C76CB0"/>
    <w:rsid w:val="00C91148"/>
    <w:rsid w:val="00C9216A"/>
    <w:rsid w:val="00CA0CE1"/>
    <w:rsid w:val="00CA0E33"/>
    <w:rsid w:val="00CB3E03"/>
    <w:rsid w:val="00CB5104"/>
    <w:rsid w:val="00CB5B1E"/>
    <w:rsid w:val="00CC04D9"/>
    <w:rsid w:val="00CD57D2"/>
    <w:rsid w:val="00CD5DD3"/>
    <w:rsid w:val="00CD7BCB"/>
    <w:rsid w:val="00CE116B"/>
    <w:rsid w:val="00CE2CC6"/>
    <w:rsid w:val="00CE4A8F"/>
    <w:rsid w:val="00CE4B11"/>
    <w:rsid w:val="00CF54D5"/>
    <w:rsid w:val="00D00610"/>
    <w:rsid w:val="00D0166C"/>
    <w:rsid w:val="00D06382"/>
    <w:rsid w:val="00D2031B"/>
    <w:rsid w:val="00D20B16"/>
    <w:rsid w:val="00D22720"/>
    <w:rsid w:val="00D25499"/>
    <w:rsid w:val="00D25FE2"/>
    <w:rsid w:val="00D27327"/>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3141"/>
    <w:rsid w:val="00DD430F"/>
    <w:rsid w:val="00DF64FE"/>
    <w:rsid w:val="00DF7B93"/>
    <w:rsid w:val="00E01800"/>
    <w:rsid w:val="00E028F4"/>
    <w:rsid w:val="00E046DF"/>
    <w:rsid w:val="00E073DE"/>
    <w:rsid w:val="00E15557"/>
    <w:rsid w:val="00E159CC"/>
    <w:rsid w:val="00E27346"/>
    <w:rsid w:val="00E27E33"/>
    <w:rsid w:val="00E312C3"/>
    <w:rsid w:val="00E367BB"/>
    <w:rsid w:val="00E402A0"/>
    <w:rsid w:val="00E44A1D"/>
    <w:rsid w:val="00E5005F"/>
    <w:rsid w:val="00E51D9B"/>
    <w:rsid w:val="00E572C8"/>
    <w:rsid w:val="00E57319"/>
    <w:rsid w:val="00E658D0"/>
    <w:rsid w:val="00E702E4"/>
    <w:rsid w:val="00E71BC8"/>
    <w:rsid w:val="00E7260F"/>
    <w:rsid w:val="00E73F5D"/>
    <w:rsid w:val="00E77E4E"/>
    <w:rsid w:val="00E8090F"/>
    <w:rsid w:val="00E82755"/>
    <w:rsid w:val="00E83B19"/>
    <w:rsid w:val="00E83FB7"/>
    <w:rsid w:val="00E96630"/>
    <w:rsid w:val="00EA3456"/>
    <w:rsid w:val="00EA6185"/>
    <w:rsid w:val="00EB237B"/>
    <w:rsid w:val="00EB6956"/>
    <w:rsid w:val="00EB7A4A"/>
    <w:rsid w:val="00EC106A"/>
    <w:rsid w:val="00EC32A0"/>
    <w:rsid w:val="00EC5986"/>
    <w:rsid w:val="00EC5E52"/>
    <w:rsid w:val="00ED7A2A"/>
    <w:rsid w:val="00EE288F"/>
    <w:rsid w:val="00EE3195"/>
    <w:rsid w:val="00EE5FC8"/>
    <w:rsid w:val="00EE6B3A"/>
    <w:rsid w:val="00EF1D7F"/>
    <w:rsid w:val="00F10F61"/>
    <w:rsid w:val="00F13080"/>
    <w:rsid w:val="00F150A0"/>
    <w:rsid w:val="00F227A6"/>
    <w:rsid w:val="00F22857"/>
    <w:rsid w:val="00F31E5F"/>
    <w:rsid w:val="00F32051"/>
    <w:rsid w:val="00F33C9F"/>
    <w:rsid w:val="00F36CB6"/>
    <w:rsid w:val="00F36F0D"/>
    <w:rsid w:val="00F4272A"/>
    <w:rsid w:val="00F5150A"/>
    <w:rsid w:val="00F60F02"/>
    <w:rsid w:val="00F6100A"/>
    <w:rsid w:val="00F66565"/>
    <w:rsid w:val="00F71B7F"/>
    <w:rsid w:val="00F74D18"/>
    <w:rsid w:val="00F80815"/>
    <w:rsid w:val="00F86D76"/>
    <w:rsid w:val="00F93781"/>
    <w:rsid w:val="00F955F8"/>
    <w:rsid w:val="00F95ED8"/>
    <w:rsid w:val="00F97B38"/>
    <w:rsid w:val="00FA3772"/>
    <w:rsid w:val="00FB613B"/>
    <w:rsid w:val="00FB7679"/>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2327</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24</cp:revision>
  <cp:lastPrinted>2019-03-11T13:30:00Z</cp:lastPrinted>
  <dcterms:created xsi:type="dcterms:W3CDTF">2023-01-20T09:03:00Z</dcterms:created>
  <dcterms:modified xsi:type="dcterms:W3CDTF">2023-01-20T12:53:00Z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