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4529DF" w14:paraId="36D50D9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AFA26EF" w14:textId="77777777" w:rsidR="002D5AAC" w:rsidRDefault="002D5AAC" w:rsidP="004529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9B461E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81C0AC0" w14:textId="4C2CF7A6" w:rsidR="002D5AAC" w:rsidRPr="004529DF" w:rsidRDefault="004529DF" w:rsidP="004529DF">
            <w:pPr>
              <w:jc w:val="right"/>
              <w:rPr>
                <w:lang w:val="en-US"/>
              </w:rPr>
            </w:pPr>
            <w:r w:rsidRPr="004529DF">
              <w:rPr>
                <w:sz w:val="40"/>
                <w:lang w:val="en-US"/>
              </w:rPr>
              <w:t>ECE</w:t>
            </w:r>
            <w:r w:rsidRPr="004529DF">
              <w:rPr>
                <w:lang w:val="en-US"/>
              </w:rPr>
              <w:t>/TRANS/WP.15/AC.1/167/Add.1</w:t>
            </w:r>
          </w:p>
        </w:tc>
      </w:tr>
      <w:tr w:rsidR="002D5AAC" w14:paraId="602AC1E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77294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6AD5F29" wp14:editId="642874B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77775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CA745E0" w14:textId="77777777" w:rsidR="002D5AAC" w:rsidRDefault="004529D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7310E78" w14:textId="77777777" w:rsidR="004529DF" w:rsidRDefault="004529DF" w:rsidP="004529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January 2023</w:t>
            </w:r>
          </w:p>
          <w:p w14:paraId="72A051FE" w14:textId="77777777" w:rsidR="004529DF" w:rsidRDefault="004529DF" w:rsidP="004529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6290ED5" w14:textId="59657DC3" w:rsidR="004529DF" w:rsidRPr="008D53B6" w:rsidRDefault="004529DF" w:rsidP="004529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35D30B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EA89055" w14:textId="77777777" w:rsidR="00493151" w:rsidRPr="00806906" w:rsidRDefault="00493151" w:rsidP="00493151">
      <w:pPr>
        <w:spacing w:before="120"/>
        <w:rPr>
          <w:sz w:val="28"/>
          <w:szCs w:val="28"/>
        </w:rPr>
      </w:pPr>
      <w:r w:rsidRPr="00806906">
        <w:rPr>
          <w:sz w:val="28"/>
          <w:szCs w:val="28"/>
        </w:rPr>
        <w:t>Комитет по внутреннему транспорту</w:t>
      </w:r>
    </w:p>
    <w:p w14:paraId="63B5F04F" w14:textId="77777777" w:rsidR="00493151" w:rsidRPr="00806906" w:rsidRDefault="00493151" w:rsidP="00493151">
      <w:pPr>
        <w:spacing w:before="120"/>
        <w:rPr>
          <w:b/>
          <w:sz w:val="24"/>
          <w:szCs w:val="24"/>
        </w:rPr>
      </w:pPr>
      <w:r w:rsidRPr="00806906">
        <w:rPr>
          <w:b/>
          <w:bCs/>
          <w:sz w:val="24"/>
          <w:szCs w:val="24"/>
        </w:rPr>
        <w:t>Рабочая группа по перевозкам опасных грузов</w:t>
      </w:r>
    </w:p>
    <w:p w14:paraId="55D0E1F6" w14:textId="77777777" w:rsidR="00493151" w:rsidRPr="004D323C" w:rsidRDefault="00493151" w:rsidP="00493151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 w:rsidRPr="00806906">
        <w:rPr>
          <w:rFonts w:eastAsia="Calibri" w:cs="Arial"/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49797D59" w14:textId="77777777" w:rsidR="00493151" w:rsidRPr="004D323C" w:rsidRDefault="00493151" w:rsidP="00493151">
      <w:r>
        <w:t>Берн, 20–24 марта 2023 года</w:t>
      </w:r>
    </w:p>
    <w:p w14:paraId="54CA9726" w14:textId="77777777" w:rsidR="00493151" w:rsidRPr="004D323C" w:rsidRDefault="00493151" w:rsidP="00493151">
      <w:r>
        <w:t>Пункт 1 предварительной повестки дня</w:t>
      </w:r>
    </w:p>
    <w:p w14:paraId="7B156225" w14:textId="77777777" w:rsidR="00493151" w:rsidRPr="004D323C" w:rsidRDefault="00493151" w:rsidP="00493151">
      <w:r>
        <w:rPr>
          <w:b/>
          <w:bCs/>
        </w:rPr>
        <w:t>Утверждение повестки дня</w:t>
      </w:r>
    </w:p>
    <w:p w14:paraId="7E63215F" w14:textId="77777777" w:rsidR="00493151" w:rsidRPr="004D323C" w:rsidRDefault="00493151" w:rsidP="00493151">
      <w:pPr>
        <w:pStyle w:val="HChG"/>
      </w:pPr>
      <w:r>
        <w:tab/>
      </w:r>
      <w:r>
        <w:tab/>
      </w:r>
      <w:r>
        <w:rPr>
          <w:bCs/>
        </w:rPr>
        <w:t>Предварительная повестка дня весенней сессии 2023 года</w:t>
      </w:r>
    </w:p>
    <w:p w14:paraId="3C042423" w14:textId="77777777" w:rsidR="00493151" w:rsidRPr="00775ACD" w:rsidRDefault="00493151" w:rsidP="00493151">
      <w:pPr>
        <w:pStyle w:val="H1G"/>
        <w:rPr>
          <w:szCs w:val="24"/>
        </w:rPr>
      </w:pPr>
      <w:r w:rsidRPr="00775ACD">
        <w:rPr>
          <w:szCs w:val="24"/>
        </w:rPr>
        <w:tab/>
      </w:r>
      <w:r w:rsidRPr="00775ACD">
        <w:rPr>
          <w:szCs w:val="24"/>
        </w:rPr>
        <w:tab/>
      </w:r>
      <w:r w:rsidRPr="00775ACD">
        <w:rPr>
          <w:bCs/>
          <w:szCs w:val="24"/>
        </w:rPr>
        <w:t>Добавление</w:t>
      </w:r>
    </w:p>
    <w:p w14:paraId="05EB187A" w14:textId="77777777" w:rsidR="00493151" w:rsidRPr="004D323C" w:rsidRDefault="00493151" w:rsidP="00493151">
      <w:pPr>
        <w:pStyle w:val="HChG"/>
      </w:pPr>
      <w:r>
        <w:tab/>
      </w:r>
      <w:r>
        <w:tab/>
      </w:r>
      <w:r>
        <w:rPr>
          <w:bCs/>
        </w:rPr>
        <w:t>Аннотации и перечень документов</w:t>
      </w:r>
    </w:p>
    <w:p w14:paraId="2716B7EB" w14:textId="77777777" w:rsidR="00493151" w:rsidRPr="00775ACD" w:rsidRDefault="00493151" w:rsidP="00493151">
      <w:pPr>
        <w:pStyle w:val="HChG"/>
        <w:rPr>
          <w:sz w:val="24"/>
          <w:szCs w:val="24"/>
        </w:rPr>
      </w:pPr>
      <w:r w:rsidRPr="00775ACD">
        <w:rPr>
          <w:bCs/>
          <w:sz w:val="24"/>
          <w:szCs w:val="24"/>
        </w:rPr>
        <w:tab/>
        <w:t>1.</w:t>
      </w:r>
      <w:r w:rsidRPr="00775ACD">
        <w:rPr>
          <w:sz w:val="24"/>
          <w:szCs w:val="24"/>
        </w:rPr>
        <w:tab/>
      </w:r>
      <w:r w:rsidRPr="00775ACD">
        <w:rPr>
          <w:bCs/>
          <w:sz w:val="24"/>
          <w:szCs w:val="24"/>
        </w:rPr>
        <w:t>Утверждение повестки дня</w:t>
      </w:r>
    </w:p>
    <w:p w14:paraId="2D9A83AB" w14:textId="77777777" w:rsidR="00493151" w:rsidRPr="004D323C" w:rsidRDefault="00493151" w:rsidP="00493151">
      <w:pPr>
        <w:pStyle w:val="SingleTxtG"/>
        <w:ind w:firstLine="567"/>
      </w:pPr>
      <w:r>
        <w:t>Первым пунктом повестки дня является ее утверждение. Совместное совещание рассмотрит также доклад о работе своей осенней сессии 2022 года, состоявшейся в Женеве 12−16 сентября 2022 года (ECE/TRANS/WP.15/AC.1/166).</w:t>
      </w:r>
    </w:p>
    <w:p w14:paraId="1BBA1409" w14:textId="21DDBBEF" w:rsidR="00493151" w:rsidRPr="004D323C" w:rsidRDefault="00493151" w:rsidP="00493151">
      <w:pPr>
        <w:pStyle w:val="SingleTxtG"/>
      </w:pPr>
      <w:r>
        <w:tab/>
        <w:t>Необходимо напомнить о следующих моментах:</w:t>
      </w:r>
    </w:p>
    <w:p w14:paraId="4C9F59BC" w14:textId="15C185BB" w:rsidR="00493151" w:rsidRPr="004D323C" w:rsidRDefault="00493151" w:rsidP="00493151">
      <w:pPr>
        <w:pStyle w:val="SingleTxtG"/>
      </w:pPr>
      <w:r>
        <w:tab/>
        <w:t>a)</w:t>
      </w:r>
      <w:r>
        <w:tab/>
        <w:t xml:space="preserve">на своей осенней сессии 2022 года Совместное совещание избрало </w:t>
      </w:r>
      <w:r>
        <w:br/>
        <w:t>г-на К. Пфоваделя (Франция) Председателем и г-жу С. Гарсия-Вольфрум (Испания) заместителем Председателя;</w:t>
      </w:r>
    </w:p>
    <w:p w14:paraId="1842718B" w14:textId="0045EDD4" w:rsidR="00493151" w:rsidRPr="004D323C" w:rsidRDefault="00493151" w:rsidP="00493151">
      <w:pPr>
        <w:pStyle w:val="SingleTxtG"/>
      </w:pPr>
      <w:r>
        <w:tab/>
        <w:t>b)</w:t>
      </w:r>
      <w:r>
        <w:tab/>
        <w:t>документы ЕЭК ООН (за исключением повесток дня и докладов), имеющие условное обозначение ECE/TRANS/WP.15/АC.1/, распространяются Межправительственной организацией по международным железнодорожным перевозкам (ОТИФ) на немецком языке под условным обозначением OTIF/RID/RC/, после которого указывается тот же номер документа. В рамках усилий секретариата по сокращению расходов документы не будут распространяться в зале заседаний. Делегатов любезно просят приносить на заседания собственные экземпляры документов;</w:t>
      </w:r>
    </w:p>
    <w:p w14:paraId="480A98B8" w14:textId="0C403C23" w:rsidR="00493151" w:rsidRPr="004D323C" w:rsidRDefault="00493151" w:rsidP="00493151">
      <w:pPr>
        <w:pStyle w:val="SingleTxtG"/>
      </w:pPr>
      <w:r>
        <w:tab/>
        <w:t>c)</w:t>
      </w:r>
      <w:r>
        <w:tab/>
        <w:t>документация будет размещена на веб-сайте ЕЭК ООН (unece.org/transport/dangerous-goods) на английском, русском и французском языках;</w:t>
      </w:r>
    </w:p>
    <w:p w14:paraId="59919FA9" w14:textId="350CEC57" w:rsidR="00493151" w:rsidRPr="004D323C" w:rsidRDefault="00493151" w:rsidP="00493151">
      <w:pPr>
        <w:pStyle w:val="SingleTxtG"/>
      </w:pPr>
      <w:r>
        <w:tab/>
        <w:t>d)</w:t>
      </w:r>
      <w:r>
        <w:tab/>
        <w:t>Совместное совещание, возможно, пожелает, чтобы в случае необходимости не одновременно с пленарными заседаниями, а в другое время собралась специальная рабочая группа для рассмотрения документов, касающихся стандартов (пункт 3), в соответствии с мандатом, который будет утвержден Совместным совещанием;</w:t>
      </w:r>
    </w:p>
    <w:p w14:paraId="42A707E9" w14:textId="77777777" w:rsidR="00493151" w:rsidRPr="004D323C" w:rsidRDefault="00493151" w:rsidP="00493151">
      <w:pPr>
        <w:pStyle w:val="SingleTxtG"/>
        <w:ind w:firstLine="567"/>
      </w:pPr>
      <w:r>
        <w:lastRenderedPageBreak/>
        <w:t>e)</w:t>
      </w:r>
      <w:r>
        <w:tab/>
        <w:t>Совместное совещание, возможно, пожелает, чтобы в случае необходимости одновременно с ним собралась специальная рабочая группа для рассмотрения документов, касающихся цистерн (пункт 2), после обсуждения этого пункта на пленарном заседании;</w:t>
      </w:r>
    </w:p>
    <w:p w14:paraId="1CE7569B" w14:textId="174FD3B3" w:rsidR="00493151" w:rsidRPr="004D323C" w:rsidRDefault="00493151" w:rsidP="00493151">
      <w:pPr>
        <w:pStyle w:val="SingleTxtG"/>
        <w:spacing w:before="120"/>
        <w:rPr>
          <w:rFonts w:asciiTheme="majorBidi" w:hAnsiTheme="majorBidi" w:cstheme="majorBidi"/>
        </w:rPr>
      </w:pPr>
      <w:r>
        <w:tab/>
        <w:t>f)</w:t>
      </w:r>
      <w:r>
        <w:tab/>
        <w:t>чтобы минимизировать влияние пандемии COVID-19 на работу Совместного совещания, ЕЭК ООН планирует вернуться к нормальному режиму работы, т. е. организовывать только очные сессии, начиная с 2023 года в зависимости от дальнейшего смягчения действующих санитарных ограничений. В соответствии с договоренностью с ОТИФ о продолжении применения рабочих процедур, уже предложенных для сессий 2022 года, весенняя сессия будет проведена в гибридном формате, позволяющем делегатам участвовать в ней лично или дистанционно. Более подробная информация будет распространена позднее;</w:t>
      </w:r>
    </w:p>
    <w:p w14:paraId="71F22D6E" w14:textId="295FC077" w:rsidR="00493151" w:rsidRPr="00493151" w:rsidRDefault="00493151" w:rsidP="00493151">
      <w:pPr>
        <w:pStyle w:val="SingleTxtG"/>
        <w:spacing w:before="120"/>
        <w:rPr>
          <w:rFonts w:asciiTheme="majorBidi" w:hAnsiTheme="majorBidi" w:cstheme="majorBidi"/>
          <w:bCs/>
        </w:rPr>
      </w:pPr>
      <w:r>
        <w:tab/>
        <w:t>g)</w:t>
      </w:r>
      <w:r>
        <w:tab/>
        <w:t xml:space="preserve">чтобы держать вас в курсе событий, просим зарегистрироваться с помощью </w:t>
      </w:r>
      <w:hyperlink r:id="rId8" w:history="1">
        <w:r w:rsidRPr="00493151">
          <w:rPr>
            <w:rStyle w:val="Hyperlink"/>
          </w:rPr>
          <w:t>онлайн-формуляра</w:t>
        </w:r>
      </w:hyperlink>
      <w:r>
        <w:t xml:space="preserve"> </w:t>
      </w:r>
      <w:r>
        <w:rPr>
          <w:b/>
          <w:bCs/>
        </w:rPr>
        <w:t>не позднее 10 марта 2023 года</w:t>
      </w:r>
      <w:r w:rsidRPr="00493151">
        <w:rPr>
          <w:rStyle w:val="FootnoteReference"/>
          <w:rFonts w:cstheme="majorBidi"/>
          <w:bCs/>
        </w:rPr>
        <w:footnoteReference w:id="1"/>
      </w:r>
      <w:r w:rsidRPr="00493151">
        <w:rPr>
          <w:bCs/>
        </w:rPr>
        <w:t>;</w:t>
      </w:r>
    </w:p>
    <w:p w14:paraId="72C5CCD8" w14:textId="7F5AC4F7" w:rsidR="00493151" w:rsidRPr="004D323C" w:rsidRDefault="00493151" w:rsidP="00493151">
      <w:pPr>
        <w:pStyle w:val="SingleTxtG"/>
        <w:spacing w:before="120"/>
        <w:rPr>
          <w:rFonts w:asciiTheme="majorBidi" w:hAnsiTheme="majorBidi" w:cstheme="majorBidi"/>
        </w:rPr>
      </w:pPr>
      <w:r>
        <w:tab/>
        <w:t>h)</w:t>
      </w:r>
      <w:r>
        <w:tab/>
        <w:t>чтение доклада (пункт 10) планируется провести в первой половине дня в пятницу (24 марта 2023 года) без устного перевода.</w:t>
      </w:r>
    </w:p>
    <w:p w14:paraId="29506C49" w14:textId="77777777" w:rsidR="00493151" w:rsidRPr="0055221A" w:rsidRDefault="00493151" w:rsidP="00493151">
      <w:pPr>
        <w:pStyle w:val="HChG"/>
        <w:rPr>
          <w:sz w:val="24"/>
          <w:szCs w:val="24"/>
        </w:rPr>
      </w:pPr>
      <w:r w:rsidRPr="0055221A">
        <w:rPr>
          <w:bCs/>
          <w:sz w:val="24"/>
          <w:szCs w:val="24"/>
        </w:rPr>
        <w:tab/>
        <w:t>2.</w:t>
      </w:r>
      <w:r w:rsidRPr="0055221A">
        <w:rPr>
          <w:sz w:val="24"/>
          <w:szCs w:val="24"/>
        </w:rPr>
        <w:tab/>
      </w:r>
      <w:r w:rsidRPr="0055221A">
        <w:rPr>
          <w:bCs/>
          <w:sz w:val="24"/>
          <w:szCs w:val="24"/>
        </w:rPr>
        <w:t>Цистерны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493151" w:rsidRPr="004D323C" w14:paraId="256443EC" w14:textId="77777777" w:rsidTr="001618AC">
        <w:tc>
          <w:tcPr>
            <w:tcW w:w="3654" w:type="dxa"/>
          </w:tcPr>
          <w:p w14:paraId="0D570311" w14:textId="77777777" w:rsidR="00493151" w:rsidRPr="004D323C" w:rsidRDefault="00493151" w:rsidP="003666B8">
            <w:pPr>
              <w:spacing w:after="120"/>
              <w:ind w:right="175"/>
            </w:pPr>
            <w:r>
              <w:t>ECE/TRANS/WP.15/AC.1/2023/3 (секретариат ОТИФ)</w:t>
            </w:r>
          </w:p>
        </w:tc>
        <w:tc>
          <w:tcPr>
            <w:tcW w:w="4851" w:type="dxa"/>
            <w:shd w:val="clear" w:color="auto" w:fill="auto"/>
          </w:tcPr>
          <w:p w14:paraId="5E1D4EC8" w14:textId="7100BA48" w:rsidR="00493151" w:rsidRPr="00CF5FA3" w:rsidRDefault="00493151" w:rsidP="003666B8">
            <w:pPr>
              <w:spacing w:after="120"/>
            </w:pPr>
            <w:r w:rsidRPr="00CF5FA3">
              <w:t xml:space="preserve">Рационализированный подход к назначению кодов цистерн группам веществ, изложенный </w:t>
            </w:r>
            <w:r>
              <w:br/>
            </w:r>
            <w:r w:rsidRPr="00CF5FA3">
              <w:t>в пункте 4.3.4.1.2</w:t>
            </w:r>
          </w:p>
        </w:tc>
      </w:tr>
      <w:tr w:rsidR="00493151" w:rsidRPr="004D323C" w14:paraId="5C8CE84B" w14:textId="77777777" w:rsidTr="001618AC">
        <w:tc>
          <w:tcPr>
            <w:tcW w:w="3654" w:type="dxa"/>
          </w:tcPr>
          <w:p w14:paraId="128E727A" w14:textId="77777777" w:rsidR="00493151" w:rsidRPr="00493151" w:rsidRDefault="00493151" w:rsidP="003666B8">
            <w:pPr>
              <w:spacing w:after="120"/>
              <w:ind w:right="175"/>
              <w:rPr>
                <w:lang w:val="en-US"/>
              </w:rPr>
            </w:pPr>
            <w:r w:rsidRPr="004D323C">
              <w:rPr>
                <w:lang w:val="en-US"/>
              </w:rPr>
              <w:t>ECE/TRANS/WP.15/AC.1/2023/16 (</w:t>
            </w:r>
            <w:r>
              <w:t>Польша</w:t>
            </w:r>
            <w:r w:rsidRPr="004D323C">
              <w:rPr>
                <w:lang w:val="en-US"/>
              </w:rPr>
              <w:t>)</w:t>
            </w:r>
          </w:p>
        </w:tc>
        <w:tc>
          <w:tcPr>
            <w:tcW w:w="4851" w:type="dxa"/>
            <w:shd w:val="clear" w:color="auto" w:fill="auto"/>
          </w:tcPr>
          <w:p w14:paraId="7DCA7F91" w14:textId="65070104" w:rsidR="00493151" w:rsidRPr="00CF5FA3" w:rsidRDefault="00493151" w:rsidP="003666B8">
            <w:pPr>
              <w:spacing w:after="120"/>
            </w:pPr>
            <w:r w:rsidRPr="00CF5FA3">
              <w:t xml:space="preserve">Изменение определений «Цистерна из АВП» </w:t>
            </w:r>
            <w:r>
              <w:br/>
            </w:r>
            <w:r w:rsidRPr="00CF5FA3">
              <w:t xml:space="preserve">и «Корпус из АВП» в главе 6.9 МПОГ/ДОПОГ </w:t>
            </w:r>
            <w:r>
              <w:br/>
            </w:r>
            <w:r w:rsidRPr="00CF5FA3">
              <w:t>2023 года</w:t>
            </w:r>
          </w:p>
        </w:tc>
      </w:tr>
    </w:tbl>
    <w:p w14:paraId="24B86096" w14:textId="77777777" w:rsidR="00493151" w:rsidRPr="0055221A" w:rsidRDefault="00493151" w:rsidP="00493151">
      <w:pPr>
        <w:pStyle w:val="HChG"/>
        <w:rPr>
          <w:sz w:val="24"/>
          <w:szCs w:val="24"/>
        </w:rPr>
      </w:pPr>
      <w:r w:rsidRPr="0055221A">
        <w:rPr>
          <w:bCs/>
          <w:sz w:val="24"/>
          <w:szCs w:val="24"/>
        </w:rPr>
        <w:tab/>
        <w:t>3.</w:t>
      </w:r>
      <w:r w:rsidRPr="0055221A">
        <w:rPr>
          <w:sz w:val="24"/>
          <w:szCs w:val="24"/>
        </w:rPr>
        <w:tab/>
      </w:r>
      <w:r w:rsidRPr="0055221A">
        <w:rPr>
          <w:bCs/>
          <w:sz w:val="24"/>
          <w:szCs w:val="24"/>
        </w:rPr>
        <w:t>Стандарты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493151" w:rsidRPr="004D323C" w14:paraId="2353E129" w14:textId="77777777" w:rsidTr="001618AC">
        <w:tc>
          <w:tcPr>
            <w:tcW w:w="3654" w:type="dxa"/>
          </w:tcPr>
          <w:p w14:paraId="3ECC3709" w14:textId="5843C15E" w:rsidR="00493151" w:rsidRPr="00493151" w:rsidRDefault="00493151" w:rsidP="001618AC">
            <w:pPr>
              <w:spacing w:after="60"/>
              <w:ind w:right="175"/>
              <w:rPr>
                <w:lang w:val="en-US"/>
              </w:rPr>
            </w:pPr>
            <w:r w:rsidRPr="004D323C">
              <w:rPr>
                <w:lang w:val="en-US"/>
              </w:rPr>
              <w:t>ECE/TRANS/WP.15/AC.1/2023/12 (</w:t>
            </w:r>
            <w:r>
              <w:t>ЕКС</w:t>
            </w:r>
            <w:r w:rsidRPr="004D323C">
              <w:rPr>
                <w:lang w:val="en-US"/>
              </w:rPr>
              <w:t>)</w:t>
            </w:r>
          </w:p>
        </w:tc>
        <w:tc>
          <w:tcPr>
            <w:tcW w:w="4851" w:type="dxa"/>
            <w:shd w:val="clear" w:color="auto" w:fill="auto"/>
          </w:tcPr>
          <w:p w14:paraId="3B681755" w14:textId="75C91673" w:rsidR="00493151" w:rsidRPr="00CF5FA3" w:rsidRDefault="00493151" w:rsidP="00493151">
            <w:pPr>
              <w:spacing w:after="60"/>
            </w:pPr>
            <w:r w:rsidRPr="008F2277">
              <w:t>Информация о работе Рабочей группы по стандартам</w:t>
            </w:r>
          </w:p>
        </w:tc>
      </w:tr>
    </w:tbl>
    <w:p w14:paraId="4B6C9D0A" w14:textId="77777777" w:rsidR="00493151" w:rsidRPr="0055221A" w:rsidRDefault="00493151" w:rsidP="00493151">
      <w:pPr>
        <w:pStyle w:val="HChG"/>
        <w:rPr>
          <w:sz w:val="24"/>
          <w:szCs w:val="24"/>
        </w:rPr>
      </w:pPr>
      <w:r w:rsidRPr="0055221A">
        <w:rPr>
          <w:bCs/>
          <w:sz w:val="24"/>
          <w:szCs w:val="24"/>
        </w:rPr>
        <w:tab/>
        <w:t>4.</w:t>
      </w:r>
      <w:r w:rsidRPr="0055221A">
        <w:rPr>
          <w:sz w:val="24"/>
          <w:szCs w:val="24"/>
        </w:rPr>
        <w:tab/>
      </w:r>
      <w:r w:rsidRPr="0055221A">
        <w:rPr>
          <w:bCs/>
          <w:sz w:val="24"/>
          <w:szCs w:val="24"/>
        </w:rPr>
        <w:t>Толкование МПОГ/ДОПОГ/ВОПОГ</w:t>
      </w:r>
    </w:p>
    <w:p w14:paraId="20D15E81" w14:textId="77777777" w:rsidR="00493151" w:rsidRPr="004D323C" w:rsidRDefault="00493151" w:rsidP="00493151">
      <w:pPr>
        <w:ind w:left="1134" w:right="1134"/>
      </w:pPr>
      <w:r>
        <w:tab/>
      </w:r>
      <w:r>
        <w:tab/>
        <w:t>Никаких документов по этому пункту повестки дня не представлено.</w:t>
      </w:r>
    </w:p>
    <w:p w14:paraId="1B23347C" w14:textId="77777777" w:rsidR="00493151" w:rsidRPr="0055221A" w:rsidRDefault="00493151" w:rsidP="00493151">
      <w:pPr>
        <w:pStyle w:val="HChG"/>
        <w:rPr>
          <w:sz w:val="24"/>
          <w:szCs w:val="24"/>
        </w:rPr>
      </w:pPr>
      <w:r w:rsidRPr="0055221A">
        <w:rPr>
          <w:bCs/>
          <w:sz w:val="24"/>
          <w:szCs w:val="24"/>
        </w:rPr>
        <w:tab/>
        <w:t>5.</w:t>
      </w:r>
      <w:r w:rsidRPr="0055221A">
        <w:rPr>
          <w:sz w:val="24"/>
          <w:szCs w:val="24"/>
        </w:rPr>
        <w:tab/>
      </w:r>
      <w:r w:rsidRPr="0055221A">
        <w:rPr>
          <w:bCs/>
          <w:sz w:val="24"/>
          <w:szCs w:val="24"/>
        </w:rPr>
        <w:t>Предложения о внесении поправок в МПОГ/ДОПОГ/ВОПОГ</w:t>
      </w:r>
    </w:p>
    <w:p w14:paraId="30A146AD" w14:textId="77777777" w:rsidR="00493151" w:rsidRDefault="00493151" w:rsidP="00493151">
      <w:pPr>
        <w:pStyle w:val="H1G"/>
      </w:pPr>
      <w:r>
        <w:rPr>
          <w:bCs/>
        </w:rPr>
        <w:tab/>
        <w:t>a)</w:t>
      </w:r>
      <w:r>
        <w:tab/>
      </w:r>
      <w:r>
        <w:rPr>
          <w:bCs/>
        </w:rPr>
        <w:t>Нерассмотренные вопросы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493151" w:rsidRPr="004D323C" w14:paraId="2D9720FC" w14:textId="77777777" w:rsidTr="001618AC">
        <w:tc>
          <w:tcPr>
            <w:tcW w:w="3654" w:type="dxa"/>
          </w:tcPr>
          <w:p w14:paraId="36211538" w14:textId="77777777" w:rsidR="00493151" w:rsidRPr="004D323C" w:rsidRDefault="00493151" w:rsidP="003666B8">
            <w:pPr>
              <w:pStyle w:val="SingleTxtG"/>
              <w:ind w:left="0" w:right="175"/>
              <w:jc w:val="left"/>
            </w:pPr>
            <w:r>
              <w:t>ECE/TRANS/WP.15/AC.1/2023/1 (секретариат)</w:t>
            </w:r>
          </w:p>
        </w:tc>
        <w:tc>
          <w:tcPr>
            <w:tcW w:w="4851" w:type="dxa"/>
          </w:tcPr>
          <w:p w14:paraId="2E37CBED" w14:textId="343F985C" w:rsidR="00493151" w:rsidRPr="00CF5FA3" w:rsidRDefault="00493151" w:rsidP="003666B8">
            <w:pPr>
              <w:pStyle w:val="SingleTxtG"/>
              <w:ind w:left="0" w:right="1132"/>
              <w:jc w:val="left"/>
            </w:pPr>
            <w:r w:rsidRPr="00CF5FA3">
              <w:t>Специальные положения 532 и 543 в МПОГ/ДОПОГ/ВОПОГ</w:t>
            </w:r>
          </w:p>
        </w:tc>
      </w:tr>
      <w:tr w:rsidR="00493151" w:rsidRPr="004D323C" w14:paraId="14A5373D" w14:textId="77777777" w:rsidTr="001618AC">
        <w:tc>
          <w:tcPr>
            <w:tcW w:w="3654" w:type="dxa"/>
          </w:tcPr>
          <w:p w14:paraId="19D92DE1" w14:textId="77777777" w:rsidR="00493151" w:rsidRPr="00493151" w:rsidRDefault="00493151" w:rsidP="003666B8">
            <w:pPr>
              <w:pStyle w:val="SingleTxtG"/>
              <w:ind w:left="0" w:right="175"/>
              <w:jc w:val="left"/>
              <w:rPr>
                <w:lang w:val="en-US"/>
              </w:rPr>
            </w:pPr>
            <w:r w:rsidRPr="004D323C">
              <w:rPr>
                <w:lang w:val="en-US"/>
              </w:rPr>
              <w:t>ECE/TRANS/WP.15/AC.1/2023/4 (</w:t>
            </w:r>
            <w:r>
              <w:t>МАКБ</w:t>
            </w:r>
            <w:r w:rsidRPr="004D323C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3BC1CB68" w14:textId="77777777" w:rsidR="00493151" w:rsidRPr="00CF5FA3" w:rsidRDefault="00493151" w:rsidP="003666B8">
            <w:pPr>
              <w:pStyle w:val="SingleTxtG"/>
              <w:ind w:left="0" w:right="1132"/>
              <w:jc w:val="left"/>
            </w:pPr>
            <w:r w:rsidRPr="00CF5FA3">
              <w:t>Поправка к существующему специальному положению 668</w:t>
            </w:r>
          </w:p>
        </w:tc>
      </w:tr>
      <w:tr w:rsidR="00493151" w:rsidRPr="004D323C" w14:paraId="26286407" w14:textId="77777777" w:rsidTr="001618AC">
        <w:tc>
          <w:tcPr>
            <w:tcW w:w="3654" w:type="dxa"/>
          </w:tcPr>
          <w:p w14:paraId="2144EC90" w14:textId="77777777" w:rsidR="00493151" w:rsidRPr="00493151" w:rsidRDefault="00493151" w:rsidP="003666B8">
            <w:pPr>
              <w:pStyle w:val="SingleTxtG"/>
              <w:ind w:left="0" w:right="175"/>
              <w:jc w:val="left"/>
              <w:rPr>
                <w:lang w:val="en-US"/>
              </w:rPr>
            </w:pPr>
            <w:r w:rsidRPr="00E11A42">
              <w:rPr>
                <w:lang w:val="en-US"/>
              </w:rPr>
              <w:t>ECE/TRANS/WP.15/AC.1/2023/22 (COSTHA)</w:t>
            </w:r>
          </w:p>
        </w:tc>
        <w:tc>
          <w:tcPr>
            <w:tcW w:w="4851" w:type="dxa"/>
          </w:tcPr>
          <w:p w14:paraId="6C341C23" w14:textId="77777777" w:rsidR="00493151" w:rsidRPr="00D202AE" w:rsidRDefault="00493151" w:rsidP="003666B8">
            <w:pPr>
              <w:pStyle w:val="SingleTxtG"/>
              <w:ind w:left="0" w:right="1132"/>
              <w:jc w:val="left"/>
            </w:pPr>
            <w:r w:rsidRPr="00D202AE">
              <w:t>Онлайновые службы доставки бакалейных продуктов</w:t>
            </w:r>
          </w:p>
        </w:tc>
      </w:tr>
    </w:tbl>
    <w:p w14:paraId="76921703" w14:textId="77777777" w:rsidR="00493151" w:rsidRDefault="00493151" w:rsidP="00493151">
      <w:pPr>
        <w:pStyle w:val="H1G"/>
      </w:pPr>
      <w:r>
        <w:rPr>
          <w:bCs/>
        </w:rPr>
        <w:lastRenderedPageBreak/>
        <w:tab/>
        <w:t>b)</w:t>
      </w:r>
      <w:r>
        <w:tab/>
      </w:r>
      <w:r>
        <w:rPr>
          <w:bCs/>
        </w:rPr>
        <w:t>Новые предложения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493151" w:rsidRPr="004D323C" w14:paraId="06BCCF8E" w14:textId="77777777" w:rsidTr="001618AC">
        <w:tc>
          <w:tcPr>
            <w:tcW w:w="3654" w:type="dxa"/>
          </w:tcPr>
          <w:p w14:paraId="5D89D050" w14:textId="77777777" w:rsidR="00493151" w:rsidRPr="00493151" w:rsidRDefault="00493151" w:rsidP="003666B8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4D323C">
              <w:rPr>
                <w:lang w:val="en-US"/>
              </w:rPr>
              <w:t>ECE/TRANS/WP.15/AC.1/2023/2 (</w:t>
            </w:r>
            <w:r>
              <w:t>Германия</w:t>
            </w:r>
            <w:r w:rsidRPr="004D323C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0B098194" w14:textId="77777777" w:rsidR="00493151" w:rsidRPr="009C2F23" w:rsidRDefault="00493151" w:rsidP="003666B8">
            <w:pPr>
              <w:pStyle w:val="SingleTxtG"/>
              <w:ind w:left="0" w:right="176"/>
              <w:jc w:val="left"/>
            </w:pPr>
            <w:r w:rsidRPr="009C2F23">
              <w:t>Таблица A МПОГ/ДОПОГ: № ООН 3550, отсутствие кода положений по совместной упаковке в колонке 9b</w:t>
            </w:r>
          </w:p>
        </w:tc>
      </w:tr>
      <w:tr w:rsidR="00493151" w:rsidRPr="004D323C" w14:paraId="1B73C1A7" w14:textId="77777777" w:rsidTr="001618AC">
        <w:tc>
          <w:tcPr>
            <w:tcW w:w="3654" w:type="dxa"/>
          </w:tcPr>
          <w:p w14:paraId="14732453" w14:textId="77777777" w:rsidR="00493151" w:rsidRPr="00493151" w:rsidRDefault="00493151" w:rsidP="003666B8">
            <w:pPr>
              <w:pStyle w:val="SingleTxtG"/>
              <w:ind w:left="0" w:right="176"/>
              <w:rPr>
                <w:lang w:val="en-US"/>
              </w:rPr>
            </w:pPr>
            <w:r w:rsidRPr="004D323C">
              <w:rPr>
                <w:lang w:val="en-US"/>
              </w:rPr>
              <w:t>ECE/TRANS/WP.15/AC.1/2023/5 (</w:t>
            </w:r>
            <w:r>
              <w:t>МАКБ</w:t>
            </w:r>
            <w:r w:rsidRPr="004D323C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20453E4D" w14:textId="77777777" w:rsidR="00493151" w:rsidRPr="009C2F23" w:rsidRDefault="00493151" w:rsidP="003666B8">
            <w:pPr>
              <w:pStyle w:val="SingleTxtG"/>
              <w:ind w:left="0" w:right="176"/>
              <w:jc w:val="left"/>
            </w:pPr>
            <w:r w:rsidRPr="009C2F23">
              <w:t>Указание года в письменных инструкциях</w:t>
            </w:r>
          </w:p>
        </w:tc>
      </w:tr>
      <w:tr w:rsidR="00493151" w:rsidRPr="004D323C" w14:paraId="7CC35FFA" w14:textId="77777777" w:rsidTr="001618AC">
        <w:tc>
          <w:tcPr>
            <w:tcW w:w="3654" w:type="dxa"/>
          </w:tcPr>
          <w:p w14:paraId="42D8E78E" w14:textId="77777777" w:rsidR="00493151" w:rsidRPr="00493151" w:rsidRDefault="00493151" w:rsidP="003666B8">
            <w:pPr>
              <w:pStyle w:val="SingleTxtG"/>
              <w:ind w:left="0" w:right="176"/>
              <w:rPr>
                <w:lang w:val="en-US"/>
              </w:rPr>
            </w:pPr>
            <w:r w:rsidRPr="004D323C">
              <w:rPr>
                <w:lang w:val="en-US"/>
              </w:rPr>
              <w:t>ECE/TRANS/WP.15/AC.1/2023/6 (</w:t>
            </w:r>
            <w:r>
              <w:t>МАКБ</w:t>
            </w:r>
            <w:r w:rsidRPr="004D323C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1637FBCB" w14:textId="77777777" w:rsidR="00493151" w:rsidRPr="009C2F23" w:rsidRDefault="00493151" w:rsidP="003666B8">
            <w:pPr>
              <w:pStyle w:val="SingleTxtG"/>
              <w:ind w:left="0" w:right="176"/>
              <w:jc w:val="left"/>
            </w:pPr>
            <w:r w:rsidRPr="009C2F23">
              <w:t>Языковые требования к транспортному документу в соответствии с ДОПОГ/ВОПОГ</w:t>
            </w:r>
          </w:p>
        </w:tc>
      </w:tr>
      <w:tr w:rsidR="00493151" w:rsidRPr="004D323C" w14:paraId="0DBE6AB8" w14:textId="77777777" w:rsidTr="001618AC">
        <w:tc>
          <w:tcPr>
            <w:tcW w:w="3654" w:type="dxa"/>
          </w:tcPr>
          <w:p w14:paraId="6E45F3BA" w14:textId="77777777" w:rsidR="00493151" w:rsidRPr="00493151" w:rsidRDefault="00493151" w:rsidP="003666B8">
            <w:pPr>
              <w:pStyle w:val="SingleTxtG"/>
              <w:ind w:left="0" w:right="176"/>
              <w:rPr>
                <w:lang w:val="en-US"/>
              </w:rPr>
            </w:pPr>
            <w:r w:rsidRPr="004D323C">
              <w:rPr>
                <w:lang w:val="en-US"/>
              </w:rPr>
              <w:t>ECE/TRANS/WP.15/AC.1/2023/7 (</w:t>
            </w:r>
            <w:r>
              <w:t>МАКБ</w:t>
            </w:r>
            <w:r w:rsidRPr="004D323C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0CA414CB" w14:textId="77777777" w:rsidR="00493151" w:rsidRPr="009C2F23" w:rsidRDefault="00493151" w:rsidP="003666B8">
            <w:pPr>
              <w:pStyle w:val="SingleTxtG"/>
              <w:ind w:left="0" w:right="176"/>
              <w:jc w:val="left"/>
            </w:pPr>
            <w:r w:rsidRPr="009C2F23">
              <w:t>Согласование определений «закрытый вагон», «закрытое транспортное средство» и «закрытый контейнер»</w:t>
            </w:r>
          </w:p>
        </w:tc>
      </w:tr>
      <w:tr w:rsidR="00493151" w:rsidRPr="004D323C" w14:paraId="163407FE" w14:textId="77777777" w:rsidTr="001618AC">
        <w:tc>
          <w:tcPr>
            <w:tcW w:w="3654" w:type="dxa"/>
          </w:tcPr>
          <w:p w14:paraId="5D10C672" w14:textId="77777777" w:rsidR="00493151" w:rsidRPr="00493151" w:rsidRDefault="00493151" w:rsidP="003666B8">
            <w:pPr>
              <w:pStyle w:val="SingleTxtG"/>
              <w:ind w:left="0" w:right="176"/>
              <w:rPr>
                <w:lang w:val="en-US"/>
              </w:rPr>
            </w:pPr>
            <w:r w:rsidRPr="004D323C">
              <w:rPr>
                <w:lang w:val="en-US"/>
              </w:rPr>
              <w:t>ECE/TRANS/WP.15/AC.1/2023/8 (</w:t>
            </w:r>
            <w:r>
              <w:t>МАКБ</w:t>
            </w:r>
            <w:r w:rsidRPr="004D323C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6799E6B1" w14:textId="77777777" w:rsidR="00493151" w:rsidRPr="009C2F23" w:rsidRDefault="00493151" w:rsidP="003666B8">
            <w:pPr>
              <w:pStyle w:val="SingleTxtG"/>
              <w:ind w:left="0" w:right="176"/>
              <w:jc w:val="left"/>
            </w:pPr>
            <w:r w:rsidRPr="009C2F23">
              <w:t>Консультант по вопросам безопасности перевозки опасных грузов при перевозке определенных типов опасных грузов — пункт 1.8.3.13 МПОГ/ДОПОГ</w:t>
            </w:r>
          </w:p>
        </w:tc>
      </w:tr>
      <w:tr w:rsidR="00493151" w:rsidRPr="004D323C" w14:paraId="40C11842" w14:textId="77777777" w:rsidTr="001618AC">
        <w:tc>
          <w:tcPr>
            <w:tcW w:w="3654" w:type="dxa"/>
          </w:tcPr>
          <w:p w14:paraId="65236021" w14:textId="77777777" w:rsidR="00493151" w:rsidRPr="004D323C" w:rsidRDefault="00493151" w:rsidP="003666B8">
            <w:pPr>
              <w:pStyle w:val="SingleTxtG"/>
              <w:ind w:left="0" w:right="176"/>
            </w:pPr>
            <w:r>
              <w:t>ECE/TRANS/WP.15/AC.1/2023/9 (секретариаты ОТИФ и ЦКСР)</w:t>
            </w:r>
          </w:p>
        </w:tc>
        <w:tc>
          <w:tcPr>
            <w:tcW w:w="4851" w:type="dxa"/>
          </w:tcPr>
          <w:p w14:paraId="192BCF6C" w14:textId="77777777" w:rsidR="00493151" w:rsidRPr="009C2F23" w:rsidRDefault="00493151" w:rsidP="003666B8">
            <w:pPr>
              <w:pStyle w:val="SingleTxtG"/>
              <w:ind w:left="0" w:right="176"/>
              <w:jc w:val="left"/>
            </w:pPr>
            <w:r w:rsidRPr="009C2F23">
              <w:t>Согласование текста пункта 1.4.2.1.1 e) МПОГ, ДОПОГ и ВОПОГ на различных языках</w:t>
            </w:r>
          </w:p>
        </w:tc>
      </w:tr>
      <w:tr w:rsidR="00493151" w:rsidRPr="004D323C" w14:paraId="500D7F0C" w14:textId="77777777" w:rsidTr="001618AC">
        <w:tc>
          <w:tcPr>
            <w:tcW w:w="3654" w:type="dxa"/>
          </w:tcPr>
          <w:p w14:paraId="4ACC7464" w14:textId="77777777" w:rsidR="00493151" w:rsidRPr="00493151" w:rsidRDefault="00493151" w:rsidP="003666B8">
            <w:pPr>
              <w:pStyle w:val="SingleTxtG"/>
              <w:ind w:left="0" w:right="176"/>
              <w:rPr>
                <w:lang w:val="en-US"/>
              </w:rPr>
            </w:pPr>
            <w:r w:rsidRPr="004D323C">
              <w:rPr>
                <w:lang w:val="en-US"/>
              </w:rPr>
              <w:t>ECE/TRANS/WP.15/AC.1/2023/10 (</w:t>
            </w:r>
            <w:r>
              <w:t>Германия</w:t>
            </w:r>
            <w:r w:rsidRPr="004D323C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209A070F" w14:textId="77777777" w:rsidR="00493151" w:rsidRPr="009C2F23" w:rsidRDefault="00493151" w:rsidP="003666B8">
            <w:pPr>
              <w:pStyle w:val="SingleTxtG"/>
              <w:ind w:left="0" w:right="176"/>
              <w:jc w:val="left"/>
            </w:pPr>
            <w:r w:rsidRPr="009C2F23">
              <w:t>Раздел 6.2.3 МПОГ/ДОПОГ — Требования, которым должны отвечать активируемые давлением устройства для сброса давления в сосудах под давлением, кроме сосудов под давлением «UN»</w:t>
            </w:r>
          </w:p>
        </w:tc>
      </w:tr>
      <w:tr w:rsidR="00493151" w:rsidRPr="004D323C" w14:paraId="08A18C46" w14:textId="77777777" w:rsidTr="001618AC">
        <w:tc>
          <w:tcPr>
            <w:tcW w:w="3654" w:type="dxa"/>
          </w:tcPr>
          <w:p w14:paraId="30CFDCD5" w14:textId="77777777" w:rsidR="00493151" w:rsidRPr="00493151" w:rsidRDefault="00493151" w:rsidP="003666B8">
            <w:pPr>
              <w:pStyle w:val="SingleTxtG"/>
              <w:ind w:left="0" w:right="176"/>
              <w:rPr>
                <w:lang w:val="en-US"/>
              </w:rPr>
            </w:pPr>
            <w:r w:rsidRPr="004D323C">
              <w:rPr>
                <w:lang w:val="en-US"/>
              </w:rPr>
              <w:t>ECE/TRANS/WP.15/AC.1/2023/11 (</w:t>
            </w:r>
            <w:r>
              <w:t>Германия</w:t>
            </w:r>
            <w:r w:rsidRPr="004D323C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31579951" w14:textId="77777777" w:rsidR="00493151" w:rsidRPr="009C2F23" w:rsidRDefault="00493151" w:rsidP="003666B8">
            <w:pPr>
              <w:pStyle w:val="SingleTxtG"/>
              <w:ind w:left="0" w:right="176"/>
              <w:jc w:val="left"/>
            </w:pPr>
            <w:r w:rsidRPr="009C2F23">
              <w:t>Поправка к инструкции по упаковке P200 в подразделе 4.1.4.1: запрещение использования устройств для сброса давления в баллонах для ацетилена, кроме баллонов «UN»</w:t>
            </w:r>
          </w:p>
        </w:tc>
      </w:tr>
      <w:tr w:rsidR="00493151" w:rsidRPr="004D323C" w14:paraId="71CD26B4" w14:textId="77777777" w:rsidTr="001618AC">
        <w:tc>
          <w:tcPr>
            <w:tcW w:w="3654" w:type="dxa"/>
          </w:tcPr>
          <w:p w14:paraId="388F16B9" w14:textId="77777777" w:rsidR="00493151" w:rsidRPr="00493151" w:rsidRDefault="00493151" w:rsidP="003666B8">
            <w:pPr>
              <w:pStyle w:val="SingleTxtG"/>
              <w:ind w:left="0" w:right="176"/>
              <w:rPr>
                <w:lang w:val="en-US"/>
              </w:rPr>
            </w:pPr>
            <w:r w:rsidRPr="004D323C">
              <w:rPr>
                <w:lang w:val="en-US"/>
              </w:rPr>
              <w:t>ECE/TRANS/WP.15/AC.1/2023/13 (</w:t>
            </w:r>
            <w:r>
              <w:t>Испания</w:t>
            </w:r>
            <w:r w:rsidRPr="004D323C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64678102" w14:textId="77777777" w:rsidR="00493151" w:rsidRPr="009C2F23" w:rsidRDefault="00493151" w:rsidP="003666B8">
            <w:pPr>
              <w:pStyle w:val="SingleTxtG"/>
              <w:ind w:left="0" w:right="176"/>
              <w:jc w:val="left"/>
            </w:pPr>
            <w:r w:rsidRPr="009C2F23">
              <w:t>Записи «−» и « » в колонке 15 таблицы A</w:t>
            </w:r>
          </w:p>
        </w:tc>
      </w:tr>
      <w:tr w:rsidR="00493151" w:rsidRPr="004D323C" w14:paraId="014C6468" w14:textId="77777777" w:rsidTr="001618AC">
        <w:tc>
          <w:tcPr>
            <w:tcW w:w="3654" w:type="dxa"/>
          </w:tcPr>
          <w:p w14:paraId="6652C6B1" w14:textId="77777777" w:rsidR="00493151" w:rsidRPr="00493151" w:rsidRDefault="00493151" w:rsidP="003666B8">
            <w:pPr>
              <w:pStyle w:val="SingleTxtG"/>
              <w:ind w:left="0" w:right="176"/>
              <w:rPr>
                <w:lang w:val="en-US"/>
              </w:rPr>
            </w:pPr>
            <w:r w:rsidRPr="004D323C">
              <w:rPr>
                <w:lang w:val="en-US"/>
              </w:rPr>
              <w:t>ECE/TRANS/WP.15/AC.1/2023/15 (</w:t>
            </w:r>
            <w:r>
              <w:t>Франция</w:t>
            </w:r>
            <w:r w:rsidRPr="004D323C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109D6585" w14:textId="77777777" w:rsidR="00493151" w:rsidRPr="009C2F23" w:rsidRDefault="00493151" w:rsidP="003666B8">
            <w:pPr>
              <w:pStyle w:val="SingleTxtG"/>
              <w:ind w:left="0" w:right="176"/>
              <w:jc w:val="left"/>
            </w:pPr>
            <w:r w:rsidRPr="009C2F23">
              <w:t>Ссылка в главе 5.4 на требования к документации, установленные специальными положениями главы 3.3</w:t>
            </w:r>
          </w:p>
        </w:tc>
      </w:tr>
      <w:tr w:rsidR="00493151" w:rsidRPr="004D323C" w14:paraId="45B81CAE" w14:textId="77777777" w:rsidTr="001618AC">
        <w:tc>
          <w:tcPr>
            <w:tcW w:w="3654" w:type="dxa"/>
          </w:tcPr>
          <w:p w14:paraId="6AB48906" w14:textId="77777777" w:rsidR="00493151" w:rsidRPr="004D323C" w:rsidRDefault="00493151" w:rsidP="003666B8">
            <w:pPr>
              <w:pStyle w:val="SingleTxtG"/>
              <w:ind w:left="0" w:right="176"/>
            </w:pPr>
            <w:r>
              <w:t>ECE/TRANS/WP.15/AC.1/2023/18 (Соединенное Королевство)</w:t>
            </w:r>
          </w:p>
        </w:tc>
        <w:tc>
          <w:tcPr>
            <w:tcW w:w="4851" w:type="dxa"/>
          </w:tcPr>
          <w:p w14:paraId="2AF9A192" w14:textId="336F8DD3" w:rsidR="00493151" w:rsidRPr="00D202AE" w:rsidRDefault="00493151" w:rsidP="003666B8">
            <w:pPr>
              <w:pStyle w:val="SingleTxtG"/>
              <w:ind w:left="0" w:right="176"/>
              <w:jc w:val="left"/>
              <w:rPr>
                <w:rStyle w:val="y2iqfc"/>
                <w:szCs w:val="28"/>
              </w:rPr>
            </w:pPr>
            <w:r w:rsidRPr="00D202AE">
              <w:t xml:space="preserve">Использование контейнеров средней грузоподъемности для массовых грузов для более высоких концентраций раствора аммиака под </w:t>
            </w:r>
            <w:r>
              <w:br/>
            </w:r>
            <w:r w:rsidRPr="00D202AE">
              <w:t>№ ООН 2672</w:t>
            </w:r>
          </w:p>
        </w:tc>
      </w:tr>
      <w:tr w:rsidR="00493151" w:rsidRPr="004D323C" w14:paraId="0BAB6165" w14:textId="77777777" w:rsidTr="001618AC">
        <w:tc>
          <w:tcPr>
            <w:tcW w:w="3654" w:type="dxa"/>
          </w:tcPr>
          <w:p w14:paraId="4331135B" w14:textId="77777777" w:rsidR="00493151" w:rsidRPr="00493151" w:rsidRDefault="00493151" w:rsidP="003666B8">
            <w:pPr>
              <w:pStyle w:val="SingleTxtG"/>
              <w:ind w:left="0" w:right="176"/>
              <w:rPr>
                <w:lang w:val="en-US"/>
              </w:rPr>
            </w:pPr>
            <w:r w:rsidRPr="004D323C">
              <w:rPr>
                <w:lang w:val="en-US"/>
              </w:rPr>
              <w:t>ECE/TRANS/WP.15/AC.1/2023/19 (</w:t>
            </w:r>
            <w:r>
              <w:t>ФЕАД</w:t>
            </w:r>
            <w:r w:rsidRPr="004D323C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4CC06339" w14:textId="77777777" w:rsidR="00493151" w:rsidRPr="00D202AE" w:rsidRDefault="00493151" w:rsidP="003666B8">
            <w:pPr>
              <w:pStyle w:val="SingleTxtG"/>
              <w:ind w:left="0" w:right="176"/>
              <w:jc w:val="left"/>
            </w:pPr>
            <w:r w:rsidRPr="00D202AE">
              <w:t>Химическая совместимость пластмассовой тары, содержащей жидкие отходы</w:t>
            </w:r>
          </w:p>
        </w:tc>
      </w:tr>
      <w:tr w:rsidR="00493151" w:rsidRPr="004D323C" w14:paraId="75AFD526" w14:textId="77777777" w:rsidTr="001618AC">
        <w:tc>
          <w:tcPr>
            <w:tcW w:w="3654" w:type="dxa"/>
          </w:tcPr>
          <w:p w14:paraId="48C41172" w14:textId="77777777" w:rsidR="00493151" w:rsidRPr="00493151" w:rsidRDefault="00493151" w:rsidP="003666B8">
            <w:pPr>
              <w:pStyle w:val="SingleTxtG"/>
              <w:ind w:left="0" w:right="176"/>
              <w:rPr>
                <w:lang w:val="en-US"/>
              </w:rPr>
            </w:pPr>
            <w:r w:rsidRPr="004D323C">
              <w:rPr>
                <w:lang w:val="en-US"/>
              </w:rPr>
              <w:t>ECE/TRANS/WP.15/AC.1/2023/20 (</w:t>
            </w:r>
            <w:r>
              <w:t>ФЕАД</w:t>
            </w:r>
            <w:r w:rsidRPr="004D323C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24DE0D45" w14:textId="77777777" w:rsidR="00493151" w:rsidRPr="00D202AE" w:rsidRDefault="00493151" w:rsidP="003666B8">
            <w:pPr>
              <w:pStyle w:val="SingleTxtG"/>
              <w:ind w:left="0" w:right="176"/>
              <w:jc w:val="left"/>
            </w:pPr>
            <w:r w:rsidRPr="00D202AE">
              <w:t>Перевозка упакованных отходов в комбинированной таре</w:t>
            </w:r>
          </w:p>
        </w:tc>
      </w:tr>
      <w:tr w:rsidR="00493151" w:rsidRPr="004D323C" w14:paraId="2A0224EA" w14:textId="77777777" w:rsidTr="001618AC">
        <w:tc>
          <w:tcPr>
            <w:tcW w:w="3654" w:type="dxa"/>
          </w:tcPr>
          <w:p w14:paraId="7590FEC6" w14:textId="77777777" w:rsidR="00493151" w:rsidRPr="00493151" w:rsidRDefault="00493151" w:rsidP="003666B8">
            <w:pPr>
              <w:pStyle w:val="SingleTxtG"/>
              <w:ind w:left="0" w:right="176"/>
              <w:rPr>
                <w:lang w:val="en-US"/>
              </w:rPr>
            </w:pPr>
            <w:r w:rsidRPr="004D323C">
              <w:rPr>
                <w:lang w:val="en-US"/>
              </w:rPr>
              <w:t>ECE/TRANS/WP.15/AC.1/2023/21 (</w:t>
            </w:r>
            <w:r>
              <w:t>ФЕАД</w:t>
            </w:r>
            <w:r w:rsidRPr="004D323C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568AE864" w14:textId="77777777" w:rsidR="00493151" w:rsidRPr="00D202AE" w:rsidRDefault="00493151" w:rsidP="003666B8">
            <w:pPr>
              <w:pStyle w:val="SingleTxtG"/>
              <w:ind w:left="0" w:right="176"/>
              <w:jc w:val="left"/>
            </w:pPr>
            <w:r w:rsidRPr="00D202AE">
              <w:t>Перевозка опасных грузов в качестве отходов частными лицами</w:t>
            </w:r>
          </w:p>
        </w:tc>
      </w:tr>
    </w:tbl>
    <w:p w14:paraId="2F4EDDA8" w14:textId="77777777" w:rsidR="00493151" w:rsidRPr="0055221A" w:rsidRDefault="00493151" w:rsidP="00493151">
      <w:pPr>
        <w:pStyle w:val="HChG"/>
        <w:spacing w:before="240" w:after="120"/>
        <w:rPr>
          <w:sz w:val="24"/>
          <w:szCs w:val="24"/>
        </w:rPr>
      </w:pPr>
      <w:r w:rsidRPr="0055221A">
        <w:rPr>
          <w:bCs/>
          <w:sz w:val="24"/>
          <w:szCs w:val="24"/>
        </w:rPr>
        <w:tab/>
        <w:t>6.</w:t>
      </w:r>
      <w:r w:rsidRPr="0055221A">
        <w:rPr>
          <w:sz w:val="24"/>
          <w:szCs w:val="24"/>
        </w:rPr>
        <w:tab/>
      </w:r>
      <w:r w:rsidRPr="0055221A">
        <w:rPr>
          <w:bCs/>
          <w:sz w:val="24"/>
          <w:szCs w:val="24"/>
        </w:rPr>
        <w:t>Доклады неофициальных рабочих групп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493151" w:rsidRPr="004D323C" w14:paraId="7D9DF429" w14:textId="77777777" w:rsidTr="001618AC">
        <w:tc>
          <w:tcPr>
            <w:tcW w:w="3654" w:type="dxa"/>
          </w:tcPr>
          <w:p w14:paraId="7F9A35CB" w14:textId="77777777" w:rsidR="00493151" w:rsidRPr="00493151" w:rsidRDefault="00493151" w:rsidP="003666B8">
            <w:pPr>
              <w:pStyle w:val="SingleTxtG"/>
              <w:ind w:left="0" w:right="176"/>
              <w:rPr>
                <w:lang w:val="en-US"/>
              </w:rPr>
            </w:pPr>
            <w:r w:rsidRPr="004D323C">
              <w:rPr>
                <w:lang w:val="en-US"/>
              </w:rPr>
              <w:t>ECE/TRANS/WP.15/AC.1/2023/14 (</w:t>
            </w:r>
            <w:r>
              <w:t>Германия</w:t>
            </w:r>
            <w:r w:rsidRPr="004D323C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5A0E9CB0" w14:textId="77777777" w:rsidR="00493151" w:rsidRPr="004D323C" w:rsidRDefault="00493151" w:rsidP="003666B8">
            <w:pPr>
              <w:pStyle w:val="SingleTxtG"/>
              <w:ind w:left="0" w:right="176"/>
            </w:pPr>
            <w:r>
              <w:t>Включение положений по перевозке расплавленного алюминия под № ООН 3257</w:t>
            </w:r>
          </w:p>
        </w:tc>
      </w:tr>
    </w:tbl>
    <w:p w14:paraId="2FACBC23" w14:textId="77777777" w:rsidR="00493151" w:rsidRPr="0055221A" w:rsidRDefault="00493151" w:rsidP="00493151">
      <w:pPr>
        <w:pStyle w:val="HChG"/>
        <w:keepNext w:val="0"/>
        <w:keepLines w:val="0"/>
        <w:rPr>
          <w:sz w:val="24"/>
          <w:szCs w:val="24"/>
        </w:rPr>
      </w:pPr>
      <w:r w:rsidRPr="0055221A">
        <w:rPr>
          <w:bCs/>
          <w:sz w:val="24"/>
          <w:szCs w:val="24"/>
        </w:rPr>
        <w:tab/>
        <w:t>7.</w:t>
      </w:r>
      <w:r w:rsidRPr="0055221A">
        <w:rPr>
          <w:sz w:val="24"/>
          <w:szCs w:val="24"/>
        </w:rPr>
        <w:tab/>
      </w:r>
      <w:r w:rsidRPr="0055221A">
        <w:rPr>
          <w:bCs/>
          <w:sz w:val="24"/>
          <w:szCs w:val="24"/>
        </w:rPr>
        <w:t>Аварии и управление рисками</w:t>
      </w:r>
    </w:p>
    <w:p w14:paraId="10BA4C48" w14:textId="77777777" w:rsidR="00493151" w:rsidRPr="004D323C" w:rsidRDefault="00493151" w:rsidP="00493151">
      <w:pPr>
        <w:ind w:left="1134" w:right="1134"/>
      </w:pPr>
      <w:r>
        <w:tab/>
      </w:r>
      <w:r>
        <w:tab/>
        <w:t>Никаких документов по этому пункту повестки дня не представлено.</w:t>
      </w:r>
    </w:p>
    <w:p w14:paraId="560D1729" w14:textId="77777777" w:rsidR="00493151" w:rsidRPr="0055221A" w:rsidRDefault="00493151" w:rsidP="00493151">
      <w:pPr>
        <w:pStyle w:val="HChG"/>
        <w:rPr>
          <w:sz w:val="24"/>
          <w:szCs w:val="24"/>
        </w:rPr>
      </w:pPr>
      <w:r w:rsidRPr="0055221A">
        <w:rPr>
          <w:bCs/>
          <w:sz w:val="24"/>
          <w:szCs w:val="24"/>
        </w:rPr>
        <w:lastRenderedPageBreak/>
        <w:tab/>
        <w:t>8.</w:t>
      </w:r>
      <w:r w:rsidRPr="0055221A">
        <w:rPr>
          <w:sz w:val="24"/>
          <w:szCs w:val="24"/>
        </w:rPr>
        <w:tab/>
      </w:r>
      <w:r w:rsidRPr="0055221A">
        <w:rPr>
          <w:bCs/>
          <w:sz w:val="24"/>
          <w:szCs w:val="24"/>
        </w:rPr>
        <w:t>Будущая работа</w:t>
      </w:r>
    </w:p>
    <w:p w14:paraId="4F3E51CA" w14:textId="5AAFA034" w:rsidR="00493151" w:rsidRPr="004D323C" w:rsidRDefault="00493151" w:rsidP="00493151">
      <w:pPr>
        <w:pStyle w:val="SingleTxtG"/>
        <w:spacing w:before="120"/>
      </w:pPr>
      <w:r>
        <w:tab/>
        <w:t>Совместное совещание, возможно, пожелает определить структуру повестки дня своей осенней сессии 2023 года (Женева, 19–29 сентября 2023 года).</w:t>
      </w:r>
    </w:p>
    <w:p w14:paraId="24D4A0AE" w14:textId="77777777" w:rsidR="00493151" w:rsidRPr="004D323C" w:rsidRDefault="00493151" w:rsidP="00493151"/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493151" w:rsidRPr="004D323C" w14:paraId="5F3D0811" w14:textId="77777777" w:rsidTr="001618AC">
        <w:tc>
          <w:tcPr>
            <w:tcW w:w="3654" w:type="dxa"/>
          </w:tcPr>
          <w:p w14:paraId="0C24F514" w14:textId="77777777" w:rsidR="00493151" w:rsidRPr="004D323C" w:rsidRDefault="00493151" w:rsidP="003666B8">
            <w:pPr>
              <w:pStyle w:val="SingleTxtG"/>
              <w:ind w:left="0" w:right="176"/>
              <w:jc w:val="left"/>
            </w:pPr>
            <w:r>
              <w:t>ECE/TRANS/WP.15/AC.1/2023/17 и неофициальный документ INF.3 (Швейцария)</w:t>
            </w:r>
          </w:p>
        </w:tc>
        <w:tc>
          <w:tcPr>
            <w:tcW w:w="4851" w:type="dxa"/>
          </w:tcPr>
          <w:p w14:paraId="00DAA6C8" w14:textId="77777777" w:rsidR="00493151" w:rsidRPr="0009169F" w:rsidRDefault="00493151" w:rsidP="003666B8">
            <w:pPr>
              <w:pStyle w:val="SingleTxtG"/>
              <w:ind w:left="0" w:right="176"/>
              <w:jc w:val="left"/>
            </w:pPr>
            <w:r w:rsidRPr="0009169F">
              <w:t>Ссылки на компетентный орган в МПОГ/ДОПОГ/ВОПОГ: предложение по кругу ведения неофициальной рабочей группы</w:t>
            </w:r>
          </w:p>
        </w:tc>
      </w:tr>
    </w:tbl>
    <w:p w14:paraId="436B63F8" w14:textId="77777777" w:rsidR="00493151" w:rsidRPr="0055221A" w:rsidRDefault="00493151" w:rsidP="00493151">
      <w:pPr>
        <w:pStyle w:val="HChG"/>
        <w:rPr>
          <w:sz w:val="24"/>
          <w:szCs w:val="24"/>
        </w:rPr>
      </w:pPr>
      <w:r w:rsidRPr="0055221A">
        <w:rPr>
          <w:bCs/>
          <w:sz w:val="24"/>
          <w:szCs w:val="24"/>
        </w:rPr>
        <w:tab/>
        <w:t>9.</w:t>
      </w:r>
      <w:r w:rsidRPr="0055221A">
        <w:rPr>
          <w:sz w:val="24"/>
          <w:szCs w:val="24"/>
        </w:rPr>
        <w:tab/>
      </w:r>
      <w:r w:rsidRPr="0055221A">
        <w:rPr>
          <w:bCs/>
          <w:sz w:val="24"/>
          <w:szCs w:val="24"/>
        </w:rPr>
        <w:t>Прочие вопросы</w:t>
      </w:r>
    </w:p>
    <w:p w14:paraId="09E706B3" w14:textId="77777777" w:rsidR="00493151" w:rsidRPr="0055221A" w:rsidRDefault="00493151" w:rsidP="00493151">
      <w:pPr>
        <w:pStyle w:val="H1G"/>
        <w:rPr>
          <w:szCs w:val="24"/>
        </w:rPr>
      </w:pPr>
      <w:r w:rsidRPr="0055221A">
        <w:rPr>
          <w:bCs/>
          <w:szCs w:val="24"/>
        </w:rPr>
        <w:tab/>
        <w:t>a)</w:t>
      </w:r>
      <w:r w:rsidRPr="0055221A">
        <w:rPr>
          <w:szCs w:val="24"/>
        </w:rPr>
        <w:tab/>
      </w:r>
      <w:r w:rsidRPr="0055221A">
        <w:rPr>
          <w:bCs/>
          <w:szCs w:val="24"/>
        </w:rPr>
        <w:t>Руководящие положения, касающиеся применения пункта 5.4.0.2 МПОГ/ДОПОГ/ВОПОГ</w:t>
      </w:r>
    </w:p>
    <w:p w14:paraId="7EF8C030" w14:textId="77777777" w:rsidR="00493151" w:rsidRPr="004D323C" w:rsidRDefault="00493151" w:rsidP="00493151">
      <w:pPr>
        <w:ind w:left="1134" w:right="1134"/>
      </w:pPr>
      <w:r>
        <w:tab/>
      </w:r>
      <w:r>
        <w:tab/>
        <w:t>Никаких документов по этому пункту повестки дня не представлено.</w:t>
      </w:r>
    </w:p>
    <w:p w14:paraId="27F1F65D" w14:textId="77777777" w:rsidR="00493151" w:rsidRPr="004D323C" w:rsidRDefault="00493151" w:rsidP="00493151">
      <w:pPr>
        <w:pStyle w:val="H1G"/>
        <w:rPr>
          <w:szCs w:val="24"/>
        </w:rPr>
      </w:pPr>
      <w:r>
        <w:rPr>
          <w:bCs/>
        </w:rPr>
        <w:tab/>
        <w:t>b)</w:t>
      </w:r>
      <w:r>
        <w:tab/>
      </w:r>
      <w:r>
        <w:rPr>
          <w:bCs/>
        </w:rPr>
        <w:t>Циклическая экономика и цели в области устойчивого развития</w:t>
      </w:r>
    </w:p>
    <w:p w14:paraId="08850A42" w14:textId="77777777" w:rsidR="00493151" w:rsidRPr="004D323C" w:rsidRDefault="00493151" w:rsidP="00493151">
      <w:pPr>
        <w:ind w:left="1134" w:right="1134"/>
      </w:pPr>
      <w:r>
        <w:tab/>
      </w:r>
      <w:r>
        <w:tab/>
        <w:t>Никаких документов по этому пункту повестки дня не представлено.</w:t>
      </w:r>
    </w:p>
    <w:p w14:paraId="72E7297D" w14:textId="77777777" w:rsidR="00493151" w:rsidRPr="0055221A" w:rsidRDefault="00493151" w:rsidP="00493151">
      <w:pPr>
        <w:pStyle w:val="HChG"/>
        <w:rPr>
          <w:sz w:val="24"/>
          <w:szCs w:val="24"/>
        </w:rPr>
      </w:pPr>
      <w:r w:rsidRPr="0055221A">
        <w:rPr>
          <w:bCs/>
          <w:sz w:val="24"/>
          <w:szCs w:val="24"/>
        </w:rPr>
        <w:tab/>
        <w:t>10.</w:t>
      </w:r>
      <w:r w:rsidRPr="0055221A">
        <w:rPr>
          <w:sz w:val="24"/>
          <w:szCs w:val="24"/>
        </w:rPr>
        <w:tab/>
      </w:r>
      <w:r w:rsidRPr="0055221A">
        <w:rPr>
          <w:bCs/>
          <w:sz w:val="24"/>
          <w:szCs w:val="24"/>
        </w:rPr>
        <w:t>Утверждение доклада</w:t>
      </w:r>
    </w:p>
    <w:p w14:paraId="292FA45C" w14:textId="77777777" w:rsidR="00493151" w:rsidRPr="006B05A2" w:rsidRDefault="00493151" w:rsidP="00493151">
      <w:pPr>
        <w:pStyle w:val="SingleTxtG"/>
        <w:ind w:firstLine="561"/>
      </w:pPr>
      <w:r>
        <w:t>В соответствии с установившейся практикой Совместное совещание утвердит доклад о работе своей сессии на основе проекта, подготовленного секретариатом.</w:t>
      </w:r>
    </w:p>
    <w:p w14:paraId="23C13251" w14:textId="77777777" w:rsidR="00493151" w:rsidRPr="006B05A2" w:rsidRDefault="00493151" w:rsidP="00493151">
      <w:pPr>
        <w:pStyle w:val="SingleTxtG"/>
        <w:spacing w:after="0"/>
        <w:jc w:val="center"/>
      </w:pPr>
      <w:r w:rsidRPr="006B05A2">
        <w:rPr>
          <w:u w:val="single"/>
        </w:rPr>
        <w:tab/>
      </w:r>
      <w:r w:rsidRPr="006B05A2">
        <w:rPr>
          <w:u w:val="single"/>
        </w:rPr>
        <w:tab/>
      </w:r>
      <w:r w:rsidRPr="006B05A2">
        <w:rPr>
          <w:u w:val="single"/>
        </w:rPr>
        <w:tab/>
      </w:r>
    </w:p>
    <w:p w14:paraId="1A7FE017" w14:textId="77777777" w:rsidR="00E12C5F" w:rsidRPr="008D53B6" w:rsidRDefault="00E12C5F" w:rsidP="00D9145B"/>
    <w:sectPr w:rsidR="00E12C5F" w:rsidRPr="008D53B6" w:rsidSect="004529D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105E" w14:textId="77777777" w:rsidR="00A0444B" w:rsidRPr="00A312BC" w:rsidRDefault="00A0444B" w:rsidP="00A312BC"/>
  </w:endnote>
  <w:endnote w:type="continuationSeparator" w:id="0">
    <w:p w14:paraId="69D1F881" w14:textId="77777777" w:rsidR="00A0444B" w:rsidRPr="00A312BC" w:rsidRDefault="00A0444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7851" w14:textId="02F39742" w:rsidR="004529DF" w:rsidRPr="004529DF" w:rsidRDefault="004529DF">
    <w:pPr>
      <w:pStyle w:val="Footer"/>
    </w:pPr>
    <w:r w:rsidRPr="004529DF">
      <w:rPr>
        <w:b/>
        <w:sz w:val="18"/>
      </w:rPr>
      <w:fldChar w:fldCharType="begin"/>
    </w:r>
    <w:r w:rsidRPr="004529DF">
      <w:rPr>
        <w:b/>
        <w:sz w:val="18"/>
      </w:rPr>
      <w:instrText xml:space="preserve"> PAGE  \* MERGEFORMAT </w:instrText>
    </w:r>
    <w:r w:rsidRPr="004529DF">
      <w:rPr>
        <w:b/>
        <w:sz w:val="18"/>
      </w:rPr>
      <w:fldChar w:fldCharType="separate"/>
    </w:r>
    <w:r w:rsidRPr="004529DF">
      <w:rPr>
        <w:b/>
        <w:noProof/>
        <w:sz w:val="18"/>
      </w:rPr>
      <w:t>2</w:t>
    </w:r>
    <w:r w:rsidRPr="004529DF">
      <w:rPr>
        <w:b/>
        <w:sz w:val="18"/>
      </w:rPr>
      <w:fldChar w:fldCharType="end"/>
    </w:r>
    <w:r>
      <w:rPr>
        <w:b/>
        <w:sz w:val="18"/>
      </w:rPr>
      <w:tab/>
    </w:r>
    <w:r>
      <w:t>GE.22-29208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1768" w14:textId="126E5B75" w:rsidR="004529DF" w:rsidRPr="004529DF" w:rsidRDefault="004529DF" w:rsidP="004529DF">
    <w:pPr>
      <w:pStyle w:val="Footer"/>
      <w:tabs>
        <w:tab w:val="clear" w:pos="9639"/>
        <w:tab w:val="right" w:pos="9638"/>
      </w:tabs>
      <w:rPr>
        <w:b/>
        <w:sz w:val="18"/>
      </w:rPr>
    </w:pPr>
    <w:r>
      <w:t>GE.22-29208</w:t>
    </w:r>
    <w:r>
      <w:tab/>
    </w:r>
    <w:r w:rsidRPr="004529DF">
      <w:rPr>
        <w:b/>
        <w:sz w:val="18"/>
      </w:rPr>
      <w:fldChar w:fldCharType="begin"/>
    </w:r>
    <w:r w:rsidRPr="004529DF">
      <w:rPr>
        <w:b/>
        <w:sz w:val="18"/>
      </w:rPr>
      <w:instrText xml:space="preserve"> PAGE  \* MERGEFORMAT </w:instrText>
    </w:r>
    <w:r w:rsidRPr="004529DF">
      <w:rPr>
        <w:b/>
        <w:sz w:val="18"/>
      </w:rPr>
      <w:fldChar w:fldCharType="separate"/>
    </w:r>
    <w:r w:rsidRPr="004529DF">
      <w:rPr>
        <w:b/>
        <w:noProof/>
        <w:sz w:val="18"/>
      </w:rPr>
      <w:t>3</w:t>
    </w:r>
    <w:r w:rsidRPr="004529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54B" w14:textId="4BB0B671" w:rsidR="00042B72" w:rsidRPr="004529DF" w:rsidRDefault="004529DF" w:rsidP="004529D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3A04902" wp14:editId="7368942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22-29208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A037FBE" wp14:editId="054FFF6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170123  170123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B178" w14:textId="77777777" w:rsidR="00A0444B" w:rsidRPr="001075E9" w:rsidRDefault="00A0444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682110" w14:textId="77777777" w:rsidR="00A0444B" w:rsidRDefault="00A0444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B41F8C" w14:textId="4602AC16" w:rsidR="00493151" w:rsidRPr="00493151" w:rsidRDefault="00493151" w:rsidP="00493151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4D323C">
        <w:rPr>
          <w:lang w:val="en-US"/>
        </w:rPr>
        <w:tab/>
        <w:t xml:space="preserve">URL: </w:t>
      </w:r>
      <w:hyperlink r:id="rId1" w:history="1">
        <w:r w:rsidRPr="00A87DBB">
          <w:rPr>
            <w:rStyle w:val="Hyperlink"/>
            <w:lang w:val="en-US"/>
          </w:rPr>
          <w:t>http://otif.org/de/?page_id=214</w:t>
        </w:r>
      </w:hyperlink>
      <w:r>
        <w:rPr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EF57" w14:textId="5FD10D5E" w:rsidR="004529DF" w:rsidRPr="004529DF" w:rsidRDefault="007F74D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ECE/TRANS/WP.15/AC.1/167/Add.1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8A6E" w14:textId="3A6AE9FA" w:rsidR="004529DF" w:rsidRPr="004529DF" w:rsidRDefault="007F74DB" w:rsidP="004529DF">
    <w:pPr>
      <w:pStyle w:val="Header"/>
      <w:jc w:val="right"/>
    </w:pPr>
    <w:r>
      <w:fldChar w:fldCharType="begin"/>
    </w:r>
    <w:r>
      <w:instrText xml:space="preserve"> TITLE  \* MERGEFO</w:instrText>
    </w:r>
    <w:r>
      <w:instrText xml:space="preserve">RMAT </w:instrText>
    </w:r>
    <w:r>
      <w:fldChar w:fldCharType="separate"/>
    </w:r>
    <w:r>
      <w:t>ECE/TRANS/WP.15/AC.1/167/Add.1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4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3DD4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66B8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29DF"/>
    <w:rsid w:val="00453318"/>
    <w:rsid w:val="00454AF2"/>
    <w:rsid w:val="00454E07"/>
    <w:rsid w:val="00472C5C"/>
    <w:rsid w:val="00485F8A"/>
    <w:rsid w:val="00493151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1BD3"/>
    <w:rsid w:val="005D7914"/>
    <w:rsid w:val="005E2B41"/>
    <w:rsid w:val="005F0B42"/>
    <w:rsid w:val="00617A43"/>
    <w:rsid w:val="006345DB"/>
    <w:rsid w:val="00640F49"/>
    <w:rsid w:val="00667FB9"/>
    <w:rsid w:val="00680D03"/>
    <w:rsid w:val="00681A10"/>
    <w:rsid w:val="006A1ED8"/>
    <w:rsid w:val="006C2031"/>
    <w:rsid w:val="006D461A"/>
    <w:rsid w:val="006F35EE"/>
    <w:rsid w:val="007021FF"/>
    <w:rsid w:val="0070300E"/>
    <w:rsid w:val="00712895"/>
    <w:rsid w:val="00734ACB"/>
    <w:rsid w:val="00757357"/>
    <w:rsid w:val="00792497"/>
    <w:rsid w:val="007F74DB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444B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079E1"/>
  <w15:docId w15:val="{AD3D06E3-87A3-4299-A804-6EC9D85B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493151"/>
    <w:rPr>
      <w:lang w:val="ru-RU" w:eastAsia="en-US"/>
    </w:rPr>
  </w:style>
  <w:style w:type="paragraph" w:customStyle="1" w:styleId="ParNoG">
    <w:name w:val="_ParNo_G"/>
    <w:basedOn w:val="SingleTxtG"/>
    <w:qFormat/>
    <w:rsid w:val="00493151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locked/>
    <w:rsid w:val="00493151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493151"/>
    <w:rPr>
      <w:b/>
      <w:sz w:val="24"/>
      <w:lang w:val="ru-RU" w:eastAsia="ru-RU"/>
    </w:rPr>
  </w:style>
  <w:style w:type="character" w:customStyle="1" w:styleId="y2iqfc">
    <w:name w:val="y2iqfc"/>
    <w:basedOn w:val="DefaultParagraphFont"/>
    <w:rsid w:val="00493151"/>
  </w:style>
  <w:style w:type="character" w:styleId="UnresolvedMention">
    <w:name w:val="Unresolved Mention"/>
    <w:basedOn w:val="DefaultParagraphFont"/>
    <w:uiPriority w:val="99"/>
    <w:semiHidden/>
    <w:unhideWhenUsed/>
    <w:rsid w:val="00493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if.org/de/?page_id=214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tif.org/de/?page_id=21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EFC9BA8C-41D8-45D6-8B1F-34390F19DEFF}"/>
</file>

<file path=customXml/itemProps2.xml><?xml version="1.0" encoding="utf-8"?>
<ds:datastoreItem xmlns:ds="http://schemas.openxmlformats.org/officeDocument/2006/customXml" ds:itemID="{75B37153-FDA4-476B-BB33-F3285C925818}"/>
</file>

<file path=customXml/itemProps3.xml><?xml version="1.0" encoding="utf-8"?>
<ds:datastoreItem xmlns:ds="http://schemas.openxmlformats.org/officeDocument/2006/customXml" ds:itemID="{4065729D-FB72-4DCE-9511-270F6E71B4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ECE/TRANS/WP.15/AC.1/167/Add.1</vt:lpstr>
      <vt:lpstr>A/</vt:lpstr>
      <vt:lpstr>A/</vt:lpstr>
    </vt:vector>
  </TitlesOfParts>
  <Company>DCM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ECE/TRANS/WP.15/AC.1/167/Add.1</dc:title>
  <dc:subject/>
  <dc:creator>Ekaterina SALYNSKAYA</dc:creator>
  <cp:keywords/>
  <cp:lastModifiedBy>Laurence Berthet</cp:lastModifiedBy>
  <cp:revision>2</cp:revision>
  <cp:lastPrinted>2023-01-30T13:28:00Z</cp:lastPrinted>
  <dcterms:created xsi:type="dcterms:W3CDTF">2023-01-30T13:28:00Z</dcterms:created>
  <dcterms:modified xsi:type="dcterms:W3CDTF">2023-01-30T13:28:00Z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