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E25F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5748BE" w14:textId="77777777" w:rsidR="002D5AAC" w:rsidRDefault="002D5AAC" w:rsidP="006841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8E90D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567C10" w14:textId="16BD1542" w:rsidR="002D5AAC" w:rsidRDefault="00684187" w:rsidP="00684187">
            <w:pPr>
              <w:jc w:val="right"/>
            </w:pPr>
            <w:r w:rsidRPr="00684187">
              <w:rPr>
                <w:sz w:val="40"/>
              </w:rPr>
              <w:t>ECE</w:t>
            </w:r>
            <w:r>
              <w:t>/TRANS/WP.29/GRVA/2023/2</w:t>
            </w:r>
          </w:p>
        </w:tc>
      </w:tr>
      <w:tr w:rsidR="002D5AAC" w:rsidRPr="00684187" w14:paraId="4EBA25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71157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9D1231" wp14:editId="22CFAF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51C6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584C2D" w14:textId="52DB80DB" w:rsidR="002D5AAC" w:rsidRDefault="0068418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684187">
              <w:rPr>
                <w:lang w:val="en-GB"/>
              </w:rPr>
              <w:t>General</w:t>
            </w:r>
          </w:p>
          <w:p w14:paraId="77B36CCC" w14:textId="4D8D01B3" w:rsidR="00684187" w:rsidRDefault="00684187" w:rsidP="00684187">
            <w:pPr>
              <w:spacing w:line="240" w:lineRule="exact"/>
              <w:rPr>
                <w:lang w:val="en-US"/>
              </w:rPr>
            </w:pPr>
            <w:r w:rsidRPr="00684187">
              <w:rPr>
                <w:rFonts w:eastAsia="Times New Roman" w:cs="Times New Roman"/>
                <w:szCs w:val="20"/>
                <w:lang w:val="en-GB"/>
              </w:rPr>
              <w:t>11 November 2022</w:t>
            </w:r>
          </w:p>
          <w:p w14:paraId="327B1585" w14:textId="77777777" w:rsidR="00684187" w:rsidRDefault="00684187" w:rsidP="006841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4B66F9" w14:textId="30B4FC72" w:rsidR="00684187" w:rsidRPr="008D53B6" w:rsidRDefault="00684187" w:rsidP="006841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684187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563D0DB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866A12" w14:textId="77777777" w:rsidR="00684187" w:rsidRPr="00684187" w:rsidRDefault="00684187" w:rsidP="00684187">
      <w:pPr>
        <w:spacing w:before="120"/>
        <w:rPr>
          <w:sz w:val="28"/>
          <w:szCs w:val="28"/>
        </w:rPr>
      </w:pPr>
      <w:r w:rsidRPr="00684187">
        <w:rPr>
          <w:sz w:val="28"/>
          <w:szCs w:val="28"/>
        </w:rPr>
        <w:t>Комитет по внутреннему транспорту</w:t>
      </w:r>
    </w:p>
    <w:p w14:paraId="00A006C7" w14:textId="18C5DD50" w:rsidR="00684187" w:rsidRPr="00684187" w:rsidRDefault="00684187" w:rsidP="00684187">
      <w:pPr>
        <w:spacing w:before="120"/>
        <w:rPr>
          <w:b/>
          <w:sz w:val="24"/>
          <w:szCs w:val="24"/>
        </w:rPr>
      </w:pPr>
      <w:r w:rsidRPr="00684187">
        <w:rPr>
          <w:b/>
          <w:bCs/>
          <w:sz w:val="24"/>
          <w:szCs w:val="24"/>
        </w:rPr>
        <w:t>Всемирный форум по гармонизации правил</w:t>
      </w:r>
      <w:r>
        <w:rPr>
          <w:b/>
          <w:bCs/>
          <w:sz w:val="24"/>
          <w:szCs w:val="24"/>
        </w:rPr>
        <w:br/>
      </w:r>
      <w:r w:rsidRPr="00684187">
        <w:rPr>
          <w:b/>
          <w:bCs/>
          <w:sz w:val="24"/>
          <w:szCs w:val="24"/>
        </w:rPr>
        <w:t>в области транспортных средств</w:t>
      </w:r>
    </w:p>
    <w:p w14:paraId="1630AE01" w14:textId="079A765C" w:rsidR="00684187" w:rsidRPr="00BD6B93" w:rsidRDefault="00684187" w:rsidP="00684187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  <w:bookmarkEnd w:id="1"/>
    </w:p>
    <w:p w14:paraId="1DB9D0C5" w14:textId="253E0AD6" w:rsidR="00684187" w:rsidRPr="00BD6B93" w:rsidRDefault="00684187" w:rsidP="00684187">
      <w:pPr>
        <w:spacing w:before="120"/>
        <w:rPr>
          <w:b/>
          <w:bCs/>
        </w:rPr>
      </w:pPr>
      <w:r>
        <w:rPr>
          <w:b/>
          <w:bCs/>
        </w:rPr>
        <w:t>Пятнадцатая сессия</w:t>
      </w:r>
      <w:bookmarkStart w:id="2" w:name="OLE_LINK2"/>
      <w:r>
        <w:rPr>
          <w:b/>
          <w:bCs/>
        </w:rPr>
        <w:br/>
      </w:r>
      <w:r>
        <w:t>Женева, 23</w:t>
      </w:r>
      <w:r w:rsidRPr="00B76E19">
        <w:rPr>
          <w:rFonts w:cs="Times New Roman"/>
        </w:rPr>
        <w:t>‒</w:t>
      </w:r>
      <w:r>
        <w:t>27 января 2023 года</w:t>
      </w:r>
      <w:r>
        <w:br/>
      </w:r>
      <w:r>
        <w:t>Пункт 8 a) предварительной повестки дня</w:t>
      </w:r>
      <w:r>
        <w:br/>
      </w:r>
      <w:r>
        <w:rPr>
          <w:b/>
          <w:bCs/>
        </w:rPr>
        <w:t>Правила № 13, 13-H, 139, 140 ООН и ГТП № 8 ООН:</w:t>
      </w:r>
      <w:r>
        <w:rPr>
          <w:b/>
          <w:bCs/>
        </w:rPr>
        <w:br/>
      </w:r>
      <w:r>
        <w:rPr>
          <w:b/>
          <w:bCs/>
        </w:rPr>
        <w:t>Электронный контроль устойчивости</w:t>
      </w:r>
    </w:p>
    <w:p w14:paraId="7C8AD5A0" w14:textId="23B99DF8" w:rsidR="00684187" w:rsidRPr="00BD6B93" w:rsidRDefault="00684187" w:rsidP="00684187">
      <w:pPr>
        <w:pStyle w:val="HChG"/>
      </w:pPr>
      <w:r>
        <w:tab/>
      </w:r>
      <w:r>
        <w:tab/>
      </w:r>
      <w:r>
        <w:rPr>
          <w:bCs/>
        </w:rPr>
        <w:t>Предложение по поправкам новой серии</w:t>
      </w:r>
      <w:r>
        <w:rPr>
          <w:bCs/>
        </w:rPr>
        <w:br/>
      </w:r>
      <w:r>
        <w:rPr>
          <w:bCs/>
        </w:rPr>
        <w:t>к Правилам № 13 ООН (торможение большегрузных транспортных средств)</w:t>
      </w:r>
      <w:bookmarkEnd w:id="2"/>
    </w:p>
    <w:p w14:paraId="753266F0" w14:textId="77777777" w:rsidR="00684187" w:rsidRPr="00BD6B93" w:rsidRDefault="00684187" w:rsidP="0068418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684187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29A4034B" w14:textId="3F9B2934" w:rsidR="00684187" w:rsidRDefault="00684187" w:rsidP="00684187">
      <w:pPr>
        <w:pStyle w:val="SingleTxtG"/>
      </w:pPr>
      <w:r>
        <w:tab/>
      </w:r>
      <w:r>
        <w:t>Воспроизведенный ниже текст был подготовлен экспертом от Франции. Настоящее предложение нацелено на оснащение четырехосных коммерческих транспортных средств массой более 25 тонн функцией обеспечения устойчивости транспортного средства с учетом их конкретного использования. В его</w:t>
      </w:r>
      <w:r>
        <w:br/>
      </w:r>
      <w:r>
        <w:t>основу положены официальный документ ECE/TRANS/WP29/GRVA/2022/14</w:t>
      </w:r>
      <w:r>
        <w:br/>
      </w:r>
      <w:r>
        <w:t>и неофициальный документ GRVA-13-23 Международной организации предприятий автомобильной промышленности (МОПАП). Изменения к существующему тексту Правил № 13 ООН выделены жирным шрифтом в случае новых элементов.</w:t>
      </w:r>
    </w:p>
    <w:p w14:paraId="06BF3AEE" w14:textId="77777777" w:rsidR="00684187" w:rsidRPr="00BD6B93" w:rsidRDefault="00684187" w:rsidP="00684187">
      <w:pPr>
        <w:pStyle w:val="HChG"/>
        <w:pageBreakBefore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144764E" w14:textId="77777777" w:rsidR="00684187" w:rsidRPr="00BD6B93" w:rsidRDefault="00684187" w:rsidP="00684187">
      <w:pPr>
        <w:pStyle w:val="SingleTxtG"/>
      </w:pPr>
      <w:r w:rsidRPr="00BD6B93">
        <w:rPr>
          <w:i/>
          <w:iCs/>
        </w:rPr>
        <w:t>Пункт 5.2.1.32</w:t>
      </w:r>
      <w:r>
        <w:t xml:space="preserve"> изменить следующим образом:</w:t>
      </w:r>
    </w:p>
    <w:p w14:paraId="6A7B70DD" w14:textId="77777777" w:rsidR="00684187" w:rsidRPr="00BD6B93" w:rsidRDefault="00684187" w:rsidP="00684187">
      <w:pPr>
        <w:pStyle w:val="SingleTxtG"/>
        <w:ind w:left="2268" w:hanging="1134"/>
      </w:pPr>
      <w:r>
        <w:t>«5.2.1.32</w:t>
      </w:r>
      <w:r>
        <w:tab/>
        <w:t>С учетом положений пункта 12.3 настоящих Правил все транспортные средства следующих категорий должны быть оборудованы функцией обеспечения устойчивости транспортного средства:</w:t>
      </w:r>
    </w:p>
    <w:p w14:paraId="1CA5C918" w14:textId="77777777" w:rsidR="00684187" w:rsidRPr="00BD6B93" w:rsidRDefault="00684187" w:rsidP="00684187">
      <w:pPr>
        <w:tabs>
          <w:tab w:val="left" w:pos="1701"/>
        </w:tabs>
        <w:spacing w:after="120" w:line="240" w:lineRule="auto"/>
        <w:ind w:left="2268" w:right="1134"/>
        <w:jc w:val="both"/>
      </w:pPr>
      <w:r>
        <w:t>a)</w:t>
      </w:r>
      <w:r>
        <w:tab/>
        <w:t>M</w:t>
      </w:r>
      <w:r w:rsidRPr="00BD6B93">
        <w:rPr>
          <w:vertAlign w:val="subscript"/>
        </w:rPr>
        <w:t>2</w:t>
      </w:r>
      <w:r>
        <w:t>, M</w:t>
      </w:r>
      <w:r w:rsidRPr="00BD6B93">
        <w:rPr>
          <w:vertAlign w:val="subscript"/>
        </w:rPr>
        <w:t>3</w:t>
      </w:r>
      <w:r>
        <w:t>, N</w:t>
      </w:r>
      <w:r w:rsidRPr="00BD6B93">
        <w:rPr>
          <w:vertAlign w:val="subscript"/>
        </w:rPr>
        <w:t>2</w:t>
      </w:r>
      <w:r w:rsidRPr="00BD6B93">
        <w:rPr>
          <w:vertAlign w:val="superscript"/>
        </w:rPr>
        <w:t>12</w:t>
      </w:r>
      <w:r>
        <w:t>;</w:t>
      </w:r>
    </w:p>
    <w:p w14:paraId="1F206C65" w14:textId="77777777" w:rsidR="00684187" w:rsidRPr="00BD6B93" w:rsidRDefault="00684187" w:rsidP="00684187">
      <w:pPr>
        <w:tabs>
          <w:tab w:val="left" w:pos="1701"/>
        </w:tabs>
        <w:spacing w:after="120" w:line="240" w:lineRule="auto"/>
        <w:ind w:left="2268" w:right="1134"/>
        <w:jc w:val="both"/>
      </w:pPr>
      <w:r>
        <w:t>b)</w:t>
      </w:r>
      <w:r>
        <w:tab/>
        <w:t>N</w:t>
      </w:r>
      <w:r w:rsidRPr="00BD6B93">
        <w:rPr>
          <w:vertAlign w:val="subscript"/>
        </w:rPr>
        <w:t>3</w:t>
      </w:r>
      <w:r w:rsidRPr="00BD6B93">
        <w:rPr>
          <w:vertAlign w:val="superscript"/>
        </w:rPr>
        <w:t>12</w:t>
      </w:r>
      <w:r>
        <w:t xml:space="preserve"> (не более трех осей);</w:t>
      </w:r>
    </w:p>
    <w:p w14:paraId="39EB2DE4" w14:textId="77777777" w:rsidR="00684187" w:rsidRPr="00BD6B93" w:rsidRDefault="00684187" w:rsidP="00684187">
      <w:pPr>
        <w:tabs>
          <w:tab w:val="left" w:pos="1701"/>
        </w:tabs>
        <w:spacing w:after="120" w:line="240" w:lineRule="auto"/>
        <w:ind w:left="2835" w:right="1134" w:hanging="567"/>
        <w:jc w:val="both"/>
        <w:rPr>
          <w:color w:val="000000" w:themeColor="text1"/>
        </w:rPr>
      </w:pPr>
      <w:r>
        <w:t>c)</w:t>
      </w:r>
      <w:r>
        <w:tab/>
        <w:t>N</w:t>
      </w:r>
      <w:r w:rsidRPr="00BD6B93">
        <w:rPr>
          <w:vertAlign w:val="subscript"/>
        </w:rPr>
        <w:t>3</w:t>
      </w:r>
      <w:r w:rsidRPr="00BD6B93">
        <w:rPr>
          <w:vertAlign w:val="superscript"/>
        </w:rPr>
        <w:t>12</w:t>
      </w:r>
      <w:r>
        <w:t xml:space="preserve"> с четырьмя осями, максимальной массой не более 25 т и кодом максимального диаметра колеса не более 19,5;</w:t>
      </w:r>
    </w:p>
    <w:p w14:paraId="0E4C5D72" w14:textId="77777777" w:rsidR="00684187" w:rsidRPr="00BD6B93" w:rsidRDefault="00684187" w:rsidP="00684187">
      <w:pPr>
        <w:spacing w:after="120"/>
        <w:ind w:left="2835" w:right="1134" w:hanging="567"/>
        <w:jc w:val="both"/>
        <w:rPr>
          <w:color w:val="000000" w:themeColor="text1"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N</w:t>
      </w:r>
      <w:r w:rsidRPr="00BD6B93">
        <w:rPr>
          <w:b/>
          <w:bCs/>
          <w:vertAlign w:val="subscript"/>
        </w:rPr>
        <w:t>3</w:t>
      </w:r>
      <w:r w:rsidRPr="00BD6B93">
        <w:rPr>
          <w:b/>
          <w:bCs/>
          <w:vertAlign w:val="superscript"/>
        </w:rPr>
        <w:t>12</w:t>
      </w:r>
      <w:r>
        <w:rPr>
          <w:b/>
          <w:bCs/>
        </w:rPr>
        <w:t xml:space="preserve"> с четырьмя осями, двумя приводными осями в задней осевой группе и только неприводными осями в другой(их) группе(ах) осей, включая внедорожные транспортные средства (независимо от сноски </w:t>
      </w:r>
      <w:r w:rsidRPr="00667AA6">
        <w:rPr>
          <w:b/>
          <w:bCs/>
        </w:rPr>
        <w:t>12</w:t>
      </w:r>
      <w:r>
        <w:rPr>
          <w:b/>
          <w:bCs/>
        </w:rPr>
        <w:t>).</w:t>
      </w:r>
    </w:p>
    <w:p w14:paraId="22A99B2F" w14:textId="0475B38C" w:rsidR="00684187" w:rsidRPr="00BD6B93" w:rsidRDefault="00684187" w:rsidP="00684187">
      <w:pPr>
        <w:pStyle w:val="SingleTxtG"/>
        <w:ind w:left="2268"/>
      </w:pPr>
      <w:r>
        <w:t>Функция обеспечения устойчивости транспортного средства должна включать функцию противоопрокидывания и контроль траектории движения и соответствовать техническим требованиям, изложенным в приложении 21 к настоящим Правилам».</w:t>
      </w:r>
    </w:p>
    <w:p w14:paraId="5FB31976" w14:textId="77777777" w:rsidR="00684187" w:rsidRPr="00BD6B93" w:rsidRDefault="00684187" w:rsidP="00684187">
      <w:pPr>
        <w:pStyle w:val="SingleTxtG"/>
        <w:rPr>
          <w:i/>
          <w:iCs/>
        </w:rPr>
      </w:pPr>
      <w:r>
        <w:rPr>
          <w:i/>
          <w:iCs/>
        </w:rPr>
        <w:t>Включить новые пункты 12.8, 12.8.1, 12.8.2, 12.8.3, 12.8.4, 12.8.5, 12.8.6, 12.8.7</w:t>
      </w:r>
      <w:r>
        <w:t xml:space="preserve"> следующего содержания:</w:t>
      </w:r>
    </w:p>
    <w:p w14:paraId="74E4B754" w14:textId="77777777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t>«</w:t>
      </w:r>
      <w:r w:rsidRPr="00BD6B93">
        <w:rPr>
          <w:b/>
          <w:bCs/>
        </w:rPr>
        <w:t>12.8</w:t>
      </w:r>
      <w:r>
        <w:tab/>
      </w:r>
      <w:r>
        <w:rPr>
          <w:b/>
          <w:bCs/>
        </w:rPr>
        <w:t>Переходные положения, применимые к поправкам серии 13</w:t>
      </w:r>
    </w:p>
    <w:p w14:paraId="055A0E33" w14:textId="77777777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12.8.1</w:t>
      </w:r>
      <w:r>
        <w:tab/>
      </w:r>
      <w:r>
        <w:rPr>
          <w:b/>
          <w:bCs/>
        </w:rPr>
        <w:t>Начиная с официальной даты вступления в силу поправок серии 13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13.</w:t>
      </w:r>
    </w:p>
    <w:p w14:paraId="6ADF7797" w14:textId="6AD11DDB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12.8.2</w:t>
      </w:r>
      <w:r>
        <w:tab/>
      </w:r>
      <w:r>
        <w:rPr>
          <w:b/>
          <w:bCs/>
        </w:rPr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впервые после</w:t>
      </w:r>
      <w:r w:rsidR="00667AA6">
        <w:rPr>
          <w:b/>
          <w:bCs/>
        </w:rPr>
        <w:br/>
      </w:r>
      <w:r>
        <w:rPr>
          <w:b/>
          <w:bCs/>
        </w:rPr>
        <w:t>1 сентября 2026 года на основании поправок серии 12.</w:t>
      </w:r>
    </w:p>
    <w:p w14:paraId="19FBDD7C" w14:textId="77777777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12.8.3</w:t>
      </w:r>
      <w:r>
        <w:tab/>
      </w:r>
      <w:r>
        <w:rPr>
          <w:b/>
          <w:bCs/>
        </w:rPr>
        <w:t>До 1 сентября 2028 года Договаривающиеся стороны, применяющие настоящие Правила, признают официальные утверждения типа, предоставленные до 1 сентября 2026 года на основании поправок серии 12.</w:t>
      </w:r>
    </w:p>
    <w:p w14:paraId="6E6C9AD0" w14:textId="77777777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12.8.4</w:t>
      </w:r>
      <w:r>
        <w:tab/>
      </w:r>
      <w:r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серии 12 к настоящим Правилам.</w:t>
      </w:r>
    </w:p>
    <w:p w14:paraId="577C0350" w14:textId="2B793C12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12.8.5</w:t>
      </w:r>
      <w:r>
        <w:tab/>
      </w:r>
      <w:r>
        <w:rPr>
          <w:b/>
          <w:bCs/>
        </w:rPr>
        <w:t>Независимо от пункта 12.8.4 Договаривающиеся стороны, применяющие настоящие Правила, продолжают признавать официальные утверждения типа, выданные на основании поправок серии</w:t>
      </w:r>
      <w:r w:rsidR="00667AA6">
        <w:rPr>
          <w:b/>
          <w:bCs/>
        </w:rPr>
        <w:t> </w:t>
      </w:r>
      <w:r>
        <w:rPr>
          <w:b/>
          <w:bCs/>
        </w:rPr>
        <w:t>12 к настоящим Правилам, в отношении транспортных средств, которые не затронуты изменениями, внесенными на основании поправок серии 13.</w:t>
      </w:r>
    </w:p>
    <w:p w14:paraId="4B9807AD" w14:textId="77777777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12.8.6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226B5C1B" w14:textId="77777777" w:rsidR="00684187" w:rsidRPr="00BD6B93" w:rsidRDefault="00684187" w:rsidP="00684187">
      <w:pPr>
        <w:spacing w:after="120" w:line="240" w:lineRule="auto"/>
        <w:ind w:left="2268" w:right="1134" w:hanging="1134"/>
        <w:jc w:val="both"/>
        <w:rPr>
          <w:b/>
          <w:color w:val="000000" w:themeColor="text1"/>
        </w:rPr>
      </w:pPr>
      <w:r>
        <w:rPr>
          <w:b/>
          <w:bCs/>
        </w:rPr>
        <w:t>12.8.7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 w:rsidRPr="00667AA6">
        <w:t>».</w:t>
      </w:r>
    </w:p>
    <w:p w14:paraId="0BB92CA3" w14:textId="77777777" w:rsidR="00684187" w:rsidRPr="00BD6B93" w:rsidRDefault="00684187" w:rsidP="00684187">
      <w:pPr>
        <w:pStyle w:val="HChG"/>
      </w:pPr>
      <w:bookmarkStart w:id="3" w:name="_Hlk49779639"/>
      <w:r>
        <w:rPr>
          <w:bCs/>
        </w:rPr>
        <w:lastRenderedPageBreak/>
        <w:tab/>
        <w:t>II.</w:t>
      </w:r>
      <w:r>
        <w:tab/>
      </w:r>
      <w:r>
        <w:rPr>
          <w:bCs/>
        </w:rPr>
        <w:t>Обоснование</w:t>
      </w:r>
    </w:p>
    <w:bookmarkEnd w:id="3"/>
    <w:p w14:paraId="59F21EDD" w14:textId="58FBF477" w:rsidR="00684187" w:rsidRPr="00BD6B93" w:rsidRDefault="00684187" w:rsidP="00667AA6">
      <w:pPr>
        <w:pStyle w:val="SingleTxtG"/>
      </w:pPr>
      <w:r>
        <w:t>1.</w:t>
      </w:r>
      <w:r>
        <w:tab/>
        <w:t>Настоящий документ заменяет собой документ ECE/TRANS/WP29/</w:t>
      </w:r>
      <w:r w:rsidR="00667AA6">
        <w:t xml:space="preserve"> </w:t>
      </w:r>
      <w:r>
        <w:t>GRVA/2022/14, в котором Франция предложила в обязательном порядке предусматривать оснащение автобетоносмесителей категории N</w:t>
      </w:r>
      <w:r w:rsidRPr="00864D84">
        <w:rPr>
          <w:vertAlign w:val="subscript"/>
        </w:rPr>
        <w:t>3</w:t>
      </w:r>
      <w:r>
        <w:t xml:space="preserve"> с четырьмя осями электронной функцией обеспечения устойчивости. С учетом трудностей, связанных со ссылкой на «автобетоносмесители» в Правилах, текущее предложение состоит в том, чтобы сделать ссылку на все транспортные средства с четырьмя осями и двумя приводными задними осями в контексте их обязательного оснащения электронной функцией обеспечения устойчивости независимо от того, являются они автобетоносмесителями или нет.</w:t>
      </w:r>
    </w:p>
    <w:p w14:paraId="0FDA28F1" w14:textId="77777777" w:rsidR="00684187" w:rsidRPr="00BD6B93" w:rsidRDefault="00684187" w:rsidP="00684187">
      <w:pPr>
        <w:spacing w:beforeLines="60" w:before="144" w:line="240" w:lineRule="auto"/>
        <w:ind w:left="1843" w:right="1133" w:hanging="992"/>
        <w:jc w:val="both"/>
        <w:rPr>
          <w:bCs/>
        </w:rPr>
      </w:pPr>
      <w:r w:rsidRPr="00F836F9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AA59CC0" wp14:editId="7E7B4A29">
            <wp:simplePos x="0" y="0"/>
            <wp:positionH relativeFrom="column">
              <wp:posOffset>728345</wp:posOffset>
            </wp:positionH>
            <wp:positionV relativeFrom="paragraph">
              <wp:posOffset>98425</wp:posOffset>
            </wp:positionV>
            <wp:extent cx="2106383" cy="800100"/>
            <wp:effectExtent l="0" t="0" r="8255" b="0"/>
            <wp:wrapNone/>
            <wp:docPr id="8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38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6F9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5AD913FC" wp14:editId="54E08595">
            <wp:simplePos x="0" y="0"/>
            <wp:positionH relativeFrom="column">
              <wp:posOffset>3243580</wp:posOffset>
            </wp:positionH>
            <wp:positionV relativeFrom="paragraph">
              <wp:posOffset>79374</wp:posOffset>
            </wp:positionV>
            <wp:extent cx="2226091" cy="790575"/>
            <wp:effectExtent l="0" t="0" r="3175" b="0"/>
            <wp:wrapNone/>
            <wp:docPr id="9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2553" cy="79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157E7" w14:textId="77777777" w:rsidR="00684187" w:rsidRPr="00BD6B93" w:rsidRDefault="00684187" w:rsidP="00684187">
      <w:pPr>
        <w:spacing w:beforeLines="60" w:before="144" w:line="240" w:lineRule="auto"/>
        <w:ind w:left="1843" w:right="1133" w:hanging="992"/>
        <w:jc w:val="both"/>
        <w:rPr>
          <w:bCs/>
        </w:rPr>
      </w:pPr>
    </w:p>
    <w:p w14:paraId="14761528" w14:textId="77777777" w:rsidR="00684187" w:rsidRPr="00BD6B93" w:rsidRDefault="00684187" w:rsidP="00684187">
      <w:pPr>
        <w:spacing w:beforeLines="60" w:before="144" w:line="240" w:lineRule="auto"/>
        <w:ind w:left="1843" w:right="1133" w:hanging="992"/>
        <w:jc w:val="both"/>
        <w:rPr>
          <w:bCs/>
        </w:rPr>
      </w:pPr>
    </w:p>
    <w:p w14:paraId="11166A03" w14:textId="77777777" w:rsidR="00684187" w:rsidRPr="00BD6B93" w:rsidRDefault="00684187" w:rsidP="00684187">
      <w:pPr>
        <w:spacing w:beforeLines="60" w:before="144" w:line="240" w:lineRule="auto"/>
        <w:ind w:left="1843" w:right="1133" w:hanging="992"/>
        <w:jc w:val="both"/>
        <w:rPr>
          <w:bCs/>
        </w:rPr>
      </w:pPr>
    </w:p>
    <w:p w14:paraId="23EDBDB3" w14:textId="77777777" w:rsidR="00684187" w:rsidRPr="00BD6B93" w:rsidRDefault="00684187" w:rsidP="00684187">
      <w:pPr>
        <w:spacing w:beforeLines="60" w:before="144" w:line="240" w:lineRule="auto"/>
        <w:ind w:left="1843" w:right="1133" w:hanging="992"/>
        <w:jc w:val="both"/>
        <w:rPr>
          <w:bCs/>
        </w:rPr>
      </w:pPr>
    </w:p>
    <w:p w14:paraId="72932FE0" w14:textId="6D33E2B6" w:rsidR="00684187" w:rsidRPr="00BD6B93" w:rsidRDefault="00684187" w:rsidP="00667AA6">
      <w:pPr>
        <w:spacing w:after="120"/>
        <w:ind w:left="1134" w:right="1134"/>
        <w:jc w:val="both"/>
        <w:rPr>
          <w:bCs/>
        </w:rPr>
      </w:pPr>
      <w:r>
        <w:t>2.</w:t>
      </w:r>
      <w:r>
        <w:tab/>
        <w:t xml:space="preserve">После консультаций с изготовителями транспортных средств было сочтено, что настоящее предложение отвечает целям Франции, поскольку большинство автобетоносмесителей характеризуются колесной формулой 8x4 или 8x4/4 и лишь весьма немногие из них </w:t>
      </w:r>
      <w:r w:rsidR="00667AA6" w:rsidRPr="00B76E19">
        <w:rPr>
          <w:rFonts w:cs="Times New Roman"/>
        </w:rPr>
        <w:t>‒</w:t>
      </w:r>
      <w:r w:rsidR="00667AA6" w:rsidRPr="00667AA6">
        <w:rPr>
          <w:rFonts w:cs="Times New Roman"/>
        </w:rPr>
        <w:t>‒</w:t>
      </w:r>
      <w:r>
        <w:t xml:space="preserve"> 8x2.</w:t>
      </w:r>
    </w:p>
    <w:p w14:paraId="13A098E4" w14:textId="77777777" w:rsidR="00684187" w:rsidRPr="00BD6B93" w:rsidRDefault="00684187" w:rsidP="00667AA6">
      <w:pPr>
        <w:spacing w:after="120"/>
        <w:ind w:left="1134" w:right="1134"/>
        <w:jc w:val="both"/>
      </w:pPr>
      <w:r>
        <w:t>3.</w:t>
      </w:r>
      <w:r>
        <w:tab/>
        <w:t xml:space="preserve">Следует признать, что настоящее предложение затрагивает более многочисленные транспортные средства (помимо автобетоносмесителей), лишь незначительная доля которых характеризуется колесными формулами 8х4 и 8х4/4, включая также в данной связи внедорожные транспортные средства (независимо от сноски </w:t>
      </w:r>
      <w:r w:rsidRPr="00667AA6">
        <w:t>12</w:t>
      </w:r>
      <w:r>
        <w:t>).</w:t>
      </w:r>
    </w:p>
    <w:p w14:paraId="131627B1" w14:textId="77777777" w:rsidR="00684187" w:rsidRPr="00BD6B93" w:rsidRDefault="00684187" w:rsidP="00667AA6">
      <w:pPr>
        <w:spacing w:after="120"/>
        <w:ind w:left="1134" w:right="1134"/>
        <w:jc w:val="both"/>
        <w:rPr>
          <w:bCs/>
        </w:rPr>
      </w:pPr>
      <w:r>
        <w:t>4.</w:t>
      </w:r>
      <w:r>
        <w:tab/>
        <w:t>С учетом изменения технических характеристик транспортных средств необходимы поправки новой серии, предусматривающие достаточное время для обновления производства.</w:t>
      </w:r>
    </w:p>
    <w:p w14:paraId="53FD6201" w14:textId="77777777" w:rsidR="00684187" w:rsidRPr="00BD6B93" w:rsidRDefault="00684187" w:rsidP="00684187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BD6B93">
        <w:rPr>
          <w:rFonts w:eastAsia="SimSun"/>
          <w:u w:val="single"/>
        </w:rPr>
        <w:tab/>
      </w:r>
      <w:r w:rsidRPr="00BD6B93">
        <w:rPr>
          <w:rFonts w:eastAsia="SimSun"/>
          <w:u w:val="single"/>
        </w:rPr>
        <w:tab/>
      </w:r>
      <w:r w:rsidRPr="00BD6B93">
        <w:rPr>
          <w:rFonts w:eastAsia="SimSun"/>
          <w:u w:val="single"/>
        </w:rPr>
        <w:tab/>
      </w:r>
      <w:r w:rsidRPr="00BD6B93">
        <w:rPr>
          <w:rFonts w:eastAsia="SimSun"/>
          <w:u w:val="single"/>
        </w:rPr>
        <w:tab/>
      </w:r>
    </w:p>
    <w:sectPr w:rsidR="00684187" w:rsidRPr="00BD6B93" w:rsidSect="0068418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B95D" w14:textId="77777777" w:rsidR="00EE5E99" w:rsidRPr="00A312BC" w:rsidRDefault="00EE5E99" w:rsidP="00A312BC"/>
  </w:endnote>
  <w:endnote w:type="continuationSeparator" w:id="0">
    <w:p w14:paraId="39B80CA0" w14:textId="77777777" w:rsidR="00EE5E99" w:rsidRPr="00A312BC" w:rsidRDefault="00EE5E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845F" w14:textId="51372856" w:rsidR="00684187" w:rsidRPr="00684187" w:rsidRDefault="00684187">
    <w:pPr>
      <w:pStyle w:val="a8"/>
    </w:pPr>
    <w:r w:rsidRPr="00684187">
      <w:rPr>
        <w:b/>
        <w:sz w:val="18"/>
      </w:rPr>
      <w:fldChar w:fldCharType="begin"/>
    </w:r>
    <w:r w:rsidRPr="00684187">
      <w:rPr>
        <w:b/>
        <w:sz w:val="18"/>
      </w:rPr>
      <w:instrText xml:space="preserve"> PAGE  \* MERGEFORMAT </w:instrText>
    </w:r>
    <w:r w:rsidRPr="00684187">
      <w:rPr>
        <w:b/>
        <w:sz w:val="18"/>
      </w:rPr>
      <w:fldChar w:fldCharType="separate"/>
    </w:r>
    <w:r w:rsidRPr="00684187">
      <w:rPr>
        <w:b/>
        <w:noProof/>
        <w:sz w:val="18"/>
      </w:rPr>
      <w:t>2</w:t>
    </w:r>
    <w:r w:rsidRPr="00684187">
      <w:rPr>
        <w:b/>
        <w:sz w:val="18"/>
      </w:rPr>
      <w:fldChar w:fldCharType="end"/>
    </w:r>
    <w:r>
      <w:rPr>
        <w:b/>
        <w:sz w:val="18"/>
      </w:rPr>
      <w:tab/>
    </w:r>
    <w:r>
      <w:t>GE.22-25486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EA17" w14:textId="6CDD10EE" w:rsidR="00684187" w:rsidRPr="00684187" w:rsidRDefault="00684187" w:rsidP="00684187">
    <w:pPr>
      <w:pStyle w:val="a8"/>
      <w:tabs>
        <w:tab w:val="clear" w:pos="9639"/>
        <w:tab w:val="right" w:pos="9638"/>
      </w:tabs>
      <w:rPr>
        <w:b/>
        <w:sz w:val="18"/>
      </w:rPr>
    </w:pPr>
    <w:r>
      <w:t>GE.22-25486</w:t>
    </w:r>
    <w:r>
      <w:tab/>
    </w:r>
    <w:r w:rsidRPr="00684187">
      <w:rPr>
        <w:b/>
        <w:sz w:val="18"/>
      </w:rPr>
      <w:fldChar w:fldCharType="begin"/>
    </w:r>
    <w:r w:rsidRPr="00684187">
      <w:rPr>
        <w:b/>
        <w:sz w:val="18"/>
      </w:rPr>
      <w:instrText xml:space="preserve"> PAGE  \* MERGEFORMAT </w:instrText>
    </w:r>
    <w:r w:rsidRPr="00684187">
      <w:rPr>
        <w:b/>
        <w:sz w:val="18"/>
      </w:rPr>
      <w:fldChar w:fldCharType="separate"/>
    </w:r>
    <w:r w:rsidRPr="00684187">
      <w:rPr>
        <w:b/>
        <w:noProof/>
        <w:sz w:val="18"/>
      </w:rPr>
      <w:t>3</w:t>
    </w:r>
    <w:r w:rsidRPr="006841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BCD7" w14:textId="010CC857" w:rsidR="00042B72" w:rsidRPr="00684187" w:rsidRDefault="00684187" w:rsidP="0068418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FBEC0C" wp14:editId="49E945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22-25486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386144" wp14:editId="1BBB62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cs="Times New Roman"/>
        <w:lang w:val="fr-CH"/>
      </w:rPr>
      <w:t>221122  231122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29B9" w14:textId="77777777" w:rsidR="00EE5E99" w:rsidRPr="001075E9" w:rsidRDefault="00EE5E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40426" w14:textId="77777777" w:rsidR="00EE5E99" w:rsidRDefault="00EE5E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719991" w14:textId="77777777" w:rsidR="00684187" w:rsidRPr="00EA475E" w:rsidRDefault="00684187" w:rsidP="00684187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AA35" w14:textId="4A657FD0" w:rsidR="00684187" w:rsidRPr="00684187" w:rsidRDefault="00684187">
    <w:pPr>
      <w:pStyle w:val="a5"/>
    </w:pPr>
    <w:fldSimple w:instr=" TITLE  \* MERGEFORMAT ">
      <w:r w:rsidR="00AB6C0E">
        <w:t>ECE/TRANS/WP.29/GRVA/2023/2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4124" w14:textId="1F624587" w:rsidR="00684187" w:rsidRPr="00684187" w:rsidRDefault="00684187" w:rsidP="00684187">
    <w:pPr>
      <w:pStyle w:val="a5"/>
      <w:jc w:val="right"/>
    </w:pPr>
    <w:fldSimple w:instr=" TITLE  \* MERGEFORMAT ">
      <w:r w:rsidR="00AB6C0E">
        <w:t>ECE/TRANS/WP.29/GRVA/2023/2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99"/>
    <w:rsid w:val="00033EE1"/>
    <w:rsid w:val="00042B72"/>
    <w:rsid w:val="0004416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7C6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7AA6"/>
    <w:rsid w:val="00680D03"/>
    <w:rsid w:val="00681A10"/>
    <w:rsid w:val="0068418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C43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C0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80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E99"/>
    <w:rsid w:val="00EF1360"/>
    <w:rsid w:val="00EF3220"/>
    <w:rsid w:val="00F2523A"/>
    <w:rsid w:val="00F3251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9BD1"/>
  <w15:docId w15:val="{73ED6C7F-9706-402C-AF19-5A336CC7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84187"/>
    <w:rPr>
      <w:lang w:val="ru-RU" w:eastAsia="en-US"/>
    </w:rPr>
  </w:style>
  <w:style w:type="character" w:customStyle="1" w:styleId="H1GChar">
    <w:name w:val="_ H_1_G Char"/>
    <w:link w:val="H1G"/>
    <w:rsid w:val="00684187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68418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641</Words>
  <Characters>4586</Characters>
  <Application>Microsoft Office Word</Application>
  <DocSecurity>0</DocSecurity>
  <Lines>111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ECE/TRANS/WP.29/GRVA/2023/2</vt:lpstr>
      <vt:lpstr>A/</vt:lpstr>
      <vt:lpstr>A/</vt:lpstr>
    </vt:vector>
  </TitlesOfParts>
  <Company>DCM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ECE/TRANS/WP.29/GRVA/2023/2</dc:title>
  <dc:subject/>
  <dc:creator>Anna KISSELEVA</dc:creator>
  <cp:keywords/>
  <cp:lastModifiedBy>Anna Kisseleva</cp:lastModifiedBy>
  <cp:revision>4</cp:revision>
  <cp:lastPrinted>2022-11-23T14:30:00Z</cp:lastPrinted>
  <dcterms:created xsi:type="dcterms:W3CDTF">2022-11-23T14:30:00Z</dcterms:created>
  <dcterms:modified xsi:type="dcterms:W3CDTF">2022-11-23T14:32:00Z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