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D2842" w:rsidRPr="003854D6" w14:paraId="74886800" w14:textId="77777777" w:rsidTr="00EE5B65">
        <w:trPr>
          <w:cantSplit/>
          <w:trHeight w:hRule="exact" w:val="567"/>
        </w:trPr>
        <w:tc>
          <w:tcPr>
            <w:tcW w:w="1276" w:type="dxa"/>
            <w:tcBorders>
              <w:bottom w:val="single" w:sz="4" w:space="0" w:color="auto"/>
            </w:tcBorders>
            <w:shd w:val="clear" w:color="auto" w:fill="auto"/>
            <w:vAlign w:val="bottom"/>
          </w:tcPr>
          <w:p w14:paraId="61F59AB3" w14:textId="77777777" w:rsidR="004D2842" w:rsidRPr="003854D6" w:rsidRDefault="004D2842" w:rsidP="00EE5B65">
            <w:pPr>
              <w:spacing w:line="20" w:lineRule="exact"/>
              <w:rPr>
                <w:sz w:val="2"/>
              </w:rPr>
            </w:pPr>
          </w:p>
          <w:p w14:paraId="263CAB75" w14:textId="77777777" w:rsidR="004D2842" w:rsidRPr="003854D6" w:rsidRDefault="004D2842" w:rsidP="00EE5B65">
            <w:pPr>
              <w:spacing w:after="80"/>
            </w:pPr>
          </w:p>
        </w:tc>
        <w:tc>
          <w:tcPr>
            <w:tcW w:w="2268" w:type="dxa"/>
            <w:tcBorders>
              <w:bottom w:val="single" w:sz="4" w:space="0" w:color="auto"/>
            </w:tcBorders>
            <w:shd w:val="clear" w:color="auto" w:fill="auto"/>
            <w:vAlign w:val="bottom"/>
          </w:tcPr>
          <w:p w14:paraId="008A6699" w14:textId="77777777" w:rsidR="004D2842" w:rsidRPr="003854D6" w:rsidRDefault="004D2842" w:rsidP="00EE5B65">
            <w:pPr>
              <w:spacing w:after="80" w:line="300" w:lineRule="exact"/>
              <w:rPr>
                <w:b/>
                <w:sz w:val="24"/>
                <w:szCs w:val="24"/>
              </w:rPr>
            </w:pPr>
            <w:r w:rsidRPr="003854D6">
              <w:rPr>
                <w:sz w:val="28"/>
                <w:szCs w:val="28"/>
              </w:rPr>
              <w:t>United Nations</w:t>
            </w:r>
          </w:p>
        </w:tc>
        <w:tc>
          <w:tcPr>
            <w:tcW w:w="6095" w:type="dxa"/>
            <w:gridSpan w:val="2"/>
            <w:tcBorders>
              <w:bottom w:val="single" w:sz="4" w:space="0" w:color="auto"/>
            </w:tcBorders>
            <w:shd w:val="clear" w:color="auto" w:fill="auto"/>
            <w:vAlign w:val="bottom"/>
          </w:tcPr>
          <w:p w14:paraId="588EACCF" w14:textId="69D9AF48" w:rsidR="004D2842" w:rsidRPr="003854D6" w:rsidRDefault="004D2842" w:rsidP="00EE5B65">
            <w:pPr>
              <w:jc w:val="right"/>
            </w:pPr>
            <w:r w:rsidRPr="003854D6">
              <w:rPr>
                <w:sz w:val="40"/>
              </w:rPr>
              <w:t>ECE</w:t>
            </w:r>
            <w:r w:rsidRPr="003854D6">
              <w:t>/TRANS/WP.29/GRVA/202</w:t>
            </w:r>
            <w:r>
              <w:t>3</w:t>
            </w:r>
            <w:r w:rsidRPr="003854D6">
              <w:t>/</w:t>
            </w:r>
            <w:r w:rsidR="008B1D72">
              <w:t>2</w:t>
            </w:r>
          </w:p>
        </w:tc>
      </w:tr>
      <w:tr w:rsidR="004D2842" w:rsidRPr="003854D6" w14:paraId="65366E8E" w14:textId="77777777" w:rsidTr="00EE5B65">
        <w:trPr>
          <w:cantSplit/>
          <w:trHeight w:hRule="exact" w:val="2694"/>
        </w:trPr>
        <w:tc>
          <w:tcPr>
            <w:tcW w:w="1276" w:type="dxa"/>
            <w:tcBorders>
              <w:top w:val="single" w:sz="4" w:space="0" w:color="auto"/>
              <w:bottom w:val="single" w:sz="12" w:space="0" w:color="auto"/>
            </w:tcBorders>
            <w:shd w:val="clear" w:color="auto" w:fill="auto"/>
          </w:tcPr>
          <w:p w14:paraId="300AB566" w14:textId="77777777" w:rsidR="004D2842" w:rsidRPr="003854D6" w:rsidRDefault="004D2842" w:rsidP="00EE5B65">
            <w:pPr>
              <w:spacing w:before="120"/>
            </w:pPr>
            <w:r w:rsidRPr="003854D6">
              <w:rPr>
                <w:noProof/>
                <w:lang w:eastAsia="en-GB"/>
              </w:rPr>
              <w:drawing>
                <wp:inline distT="0" distB="0" distL="0" distR="0" wp14:anchorId="068CE46F" wp14:editId="66241F9C">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5DDC506" w14:textId="77777777" w:rsidR="004D2842" w:rsidRPr="007A0E8C" w:rsidRDefault="004D2842" w:rsidP="00EE5B65">
            <w:pPr>
              <w:spacing w:before="120" w:line="420" w:lineRule="exact"/>
              <w:rPr>
                <w:sz w:val="40"/>
                <w:szCs w:val="40"/>
              </w:rPr>
            </w:pPr>
            <w:r w:rsidRPr="007A0E8C">
              <w:rPr>
                <w:b/>
                <w:sz w:val="40"/>
                <w:szCs w:val="40"/>
              </w:rPr>
              <w:t>Economic and Social Council</w:t>
            </w:r>
          </w:p>
        </w:tc>
        <w:tc>
          <w:tcPr>
            <w:tcW w:w="2835" w:type="dxa"/>
            <w:tcBorders>
              <w:top w:val="single" w:sz="4" w:space="0" w:color="auto"/>
              <w:bottom w:val="single" w:sz="12" w:space="0" w:color="auto"/>
            </w:tcBorders>
            <w:shd w:val="clear" w:color="auto" w:fill="auto"/>
          </w:tcPr>
          <w:p w14:paraId="47DC4F25" w14:textId="77777777" w:rsidR="004D2842" w:rsidRPr="007A0E8C" w:rsidRDefault="004D2842" w:rsidP="00EE5B65">
            <w:pPr>
              <w:spacing w:before="240" w:line="240" w:lineRule="exact"/>
            </w:pPr>
            <w:r w:rsidRPr="007A0E8C">
              <w:t>Distr.: General</w:t>
            </w:r>
          </w:p>
          <w:p w14:paraId="69D521B8" w14:textId="5BEFFFB2" w:rsidR="004D2842" w:rsidRPr="007A0E8C" w:rsidRDefault="005559AC" w:rsidP="00EE5B65">
            <w:pPr>
              <w:spacing w:line="240" w:lineRule="exact"/>
            </w:pPr>
            <w:r w:rsidRPr="00C12F0A">
              <w:t>11</w:t>
            </w:r>
            <w:r w:rsidR="004D2842" w:rsidRPr="00C12F0A">
              <w:t xml:space="preserve"> </w:t>
            </w:r>
            <w:r w:rsidRPr="00C12F0A">
              <w:t xml:space="preserve">November </w:t>
            </w:r>
            <w:r w:rsidR="004D2842" w:rsidRPr="00C12F0A">
              <w:t>2022</w:t>
            </w:r>
          </w:p>
          <w:p w14:paraId="307B8389" w14:textId="77777777" w:rsidR="004D2842" w:rsidRPr="007A0E8C" w:rsidRDefault="004D2842" w:rsidP="00EE5B65">
            <w:pPr>
              <w:spacing w:line="240" w:lineRule="exact"/>
            </w:pPr>
          </w:p>
          <w:p w14:paraId="0D71E3A2" w14:textId="77777777" w:rsidR="004D2842" w:rsidRPr="007A0E8C" w:rsidRDefault="004D2842" w:rsidP="00EE5B65">
            <w:pPr>
              <w:spacing w:line="240" w:lineRule="exact"/>
            </w:pPr>
            <w:r w:rsidRPr="007A0E8C">
              <w:t>Original: English</w:t>
            </w:r>
          </w:p>
        </w:tc>
      </w:tr>
    </w:tbl>
    <w:p w14:paraId="743C19F8" w14:textId="77777777" w:rsidR="004D2842" w:rsidRPr="003854D6" w:rsidRDefault="004D2842" w:rsidP="004D2842">
      <w:pPr>
        <w:spacing w:before="120"/>
        <w:rPr>
          <w:b/>
          <w:sz w:val="28"/>
          <w:szCs w:val="28"/>
        </w:rPr>
      </w:pPr>
      <w:r w:rsidRPr="003854D6">
        <w:rPr>
          <w:b/>
          <w:sz w:val="28"/>
          <w:szCs w:val="28"/>
        </w:rPr>
        <w:t>Economic Commission for Europe</w:t>
      </w:r>
    </w:p>
    <w:p w14:paraId="40BD3DDF" w14:textId="77777777" w:rsidR="004D2842" w:rsidRPr="003854D6" w:rsidRDefault="004D2842" w:rsidP="004D2842">
      <w:pPr>
        <w:spacing w:before="120"/>
        <w:rPr>
          <w:sz w:val="28"/>
          <w:szCs w:val="28"/>
        </w:rPr>
      </w:pPr>
      <w:r w:rsidRPr="003854D6">
        <w:rPr>
          <w:sz w:val="28"/>
          <w:szCs w:val="28"/>
        </w:rPr>
        <w:t>Inland Transport Committee</w:t>
      </w:r>
    </w:p>
    <w:p w14:paraId="36FB7ABD" w14:textId="77777777" w:rsidR="004D2842" w:rsidRPr="003854D6" w:rsidRDefault="004D2842" w:rsidP="004D2842">
      <w:pPr>
        <w:spacing w:before="120"/>
        <w:rPr>
          <w:b/>
          <w:sz w:val="24"/>
          <w:szCs w:val="24"/>
        </w:rPr>
      </w:pPr>
      <w:r w:rsidRPr="003854D6">
        <w:rPr>
          <w:b/>
          <w:sz w:val="24"/>
          <w:szCs w:val="24"/>
        </w:rPr>
        <w:t>World Forum for Harmonization of Vehicle Regulations</w:t>
      </w:r>
    </w:p>
    <w:p w14:paraId="68A07F9F" w14:textId="77777777" w:rsidR="004D2842" w:rsidRPr="003854D6" w:rsidRDefault="004D2842" w:rsidP="004D2842">
      <w:pPr>
        <w:spacing w:before="120"/>
        <w:rPr>
          <w:b/>
        </w:rPr>
      </w:pPr>
      <w:bookmarkStart w:id="0" w:name="_Hlk518466992"/>
      <w:bookmarkStart w:id="1" w:name="_Hlk56769561"/>
      <w:r w:rsidRPr="003854D6">
        <w:rPr>
          <w:b/>
          <w:bCs/>
        </w:rPr>
        <w:t>Working Party on Automated/Autonomous and Connected Vehicl</w:t>
      </w:r>
      <w:bookmarkEnd w:id="0"/>
      <w:r w:rsidRPr="003854D6">
        <w:rPr>
          <w:b/>
          <w:bCs/>
        </w:rPr>
        <w:t>es</w:t>
      </w:r>
      <w:bookmarkEnd w:id="1"/>
    </w:p>
    <w:p w14:paraId="704CE43B" w14:textId="77777777" w:rsidR="004D2842" w:rsidRPr="003854D6" w:rsidRDefault="004D2842" w:rsidP="004D2842">
      <w:pPr>
        <w:spacing w:before="120"/>
        <w:rPr>
          <w:b/>
        </w:rPr>
      </w:pPr>
      <w:r>
        <w:rPr>
          <w:b/>
        </w:rPr>
        <w:t>Fifteenth</w:t>
      </w:r>
      <w:r w:rsidRPr="003854D6">
        <w:rPr>
          <w:b/>
        </w:rPr>
        <w:t xml:space="preserve"> session</w:t>
      </w:r>
    </w:p>
    <w:p w14:paraId="50DC93BC" w14:textId="77777777" w:rsidR="004D2842" w:rsidRPr="00310A53" w:rsidRDefault="004D2842" w:rsidP="004D2842">
      <w:bookmarkStart w:id="2" w:name="OLE_LINK2"/>
      <w:r w:rsidRPr="003854D6">
        <w:t xml:space="preserve">Geneva, </w:t>
      </w:r>
      <w:r w:rsidRPr="00310A53">
        <w:t>23-27 January 2023</w:t>
      </w:r>
    </w:p>
    <w:p w14:paraId="391C6724" w14:textId="12C5F220" w:rsidR="004D2842" w:rsidRPr="003854D6" w:rsidRDefault="004D2842" w:rsidP="004D2842">
      <w:r w:rsidRPr="00310A53">
        <w:t>Item 8(</w:t>
      </w:r>
      <w:r w:rsidR="00310A53" w:rsidRPr="00310A53">
        <w:t>a</w:t>
      </w:r>
      <w:r w:rsidRPr="00310A53">
        <w:t>)</w:t>
      </w:r>
      <w:r w:rsidRPr="00484D6A">
        <w:t xml:space="preserve"> of the provisional agenda</w:t>
      </w:r>
    </w:p>
    <w:p w14:paraId="11ADB3BC" w14:textId="3DDFF199" w:rsidR="004D2842" w:rsidRPr="00BE26AC" w:rsidRDefault="00A46484" w:rsidP="004D2842">
      <w:pPr>
        <w:rPr>
          <w:b/>
          <w:bCs/>
          <w:lang w:val="en-US"/>
        </w:rPr>
      </w:pPr>
      <w:r w:rsidRPr="00BE26AC">
        <w:rPr>
          <w:b/>
          <w:bCs/>
          <w:lang w:val="en-US"/>
        </w:rPr>
        <w:t xml:space="preserve">UN </w:t>
      </w:r>
      <w:r w:rsidR="004D2842" w:rsidRPr="00BE26AC">
        <w:rPr>
          <w:b/>
          <w:bCs/>
          <w:lang w:val="en-US"/>
        </w:rPr>
        <w:t>Regulations Nos. 13, 13-H, 139, 140 and UN GTR No. 8:</w:t>
      </w:r>
    </w:p>
    <w:p w14:paraId="4FD4FD1A" w14:textId="4DE5C64D" w:rsidR="004D2842" w:rsidRPr="007454A2" w:rsidRDefault="00A46484" w:rsidP="004D2842">
      <w:pPr>
        <w:tabs>
          <w:tab w:val="left" w:pos="6792"/>
        </w:tabs>
        <w:rPr>
          <w:b/>
          <w:bCs/>
        </w:rPr>
      </w:pPr>
      <w:r w:rsidRPr="007454A2">
        <w:rPr>
          <w:b/>
          <w:bCs/>
        </w:rPr>
        <w:t>Electronic Stability Control</w:t>
      </w:r>
      <w:r w:rsidR="004D2842" w:rsidRPr="007454A2">
        <w:rPr>
          <w:b/>
          <w:bCs/>
        </w:rPr>
        <w:tab/>
      </w:r>
    </w:p>
    <w:p w14:paraId="38FEA510" w14:textId="3A5E8921" w:rsidR="004D2842" w:rsidRPr="003854D6" w:rsidRDefault="004D2842" w:rsidP="004D2842">
      <w:pPr>
        <w:pStyle w:val="HChG"/>
      </w:pPr>
      <w:r w:rsidRPr="007454A2">
        <w:tab/>
      </w:r>
      <w:r w:rsidRPr="007454A2">
        <w:tab/>
      </w:r>
      <w:bookmarkEnd w:id="2"/>
      <w:r w:rsidRPr="00EF329D">
        <w:rPr>
          <w:bCs/>
          <w:szCs w:val="28"/>
        </w:rPr>
        <w:t>Proposal for</w:t>
      </w:r>
      <w:r w:rsidR="007454A2">
        <w:rPr>
          <w:bCs/>
          <w:szCs w:val="28"/>
        </w:rPr>
        <w:t xml:space="preserve"> a new series of</w:t>
      </w:r>
      <w:r w:rsidRPr="00EF329D">
        <w:rPr>
          <w:bCs/>
          <w:szCs w:val="28"/>
        </w:rPr>
        <w:t xml:space="preserve"> </w:t>
      </w:r>
      <w:r w:rsidR="000A2C63">
        <w:rPr>
          <w:bCs/>
          <w:szCs w:val="28"/>
        </w:rPr>
        <w:t>amendments to UN</w:t>
      </w:r>
      <w:r w:rsidRPr="00EF329D">
        <w:rPr>
          <w:bCs/>
          <w:szCs w:val="28"/>
        </w:rPr>
        <w:t xml:space="preserve"> Regulation No. 13 (Heavy vehicle braking)</w:t>
      </w:r>
    </w:p>
    <w:p w14:paraId="1C0F2FC1" w14:textId="596FEB53" w:rsidR="004D2842" w:rsidRPr="003854D6" w:rsidRDefault="004D2842" w:rsidP="004D2842">
      <w:pPr>
        <w:pStyle w:val="H1G"/>
        <w:rPr>
          <w:szCs w:val="24"/>
        </w:rPr>
      </w:pPr>
      <w:r w:rsidRPr="003854D6">
        <w:tab/>
      </w:r>
      <w:r w:rsidR="00596744">
        <w:tab/>
      </w:r>
      <w:r w:rsidRPr="003854D6">
        <w:t xml:space="preserve">Submitted by </w:t>
      </w:r>
      <w:r w:rsidRPr="00902CB5">
        <w:rPr>
          <w:rFonts w:asciiTheme="majorBidi" w:hAnsiTheme="majorBidi" w:cstheme="majorBidi"/>
          <w:noProof/>
        </w:rPr>
        <w:t xml:space="preserve">the expert from </w:t>
      </w:r>
      <w:r w:rsidR="00CF160C">
        <w:rPr>
          <w:rFonts w:asciiTheme="majorBidi" w:hAnsiTheme="majorBidi" w:cstheme="majorBidi"/>
          <w:noProof/>
        </w:rPr>
        <w:t>France</w:t>
      </w:r>
      <w:r w:rsidRPr="00524BC2">
        <w:rPr>
          <w:rStyle w:val="FootnoteReference"/>
          <w:b w:val="0"/>
          <w:bCs/>
          <w:sz w:val="24"/>
          <w:szCs w:val="24"/>
          <w:vertAlign w:val="baseline"/>
        </w:rPr>
        <w:footnoteReference w:customMarkFollows="1" w:id="2"/>
        <w:t>*</w:t>
      </w:r>
    </w:p>
    <w:p w14:paraId="78F9144E" w14:textId="07D246BC" w:rsidR="004D2842" w:rsidRDefault="00A76A35" w:rsidP="00A76A35">
      <w:pPr>
        <w:tabs>
          <w:tab w:val="left" w:pos="8505"/>
        </w:tabs>
        <w:ind w:left="1134" w:right="1134" w:firstLine="567"/>
        <w:jc w:val="both"/>
        <w:rPr>
          <w:rFonts w:asciiTheme="majorBidi" w:hAnsiTheme="majorBidi" w:cstheme="majorBidi"/>
          <w:noProof/>
        </w:rPr>
      </w:pPr>
      <w:r w:rsidRPr="00A76A35">
        <w:rPr>
          <w:rFonts w:asciiTheme="majorBidi" w:hAnsiTheme="majorBidi" w:cstheme="majorBidi"/>
          <w:noProof/>
          <w:color w:val="000000" w:themeColor="text1"/>
        </w:rPr>
        <w:t>The text reproduced below was prepared by the expert from France. This proposal aims to equip four axles commercial vehicles over 25 tons with vehicle stability function due to their specific use. It is based on formal document ECE/TRANS/WP29/GRVA/2022/14 and informal document GRVA-13-23 from</w:t>
      </w:r>
      <w:r w:rsidR="00BE7EC8">
        <w:rPr>
          <w:rFonts w:asciiTheme="majorBidi" w:hAnsiTheme="majorBidi" w:cstheme="majorBidi"/>
          <w:noProof/>
          <w:color w:val="000000" w:themeColor="text1"/>
        </w:rPr>
        <w:t xml:space="preserve"> the International Organisation of Motor Vehicle Manufacturers</w:t>
      </w:r>
      <w:r w:rsidRPr="00A76A35">
        <w:rPr>
          <w:rFonts w:asciiTheme="majorBidi" w:hAnsiTheme="majorBidi" w:cstheme="majorBidi"/>
          <w:noProof/>
          <w:color w:val="000000" w:themeColor="text1"/>
        </w:rPr>
        <w:t xml:space="preserve"> </w:t>
      </w:r>
      <w:r w:rsidR="00BE7EC8">
        <w:rPr>
          <w:rFonts w:asciiTheme="majorBidi" w:hAnsiTheme="majorBidi" w:cstheme="majorBidi"/>
          <w:noProof/>
          <w:color w:val="000000" w:themeColor="text1"/>
        </w:rPr>
        <w:t>(</w:t>
      </w:r>
      <w:r w:rsidRPr="00A76A35">
        <w:rPr>
          <w:rFonts w:asciiTheme="majorBidi" w:hAnsiTheme="majorBidi" w:cstheme="majorBidi"/>
          <w:noProof/>
          <w:color w:val="000000" w:themeColor="text1"/>
        </w:rPr>
        <w:t>OICA</w:t>
      </w:r>
      <w:r w:rsidR="00BE7EC8">
        <w:rPr>
          <w:rFonts w:asciiTheme="majorBidi" w:hAnsiTheme="majorBidi" w:cstheme="majorBidi"/>
          <w:noProof/>
          <w:color w:val="000000" w:themeColor="text1"/>
        </w:rPr>
        <w:t>)</w:t>
      </w:r>
      <w:r w:rsidRPr="00A76A35">
        <w:rPr>
          <w:rFonts w:asciiTheme="majorBidi" w:hAnsiTheme="majorBidi" w:cstheme="majorBidi"/>
          <w:noProof/>
          <w:color w:val="000000" w:themeColor="text1"/>
        </w:rPr>
        <w:t>. The modifications to the existing text of UN Regulation No. 13 are marked in bold for new characters.</w:t>
      </w:r>
      <w:r w:rsidR="004D2842">
        <w:rPr>
          <w:rFonts w:asciiTheme="majorBidi" w:hAnsiTheme="majorBidi" w:cstheme="majorBidi"/>
          <w:noProof/>
        </w:rPr>
        <w:br w:type="page"/>
      </w:r>
    </w:p>
    <w:p w14:paraId="7C2E0EF0" w14:textId="7E27E8C8" w:rsidR="00D24FB4" w:rsidRPr="00F836F9" w:rsidRDefault="00D24FB4" w:rsidP="00D24FB4">
      <w:pPr>
        <w:pStyle w:val="HChG"/>
      </w:pPr>
      <w:r>
        <w:lastRenderedPageBreak/>
        <w:tab/>
        <w:t>I.</w:t>
      </w:r>
      <w:r>
        <w:tab/>
      </w:r>
      <w:r w:rsidRPr="00F836F9">
        <w:t>Proposal</w:t>
      </w:r>
    </w:p>
    <w:p w14:paraId="34DD522E" w14:textId="77777777" w:rsidR="00D24FB4" w:rsidRPr="00F836F9" w:rsidRDefault="00D24FB4" w:rsidP="00D24FB4">
      <w:pPr>
        <w:pStyle w:val="SingleTxtG"/>
        <w:rPr>
          <w:lang w:val="en-US"/>
        </w:rPr>
      </w:pPr>
      <w:r w:rsidRPr="00D24FB4">
        <w:rPr>
          <w:i/>
          <w:iCs/>
          <w:lang w:val="en-US"/>
        </w:rPr>
        <w:t>Paragraph 5.2.1.32.</w:t>
      </w:r>
      <w:r w:rsidRPr="00F836F9">
        <w:rPr>
          <w:lang w:val="en-US"/>
        </w:rPr>
        <w:t>, amend to read:</w:t>
      </w:r>
    </w:p>
    <w:p w14:paraId="29A67CCA" w14:textId="0B68E7B5" w:rsidR="00D24FB4" w:rsidRPr="00766D43" w:rsidRDefault="00D24FB4" w:rsidP="00D24FB4">
      <w:pPr>
        <w:pStyle w:val="SingleTxtG"/>
        <w:ind w:left="2268" w:hanging="1134"/>
      </w:pPr>
      <w:r w:rsidRPr="00766D43">
        <w:t>“5.2.1.32.</w:t>
      </w:r>
      <w:r w:rsidRPr="00766D43">
        <w:tab/>
        <w:t>Subject to the provisions of paragraph 12.3. of this Regulation, all vehicles of the following categories shall be equipped with a vehicle stability function:</w:t>
      </w:r>
    </w:p>
    <w:p w14:paraId="730E0F32" w14:textId="77777777" w:rsidR="00D24FB4" w:rsidRPr="00766D43" w:rsidRDefault="00D24FB4" w:rsidP="00C70EDA">
      <w:pPr>
        <w:tabs>
          <w:tab w:val="left" w:pos="1701"/>
        </w:tabs>
        <w:spacing w:after="120" w:line="240" w:lineRule="auto"/>
        <w:ind w:left="2268" w:right="1134"/>
        <w:jc w:val="both"/>
      </w:pPr>
      <w:r w:rsidRPr="00766D43">
        <w:t>(a)</w:t>
      </w:r>
      <w:r w:rsidRPr="00766D43">
        <w:tab/>
        <w:t>M</w:t>
      </w:r>
      <w:r w:rsidRPr="00766D43">
        <w:rPr>
          <w:vertAlign w:val="subscript"/>
        </w:rPr>
        <w:t>2</w:t>
      </w:r>
      <w:r w:rsidRPr="00766D43">
        <w:t>, M</w:t>
      </w:r>
      <w:r w:rsidRPr="00766D43">
        <w:rPr>
          <w:vertAlign w:val="subscript"/>
        </w:rPr>
        <w:t>3</w:t>
      </w:r>
      <w:r w:rsidRPr="00766D43">
        <w:t>, N</w:t>
      </w:r>
      <w:r w:rsidRPr="00766D43">
        <w:rPr>
          <w:vertAlign w:val="subscript"/>
        </w:rPr>
        <w:t>2</w:t>
      </w:r>
      <w:r w:rsidRPr="00766D43">
        <w:t> </w:t>
      </w:r>
      <w:r w:rsidRPr="00766D43">
        <w:rPr>
          <w:vertAlign w:val="superscript"/>
        </w:rPr>
        <w:t>12</w:t>
      </w:r>
      <w:r w:rsidRPr="00766D43">
        <w:t>;</w:t>
      </w:r>
    </w:p>
    <w:p w14:paraId="7D69EBBE" w14:textId="77777777" w:rsidR="00D24FB4" w:rsidRPr="00766D43" w:rsidRDefault="00D24FB4" w:rsidP="00C70EDA">
      <w:pPr>
        <w:tabs>
          <w:tab w:val="left" w:pos="1701"/>
        </w:tabs>
        <w:spacing w:after="120" w:line="240" w:lineRule="auto"/>
        <w:ind w:left="2268" w:right="1134"/>
        <w:jc w:val="both"/>
      </w:pPr>
      <w:r w:rsidRPr="00766D43">
        <w:t>(b)</w:t>
      </w:r>
      <w:r w:rsidRPr="00766D43">
        <w:tab/>
        <w:t>N</w:t>
      </w:r>
      <w:r w:rsidRPr="00766D43">
        <w:rPr>
          <w:vertAlign w:val="subscript"/>
        </w:rPr>
        <w:t>3</w:t>
      </w:r>
      <w:r w:rsidRPr="00766D43">
        <w:t> </w:t>
      </w:r>
      <w:r w:rsidRPr="00766D43">
        <w:rPr>
          <w:vertAlign w:val="superscript"/>
        </w:rPr>
        <w:t>12</w:t>
      </w:r>
      <w:r w:rsidRPr="00766D43">
        <w:t> having no more than 3 axles;</w:t>
      </w:r>
    </w:p>
    <w:p w14:paraId="6385DE85" w14:textId="5EB6845B" w:rsidR="00D24FB4" w:rsidRPr="00377532" w:rsidRDefault="00D24FB4" w:rsidP="00C70EDA">
      <w:pPr>
        <w:tabs>
          <w:tab w:val="left" w:pos="1701"/>
        </w:tabs>
        <w:spacing w:after="120" w:line="240" w:lineRule="auto"/>
        <w:ind w:left="2835" w:right="1134" w:hanging="567"/>
        <w:jc w:val="both"/>
        <w:rPr>
          <w:color w:val="000000" w:themeColor="text1"/>
        </w:rPr>
      </w:pPr>
      <w:r>
        <w:t>(c</w:t>
      </w:r>
      <w:r w:rsidRPr="00766D43">
        <w:t>)</w:t>
      </w:r>
      <w:r w:rsidRPr="00766D43">
        <w:tab/>
      </w:r>
      <w:r w:rsidRPr="00377532">
        <w:rPr>
          <w:color w:val="000000" w:themeColor="text1"/>
        </w:rPr>
        <w:t>N</w:t>
      </w:r>
      <w:r w:rsidRPr="00377532">
        <w:rPr>
          <w:color w:val="000000" w:themeColor="text1"/>
          <w:vertAlign w:val="subscript"/>
        </w:rPr>
        <w:t>3</w:t>
      </w:r>
      <w:r w:rsidRPr="00377532">
        <w:rPr>
          <w:color w:val="000000" w:themeColor="text1"/>
        </w:rPr>
        <w:t> </w:t>
      </w:r>
      <w:r w:rsidRPr="00377532">
        <w:rPr>
          <w:color w:val="000000" w:themeColor="text1"/>
          <w:vertAlign w:val="superscript"/>
        </w:rPr>
        <w:t>12</w:t>
      </w:r>
      <w:r w:rsidRPr="00377532">
        <w:rPr>
          <w:color w:val="000000" w:themeColor="text1"/>
        </w:rPr>
        <w:t xml:space="preserve"> with 4 axles, with a maximum mass not exceeding 25t and a maximum wheel diameter code not exceeding 19.5</w:t>
      </w:r>
      <w:r w:rsidRPr="002358D8">
        <w:rPr>
          <w:b/>
          <w:bCs/>
          <w:color w:val="000000" w:themeColor="text1"/>
        </w:rPr>
        <w:t>;</w:t>
      </w:r>
    </w:p>
    <w:p w14:paraId="21B66FF5" w14:textId="6AFB2CD8" w:rsidR="00D24FB4" w:rsidRPr="00377532" w:rsidRDefault="00D24FB4" w:rsidP="005B0155">
      <w:pPr>
        <w:spacing w:after="120"/>
        <w:ind w:left="2835" w:right="1134" w:hanging="567"/>
        <w:jc w:val="both"/>
        <w:rPr>
          <w:color w:val="000000" w:themeColor="text1"/>
          <w:lang w:val="sv-SE"/>
        </w:rPr>
      </w:pPr>
      <w:r w:rsidRPr="00377532">
        <w:rPr>
          <w:b/>
          <w:color w:val="000000" w:themeColor="text1"/>
        </w:rPr>
        <w:t>(d)</w:t>
      </w:r>
      <w:r w:rsidRPr="00377532">
        <w:rPr>
          <w:b/>
          <w:color w:val="000000" w:themeColor="text1"/>
        </w:rPr>
        <w:tab/>
      </w:r>
      <w:r w:rsidRPr="00377532">
        <w:rPr>
          <w:b/>
          <w:bCs/>
          <w:color w:val="000000" w:themeColor="text1"/>
        </w:rPr>
        <w:t>N</w:t>
      </w:r>
      <w:r w:rsidRPr="00377532">
        <w:rPr>
          <w:b/>
          <w:bCs/>
          <w:color w:val="000000" w:themeColor="text1"/>
          <w:vertAlign w:val="subscript"/>
        </w:rPr>
        <w:t>3</w:t>
      </w:r>
      <w:r w:rsidR="00C12F0A" w:rsidRPr="00377532">
        <w:rPr>
          <w:color w:val="000000" w:themeColor="text1"/>
        </w:rPr>
        <w:t> </w:t>
      </w:r>
      <w:r w:rsidRPr="00377532">
        <w:rPr>
          <w:b/>
          <w:bCs/>
          <w:color w:val="000000" w:themeColor="text1"/>
          <w:vertAlign w:val="superscript"/>
        </w:rPr>
        <w:t>12</w:t>
      </w:r>
      <w:r w:rsidRPr="00377532">
        <w:rPr>
          <w:b/>
          <w:bCs/>
          <w:color w:val="000000" w:themeColor="text1"/>
        </w:rPr>
        <w:t xml:space="preserve"> with 4 axles, with two power-driven axles in the rear axle group and only non-driven axles in the other axle group(s), including off-road vehicles (regardless of footnote 12)</w:t>
      </w:r>
      <w:r w:rsidR="0005211F">
        <w:rPr>
          <w:b/>
          <w:bCs/>
          <w:color w:val="000000" w:themeColor="text1"/>
        </w:rPr>
        <w:t>.</w:t>
      </w:r>
    </w:p>
    <w:p w14:paraId="4BD67FA8" w14:textId="2C904DB7" w:rsidR="00D24FB4" w:rsidRPr="00D24FB4" w:rsidRDefault="00D24FB4" w:rsidP="00D24FB4">
      <w:pPr>
        <w:pStyle w:val="SingleTxtG"/>
        <w:ind w:left="2268"/>
      </w:pPr>
      <w:r>
        <w:tab/>
      </w:r>
      <w:r w:rsidRPr="00D24FB4">
        <w:t>The vehicle stability function shall include roll-over control and directional control and meet the technical requirements of Annex 21 to this Regulation.”</w:t>
      </w:r>
    </w:p>
    <w:p w14:paraId="7EEC2752" w14:textId="01B7B2E8" w:rsidR="00D24FB4" w:rsidRPr="0069026B" w:rsidRDefault="0069026B" w:rsidP="00D24FB4">
      <w:pPr>
        <w:pStyle w:val="SingleTxtG"/>
        <w:rPr>
          <w:i/>
          <w:iCs/>
        </w:rPr>
      </w:pPr>
      <w:r w:rsidRPr="0069026B">
        <w:rPr>
          <w:i/>
          <w:iCs/>
        </w:rPr>
        <w:t>I</w:t>
      </w:r>
      <w:r w:rsidR="00D24FB4" w:rsidRPr="0069026B">
        <w:rPr>
          <w:i/>
          <w:iCs/>
        </w:rPr>
        <w:t>nsert new paragraphs</w:t>
      </w:r>
      <w:r w:rsidRPr="0069026B">
        <w:rPr>
          <w:i/>
          <w:iCs/>
        </w:rPr>
        <w:t xml:space="preserve"> 12.8.</w:t>
      </w:r>
      <w:r w:rsidR="001942C8">
        <w:rPr>
          <w:i/>
          <w:iCs/>
        </w:rPr>
        <w:t>,</w:t>
      </w:r>
      <w:r w:rsidRPr="0069026B">
        <w:rPr>
          <w:i/>
          <w:iCs/>
        </w:rPr>
        <w:t xml:space="preserve"> 12.8.</w:t>
      </w:r>
      <w:r>
        <w:rPr>
          <w:i/>
          <w:iCs/>
        </w:rPr>
        <w:t>1.,</w:t>
      </w:r>
      <w:r w:rsidRPr="0069026B">
        <w:rPr>
          <w:i/>
          <w:iCs/>
        </w:rPr>
        <w:t xml:space="preserve"> 12.8.</w:t>
      </w:r>
      <w:r>
        <w:rPr>
          <w:i/>
          <w:iCs/>
        </w:rPr>
        <w:t>2.,</w:t>
      </w:r>
      <w:r w:rsidRPr="0069026B">
        <w:rPr>
          <w:i/>
          <w:iCs/>
        </w:rPr>
        <w:t xml:space="preserve"> 12.8.</w:t>
      </w:r>
      <w:r>
        <w:rPr>
          <w:i/>
          <w:iCs/>
        </w:rPr>
        <w:t>3.,</w:t>
      </w:r>
      <w:r w:rsidRPr="0069026B">
        <w:rPr>
          <w:i/>
          <w:iCs/>
        </w:rPr>
        <w:t xml:space="preserve"> 12.8.</w:t>
      </w:r>
      <w:r>
        <w:rPr>
          <w:i/>
          <w:iCs/>
        </w:rPr>
        <w:t>4.,</w:t>
      </w:r>
      <w:r w:rsidRPr="0069026B">
        <w:rPr>
          <w:i/>
          <w:iCs/>
        </w:rPr>
        <w:t xml:space="preserve"> 12.8.</w:t>
      </w:r>
      <w:r>
        <w:rPr>
          <w:i/>
          <w:iCs/>
        </w:rPr>
        <w:t>5.,</w:t>
      </w:r>
      <w:r w:rsidRPr="0069026B">
        <w:rPr>
          <w:i/>
          <w:iCs/>
        </w:rPr>
        <w:t xml:space="preserve"> 12.8.</w:t>
      </w:r>
      <w:r w:rsidR="001942C8">
        <w:rPr>
          <w:i/>
          <w:iCs/>
        </w:rPr>
        <w:t>6.,</w:t>
      </w:r>
      <w:r w:rsidR="001942C8" w:rsidRPr="001942C8">
        <w:rPr>
          <w:i/>
          <w:iCs/>
        </w:rPr>
        <w:t xml:space="preserve"> </w:t>
      </w:r>
      <w:r w:rsidR="001942C8" w:rsidRPr="0069026B">
        <w:rPr>
          <w:i/>
          <w:iCs/>
        </w:rPr>
        <w:t>12.8.</w:t>
      </w:r>
      <w:r w:rsidR="001942C8">
        <w:rPr>
          <w:i/>
          <w:iCs/>
        </w:rPr>
        <w:t>7.</w:t>
      </w:r>
      <w:r>
        <w:rPr>
          <w:i/>
          <w:iCs/>
        </w:rPr>
        <w:t xml:space="preserve">, </w:t>
      </w:r>
      <w:r>
        <w:t>to read</w:t>
      </w:r>
      <w:r w:rsidR="00D24FB4" w:rsidRPr="0069026B">
        <w:rPr>
          <w:i/>
          <w:iCs/>
        </w:rPr>
        <w:t>:</w:t>
      </w:r>
    </w:p>
    <w:p w14:paraId="44AD6615" w14:textId="44F207DE" w:rsidR="00D24FB4" w:rsidRPr="00377532" w:rsidRDefault="00D24FB4" w:rsidP="00D24FB4">
      <w:pPr>
        <w:spacing w:after="120" w:line="240" w:lineRule="auto"/>
        <w:ind w:left="2268" w:right="1134" w:hanging="1134"/>
        <w:jc w:val="both"/>
        <w:rPr>
          <w:b/>
          <w:color w:val="000000" w:themeColor="text1"/>
        </w:rPr>
      </w:pPr>
      <w:r w:rsidRPr="00377532">
        <w:rPr>
          <w:color w:val="000000" w:themeColor="text1"/>
        </w:rPr>
        <w:t>“</w:t>
      </w:r>
      <w:r w:rsidRPr="00377532">
        <w:rPr>
          <w:b/>
          <w:color w:val="000000" w:themeColor="text1"/>
          <w:lang w:val="en-US"/>
        </w:rPr>
        <w:t>12.8.</w:t>
      </w:r>
      <w:r w:rsidRPr="00377532">
        <w:rPr>
          <w:b/>
          <w:color w:val="000000" w:themeColor="text1"/>
          <w:lang w:val="en-US"/>
        </w:rPr>
        <w:tab/>
        <w:t xml:space="preserve">Transitional </w:t>
      </w:r>
      <w:r w:rsidR="00A84DD5">
        <w:rPr>
          <w:b/>
          <w:color w:val="000000" w:themeColor="text1"/>
          <w:lang w:val="en-US"/>
        </w:rPr>
        <w:t>p</w:t>
      </w:r>
      <w:r w:rsidRPr="00377532">
        <w:rPr>
          <w:b/>
          <w:color w:val="000000" w:themeColor="text1"/>
          <w:lang w:val="en-US"/>
        </w:rPr>
        <w:t>rovisions applicable to the 13 series of amendments</w:t>
      </w:r>
    </w:p>
    <w:p w14:paraId="4B31FFAE" w14:textId="3349802E" w:rsidR="00D24FB4" w:rsidRPr="00377532" w:rsidRDefault="00D24FB4" w:rsidP="00D24FB4">
      <w:pPr>
        <w:spacing w:after="120" w:line="240" w:lineRule="auto"/>
        <w:ind w:left="2268" w:right="1134" w:hanging="1134"/>
        <w:jc w:val="both"/>
        <w:rPr>
          <w:b/>
          <w:color w:val="000000" w:themeColor="text1"/>
        </w:rPr>
      </w:pPr>
      <w:r w:rsidRPr="00377532">
        <w:rPr>
          <w:b/>
          <w:color w:val="000000" w:themeColor="text1"/>
        </w:rPr>
        <w:t>12.8.1.</w:t>
      </w:r>
      <w:r w:rsidRPr="00377532">
        <w:rPr>
          <w:b/>
          <w:color w:val="000000" w:themeColor="text1"/>
        </w:rPr>
        <w:tab/>
        <w:t>As from the official date of entry into force of the 13 series of amendments, no Contracting Party applying this Regulation shall refuse to grant or refuse to accept type approvals under this Regulation as amended by the</w:t>
      </w:r>
      <w:r w:rsidR="003C2A7E">
        <w:rPr>
          <w:b/>
          <w:color w:val="000000" w:themeColor="text1"/>
        </w:rPr>
        <w:t> </w:t>
      </w:r>
      <w:r w:rsidRPr="00377532">
        <w:rPr>
          <w:b/>
          <w:color w:val="000000" w:themeColor="text1"/>
        </w:rPr>
        <w:t>13 series of amendments.</w:t>
      </w:r>
    </w:p>
    <w:p w14:paraId="582A9E0F" w14:textId="619692FC" w:rsidR="00D24FB4" w:rsidRPr="00377532" w:rsidRDefault="00D24FB4" w:rsidP="00D24FB4">
      <w:pPr>
        <w:spacing w:after="120" w:line="240" w:lineRule="auto"/>
        <w:ind w:left="2268" w:right="1134" w:hanging="1134"/>
        <w:jc w:val="both"/>
        <w:rPr>
          <w:b/>
          <w:color w:val="000000" w:themeColor="text1"/>
        </w:rPr>
      </w:pPr>
      <w:r w:rsidRPr="00377532">
        <w:rPr>
          <w:b/>
          <w:color w:val="000000" w:themeColor="text1"/>
        </w:rPr>
        <w:t>12.8.2.</w:t>
      </w:r>
      <w:r w:rsidRPr="00377532">
        <w:rPr>
          <w:b/>
          <w:color w:val="000000" w:themeColor="text1"/>
        </w:rPr>
        <w:tab/>
        <w:t xml:space="preserve">As from 1 September 2026, Contracting Parties applying this Regulation shall not be obliged to accept type approvals to the </w:t>
      </w:r>
      <w:r w:rsidR="000E041C">
        <w:rPr>
          <w:b/>
          <w:color w:val="000000" w:themeColor="text1"/>
        </w:rPr>
        <w:t>12</w:t>
      </w:r>
      <w:r w:rsidR="000E041C" w:rsidRPr="00377532">
        <w:rPr>
          <w:b/>
          <w:color w:val="000000" w:themeColor="text1"/>
        </w:rPr>
        <w:t xml:space="preserve"> </w:t>
      </w:r>
      <w:r w:rsidRPr="00377532">
        <w:rPr>
          <w:b/>
          <w:color w:val="000000" w:themeColor="text1"/>
        </w:rPr>
        <w:t>series of amendments, first issued after 1 September 2026.</w:t>
      </w:r>
    </w:p>
    <w:p w14:paraId="75FE9C35" w14:textId="6891BE50" w:rsidR="00D24FB4" w:rsidRPr="00377532" w:rsidRDefault="00D24FB4" w:rsidP="00D24FB4">
      <w:pPr>
        <w:spacing w:after="120" w:line="240" w:lineRule="auto"/>
        <w:ind w:left="2268" w:right="1134" w:hanging="1134"/>
        <w:jc w:val="both"/>
        <w:rPr>
          <w:b/>
          <w:color w:val="000000" w:themeColor="text1"/>
        </w:rPr>
      </w:pPr>
      <w:r w:rsidRPr="00377532">
        <w:rPr>
          <w:b/>
          <w:color w:val="000000" w:themeColor="text1"/>
        </w:rPr>
        <w:t>12.8.3.</w:t>
      </w:r>
      <w:r w:rsidRPr="00377532">
        <w:rPr>
          <w:b/>
          <w:color w:val="000000" w:themeColor="text1"/>
        </w:rPr>
        <w:tab/>
        <w:t xml:space="preserve">Until 1 September </w:t>
      </w:r>
      <w:r>
        <w:rPr>
          <w:b/>
          <w:color w:val="000000" w:themeColor="text1"/>
        </w:rPr>
        <w:t>2028</w:t>
      </w:r>
      <w:r w:rsidRPr="00377532">
        <w:rPr>
          <w:b/>
          <w:color w:val="000000" w:themeColor="text1"/>
        </w:rPr>
        <w:t xml:space="preserve">, Contracting Parties applying this Regulation shall accept type approvals to the </w:t>
      </w:r>
      <w:r w:rsidR="006576FE">
        <w:rPr>
          <w:b/>
          <w:color w:val="000000" w:themeColor="text1"/>
        </w:rPr>
        <w:t>12</w:t>
      </w:r>
      <w:r w:rsidR="006576FE" w:rsidRPr="00377532">
        <w:rPr>
          <w:b/>
          <w:color w:val="000000" w:themeColor="text1"/>
        </w:rPr>
        <w:t xml:space="preserve"> </w:t>
      </w:r>
      <w:r w:rsidRPr="00377532">
        <w:rPr>
          <w:b/>
          <w:color w:val="000000" w:themeColor="text1"/>
        </w:rPr>
        <w:t>series of amendments, first issued before 1 September 2026.</w:t>
      </w:r>
    </w:p>
    <w:p w14:paraId="43BB99A3" w14:textId="3A3EEB10" w:rsidR="00D24FB4" w:rsidRPr="00377532" w:rsidRDefault="00D24FB4" w:rsidP="00D24FB4">
      <w:pPr>
        <w:spacing w:after="120" w:line="240" w:lineRule="auto"/>
        <w:ind w:left="2268" w:right="1134" w:hanging="1134"/>
        <w:jc w:val="both"/>
        <w:rPr>
          <w:b/>
          <w:color w:val="000000" w:themeColor="text1"/>
        </w:rPr>
      </w:pPr>
      <w:r w:rsidRPr="00377532">
        <w:rPr>
          <w:b/>
          <w:color w:val="000000" w:themeColor="text1"/>
        </w:rPr>
        <w:t>12.8.4.</w:t>
      </w:r>
      <w:r w:rsidRPr="00377532">
        <w:rPr>
          <w:b/>
          <w:color w:val="000000" w:themeColor="text1"/>
        </w:rPr>
        <w:tab/>
        <w:t xml:space="preserve">As from 1 September 2028, Contracting Parties applying this Regulation shall not be obliged to accept type approvals issued to the </w:t>
      </w:r>
      <w:r w:rsidR="006576FE">
        <w:rPr>
          <w:b/>
          <w:color w:val="000000" w:themeColor="text1"/>
        </w:rPr>
        <w:t>12</w:t>
      </w:r>
      <w:r w:rsidR="006576FE" w:rsidRPr="00377532">
        <w:rPr>
          <w:b/>
          <w:color w:val="000000" w:themeColor="text1"/>
        </w:rPr>
        <w:t xml:space="preserve"> </w:t>
      </w:r>
      <w:r w:rsidRPr="00377532">
        <w:rPr>
          <w:b/>
          <w:color w:val="000000" w:themeColor="text1"/>
        </w:rPr>
        <w:t>series of amendments to this Regulation.</w:t>
      </w:r>
    </w:p>
    <w:p w14:paraId="0F01C9C6" w14:textId="6BB83A6F" w:rsidR="00D24FB4" w:rsidRPr="00377532" w:rsidRDefault="00D24FB4" w:rsidP="00D24FB4">
      <w:pPr>
        <w:spacing w:after="120" w:line="240" w:lineRule="auto"/>
        <w:ind w:left="2268" w:right="1134" w:hanging="1134"/>
        <w:jc w:val="both"/>
        <w:rPr>
          <w:b/>
          <w:color w:val="000000" w:themeColor="text1"/>
        </w:rPr>
      </w:pPr>
      <w:r w:rsidRPr="00377532">
        <w:rPr>
          <w:b/>
          <w:color w:val="000000" w:themeColor="text1"/>
        </w:rPr>
        <w:t>12.8.5.</w:t>
      </w:r>
      <w:r w:rsidRPr="00377532">
        <w:rPr>
          <w:b/>
          <w:color w:val="000000" w:themeColor="text1"/>
        </w:rPr>
        <w:tab/>
        <w:t>Notwithstanding paragraph 12.8.4., Contracting Parties applying this Regulation shall continue to accept type approvals issued according to the</w:t>
      </w:r>
      <w:r w:rsidR="003C2A7E">
        <w:rPr>
          <w:b/>
          <w:color w:val="000000" w:themeColor="text1"/>
        </w:rPr>
        <w:t> </w:t>
      </w:r>
      <w:r w:rsidR="006576FE">
        <w:rPr>
          <w:b/>
          <w:color w:val="000000" w:themeColor="text1"/>
        </w:rPr>
        <w:t>12</w:t>
      </w:r>
      <w:r w:rsidR="006576FE" w:rsidRPr="00377532">
        <w:rPr>
          <w:b/>
          <w:color w:val="000000" w:themeColor="text1"/>
        </w:rPr>
        <w:t xml:space="preserve"> </w:t>
      </w:r>
      <w:r w:rsidRPr="00377532">
        <w:rPr>
          <w:b/>
          <w:color w:val="000000" w:themeColor="text1"/>
        </w:rPr>
        <w:t>series of amendments to this Regulation, for the vehicles that are not affected by the changes introduced by the 13 series of amendments.</w:t>
      </w:r>
    </w:p>
    <w:p w14:paraId="52A67650" w14:textId="0A3B611E" w:rsidR="00D24FB4" w:rsidRPr="00377532" w:rsidRDefault="00D24FB4" w:rsidP="00D24FB4">
      <w:pPr>
        <w:spacing w:after="120" w:line="240" w:lineRule="auto"/>
        <w:ind w:left="2268" w:right="1134" w:hanging="1134"/>
        <w:jc w:val="both"/>
        <w:rPr>
          <w:b/>
          <w:color w:val="000000" w:themeColor="text1"/>
        </w:rPr>
      </w:pPr>
      <w:r w:rsidRPr="00377532">
        <w:rPr>
          <w:b/>
          <w:color w:val="000000" w:themeColor="text1"/>
        </w:rPr>
        <w:t>12.8.6.</w:t>
      </w:r>
      <w:r w:rsidRPr="00377532">
        <w:rPr>
          <w:b/>
          <w:color w:val="000000" w:themeColor="text1"/>
        </w:rPr>
        <w:tab/>
        <w:t>Contracting Parties applying this Regulation may grant type approvals according to any preceding series of amendments to this Regulation.</w:t>
      </w:r>
    </w:p>
    <w:p w14:paraId="5715BC8B" w14:textId="230967BC" w:rsidR="00D24FB4" w:rsidRPr="00377532" w:rsidRDefault="00D24FB4" w:rsidP="00D24FB4">
      <w:pPr>
        <w:spacing w:after="120" w:line="240" w:lineRule="auto"/>
        <w:ind w:left="2268" w:right="1134" w:hanging="1134"/>
        <w:jc w:val="both"/>
        <w:rPr>
          <w:b/>
          <w:color w:val="000000" w:themeColor="text1"/>
        </w:rPr>
      </w:pPr>
      <w:r w:rsidRPr="00377532">
        <w:rPr>
          <w:b/>
          <w:color w:val="000000" w:themeColor="text1"/>
        </w:rPr>
        <w:t>12.8.7.</w:t>
      </w:r>
      <w:r w:rsidRPr="00377532">
        <w:rPr>
          <w:b/>
          <w:color w:val="000000" w:themeColor="text1"/>
        </w:rPr>
        <w:tab/>
        <w:t>Contracting Parties applying this Regulation shall continue to grant extensions of existing approvals to any preceding series of amendments to this Regulation.</w:t>
      </w:r>
      <w:r w:rsidRPr="00377532">
        <w:rPr>
          <w:bCs/>
          <w:color w:val="000000" w:themeColor="text1"/>
        </w:rPr>
        <w:t>”</w:t>
      </w:r>
    </w:p>
    <w:p w14:paraId="27D55218" w14:textId="6ABC9779" w:rsidR="00D24FB4" w:rsidRPr="001E3A62" w:rsidRDefault="00D24FB4" w:rsidP="00D24FB4">
      <w:pPr>
        <w:pStyle w:val="HChG"/>
      </w:pPr>
      <w:bookmarkStart w:id="3" w:name="_Hlk49779639"/>
      <w:r>
        <w:tab/>
        <w:t>II.</w:t>
      </w:r>
      <w:r>
        <w:tab/>
      </w:r>
      <w:r w:rsidRPr="001E3A62">
        <w:t>Justification</w:t>
      </w:r>
    </w:p>
    <w:bookmarkEnd w:id="3"/>
    <w:p w14:paraId="3DBB30DF" w14:textId="168C8816" w:rsidR="00D24FB4" w:rsidRDefault="00D24FB4" w:rsidP="00D24FB4">
      <w:pPr>
        <w:pStyle w:val="SingleTxtG"/>
      </w:pPr>
      <w:r>
        <w:t>1.</w:t>
      </w:r>
      <w:r>
        <w:tab/>
      </w:r>
      <w:r w:rsidR="0011337D">
        <w:t xml:space="preserve">This document supersedes </w:t>
      </w:r>
      <w:r w:rsidRPr="00766D43">
        <w:t>ECE/TRANS/WP29/GRVA/2022/14</w:t>
      </w:r>
      <w:r w:rsidR="00F431AB">
        <w:t>,</w:t>
      </w:r>
      <w:r w:rsidRPr="00766D43">
        <w:t xml:space="preserve"> </w:t>
      </w:r>
      <w:r w:rsidR="00F431AB">
        <w:t>through which</w:t>
      </w:r>
      <w:r>
        <w:t xml:space="preserve"> France suggested to </w:t>
      </w:r>
      <w:r w:rsidR="00F431AB">
        <w:t xml:space="preserve">mandate the fitment of </w:t>
      </w:r>
      <w:r w:rsidR="00604E0B">
        <w:t>an</w:t>
      </w:r>
      <w:r>
        <w:t xml:space="preserve"> </w:t>
      </w:r>
      <w:r w:rsidR="00604E0B">
        <w:t>e</w:t>
      </w:r>
      <w:r>
        <w:t>lectronic stability function on N</w:t>
      </w:r>
      <w:r w:rsidRPr="00162D02">
        <w:rPr>
          <w:vertAlign w:val="subscript"/>
        </w:rPr>
        <w:t>3</w:t>
      </w:r>
      <w:r>
        <w:t xml:space="preserve"> concrete mixers with </w:t>
      </w:r>
      <w:r w:rsidR="00604E0B">
        <w:t>four</w:t>
      </w:r>
      <w:r>
        <w:t xml:space="preserve"> axles</w:t>
      </w:r>
      <w:r w:rsidR="00604E0B">
        <w:t>.</w:t>
      </w:r>
      <w:r>
        <w:t xml:space="preserve"> </w:t>
      </w:r>
      <w:r w:rsidR="00604E0B">
        <w:t>G</w:t>
      </w:r>
      <w:r w:rsidRPr="00766D43">
        <w:t xml:space="preserve">iven the difficulty to </w:t>
      </w:r>
      <w:r w:rsidR="002B7C3C">
        <w:t>refer to</w:t>
      </w:r>
      <w:r w:rsidRPr="00766D43">
        <w:t xml:space="preserve"> </w:t>
      </w:r>
      <w:r w:rsidR="002B7C3C">
        <w:t>“</w:t>
      </w:r>
      <w:r w:rsidRPr="00766D43">
        <w:t>concrete mixers</w:t>
      </w:r>
      <w:r w:rsidR="002B7C3C">
        <w:t>”</w:t>
      </w:r>
      <w:r w:rsidRPr="00766D43">
        <w:t xml:space="preserve"> in the </w:t>
      </w:r>
      <w:r w:rsidR="002B7C3C">
        <w:t>R</w:t>
      </w:r>
      <w:r w:rsidRPr="00766D43">
        <w:t xml:space="preserve">egulation, the </w:t>
      </w:r>
      <w:r>
        <w:t xml:space="preserve">current </w:t>
      </w:r>
      <w:r w:rsidRPr="00766D43">
        <w:t xml:space="preserve">proposal is to </w:t>
      </w:r>
      <w:r w:rsidR="00FE0C62">
        <w:t xml:space="preserve">refer to and </w:t>
      </w:r>
      <w:r w:rsidRPr="00766D43">
        <w:t xml:space="preserve">include all </w:t>
      </w:r>
      <w:r w:rsidR="00567704">
        <w:t xml:space="preserve">vehicles with </w:t>
      </w:r>
      <w:r w:rsidR="00FE0C62">
        <w:t>four</w:t>
      </w:r>
      <w:r w:rsidRPr="00766D43">
        <w:t xml:space="preserve"> axles </w:t>
      </w:r>
      <w:r w:rsidR="00567704">
        <w:t>and</w:t>
      </w:r>
      <w:r w:rsidRPr="00766D43">
        <w:t xml:space="preserve"> two power-driven rear axles in the scope of the mandatory installation</w:t>
      </w:r>
      <w:r>
        <w:t xml:space="preserve"> of </w:t>
      </w:r>
      <w:r w:rsidRPr="00766D43">
        <w:t>electronic stability function, should they be concrete mixers or not.</w:t>
      </w:r>
    </w:p>
    <w:p w14:paraId="514E9FCC" w14:textId="77777777" w:rsidR="00D24FB4" w:rsidRDefault="00D24FB4" w:rsidP="00D24FB4">
      <w:pPr>
        <w:spacing w:beforeLines="60" w:before="144"/>
        <w:ind w:left="720" w:right="1133"/>
        <w:jc w:val="both"/>
        <w:rPr>
          <w:bCs/>
        </w:rPr>
      </w:pPr>
    </w:p>
    <w:p w14:paraId="7CC7F5E5" w14:textId="77777777" w:rsidR="00412125" w:rsidRPr="00766D43" w:rsidRDefault="00412125" w:rsidP="00D24FB4">
      <w:pPr>
        <w:spacing w:beforeLines="60" w:before="144"/>
        <w:ind w:left="720" w:right="1133"/>
        <w:jc w:val="both"/>
        <w:rPr>
          <w:bCs/>
        </w:rPr>
      </w:pPr>
    </w:p>
    <w:p w14:paraId="50552535" w14:textId="77777777" w:rsidR="00D24FB4" w:rsidRPr="00766D43" w:rsidRDefault="00D24FB4" w:rsidP="00D24FB4">
      <w:pPr>
        <w:spacing w:beforeLines="60" w:before="144" w:line="240" w:lineRule="auto"/>
        <w:ind w:left="1843" w:right="1133" w:hanging="992"/>
        <w:jc w:val="both"/>
        <w:rPr>
          <w:bCs/>
        </w:rPr>
      </w:pPr>
      <w:r w:rsidRPr="00F836F9">
        <w:rPr>
          <w:bCs/>
          <w:noProof/>
        </w:rPr>
        <w:lastRenderedPageBreak/>
        <w:drawing>
          <wp:anchor distT="0" distB="0" distL="114300" distR="114300" simplePos="0" relativeHeight="251659264" behindDoc="0" locked="0" layoutInCell="1" allowOverlap="1" wp14:anchorId="07950BB5" wp14:editId="7BEEE46F">
            <wp:simplePos x="0" y="0"/>
            <wp:positionH relativeFrom="column">
              <wp:posOffset>728345</wp:posOffset>
            </wp:positionH>
            <wp:positionV relativeFrom="paragraph">
              <wp:posOffset>98425</wp:posOffset>
            </wp:positionV>
            <wp:extent cx="2106383" cy="800100"/>
            <wp:effectExtent l="0" t="0" r="8255" b="0"/>
            <wp:wrapNone/>
            <wp:docPr id="8"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Diagram&#10;&#10;Description automatically generated"/>
                    <pic:cNvPicPr>
                      <a:picLocks noChangeAspect="1"/>
                    </pic:cNvPicPr>
                  </pic:nvPicPr>
                  <pic:blipFill>
                    <a:blip r:embed="rId12"/>
                    <a:stretch>
                      <a:fillRect/>
                    </a:stretch>
                  </pic:blipFill>
                  <pic:spPr>
                    <a:xfrm>
                      <a:off x="0" y="0"/>
                      <a:ext cx="2106383" cy="800100"/>
                    </a:xfrm>
                    <a:prstGeom prst="rect">
                      <a:avLst/>
                    </a:prstGeom>
                  </pic:spPr>
                </pic:pic>
              </a:graphicData>
            </a:graphic>
            <wp14:sizeRelH relativeFrom="margin">
              <wp14:pctWidth>0</wp14:pctWidth>
            </wp14:sizeRelH>
            <wp14:sizeRelV relativeFrom="margin">
              <wp14:pctHeight>0</wp14:pctHeight>
            </wp14:sizeRelV>
          </wp:anchor>
        </w:drawing>
      </w:r>
      <w:r w:rsidRPr="00F836F9">
        <w:rPr>
          <w:bCs/>
          <w:noProof/>
        </w:rPr>
        <w:drawing>
          <wp:anchor distT="0" distB="0" distL="114300" distR="114300" simplePos="0" relativeHeight="251660288" behindDoc="0" locked="0" layoutInCell="1" allowOverlap="1" wp14:anchorId="16BE73AF" wp14:editId="2368AFB5">
            <wp:simplePos x="0" y="0"/>
            <wp:positionH relativeFrom="column">
              <wp:posOffset>3243580</wp:posOffset>
            </wp:positionH>
            <wp:positionV relativeFrom="paragraph">
              <wp:posOffset>79374</wp:posOffset>
            </wp:positionV>
            <wp:extent cx="2226091" cy="790575"/>
            <wp:effectExtent l="0" t="0" r="3175" b="0"/>
            <wp:wrapNone/>
            <wp:docPr id="9"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Diagram&#10;&#10;Description automatically generated"/>
                    <pic:cNvPicPr>
                      <a:picLocks noChangeAspect="1"/>
                    </pic:cNvPicPr>
                  </pic:nvPicPr>
                  <pic:blipFill>
                    <a:blip r:embed="rId13"/>
                    <a:stretch>
                      <a:fillRect/>
                    </a:stretch>
                  </pic:blipFill>
                  <pic:spPr>
                    <a:xfrm>
                      <a:off x="0" y="0"/>
                      <a:ext cx="2232553" cy="792870"/>
                    </a:xfrm>
                    <a:prstGeom prst="rect">
                      <a:avLst/>
                    </a:prstGeom>
                  </pic:spPr>
                </pic:pic>
              </a:graphicData>
            </a:graphic>
            <wp14:sizeRelH relativeFrom="margin">
              <wp14:pctWidth>0</wp14:pctWidth>
            </wp14:sizeRelH>
            <wp14:sizeRelV relativeFrom="margin">
              <wp14:pctHeight>0</wp14:pctHeight>
            </wp14:sizeRelV>
          </wp:anchor>
        </w:drawing>
      </w:r>
    </w:p>
    <w:p w14:paraId="6D8142C2" w14:textId="77777777" w:rsidR="00D24FB4" w:rsidRDefault="00D24FB4" w:rsidP="00D24FB4">
      <w:pPr>
        <w:spacing w:beforeLines="60" w:before="144" w:line="240" w:lineRule="auto"/>
        <w:ind w:left="1843" w:right="1133" w:hanging="992"/>
        <w:jc w:val="both"/>
        <w:rPr>
          <w:bCs/>
        </w:rPr>
      </w:pPr>
    </w:p>
    <w:p w14:paraId="1B535A29" w14:textId="77777777" w:rsidR="00272EC3" w:rsidRDefault="00272EC3" w:rsidP="00D24FB4">
      <w:pPr>
        <w:spacing w:beforeLines="60" w:before="144" w:line="240" w:lineRule="auto"/>
        <w:ind w:left="1843" w:right="1133" w:hanging="992"/>
        <w:jc w:val="both"/>
        <w:rPr>
          <w:bCs/>
        </w:rPr>
      </w:pPr>
    </w:p>
    <w:p w14:paraId="604BF72A" w14:textId="77777777" w:rsidR="00272EC3" w:rsidRDefault="00272EC3" w:rsidP="00D24FB4">
      <w:pPr>
        <w:spacing w:beforeLines="60" w:before="144" w:line="240" w:lineRule="auto"/>
        <w:ind w:left="1843" w:right="1133" w:hanging="992"/>
        <w:jc w:val="both"/>
        <w:rPr>
          <w:bCs/>
        </w:rPr>
      </w:pPr>
    </w:p>
    <w:p w14:paraId="470C3C82" w14:textId="77777777" w:rsidR="00272EC3" w:rsidRPr="00766D43" w:rsidRDefault="00272EC3" w:rsidP="00D24FB4">
      <w:pPr>
        <w:spacing w:beforeLines="60" w:before="144" w:line="240" w:lineRule="auto"/>
        <w:ind w:left="1843" w:right="1133" w:hanging="992"/>
        <w:jc w:val="both"/>
        <w:rPr>
          <w:bCs/>
        </w:rPr>
      </w:pPr>
    </w:p>
    <w:p w14:paraId="1352343C" w14:textId="32C7B250" w:rsidR="00D24FB4" w:rsidRDefault="00D24FB4" w:rsidP="00D24FB4">
      <w:pPr>
        <w:spacing w:beforeLines="60" w:before="144" w:line="240" w:lineRule="auto"/>
        <w:ind w:left="1080" w:right="1133"/>
        <w:jc w:val="both"/>
        <w:rPr>
          <w:bCs/>
        </w:rPr>
      </w:pPr>
      <w:r>
        <w:rPr>
          <w:bCs/>
        </w:rPr>
        <w:t>2.</w:t>
      </w:r>
      <w:r>
        <w:rPr>
          <w:bCs/>
        </w:rPr>
        <w:tab/>
        <w:t xml:space="preserve">After consultation with vehicles manufacturers, </w:t>
      </w:r>
      <w:r w:rsidR="00697BFA">
        <w:rPr>
          <w:bCs/>
        </w:rPr>
        <w:t xml:space="preserve">it is estimated that </w:t>
      </w:r>
      <w:r>
        <w:rPr>
          <w:bCs/>
        </w:rPr>
        <w:t>t</w:t>
      </w:r>
      <w:r w:rsidRPr="00766D43">
        <w:rPr>
          <w:bCs/>
        </w:rPr>
        <w:t xml:space="preserve">his proposal </w:t>
      </w:r>
      <w:r w:rsidR="0087473E">
        <w:rPr>
          <w:bCs/>
        </w:rPr>
        <w:t>meets</w:t>
      </w:r>
      <w:r w:rsidRPr="00766D43">
        <w:rPr>
          <w:bCs/>
        </w:rPr>
        <w:t xml:space="preserve"> the objective of France, since most of the concrete mixers are 8x4 or 8x4/4, and only very few are 8x2.</w:t>
      </w:r>
    </w:p>
    <w:p w14:paraId="149D2E77" w14:textId="6003B33E" w:rsidR="00D24FB4" w:rsidRDefault="00D24FB4" w:rsidP="00D24FB4">
      <w:pPr>
        <w:spacing w:beforeLines="60" w:before="144" w:line="240" w:lineRule="auto"/>
        <w:ind w:left="1080" w:right="1133"/>
        <w:jc w:val="both"/>
      </w:pPr>
      <w:r>
        <w:rPr>
          <w:lang w:val="en-US"/>
        </w:rPr>
        <w:t>3.</w:t>
      </w:r>
      <w:r>
        <w:rPr>
          <w:lang w:val="en-US"/>
        </w:rPr>
        <w:tab/>
      </w:r>
      <w:r w:rsidRPr="00766D43">
        <w:t xml:space="preserve">It </w:t>
      </w:r>
      <w:r w:rsidR="00FE215F">
        <w:t>is recognized</w:t>
      </w:r>
      <w:r w:rsidRPr="00766D43">
        <w:t xml:space="preserve"> that this proposal </w:t>
      </w:r>
      <w:r w:rsidR="00E420C9" w:rsidRPr="00766D43">
        <w:t>addresses</w:t>
      </w:r>
      <w:r w:rsidRPr="00766D43">
        <w:t xml:space="preserve"> higher volumes than only the concrete mixers, which </w:t>
      </w:r>
      <w:r w:rsidR="00E420C9">
        <w:t>are</w:t>
      </w:r>
      <w:r w:rsidRPr="00766D43">
        <w:t xml:space="preserve"> only </w:t>
      </w:r>
      <w:r w:rsidRPr="00377532">
        <w:t>a small fraction of 8x4 and 8x4</w:t>
      </w:r>
      <w:r w:rsidR="001C56D4">
        <w:t>/</w:t>
      </w:r>
      <w:r w:rsidRPr="00377532">
        <w:t>4 vehicles, also including offroad vehicles in the scope (regardless</w:t>
      </w:r>
      <w:r w:rsidRPr="00766D43">
        <w:t xml:space="preserve"> footnote 12).</w:t>
      </w:r>
    </w:p>
    <w:p w14:paraId="454BCA19" w14:textId="60E6E2F1" w:rsidR="00D24FB4" w:rsidRPr="00D24FB4" w:rsidRDefault="00D24FB4" w:rsidP="00D24FB4">
      <w:pPr>
        <w:spacing w:beforeLines="60" w:before="144" w:line="240" w:lineRule="auto"/>
        <w:ind w:left="1080" w:right="1133"/>
        <w:jc w:val="both"/>
        <w:rPr>
          <w:bCs/>
          <w:lang w:val="en-US"/>
        </w:rPr>
      </w:pPr>
      <w:r w:rsidRPr="00D24FB4">
        <w:rPr>
          <w:rFonts w:eastAsiaTheme="minorHAnsi"/>
        </w:rPr>
        <w:t>4.</w:t>
      </w:r>
      <w:r w:rsidRPr="00D24FB4">
        <w:rPr>
          <w:rFonts w:eastAsiaTheme="minorHAnsi"/>
        </w:rPr>
        <w:tab/>
        <w:t>Given the change in the technical specification of the vehicles, a new series of amendments is needed, with sufficient lead-time to update the production.</w:t>
      </w:r>
    </w:p>
    <w:p w14:paraId="420680E9" w14:textId="2DFEAA22" w:rsidR="008F6074" w:rsidRPr="003854D6" w:rsidRDefault="008F6074" w:rsidP="008F6074">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00C01088" w:rsidRPr="003854D6">
        <w:rPr>
          <w:rFonts w:eastAsia="SimSun"/>
          <w:u w:val="single"/>
        </w:rPr>
        <w:tab/>
      </w:r>
      <w:r w:rsidRPr="003854D6">
        <w:rPr>
          <w:rFonts w:eastAsia="SimSun"/>
          <w:u w:val="single"/>
        </w:rPr>
        <w:tab/>
      </w:r>
    </w:p>
    <w:sectPr w:rsidR="008F6074" w:rsidRPr="003854D6" w:rsidSect="00C01088">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CE83" w14:textId="77777777" w:rsidR="00BD69BB" w:rsidRDefault="00BD69BB"/>
  </w:endnote>
  <w:endnote w:type="continuationSeparator" w:id="0">
    <w:p w14:paraId="1170F493" w14:textId="77777777" w:rsidR="00BD69BB" w:rsidRDefault="00BD69BB"/>
  </w:endnote>
  <w:endnote w:type="continuationNotice" w:id="1">
    <w:p w14:paraId="40E267E9" w14:textId="77777777" w:rsidR="00BD69BB" w:rsidRDefault="00BD6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10F" w14:textId="4D969341" w:rsidR="001007B7" w:rsidRPr="00844BB6" w:rsidRDefault="001007B7"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28</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1861" w14:textId="10A58C7F" w:rsidR="001007B7" w:rsidRPr="00844BB6" w:rsidRDefault="001007B7"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27</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3ABF" w14:textId="23DBC61F" w:rsidR="00BE26AC" w:rsidRDefault="00BE26AC" w:rsidP="00BE26AC">
    <w:pPr>
      <w:pStyle w:val="Footer"/>
    </w:pPr>
    <w:r w:rsidRPr="0027112F">
      <w:rPr>
        <w:noProof/>
        <w:lang w:val="en-US"/>
      </w:rPr>
      <w:drawing>
        <wp:anchor distT="0" distB="0" distL="114300" distR="114300" simplePos="0" relativeHeight="251659264" behindDoc="0" locked="1" layoutInCell="1" allowOverlap="1" wp14:anchorId="327AAD71" wp14:editId="275C880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4C489C" w14:textId="34D77465" w:rsidR="00BE26AC" w:rsidRPr="00BE26AC" w:rsidRDefault="00BE26AC" w:rsidP="00BE26AC">
    <w:pPr>
      <w:pStyle w:val="Footer"/>
      <w:ind w:right="1134"/>
      <w:rPr>
        <w:sz w:val="20"/>
      </w:rPr>
    </w:pPr>
    <w:r>
      <w:rPr>
        <w:sz w:val="20"/>
      </w:rPr>
      <w:t>GE.22-25486(E)</w:t>
    </w:r>
    <w:r>
      <w:rPr>
        <w:noProof/>
        <w:sz w:val="20"/>
      </w:rPr>
      <w:drawing>
        <wp:anchor distT="0" distB="0" distL="114300" distR="114300" simplePos="0" relativeHeight="251660288" behindDoc="0" locked="0" layoutInCell="1" allowOverlap="1" wp14:anchorId="643FE2A0" wp14:editId="4E9D3B0F">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67B1" w14:textId="77777777" w:rsidR="00BD69BB" w:rsidRPr="000B175B" w:rsidRDefault="00BD69BB" w:rsidP="000B175B">
      <w:pPr>
        <w:tabs>
          <w:tab w:val="right" w:pos="2155"/>
        </w:tabs>
        <w:spacing w:after="80"/>
        <w:ind w:left="680"/>
        <w:rPr>
          <w:u w:val="single"/>
        </w:rPr>
      </w:pPr>
      <w:r>
        <w:rPr>
          <w:u w:val="single"/>
        </w:rPr>
        <w:tab/>
      </w:r>
    </w:p>
  </w:footnote>
  <w:footnote w:type="continuationSeparator" w:id="0">
    <w:p w14:paraId="4ABD129B" w14:textId="77777777" w:rsidR="00BD69BB" w:rsidRPr="00FC68B7" w:rsidRDefault="00BD69BB" w:rsidP="00FC68B7">
      <w:pPr>
        <w:tabs>
          <w:tab w:val="left" w:pos="2155"/>
        </w:tabs>
        <w:spacing w:after="80"/>
        <w:ind w:left="680"/>
        <w:rPr>
          <w:u w:val="single"/>
        </w:rPr>
      </w:pPr>
      <w:r>
        <w:rPr>
          <w:u w:val="single"/>
        </w:rPr>
        <w:tab/>
      </w:r>
    </w:p>
  </w:footnote>
  <w:footnote w:type="continuationNotice" w:id="1">
    <w:p w14:paraId="058F61B9" w14:textId="77777777" w:rsidR="00BD69BB" w:rsidRDefault="00BD69BB"/>
  </w:footnote>
  <w:footnote w:id="2">
    <w:p w14:paraId="12DD80BC" w14:textId="1E037D7A" w:rsidR="004D2842" w:rsidRPr="00EA475E" w:rsidRDefault="004D2842" w:rsidP="004D2842">
      <w:pPr>
        <w:pStyle w:val="FootnoteText"/>
      </w:pPr>
      <w:r>
        <w:rPr>
          <w:rStyle w:val="FootnoteReference"/>
        </w:rPr>
        <w:tab/>
      </w:r>
      <w:r w:rsidRPr="00EA475E">
        <w:rPr>
          <w:rStyle w:val="FootnoteReference"/>
          <w:sz w:val="20"/>
          <w:vertAlign w:val="baseline"/>
        </w:rPr>
        <w:t>*</w:t>
      </w:r>
      <w:r>
        <w:tab/>
      </w:r>
      <w:r w:rsidRPr="005936E3">
        <w:rPr>
          <w:szCs w:val="18"/>
          <w:lang w:val="en-US"/>
        </w:rPr>
        <w:t xml:space="preserve">In accordance with the </w:t>
      </w:r>
      <w:proofErr w:type="spellStart"/>
      <w:r w:rsidRPr="005936E3">
        <w:rPr>
          <w:szCs w:val="18"/>
          <w:lang w:val="en-US"/>
        </w:rPr>
        <w:t>programme</w:t>
      </w:r>
      <w:proofErr w:type="spellEnd"/>
      <w:r w:rsidRPr="005936E3">
        <w:rPr>
          <w:szCs w:val="18"/>
          <w:lang w:val="en-US"/>
        </w:rPr>
        <w:t xml:space="preserve"> of work of the Inland Transport Committee for 202</w:t>
      </w:r>
      <w:r w:rsidR="00870534">
        <w:rPr>
          <w:szCs w:val="18"/>
          <w:lang w:val="en-US"/>
        </w:rPr>
        <w:t xml:space="preserve">3 </w:t>
      </w:r>
      <w:r w:rsidRPr="005936E3">
        <w:rPr>
          <w:szCs w:val="18"/>
          <w:lang w:val="en-US"/>
        </w:rPr>
        <w:t xml:space="preserve">as outlined in </w:t>
      </w:r>
      <w:r w:rsidRPr="00870534">
        <w:rPr>
          <w:szCs w:val="18"/>
          <w:lang w:val="en-US"/>
        </w:rPr>
        <w:t xml:space="preserve">proposed </w:t>
      </w:r>
      <w:proofErr w:type="spellStart"/>
      <w:r w:rsidRPr="00870534">
        <w:rPr>
          <w:szCs w:val="18"/>
          <w:lang w:val="en-US"/>
        </w:rPr>
        <w:t>programme</w:t>
      </w:r>
      <w:proofErr w:type="spellEnd"/>
      <w:r w:rsidRPr="00870534">
        <w:rPr>
          <w:szCs w:val="18"/>
          <w:lang w:val="en-US"/>
        </w:rPr>
        <w:t xml:space="preserve"> budget for 202</w:t>
      </w:r>
      <w:r w:rsidR="00870534" w:rsidRPr="00870534">
        <w:rPr>
          <w:szCs w:val="18"/>
          <w:lang w:val="en-US"/>
        </w:rPr>
        <w:t>3</w:t>
      </w:r>
      <w:r w:rsidRPr="00870534">
        <w:rPr>
          <w:szCs w:val="18"/>
          <w:lang w:val="en-US"/>
        </w:rPr>
        <w:t xml:space="preserve"> (</w:t>
      </w:r>
      <w:r w:rsidRPr="00870534">
        <w:t>A/7</w:t>
      </w:r>
      <w:r w:rsidR="00870534" w:rsidRPr="00870534">
        <w:t>7</w:t>
      </w:r>
      <w:r w:rsidRPr="00870534">
        <w:t>/6 (Sect.20</w:t>
      </w:r>
      <w:r>
        <w:t>), para 20.6</w:t>
      </w:r>
      <w:r w:rsidRPr="005936E3">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5018" w14:textId="038F8AFF" w:rsidR="008B1D72" w:rsidRPr="00844BB6" w:rsidRDefault="001007B7" w:rsidP="008B1D72">
    <w:pPr>
      <w:pStyle w:val="Header"/>
      <w:tabs>
        <w:tab w:val="left" w:pos="5381"/>
      </w:tabs>
    </w:pPr>
    <w:r>
      <w:t>ECE/TRANS/WP.29/GRVA/202</w:t>
    </w:r>
    <w:r w:rsidR="004D2842">
      <w:t>3</w:t>
    </w:r>
    <w:r>
      <w:t>/</w:t>
    </w:r>
    <w:r w:rsidR="008B1D72">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1FC7" w14:textId="73FFE8C5" w:rsidR="001007B7" w:rsidRPr="00844BB6" w:rsidRDefault="001007B7" w:rsidP="00844BB6">
    <w:pPr>
      <w:pStyle w:val="Header"/>
      <w:jc w:val="right"/>
    </w:pPr>
    <w:r>
      <w:t>ECE/TRANS/WP.29/GRVA/202</w:t>
    </w:r>
    <w:r w:rsidR="00F14E02">
      <w:t>3</w:t>
    </w:r>
    <w:r>
      <w:t>/</w:t>
    </w:r>
    <w:r w:rsidR="00CC528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E" w:vendorID="64" w:dllVersion="6" w:nlCheck="1" w:checkStyle="1"/>
  <w:activeWritingStyle w:appName="MSWord" w:lang="fr-FR" w:vendorID="64" w:dllVersion="4096" w:nlCheck="1" w:checkStyle="0"/>
  <w:activeWritingStyle w:appName="MSWord" w:lang="en-IE" w:vendorID="64" w:dllVersion="4096" w:nlCheck="1" w:checkStyle="0"/>
  <w:activeWritingStyle w:appName="MSWord" w:lang="en-I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2BE4"/>
    <w:rsid w:val="00004907"/>
    <w:rsid w:val="00006BD0"/>
    <w:rsid w:val="00007DCB"/>
    <w:rsid w:val="00010D64"/>
    <w:rsid w:val="00015D5D"/>
    <w:rsid w:val="00017CE9"/>
    <w:rsid w:val="00022671"/>
    <w:rsid w:val="0002658E"/>
    <w:rsid w:val="000319BD"/>
    <w:rsid w:val="00031AC6"/>
    <w:rsid w:val="00035B92"/>
    <w:rsid w:val="00037649"/>
    <w:rsid w:val="000429A4"/>
    <w:rsid w:val="000444F6"/>
    <w:rsid w:val="0004548E"/>
    <w:rsid w:val="00046B1F"/>
    <w:rsid w:val="00047DEE"/>
    <w:rsid w:val="00050374"/>
    <w:rsid w:val="00050724"/>
    <w:rsid w:val="00050F6B"/>
    <w:rsid w:val="0005211F"/>
    <w:rsid w:val="00052635"/>
    <w:rsid w:val="00053D1A"/>
    <w:rsid w:val="00057E97"/>
    <w:rsid w:val="000646F4"/>
    <w:rsid w:val="00064BDE"/>
    <w:rsid w:val="00067127"/>
    <w:rsid w:val="00072C8C"/>
    <w:rsid w:val="00072EEC"/>
    <w:rsid w:val="000733B5"/>
    <w:rsid w:val="00075B8B"/>
    <w:rsid w:val="00076E2E"/>
    <w:rsid w:val="0007784A"/>
    <w:rsid w:val="00080037"/>
    <w:rsid w:val="00081815"/>
    <w:rsid w:val="00083A5A"/>
    <w:rsid w:val="00083C10"/>
    <w:rsid w:val="00084110"/>
    <w:rsid w:val="00086624"/>
    <w:rsid w:val="000905A1"/>
    <w:rsid w:val="00091F30"/>
    <w:rsid w:val="00092CC5"/>
    <w:rsid w:val="000931C0"/>
    <w:rsid w:val="0009582C"/>
    <w:rsid w:val="000A21A2"/>
    <w:rsid w:val="000A2337"/>
    <w:rsid w:val="000A2C4C"/>
    <w:rsid w:val="000A2C63"/>
    <w:rsid w:val="000A727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D77C0"/>
    <w:rsid w:val="000E0415"/>
    <w:rsid w:val="000E041C"/>
    <w:rsid w:val="000E34CF"/>
    <w:rsid w:val="000E687C"/>
    <w:rsid w:val="000F0991"/>
    <w:rsid w:val="000F3077"/>
    <w:rsid w:val="000F45E6"/>
    <w:rsid w:val="000F5CDA"/>
    <w:rsid w:val="000F63DF"/>
    <w:rsid w:val="001007B7"/>
    <w:rsid w:val="00101EDE"/>
    <w:rsid w:val="0010298E"/>
    <w:rsid w:val="001103AA"/>
    <w:rsid w:val="0011337D"/>
    <w:rsid w:val="00114B96"/>
    <w:rsid w:val="00114C84"/>
    <w:rsid w:val="0011664F"/>
    <w:rsid w:val="0011666B"/>
    <w:rsid w:val="00117BC9"/>
    <w:rsid w:val="00120568"/>
    <w:rsid w:val="00121DC8"/>
    <w:rsid w:val="00122628"/>
    <w:rsid w:val="001242E7"/>
    <w:rsid w:val="001246FC"/>
    <w:rsid w:val="0012504F"/>
    <w:rsid w:val="001268BF"/>
    <w:rsid w:val="0012714C"/>
    <w:rsid w:val="00130DFB"/>
    <w:rsid w:val="001326B0"/>
    <w:rsid w:val="00133CFC"/>
    <w:rsid w:val="00135769"/>
    <w:rsid w:val="00141447"/>
    <w:rsid w:val="00144EA3"/>
    <w:rsid w:val="00152F62"/>
    <w:rsid w:val="00153482"/>
    <w:rsid w:val="0015356B"/>
    <w:rsid w:val="00153D6B"/>
    <w:rsid w:val="0015582B"/>
    <w:rsid w:val="00155860"/>
    <w:rsid w:val="00162D02"/>
    <w:rsid w:val="00165208"/>
    <w:rsid w:val="00165589"/>
    <w:rsid w:val="00165F3A"/>
    <w:rsid w:val="0016604C"/>
    <w:rsid w:val="00171B54"/>
    <w:rsid w:val="00173250"/>
    <w:rsid w:val="00174427"/>
    <w:rsid w:val="00174891"/>
    <w:rsid w:val="001809C5"/>
    <w:rsid w:val="00181412"/>
    <w:rsid w:val="001816FA"/>
    <w:rsid w:val="001821A8"/>
    <w:rsid w:val="00182290"/>
    <w:rsid w:val="00182746"/>
    <w:rsid w:val="001831CF"/>
    <w:rsid w:val="001903DA"/>
    <w:rsid w:val="0019312D"/>
    <w:rsid w:val="00193F6B"/>
    <w:rsid w:val="001942C8"/>
    <w:rsid w:val="00196955"/>
    <w:rsid w:val="00197CDE"/>
    <w:rsid w:val="001A05E3"/>
    <w:rsid w:val="001A1646"/>
    <w:rsid w:val="001A2DC2"/>
    <w:rsid w:val="001A36DE"/>
    <w:rsid w:val="001A3955"/>
    <w:rsid w:val="001B09D7"/>
    <w:rsid w:val="001B4B04"/>
    <w:rsid w:val="001B58EE"/>
    <w:rsid w:val="001B61B6"/>
    <w:rsid w:val="001C1C50"/>
    <w:rsid w:val="001C490A"/>
    <w:rsid w:val="001C56D4"/>
    <w:rsid w:val="001C6663"/>
    <w:rsid w:val="001C6E4D"/>
    <w:rsid w:val="001C7895"/>
    <w:rsid w:val="001D0C8C"/>
    <w:rsid w:val="001D1419"/>
    <w:rsid w:val="001D15B1"/>
    <w:rsid w:val="001D26DF"/>
    <w:rsid w:val="001D3A03"/>
    <w:rsid w:val="001E5C30"/>
    <w:rsid w:val="001E7B67"/>
    <w:rsid w:val="001F278D"/>
    <w:rsid w:val="001F42B0"/>
    <w:rsid w:val="001F481A"/>
    <w:rsid w:val="001F5CCF"/>
    <w:rsid w:val="00202DA8"/>
    <w:rsid w:val="002111A6"/>
    <w:rsid w:val="00211E0B"/>
    <w:rsid w:val="0021251E"/>
    <w:rsid w:val="0021308D"/>
    <w:rsid w:val="002135BB"/>
    <w:rsid w:val="002169BD"/>
    <w:rsid w:val="0022167D"/>
    <w:rsid w:val="00222A27"/>
    <w:rsid w:val="00230299"/>
    <w:rsid w:val="00234ADC"/>
    <w:rsid w:val="00237857"/>
    <w:rsid w:val="00240805"/>
    <w:rsid w:val="0024271C"/>
    <w:rsid w:val="00244A67"/>
    <w:rsid w:val="00245396"/>
    <w:rsid w:val="00245A5D"/>
    <w:rsid w:val="0024772E"/>
    <w:rsid w:val="002525C6"/>
    <w:rsid w:val="0025740F"/>
    <w:rsid w:val="0026041E"/>
    <w:rsid w:val="002639F6"/>
    <w:rsid w:val="0026412D"/>
    <w:rsid w:val="00265A56"/>
    <w:rsid w:val="00267F5F"/>
    <w:rsid w:val="00270124"/>
    <w:rsid w:val="0027258B"/>
    <w:rsid w:val="002727DC"/>
    <w:rsid w:val="00272EC3"/>
    <w:rsid w:val="002731E3"/>
    <w:rsid w:val="002749CD"/>
    <w:rsid w:val="002755EB"/>
    <w:rsid w:val="002758FB"/>
    <w:rsid w:val="00280F90"/>
    <w:rsid w:val="00285D1B"/>
    <w:rsid w:val="00286B4D"/>
    <w:rsid w:val="00287CF6"/>
    <w:rsid w:val="00292C62"/>
    <w:rsid w:val="0029324C"/>
    <w:rsid w:val="00294109"/>
    <w:rsid w:val="002941EE"/>
    <w:rsid w:val="0029640E"/>
    <w:rsid w:val="002978EB"/>
    <w:rsid w:val="002A07AE"/>
    <w:rsid w:val="002A0E22"/>
    <w:rsid w:val="002A6F8E"/>
    <w:rsid w:val="002B13FB"/>
    <w:rsid w:val="002B2288"/>
    <w:rsid w:val="002B2D35"/>
    <w:rsid w:val="002B5F0B"/>
    <w:rsid w:val="002B6A6D"/>
    <w:rsid w:val="002B7379"/>
    <w:rsid w:val="002B7C3C"/>
    <w:rsid w:val="002C446B"/>
    <w:rsid w:val="002D07AD"/>
    <w:rsid w:val="002D463A"/>
    <w:rsid w:val="002D4643"/>
    <w:rsid w:val="002E07F8"/>
    <w:rsid w:val="002E207F"/>
    <w:rsid w:val="002E2767"/>
    <w:rsid w:val="002E4CBF"/>
    <w:rsid w:val="002E51AD"/>
    <w:rsid w:val="002E54DE"/>
    <w:rsid w:val="002E64ED"/>
    <w:rsid w:val="002F0243"/>
    <w:rsid w:val="002F119A"/>
    <w:rsid w:val="002F175C"/>
    <w:rsid w:val="002F4662"/>
    <w:rsid w:val="002F7DE0"/>
    <w:rsid w:val="00300EE7"/>
    <w:rsid w:val="00302E18"/>
    <w:rsid w:val="00302F55"/>
    <w:rsid w:val="00305995"/>
    <w:rsid w:val="003076D4"/>
    <w:rsid w:val="003078A0"/>
    <w:rsid w:val="00310A53"/>
    <w:rsid w:val="00310AF9"/>
    <w:rsid w:val="00310D36"/>
    <w:rsid w:val="00311040"/>
    <w:rsid w:val="00314755"/>
    <w:rsid w:val="00315F4D"/>
    <w:rsid w:val="00317F9B"/>
    <w:rsid w:val="003229D8"/>
    <w:rsid w:val="00323391"/>
    <w:rsid w:val="00325C9F"/>
    <w:rsid w:val="00327125"/>
    <w:rsid w:val="003364F7"/>
    <w:rsid w:val="00340256"/>
    <w:rsid w:val="003451AD"/>
    <w:rsid w:val="00350A6E"/>
    <w:rsid w:val="00352709"/>
    <w:rsid w:val="00356422"/>
    <w:rsid w:val="00361653"/>
    <w:rsid w:val="003619B5"/>
    <w:rsid w:val="00361AC3"/>
    <w:rsid w:val="00362914"/>
    <w:rsid w:val="00365763"/>
    <w:rsid w:val="00365CF7"/>
    <w:rsid w:val="003667DC"/>
    <w:rsid w:val="00366C39"/>
    <w:rsid w:val="00371178"/>
    <w:rsid w:val="00371C3C"/>
    <w:rsid w:val="003732C0"/>
    <w:rsid w:val="00374643"/>
    <w:rsid w:val="00376675"/>
    <w:rsid w:val="003778E3"/>
    <w:rsid w:val="00382FB4"/>
    <w:rsid w:val="0038332E"/>
    <w:rsid w:val="003854D6"/>
    <w:rsid w:val="00386BB2"/>
    <w:rsid w:val="00391A84"/>
    <w:rsid w:val="00392E47"/>
    <w:rsid w:val="00394DCA"/>
    <w:rsid w:val="0039710C"/>
    <w:rsid w:val="00397432"/>
    <w:rsid w:val="003A547D"/>
    <w:rsid w:val="003A5F76"/>
    <w:rsid w:val="003A6810"/>
    <w:rsid w:val="003B1A66"/>
    <w:rsid w:val="003B313F"/>
    <w:rsid w:val="003B4C23"/>
    <w:rsid w:val="003C0049"/>
    <w:rsid w:val="003C132F"/>
    <w:rsid w:val="003C2A7E"/>
    <w:rsid w:val="003C2CC4"/>
    <w:rsid w:val="003C3E06"/>
    <w:rsid w:val="003C4373"/>
    <w:rsid w:val="003C4887"/>
    <w:rsid w:val="003C5060"/>
    <w:rsid w:val="003C534D"/>
    <w:rsid w:val="003C54BB"/>
    <w:rsid w:val="003D0729"/>
    <w:rsid w:val="003D188B"/>
    <w:rsid w:val="003D4B23"/>
    <w:rsid w:val="003D5E11"/>
    <w:rsid w:val="003E130E"/>
    <w:rsid w:val="003E350C"/>
    <w:rsid w:val="003E4645"/>
    <w:rsid w:val="003E49AA"/>
    <w:rsid w:val="003E4CC6"/>
    <w:rsid w:val="003E7CFA"/>
    <w:rsid w:val="003F09D3"/>
    <w:rsid w:val="003F09FB"/>
    <w:rsid w:val="003F0C22"/>
    <w:rsid w:val="003F1D39"/>
    <w:rsid w:val="003F5B8E"/>
    <w:rsid w:val="003F5CB3"/>
    <w:rsid w:val="004000C3"/>
    <w:rsid w:val="004023C4"/>
    <w:rsid w:val="004028C8"/>
    <w:rsid w:val="00410548"/>
    <w:rsid w:val="00410C89"/>
    <w:rsid w:val="0041174E"/>
    <w:rsid w:val="00412125"/>
    <w:rsid w:val="00417281"/>
    <w:rsid w:val="00421E4F"/>
    <w:rsid w:val="00422E03"/>
    <w:rsid w:val="00423620"/>
    <w:rsid w:val="0042491E"/>
    <w:rsid w:val="004256DD"/>
    <w:rsid w:val="00426B9B"/>
    <w:rsid w:val="00427A7A"/>
    <w:rsid w:val="00430358"/>
    <w:rsid w:val="004325CB"/>
    <w:rsid w:val="004350F8"/>
    <w:rsid w:val="00437B66"/>
    <w:rsid w:val="004413E7"/>
    <w:rsid w:val="00442A83"/>
    <w:rsid w:val="00443BBC"/>
    <w:rsid w:val="0044636E"/>
    <w:rsid w:val="0044642F"/>
    <w:rsid w:val="00446EAD"/>
    <w:rsid w:val="004500C7"/>
    <w:rsid w:val="0045203D"/>
    <w:rsid w:val="0045495B"/>
    <w:rsid w:val="004561E5"/>
    <w:rsid w:val="004579E7"/>
    <w:rsid w:val="00461E6D"/>
    <w:rsid w:val="00462D52"/>
    <w:rsid w:val="00463863"/>
    <w:rsid w:val="0046553D"/>
    <w:rsid w:val="004747F7"/>
    <w:rsid w:val="0047562C"/>
    <w:rsid w:val="00483160"/>
    <w:rsid w:val="0048397A"/>
    <w:rsid w:val="0048426D"/>
    <w:rsid w:val="00484D6A"/>
    <w:rsid w:val="00485CBB"/>
    <w:rsid w:val="004866B7"/>
    <w:rsid w:val="00486B5D"/>
    <w:rsid w:val="004900AA"/>
    <w:rsid w:val="0049131A"/>
    <w:rsid w:val="00496A98"/>
    <w:rsid w:val="004A5A1C"/>
    <w:rsid w:val="004A7100"/>
    <w:rsid w:val="004B0DC1"/>
    <w:rsid w:val="004C00F8"/>
    <w:rsid w:val="004C11F1"/>
    <w:rsid w:val="004C2461"/>
    <w:rsid w:val="004C4906"/>
    <w:rsid w:val="004C4CB4"/>
    <w:rsid w:val="004C4E98"/>
    <w:rsid w:val="004C7462"/>
    <w:rsid w:val="004C74B0"/>
    <w:rsid w:val="004D0F9A"/>
    <w:rsid w:val="004D2842"/>
    <w:rsid w:val="004D62C2"/>
    <w:rsid w:val="004E71CD"/>
    <w:rsid w:val="004E73F6"/>
    <w:rsid w:val="004E77B2"/>
    <w:rsid w:val="004F331E"/>
    <w:rsid w:val="004F511F"/>
    <w:rsid w:val="004F6A33"/>
    <w:rsid w:val="004F781F"/>
    <w:rsid w:val="00501CA5"/>
    <w:rsid w:val="00503150"/>
    <w:rsid w:val="0050325F"/>
    <w:rsid w:val="005036DB"/>
    <w:rsid w:val="00503C77"/>
    <w:rsid w:val="00504B2D"/>
    <w:rsid w:val="00506A99"/>
    <w:rsid w:val="00515C2C"/>
    <w:rsid w:val="00517332"/>
    <w:rsid w:val="0052136D"/>
    <w:rsid w:val="00522338"/>
    <w:rsid w:val="0052477C"/>
    <w:rsid w:val="0052565E"/>
    <w:rsid w:val="00525AA1"/>
    <w:rsid w:val="005265F3"/>
    <w:rsid w:val="005268DD"/>
    <w:rsid w:val="00526F73"/>
    <w:rsid w:val="0052775E"/>
    <w:rsid w:val="00530477"/>
    <w:rsid w:val="00530CC5"/>
    <w:rsid w:val="00530CE1"/>
    <w:rsid w:val="00533335"/>
    <w:rsid w:val="0053571D"/>
    <w:rsid w:val="005420F2"/>
    <w:rsid w:val="005452B2"/>
    <w:rsid w:val="005463C5"/>
    <w:rsid w:val="00553A49"/>
    <w:rsid w:val="00553C98"/>
    <w:rsid w:val="00554093"/>
    <w:rsid w:val="005554EA"/>
    <w:rsid w:val="005556CB"/>
    <w:rsid w:val="005559AC"/>
    <w:rsid w:val="00561777"/>
    <w:rsid w:val="0056209A"/>
    <w:rsid w:val="00562286"/>
    <w:rsid w:val="005628B6"/>
    <w:rsid w:val="00563012"/>
    <w:rsid w:val="00567704"/>
    <w:rsid w:val="00571D37"/>
    <w:rsid w:val="00572802"/>
    <w:rsid w:val="00573ADF"/>
    <w:rsid w:val="005768FE"/>
    <w:rsid w:val="00584B6A"/>
    <w:rsid w:val="00590FBF"/>
    <w:rsid w:val="005941EC"/>
    <w:rsid w:val="00596744"/>
    <w:rsid w:val="0059724D"/>
    <w:rsid w:val="00597421"/>
    <w:rsid w:val="005A0B63"/>
    <w:rsid w:val="005A1C80"/>
    <w:rsid w:val="005A6C50"/>
    <w:rsid w:val="005B0155"/>
    <w:rsid w:val="005B10D5"/>
    <w:rsid w:val="005B13ED"/>
    <w:rsid w:val="005B143A"/>
    <w:rsid w:val="005B17DC"/>
    <w:rsid w:val="005B2BB7"/>
    <w:rsid w:val="005B320C"/>
    <w:rsid w:val="005B3DB3"/>
    <w:rsid w:val="005B4E13"/>
    <w:rsid w:val="005B7AC9"/>
    <w:rsid w:val="005B7C50"/>
    <w:rsid w:val="005C3335"/>
    <w:rsid w:val="005C342F"/>
    <w:rsid w:val="005C6FD1"/>
    <w:rsid w:val="005C7D1E"/>
    <w:rsid w:val="005D56EB"/>
    <w:rsid w:val="005D5E99"/>
    <w:rsid w:val="005D66A8"/>
    <w:rsid w:val="005D732C"/>
    <w:rsid w:val="005E1406"/>
    <w:rsid w:val="005E4898"/>
    <w:rsid w:val="005E7168"/>
    <w:rsid w:val="005E757D"/>
    <w:rsid w:val="005F7B75"/>
    <w:rsid w:val="006001EE"/>
    <w:rsid w:val="00604E0B"/>
    <w:rsid w:val="00605042"/>
    <w:rsid w:val="0060530A"/>
    <w:rsid w:val="00606950"/>
    <w:rsid w:val="0061033F"/>
    <w:rsid w:val="00611FC4"/>
    <w:rsid w:val="006162DA"/>
    <w:rsid w:val="006176FB"/>
    <w:rsid w:val="00625969"/>
    <w:rsid w:val="00626544"/>
    <w:rsid w:val="00631872"/>
    <w:rsid w:val="0063702A"/>
    <w:rsid w:val="00640B26"/>
    <w:rsid w:val="006412EB"/>
    <w:rsid w:val="006444AF"/>
    <w:rsid w:val="00652D0A"/>
    <w:rsid w:val="00655E14"/>
    <w:rsid w:val="006576FE"/>
    <w:rsid w:val="0065770E"/>
    <w:rsid w:val="00660C4F"/>
    <w:rsid w:val="00660D13"/>
    <w:rsid w:val="00662BB6"/>
    <w:rsid w:val="00666436"/>
    <w:rsid w:val="00671B51"/>
    <w:rsid w:val="0067362F"/>
    <w:rsid w:val="00676606"/>
    <w:rsid w:val="006823C3"/>
    <w:rsid w:val="00684C21"/>
    <w:rsid w:val="0069026B"/>
    <w:rsid w:val="0069617E"/>
    <w:rsid w:val="00696F4E"/>
    <w:rsid w:val="00697BFA"/>
    <w:rsid w:val="006A2530"/>
    <w:rsid w:val="006B0710"/>
    <w:rsid w:val="006B5286"/>
    <w:rsid w:val="006B54FC"/>
    <w:rsid w:val="006C3589"/>
    <w:rsid w:val="006C3CDA"/>
    <w:rsid w:val="006C5959"/>
    <w:rsid w:val="006D1EDB"/>
    <w:rsid w:val="006D21FB"/>
    <w:rsid w:val="006D37AF"/>
    <w:rsid w:val="006D5042"/>
    <w:rsid w:val="006D51D0"/>
    <w:rsid w:val="006D5FB9"/>
    <w:rsid w:val="006D658E"/>
    <w:rsid w:val="006D7E68"/>
    <w:rsid w:val="006E03D6"/>
    <w:rsid w:val="006E1E59"/>
    <w:rsid w:val="006E4E1B"/>
    <w:rsid w:val="006E564B"/>
    <w:rsid w:val="006E7099"/>
    <w:rsid w:val="006E7191"/>
    <w:rsid w:val="006E7644"/>
    <w:rsid w:val="006F30C7"/>
    <w:rsid w:val="006F3648"/>
    <w:rsid w:val="006F5D97"/>
    <w:rsid w:val="00702037"/>
    <w:rsid w:val="00703577"/>
    <w:rsid w:val="00704147"/>
    <w:rsid w:val="00704490"/>
    <w:rsid w:val="00705894"/>
    <w:rsid w:val="00707212"/>
    <w:rsid w:val="007102B4"/>
    <w:rsid w:val="00714D51"/>
    <w:rsid w:val="00716B42"/>
    <w:rsid w:val="007174B8"/>
    <w:rsid w:val="00721624"/>
    <w:rsid w:val="007246B0"/>
    <w:rsid w:val="0072632A"/>
    <w:rsid w:val="00731A65"/>
    <w:rsid w:val="00731C3D"/>
    <w:rsid w:val="007327D5"/>
    <w:rsid w:val="00737B66"/>
    <w:rsid w:val="00740A9A"/>
    <w:rsid w:val="00741583"/>
    <w:rsid w:val="007427D9"/>
    <w:rsid w:val="00742935"/>
    <w:rsid w:val="007436BD"/>
    <w:rsid w:val="007442EF"/>
    <w:rsid w:val="007454A2"/>
    <w:rsid w:val="00747E46"/>
    <w:rsid w:val="00752D13"/>
    <w:rsid w:val="00752E99"/>
    <w:rsid w:val="0075321C"/>
    <w:rsid w:val="00757B7C"/>
    <w:rsid w:val="00761A56"/>
    <w:rsid w:val="007625AE"/>
    <w:rsid w:val="007629C8"/>
    <w:rsid w:val="0076402E"/>
    <w:rsid w:val="0077047D"/>
    <w:rsid w:val="0077286E"/>
    <w:rsid w:val="00772B02"/>
    <w:rsid w:val="00773190"/>
    <w:rsid w:val="007763E4"/>
    <w:rsid w:val="0077693E"/>
    <w:rsid w:val="00783F5A"/>
    <w:rsid w:val="00784089"/>
    <w:rsid w:val="00791895"/>
    <w:rsid w:val="0079333E"/>
    <w:rsid w:val="007935B7"/>
    <w:rsid w:val="0079534D"/>
    <w:rsid w:val="007959E6"/>
    <w:rsid w:val="00797A20"/>
    <w:rsid w:val="007A0E8C"/>
    <w:rsid w:val="007A3283"/>
    <w:rsid w:val="007A3C0D"/>
    <w:rsid w:val="007A57BD"/>
    <w:rsid w:val="007A6DA0"/>
    <w:rsid w:val="007B0428"/>
    <w:rsid w:val="007B32AB"/>
    <w:rsid w:val="007B3BDE"/>
    <w:rsid w:val="007B6BA5"/>
    <w:rsid w:val="007B6CCE"/>
    <w:rsid w:val="007C1BB1"/>
    <w:rsid w:val="007C3390"/>
    <w:rsid w:val="007C482C"/>
    <w:rsid w:val="007C4F4B"/>
    <w:rsid w:val="007C5091"/>
    <w:rsid w:val="007C5394"/>
    <w:rsid w:val="007C6AB6"/>
    <w:rsid w:val="007D00C5"/>
    <w:rsid w:val="007D1588"/>
    <w:rsid w:val="007D3DD3"/>
    <w:rsid w:val="007D6741"/>
    <w:rsid w:val="007D677E"/>
    <w:rsid w:val="007E01E9"/>
    <w:rsid w:val="007E1088"/>
    <w:rsid w:val="007E18FE"/>
    <w:rsid w:val="007E21D0"/>
    <w:rsid w:val="007E2401"/>
    <w:rsid w:val="007E4A9D"/>
    <w:rsid w:val="007E61DF"/>
    <w:rsid w:val="007E63F3"/>
    <w:rsid w:val="007E6B31"/>
    <w:rsid w:val="007F2313"/>
    <w:rsid w:val="007F2FA2"/>
    <w:rsid w:val="007F3B49"/>
    <w:rsid w:val="007F6611"/>
    <w:rsid w:val="0080095B"/>
    <w:rsid w:val="00805831"/>
    <w:rsid w:val="00807111"/>
    <w:rsid w:val="00807FE6"/>
    <w:rsid w:val="008113D4"/>
    <w:rsid w:val="00811920"/>
    <w:rsid w:val="00812ECD"/>
    <w:rsid w:val="00815AD0"/>
    <w:rsid w:val="00815EDB"/>
    <w:rsid w:val="008205DC"/>
    <w:rsid w:val="00823777"/>
    <w:rsid w:val="008242D7"/>
    <w:rsid w:val="008255E2"/>
    <w:rsid w:val="008257B1"/>
    <w:rsid w:val="00832334"/>
    <w:rsid w:val="008342F3"/>
    <w:rsid w:val="00834F10"/>
    <w:rsid w:val="008352B4"/>
    <w:rsid w:val="00836213"/>
    <w:rsid w:val="008408D1"/>
    <w:rsid w:val="00841FC7"/>
    <w:rsid w:val="00842CDE"/>
    <w:rsid w:val="00843191"/>
    <w:rsid w:val="008435F9"/>
    <w:rsid w:val="00843767"/>
    <w:rsid w:val="00843A04"/>
    <w:rsid w:val="00844BB6"/>
    <w:rsid w:val="00851017"/>
    <w:rsid w:val="00852508"/>
    <w:rsid w:val="00854847"/>
    <w:rsid w:val="00862B0B"/>
    <w:rsid w:val="00863894"/>
    <w:rsid w:val="00864579"/>
    <w:rsid w:val="00866153"/>
    <w:rsid w:val="008679D9"/>
    <w:rsid w:val="00870534"/>
    <w:rsid w:val="008725AE"/>
    <w:rsid w:val="008734C6"/>
    <w:rsid w:val="00873723"/>
    <w:rsid w:val="00873D05"/>
    <w:rsid w:val="0087473E"/>
    <w:rsid w:val="00875E22"/>
    <w:rsid w:val="00876670"/>
    <w:rsid w:val="008777F3"/>
    <w:rsid w:val="00880C90"/>
    <w:rsid w:val="0088201E"/>
    <w:rsid w:val="008823EA"/>
    <w:rsid w:val="00882EF3"/>
    <w:rsid w:val="008841F1"/>
    <w:rsid w:val="008878DE"/>
    <w:rsid w:val="0089094D"/>
    <w:rsid w:val="008916DB"/>
    <w:rsid w:val="008926F2"/>
    <w:rsid w:val="008979B1"/>
    <w:rsid w:val="008A1ED5"/>
    <w:rsid w:val="008A20ED"/>
    <w:rsid w:val="008A4D2C"/>
    <w:rsid w:val="008A610B"/>
    <w:rsid w:val="008A614E"/>
    <w:rsid w:val="008A6B25"/>
    <w:rsid w:val="008A6C4F"/>
    <w:rsid w:val="008B1D72"/>
    <w:rsid w:val="008B1F03"/>
    <w:rsid w:val="008B2335"/>
    <w:rsid w:val="008B2E36"/>
    <w:rsid w:val="008B62C0"/>
    <w:rsid w:val="008C2DA4"/>
    <w:rsid w:val="008D2A0A"/>
    <w:rsid w:val="008D3949"/>
    <w:rsid w:val="008D4FB5"/>
    <w:rsid w:val="008D633F"/>
    <w:rsid w:val="008E005B"/>
    <w:rsid w:val="008E0678"/>
    <w:rsid w:val="008E15D4"/>
    <w:rsid w:val="008E7B30"/>
    <w:rsid w:val="008F0BD7"/>
    <w:rsid w:val="008F2F82"/>
    <w:rsid w:val="008F31D2"/>
    <w:rsid w:val="008F3FEC"/>
    <w:rsid w:val="008F6074"/>
    <w:rsid w:val="00900DFA"/>
    <w:rsid w:val="00900E23"/>
    <w:rsid w:val="00901DEC"/>
    <w:rsid w:val="00902E5F"/>
    <w:rsid w:val="00905287"/>
    <w:rsid w:val="00905BEC"/>
    <w:rsid w:val="00906436"/>
    <w:rsid w:val="00913D72"/>
    <w:rsid w:val="009143FA"/>
    <w:rsid w:val="00914487"/>
    <w:rsid w:val="009145DB"/>
    <w:rsid w:val="00915EF6"/>
    <w:rsid w:val="009204B0"/>
    <w:rsid w:val="00920901"/>
    <w:rsid w:val="009223CA"/>
    <w:rsid w:val="009351E5"/>
    <w:rsid w:val="00940F93"/>
    <w:rsid w:val="00941911"/>
    <w:rsid w:val="009448C3"/>
    <w:rsid w:val="00947AC2"/>
    <w:rsid w:val="00947D8A"/>
    <w:rsid w:val="0095011F"/>
    <w:rsid w:val="00950224"/>
    <w:rsid w:val="009522C0"/>
    <w:rsid w:val="009562A2"/>
    <w:rsid w:val="009562AA"/>
    <w:rsid w:val="0096058D"/>
    <w:rsid w:val="00961324"/>
    <w:rsid w:val="00961DCD"/>
    <w:rsid w:val="00961E22"/>
    <w:rsid w:val="00961E9C"/>
    <w:rsid w:val="00965307"/>
    <w:rsid w:val="00965B01"/>
    <w:rsid w:val="00965D5D"/>
    <w:rsid w:val="00966CBE"/>
    <w:rsid w:val="00967AA5"/>
    <w:rsid w:val="00970493"/>
    <w:rsid w:val="00970D86"/>
    <w:rsid w:val="00971D77"/>
    <w:rsid w:val="009736A9"/>
    <w:rsid w:val="009760F3"/>
    <w:rsid w:val="00976CFB"/>
    <w:rsid w:val="00982240"/>
    <w:rsid w:val="009829E3"/>
    <w:rsid w:val="00984940"/>
    <w:rsid w:val="009851A1"/>
    <w:rsid w:val="00985775"/>
    <w:rsid w:val="00987D21"/>
    <w:rsid w:val="00993E9E"/>
    <w:rsid w:val="0099587D"/>
    <w:rsid w:val="00997D1B"/>
    <w:rsid w:val="009A0830"/>
    <w:rsid w:val="009A0E8D"/>
    <w:rsid w:val="009A21D0"/>
    <w:rsid w:val="009A390C"/>
    <w:rsid w:val="009B018F"/>
    <w:rsid w:val="009B1B82"/>
    <w:rsid w:val="009B24E3"/>
    <w:rsid w:val="009B26E7"/>
    <w:rsid w:val="009B441F"/>
    <w:rsid w:val="009B64BB"/>
    <w:rsid w:val="009C053D"/>
    <w:rsid w:val="009C2EC7"/>
    <w:rsid w:val="009C580F"/>
    <w:rsid w:val="009C6ABE"/>
    <w:rsid w:val="009C7C95"/>
    <w:rsid w:val="009D6657"/>
    <w:rsid w:val="009E1235"/>
    <w:rsid w:val="009E3648"/>
    <w:rsid w:val="009E50BF"/>
    <w:rsid w:val="009E5BB3"/>
    <w:rsid w:val="009E6465"/>
    <w:rsid w:val="009E6F9C"/>
    <w:rsid w:val="009F064D"/>
    <w:rsid w:val="009F1A57"/>
    <w:rsid w:val="009F2DB5"/>
    <w:rsid w:val="009F52EC"/>
    <w:rsid w:val="00A00697"/>
    <w:rsid w:val="00A00A3F"/>
    <w:rsid w:val="00A01489"/>
    <w:rsid w:val="00A035DC"/>
    <w:rsid w:val="00A03CD2"/>
    <w:rsid w:val="00A060BE"/>
    <w:rsid w:val="00A079FB"/>
    <w:rsid w:val="00A147C8"/>
    <w:rsid w:val="00A17776"/>
    <w:rsid w:val="00A17BD0"/>
    <w:rsid w:val="00A23E2F"/>
    <w:rsid w:val="00A23FC6"/>
    <w:rsid w:val="00A2616C"/>
    <w:rsid w:val="00A3026E"/>
    <w:rsid w:val="00A3129D"/>
    <w:rsid w:val="00A33649"/>
    <w:rsid w:val="00A336DB"/>
    <w:rsid w:val="00A338F1"/>
    <w:rsid w:val="00A35BE0"/>
    <w:rsid w:val="00A3695E"/>
    <w:rsid w:val="00A375F4"/>
    <w:rsid w:val="00A41496"/>
    <w:rsid w:val="00A463F6"/>
    <w:rsid w:val="00A46484"/>
    <w:rsid w:val="00A46F00"/>
    <w:rsid w:val="00A5265F"/>
    <w:rsid w:val="00A53313"/>
    <w:rsid w:val="00A54499"/>
    <w:rsid w:val="00A56792"/>
    <w:rsid w:val="00A6129C"/>
    <w:rsid w:val="00A62664"/>
    <w:rsid w:val="00A72F22"/>
    <w:rsid w:val="00A7360F"/>
    <w:rsid w:val="00A748A6"/>
    <w:rsid w:val="00A761D2"/>
    <w:rsid w:val="00A769F4"/>
    <w:rsid w:val="00A76A35"/>
    <w:rsid w:val="00A76E34"/>
    <w:rsid w:val="00A776B4"/>
    <w:rsid w:val="00A82FC3"/>
    <w:rsid w:val="00A84DD5"/>
    <w:rsid w:val="00A85F9E"/>
    <w:rsid w:val="00A86820"/>
    <w:rsid w:val="00A90569"/>
    <w:rsid w:val="00A91698"/>
    <w:rsid w:val="00A92750"/>
    <w:rsid w:val="00A92CEA"/>
    <w:rsid w:val="00A94361"/>
    <w:rsid w:val="00A94DA1"/>
    <w:rsid w:val="00A95552"/>
    <w:rsid w:val="00AA05FE"/>
    <w:rsid w:val="00AA17DA"/>
    <w:rsid w:val="00AA291F"/>
    <w:rsid w:val="00AA293C"/>
    <w:rsid w:val="00AA4342"/>
    <w:rsid w:val="00AB667F"/>
    <w:rsid w:val="00AC0878"/>
    <w:rsid w:val="00AC0EFB"/>
    <w:rsid w:val="00AC214F"/>
    <w:rsid w:val="00AC3CF5"/>
    <w:rsid w:val="00AC763B"/>
    <w:rsid w:val="00AD18A9"/>
    <w:rsid w:val="00AD2481"/>
    <w:rsid w:val="00AD4126"/>
    <w:rsid w:val="00AD425D"/>
    <w:rsid w:val="00AD4874"/>
    <w:rsid w:val="00AD507F"/>
    <w:rsid w:val="00AE0312"/>
    <w:rsid w:val="00AE035E"/>
    <w:rsid w:val="00AE1E19"/>
    <w:rsid w:val="00AE44EF"/>
    <w:rsid w:val="00AF247E"/>
    <w:rsid w:val="00AF3D55"/>
    <w:rsid w:val="00AF4298"/>
    <w:rsid w:val="00B000B3"/>
    <w:rsid w:val="00B0360C"/>
    <w:rsid w:val="00B06031"/>
    <w:rsid w:val="00B06328"/>
    <w:rsid w:val="00B06C5C"/>
    <w:rsid w:val="00B120EB"/>
    <w:rsid w:val="00B144C2"/>
    <w:rsid w:val="00B15F7C"/>
    <w:rsid w:val="00B17155"/>
    <w:rsid w:val="00B21341"/>
    <w:rsid w:val="00B26102"/>
    <w:rsid w:val="00B27C3A"/>
    <w:rsid w:val="00B27DC5"/>
    <w:rsid w:val="00B30179"/>
    <w:rsid w:val="00B3069B"/>
    <w:rsid w:val="00B41EC5"/>
    <w:rsid w:val="00B421C1"/>
    <w:rsid w:val="00B42AC0"/>
    <w:rsid w:val="00B46869"/>
    <w:rsid w:val="00B46C1D"/>
    <w:rsid w:val="00B4760C"/>
    <w:rsid w:val="00B50044"/>
    <w:rsid w:val="00B50790"/>
    <w:rsid w:val="00B5083C"/>
    <w:rsid w:val="00B5221B"/>
    <w:rsid w:val="00B53C21"/>
    <w:rsid w:val="00B55C71"/>
    <w:rsid w:val="00B56B11"/>
    <w:rsid w:val="00B56E4A"/>
    <w:rsid w:val="00B56E9C"/>
    <w:rsid w:val="00B57A9D"/>
    <w:rsid w:val="00B62EA8"/>
    <w:rsid w:val="00B62F5C"/>
    <w:rsid w:val="00B647B7"/>
    <w:rsid w:val="00B64B1F"/>
    <w:rsid w:val="00B64C72"/>
    <w:rsid w:val="00B6553F"/>
    <w:rsid w:val="00B65BDE"/>
    <w:rsid w:val="00B65D86"/>
    <w:rsid w:val="00B67275"/>
    <w:rsid w:val="00B72DCE"/>
    <w:rsid w:val="00B77D05"/>
    <w:rsid w:val="00B81206"/>
    <w:rsid w:val="00B8157D"/>
    <w:rsid w:val="00B81E12"/>
    <w:rsid w:val="00B82BA7"/>
    <w:rsid w:val="00B84AC8"/>
    <w:rsid w:val="00B900BC"/>
    <w:rsid w:val="00B92DE8"/>
    <w:rsid w:val="00BB3D3B"/>
    <w:rsid w:val="00BB42A9"/>
    <w:rsid w:val="00BB4732"/>
    <w:rsid w:val="00BB6CB6"/>
    <w:rsid w:val="00BC3035"/>
    <w:rsid w:val="00BC3FA0"/>
    <w:rsid w:val="00BC4FA0"/>
    <w:rsid w:val="00BC72D8"/>
    <w:rsid w:val="00BC74E9"/>
    <w:rsid w:val="00BD2251"/>
    <w:rsid w:val="00BD3D14"/>
    <w:rsid w:val="00BD4817"/>
    <w:rsid w:val="00BD5F70"/>
    <w:rsid w:val="00BD69BB"/>
    <w:rsid w:val="00BE26AC"/>
    <w:rsid w:val="00BE3CBD"/>
    <w:rsid w:val="00BE438C"/>
    <w:rsid w:val="00BE4CAB"/>
    <w:rsid w:val="00BE6E6B"/>
    <w:rsid w:val="00BE7EC8"/>
    <w:rsid w:val="00BF30B3"/>
    <w:rsid w:val="00BF4E07"/>
    <w:rsid w:val="00BF68A8"/>
    <w:rsid w:val="00BF6DED"/>
    <w:rsid w:val="00C01088"/>
    <w:rsid w:val="00C01D9D"/>
    <w:rsid w:val="00C02557"/>
    <w:rsid w:val="00C04F78"/>
    <w:rsid w:val="00C11A03"/>
    <w:rsid w:val="00C12F0A"/>
    <w:rsid w:val="00C139C5"/>
    <w:rsid w:val="00C14B9E"/>
    <w:rsid w:val="00C2071E"/>
    <w:rsid w:val="00C22C0C"/>
    <w:rsid w:val="00C2660C"/>
    <w:rsid w:val="00C27CF1"/>
    <w:rsid w:val="00C315D6"/>
    <w:rsid w:val="00C3699D"/>
    <w:rsid w:val="00C36CE1"/>
    <w:rsid w:val="00C406C9"/>
    <w:rsid w:val="00C40E15"/>
    <w:rsid w:val="00C42C37"/>
    <w:rsid w:val="00C43196"/>
    <w:rsid w:val="00C4354F"/>
    <w:rsid w:val="00C4523D"/>
    <w:rsid w:val="00C4527F"/>
    <w:rsid w:val="00C463DD"/>
    <w:rsid w:val="00C4724C"/>
    <w:rsid w:val="00C50EAD"/>
    <w:rsid w:val="00C51A41"/>
    <w:rsid w:val="00C51FF8"/>
    <w:rsid w:val="00C53B8A"/>
    <w:rsid w:val="00C629A0"/>
    <w:rsid w:val="00C640D9"/>
    <w:rsid w:val="00C64629"/>
    <w:rsid w:val="00C64DA6"/>
    <w:rsid w:val="00C67EB4"/>
    <w:rsid w:val="00C70EDA"/>
    <w:rsid w:val="00C717AF"/>
    <w:rsid w:val="00C740FB"/>
    <w:rsid w:val="00C745C3"/>
    <w:rsid w:val="00C772EF"/>
    <w:rsid w:val="00C82926"/>
    <w:rsid w:val="00C84110"/>
    <w:rsid w:val="00C9142E"/>
    <w:rsid w:val="00C96DF2"/>
    <w:rsid w:val="00CA34A3"/>
    <w:rsid w:val="00CA4331"/>
    <w:rsid w:val="00CA7F5A"/>
    <w:rsid w:val="00CB3A5A"/>
    <w:rsid w:val="00CB3E03"/>
    <w:rsid w:val="00CB458C"/>
    <w:rsid w:val="00CC0A0D"/>
    <w:rsid w:val="00CC5155"/>
    <w:rsid w:val="00CC5282"/>
    <w:rsid w:val="00CC6A64"/>
    <w:rsid w:val="00CD0BC6"/>
    <w:rsid w:val="00CD4AA6"/>
    <w:rsid w:val="00CD4E63"/>
    <w:rsid w:val="00CD5733"/>
    <w:rsid w:val="00CD6632"/>
    <w:rsid w:val="00CE2FCD"/>
    <w:rsid w:val="00CE4A8F"/>
    <w:rsid w:val="00CE4B26"/>
    <w:rsid w:val="00CE77FA"/>
    <w:rsid w:val="00CF0BE7"/>
    <w:rsid w:val="00CF160C"/>
    <w:rsid w:val="00CF2076"/>
    <w:rsid w:val="00D02A03"/>
    <w:rsid w:val="00D044C8"/>
    <w:rsid w:val="00D135F9"/>
    <w:rsid w:val="00D15453"/>
    <w:rsid w:val="00D2031B"/>
    <w:rsid w:val="00D213A9"/>
    <w:rsid w:val="00D223EE"/>
    <w:rsid w:val="00D248B6"/>
    <w:rsid w:val="00D24FB4"/>
    <w:rsid w:val="00D254DD"/>
    <w:rsid w:val="00D25CA1"/>
    <w:rsid w:val="00D25FE2"/>
    <w:rsid w:val="00D265E9"/>
    <w:rsid w:val="00D26E07"/>
    <w:rsid w:val="00D315B7"/>
    <w:rsid w:val="00D35773"/>
    <w:rsid w:val="00D420A4"/>
    <w:rsid w:val="00D43252"/>
    <w:rsid w:val="00D47EEA"/>
    <w:rsid w:val="00D602CC"/>
    <w:rsid w:val="00D61ED8"/>
    <w:rsid w:val="00D63F50"/>
    <w:rsid w:val="00D7024B"/>
    <w:rsid w:val="00D70976"/>
    <w:rsid w:val="00D73D28"/>
    <w:rsid w:val="00D73FD4"/>
    <w:rsid w:val="00D74494"/>
    <w:rsid w:val="00D74555"/>
    <w:rsid w:val="00D773DF"/>
    <w:rsid w:val="00D8005A"/>
    <w:rsid w:val="00D8183C"/>
    <w:rsid w:val="00D83DA4"/>
    <w:rsid w:val="00D86655"/>
    <w:rsid w:val="00D86C05"/>
    <w:rsid w:val="00D8791D"/>
    <w:rsid w:val="00D87977"/>
    <w:rsid w:val="00D95303"/>
    <w:rsid w:val="00D975CA"/>
    <w:rsid w:val="00D978C6"/>
    <w:rsid w:val="00D979F4"/>
    <w:rsid w:val="00D97AF8"/>
    <w:rsid w:val="00DA1544"/>
    <w:rsid w:val="00DA3C1C"/>
    <w:rsid w:val="00DA3E77"/>
    <w:rsid w:val="00DA5ED6"/>
    <w:rsid w:val="00DA6404"/>
    <w:rsid w:val="00DA77CF"/>
    <w:rsid w:val="00DB10DA"/>
    <w:rsid w:val="00DB111C"/>
    <w:rsid w:val="00DB29A4"/>
    <w:rsid w:val="00DB31A1"/>
    <w:rsid w:val="00DB4BD5"/>
    <w:rsid w:val="00DB682B"/>
    <w:rsid w:val="00DC6777"/>
    <w:rsid w:val="00DC6D39"/>
    <w:rsid w:val="00DD08B5"/>
    <w:rsid w:val="00DD1764"/>
    <w:rsid w:val="00DD7AD9"/>
    <w:rsid w:val="00DE5234"/>
    <w:rsid w:val="00DF4C1A"/>
    <w:rsid w:val="00DF620F"/>
    <w:rsid w:val="00E046DF"/>
    <w:rsid w:val="00E12349"/>
    <w:rsid w:val="00E13B8B"/>
    <w:rsid w:val="00E15BBE"/>
    <w:rsid w:val="00E176B8"/>
    <w:rsid w:val="00E17AB7"/>
    <w:rsid w:val="00E211AD"/>
    <w:rsid w:val="00E22B0C"/>
    <w:rsid w:val="00E23189"/>
    <w:rsid w:val="00E24189"/>
    <w:rsid w:val="00E27346"/>
    <w:rsid w:val="00E34A04"/>
    <w:rsid w:val="00E40A45"/>
    <w:rsid w:val="00E420C9"/>
    <w:rsid w:val="00E4677F"/>
    <w:rsid w:val="00E46D35"/>
    <w:rsid w:val="00E507C9"/>
    <w:rsid w:val="00E51E5C"/>
    <w:rsid w:val="00E545E1"/>
    <w:rsid w:val="00E560CA"/>
    <w:rsid w:val="00E56962"/>
    <w:rsid w:val="00E606A0"/>
    <w:rsid w:val="00E630C6"/>
    <w:rsid w:val="00E632F7"/>
    <w:rsid w:val="00E63E58"/>
    <w:rsid w:val="00E6781D"/>
    <w:rsid w:val="00E67EF8"/>
    <w:rsid w:val="00E71BC8"/>
    <w:rsid w:val="00E7260F"/>
    <w:rsid w:val="00E73F5D"/>
    <w:rsid w:val="00E77282"/>
    <w:rsid w:val="00E77E4E"/>
    <w:rsid w:val="00E87208"/>
    <w:rsid w:val="00E90EEB"/>
    <w:rsid w:val="00E91F91"/>
    <w:rsid w:val="00E93316"/>
    <w:rsid w:val="00E94196"/>
    <w:rsid w:val="00E942AE"/>
    <w:rsid w:val="00E95BB6"/>
    <w:rsid w:val="00E96630"/>
    <w:rsid w:val="00EA02D8"/>
    <w:rsid w:val="00EA0621"/>
    <w:rsid w:val="00EA19B0"/>
    <w:rsid w:val="00EA2A77"/>
    <w:rsid w:val="00EA475E"/>
    <w:rsid w:val="00EB20CE"/>
    <w:rsid w:val="00EB3612"/>
    <w:rsid w:val="00EC252C"/>
    <w:rsid w:val="00EC5BE3"/>
    <w:rsid w:val="00ED0BFB"/>
    <w:rsid w:val="00ED7A2A"/>
    <w:rsid w:val="00ED7DD3"/>
    <w:rsid w:val="00EE0AD4"/>
    <w:rsid w:val="00EE318F"/>
    <w:rsid w:val="00EE6EE2"/>
    <w:rsid w:val="00EE7C3E"/>
    <w:rsid w:val="00EF0A50"/>
    <w:rsid w:val="00EF1D7F"/>
    <w:rsid w:val="00EF2965"/>
    <w:rsid w:val="00EF5D81"/>
    <w:rsid w:val="00EF77F1"/>
    <w:rsid w:val="00F02D17"/>
    <w:rsid w:val="00F0733E"/>
    <w:rsid w:val="00F120AF"/>
    <w:rsid w:val="00F14E02"/>
    <w:rsid w:val="00F159A8"/>
    <w:rsid w:val="00F21CBD"/>
    <w:rsid w:val="00F21D14"/>
    <w:rsid w:val="00F22A97"/>
    <w:rsid w:val="00F23ABD"/>
    <w:rsid w:val="00F25177"/>
    <w:rsid w:val="00F26D3E"/>
    <w:rsid w:val="00F30509"/>
    <w:rsid w:val="00F30F21"/>
    <w:rsid w:val="00F31E5F"/>
    <w:rsid w:val="00F31EA5"/>
    <w:rsid w:val="00F32D28"/>
    <w:rsid w:val="00F431AB"/>
    <w:rsid w:val="00F5256E"/>
    <w:rsid w:val="00F53675"/>
    <w:rsid w:val="00F6100A"/>
    <w:rsid w:val="00F62B29"/>
    <w:rsid w:val="00F64F2D"/>
    <w:rsid w:val="00F65AF6"/>
    <w:rsid w:val="00F70CDF"/>
    <w:rsid w:val="00F80BC8"/>
    <w:rsid w:val="00F82B57"/>
    <w:rsid w:val="00F847F7"/>
    <w:rsid w:val="00F85E0E"/>
    <w:rsid w:val="00F91E8E"/>
    <w:rsid w:val="00F93781"/>
    <w:rsid w:val="00F94B1C"/>
    <w:rsid w:val="00F94E82"/>
    <w:rsid w:val="00F9635E"/>
    <w:rsid w:val="00FA1145"/>
    <w:rsid w:val="00FA127E"/>
    <w:rsid w:val="00FA1D54"/>
    <w:rsid w:val="00FA2E0D"/>
    <w:rsid w:val="00FA446B"/>
    <w:rsid w:val="00FB0FDF"/>
    <w:rsid w:val="00FB5C24"/>
    <w:rsid w:val="00FB613B"/>
    <w:rsid w:val="00FC04CF"/>
    <w:rsid w:val="00FC2417"/>
    <w:rsid w:val="00FC3ADA"/>
    <w:rsid w:val="00FC4523"/>
    <w:rsid w:val="00FC6516"/>
    <w:rsid w:val="00FC68B7"/>
    <w:rsid w:val="00FD0044"/>
    <w:rsid w:val="00FD3158"/>
    <w:rsid w:val="00FD3D0B"/>
    <w:rsid w:val="00FD3F98"/>
    <w:rsid w:val="00FD62C5"/>
    <w:rsid w:val="00FE0C62"/>
    <w:rsid w:val="00FE106A"/>
    <w:rsid w:val="00FE1284"/>
    <w:rsid w:val="00FE215F"/>
    <w:rsid w:val="00FE3842"/>
    <w:rsid w:val="00FE39BC"/>
    <w:rsid w:val="00FE6203"/>
    <w:rsid w:val="00FE7450"/>
    <w:rsid w:val="00FE77CC"/>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EB4B"/>
  <w15:docId w15:val="{230E2229-A526-4BF3-A153-0F2ECB5A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uiPriority w:val="99"/>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rsid w:val="00391A84"/>
  </w:style>
  <w:style w:type="character" w:styleId="LineNumber">
    <w:name w:val="line number"/>
    <w:semiHidden/>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qFormat/>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16"/>
      </w:numPr>
      <w:suppressAutoHyphens w:val="0"/>
    </w:pPr>
    <w:rPr>
      <w:lang w:eastAsia="fr-FR"/>
    </w:rPr>
  </w:style>
  <w:style w:type="character" w:customStyle="1" w:styleId="PlainTextChar">
    <w:name w:val="Plain Text Char"/>
    <w:basedOn w:val="DefaultParagraphFont"/>
    <w:link w:val="PlainText"/>
    <w:uiPriority w:val="99"/>
    <w:semiHidden/>
    <w:rsid w:val="00091F30"/>
    <w:rPr>
      <w:rFonts w:cs="Courier New"/>
      <w:lang w:eastAsia="en-US"/>
    </w:rPr>
  </w:style>
  <w:style w:type="character" w:customStyle="1" w:styleId="HeaderChar">
    <w:name w:val="Header Char"/>
    <w:aliases w:val="6_G Char"/>
    <w:basedOn w:val="DefaultParagraphFont"/>
    <w:link w:val="Header"/>
    <w:rsid w:val="00091F30"/>
    <w:rPr>
      <w:b/>
      <w:sz w:val="18"/>
      <w:lang w:eastAsia="en-US"/>
    </w:rPr>
  </w:style>
  <w:style w:type="paragraph" w:styleId="ListParagraph">
    <w:name w:val="List Paragraph"/>
    <w:basedOn w:val="Normal"/>
    <w:uiPriority w:val="34"/>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uiPriority w:val="99"/>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 w:type="character" w:customStyle="1" w:styleId="SingleTxtGCar">
    <w:name w:val="_ Single Txt_G Car"/>
    <w:rsid w:val="009B018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3CBAC-75A3-4F71-BF81-64B89EE78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3C7CD4E7-D52E-431C-B7B3-D34B60B95A2F}">
  <ds:schemaRefs>
    <ds:schemaRef ds:uri="http://schemas.openxmlformats.org/officeDocument/2006/bibliography"/>
  </ds:schemaRefs>
</ds:datastoreItem>
</file>

<file path=customXml/itemProps4.xml><?xml version="1.0" encoding="utf-8"?>
<ds:datastoreItem xmlns:ds="http://schemas.openxmlformats.org/officeDocument/2006/customXml" ds:itemID="{EF4DB60E-40F7-4A07-A3B6-1FB6DB43E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681</Words>
  <Characters>3771</Characters>
  <Application>Microsoft Office Word</Application>
  <DocSecurity>0</DocSecurity>
  <Lines>89</Lines>
  <Paragraphs>40</Paragraphs>
  <ScaleCrop>false</ScaleCrop>
  <HeadingPairs>
    <vt:vector size="8" baseType="variant">
      <vt:variant>
        <vt:lpstr>Title</vt:lpstr>
      </vt:variant>
      <vt:variant>
        <vt:i4>1</vt:i4>
      </vt:variant>
      <vt:variant>
        <vt:lpstr>Titel</vt:lpstr>
      </vt:variant>
      <vt:variant>
        <vt:i4>1</vt:i4>
      </vt:variant>
      <vt:variant>
        <vt:lpstr>Название</vt:lpstr>
      </vt:variant>
      <vt:variant>
        <vt:i4>1</vt:i4>
      </vt:variant>
      <vt:variant>
        <vt:lpstr>Titre</vt:lpstr>
      </vt:variant>
      <vt:variant>
        <vt:i4>1</vt:i4>
      </vt:variant>
    </vt:vector>
  </HeadingPairs>
  <TitlesOfParts>
    <vt:vector size="4" baseType="lpstr">
      <vt:lpstr>ECE/TRANS/WP.29/GRVA/2022/4</vt:lpstr>
      <vt:lpstr>ECE/TRANS/WP.29/GRVA/2021/31</vt:lpstr>
      <vt:lpstr>1721294</vt:lpstr>
      <vt:lpstr>United Nations</vt:lpstr>
    </vt:vector>
  </TitlesOfParts>
  <Company>CSD</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ECE/TRANS/WP.29/GRVA/2023/2</dc:title>
  <dc:subject>2225486</dc:subject>
  <dc:creator>Francois Guichard</dc:creator>
  <cp:keywords/>
  <dc:description/>
  <cp:lastModifiedBy>Maria Rosario Corazon Gatmaytan</cp:lastModifiedBy>
  <cp:revision>2</cp:revision>
  <cp:lastPrinted>2022-06-28T11:05:00Z</cp:lastPrinted>
  <dcterms:created xsi:type="dcterms:W3CDTF">2022-11-12T15:34:00Z</dcterms:created>
  <dcterms:modified xsi:type="dcterms:W3CDTF">2022-11-12T15:34:00Z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